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54B4C">
      <w:pPr>
        <w:rPr>
          <w:rFonts w:hint="default" w:ascii="Times New Roman" w:hAnsi="Times New Roman" w:eastAsia="仿宋_GB2312" w:cs="Times New Roman"/>
          <w:sz w:val="36"/>
          <w:szCs w:val="36"/>
          <w:highlight w:val="none"/>
        </w:rPr>
      </w:pPr>
    </w:p>
    <w:p w14:paraId="52F6CF05">
      <w:pPr>
        <w:rPr>
          <w:rFonts w:hint="default" w:ascii="Times New Roman" w:hAnsi="Times New Roman" w:eastAsia="仿宋_GB2312" w:cs="Times New Roman"/>
          <w:sz w:val="36"/>
          <w:szCs w:val="36"/>
          <w:highlight w:val="none"/>
        </w:rPr>
      </w:pPr>
    </w:p>
    <w:p w14:paraId="5FD40022">
      <w:pPr>
        <w:rPr>
          <w:rFonts w:hint="default" w:ascii="Times New Roman" w:hAnsi="Times New Roman" w:eastAsia="仿宋_GB2312" w:cs="Times New Roman"/>
          <w:sz w:val="36"/>
          <w:szCs w:val="36"/>
          <w:highlight w:val="none"/>
        </w:rPr>
      </w:pPr>
    </w:p>
    <w:p w14:paraId="7F0FCD3F">
      <w:pPr>
        <w:rPr>
          <w:rFonts w:hint="default" w:ascii="Times New Roman" w:hAnsi="Times New Roman" w:eastAsia="仿宋_GB2312" w:cs="Times New Roman"/>
          <w:sz w:val="36"/>
          <w:szCs w:val="36"/>
          <w:highlight w:val="none"/>
        </w:rPr>
      </w:pPr>
    </w:p>
    <w:p w14:paraId="6A2F61D8">
      <w:pPr>
        <w:adjustRightInd w:val="0"/>
        <w:snapToGrid w:val="0"/>
        <w:jc w:val="center"/>
        <w:outlineLvl w:val="0"/>
        <w:rPr>
          <w:rFonts w:hint="default" w:ascii="Times New Roman" w:hAnsi="Times New Roman" w:eastAsia="方正小标宋_GBK" w:cs="Times New Roman"/>
          <w:bCs/>
          <w:sz w:val="72"/>
          <w:szCs w:val="72"/>
          <w:highlight w:val="none"/>
        </w:rPr>
      </w:pPr>
      <w:r>
        <w:rPr>
          <w:rFonts w:hint="default" w:ascii="Times New Roman" w:hAnsi="Times New Roman" w:eastAsia="方正小标宋_GBK" w:cs="Times New Roman"/>
          <w:bCs/>
          <w:sz w:val="72"/>
          <w:szCs w:val="72"/>
          <w:highlight w:val="none"/>
        </w:rPr>
        <w:t>建设项目环境影响报告表</w:t>
      </w:r>
    </w:p>
    <w:p w14:paraId="621836AB">
      <w:pPr>
        <w:adjustRightInd w:val="0"/>
        <w:snapToGrid w:val="0"/>
        <w:spacing w:before="192" w:beforeLines="80"/>
        <w:jc w:val="center"/>
        <w:rPr>
          <w:rFonts w:hint="default" w:ascii="Times New Roman" w:hAnsi="Times New Roman" w:eastAsia="楷体_GB2312" w:cs="Times New Roman"/>
          <w:bCs/>
          <w:sz w:val="48"/>
          <w:szCs w:val="48"/>
          <w:highlight w:val="none"/>
        </w:rPr>
      </w:pPr>
      <w:r>
        <w:rPr>
          <w:rFonts w:hint="default" w:ascii="Times New Roman" w:hAnsi="Times New Roman" w:eastAsia="楷体_GB2312" w:cs="Times New Roman"/>
          <w:bCs/>
          <w:sz w:val="48"/>
          <w:szCs w:val="48"/>
          <w:highlight w:val="none"/>
        </w:rPr>
        <w:t>（污染影响类）</w:t>
      </w:r>
    </w:p>
    <w:p w14:paraId="365756C7">
      <w:pPr>
        <w:adjustRightInd w:val="0"/>
        <w:snapToGrid w:val="0"/>
        <w:spacing w:line="288" w:lineRule="auto"/>
        <w:jc w:val="center"/>
        <w:outlineLvl w:val="0"/>
        <w:rPr>
          <w:rFonts w:hint="default" w:ascii="Times New Roman" w:hAnsi="Times New Roman" w:eastAsia="华文仿宋" w:cs="Times New Roman"/>
          <w:color w:val="000000"/>
          <w:kern w:val="44"/>
          <w:sz w:val="44"/>
          <w:szCs w:val="44"/>
          <w:highlight w:val="none"/>
        </w:rPr>
      </w:pPr>
    </w:p>
    <w:p w14:paraId="6324A37E">
      <w:pPr>
        <w:ind w:firstLine="1040"/>
        <w:rPr>
          <w:rFonts w:hint="default" w:ascii="Times New Roman" w:hAnsi="Times New Roman" w:eastAsia="仿宋" w:cs="Times New Roman"/>
          <w:sz w:val="44"/>
          <w:szCs w:val="44"/>
          <w:highlight w:val="none"/>
        </w:rPr>
      </w:pPr>
    </w:p>
    <w:p w14:paraId="3A772E39">
      <w:pPr>
        <w:ind w:firstLine="1040"/>
        <w:rPr>
          <w:rFonts w:hint="default" w:ascii="Times New Roman" w:hAnsi="Times New Roman" w:eastAsia="仿宋" w:cs="Times New Roman"/>
          <w:sz w:val="44"/>
          <w:szCs w:val="44"/>
          <w:highlight w:val="none"/>
        </w:rPr>
      </w:pPr>
    </w:p>
    <w:p w14:paraId="2685BBA0">
      <w:pPr>
        <w:keepNext w:val="0"/>
        <w:keepLines w:val="0"/>
        <w:pageBreakBefore w:val="0"/>
        <w:widowControl w:val="0"/>
        <w:kinsoku/>
        <w:wordWrap/>
        <w:overflowPunct/>
        <w:topLinePunct w:val="0"/>
        <w:autoSpaceDE/>
        <w:autoSpaceDN/>
        <w:bidi w:val="0"/>
        <w:adjustRightInd w:val="0"/>
        <w:snapToGrid w:val="0"/>
        <w:spacing w:line="288" w:lineRule="auto"/>
        <w:ind w:firstLine="737"/>
        <w:textAlignment w:val="auto"/>
        <w:rPr>
          <w:rFonts w:hint="default" w:ascii="Times New Roman" w:hAnsi="Times New Roman" w:eastAsia="方正仿宋_GB2312" w:cs="Times New Roman"/>
          <w:sz w:val="36"/>
          <w:szCs w:val="36"/>
          <w:highlight w:val="none"/>
          <w:u w:val="single"/>
        </w:rPr>
      </w:pPr>
      <w:r>
        <w:rPr>
          <w:rFonts w:hint="default" w:ascii="Times New Roman" w:hAnsi="Times New Roman" w:eastAsia="方正仿宋_GB2312" w:cs="Times New Roman"/>
          <w:sz w:val="36"/>
          <w:szCs w:val="36"/>
          <w:highlight w:val="none"/>
        </w:rPr>
        <w:t>项目名称：</w:t>
      </w:r>
      <w:r>
        <w:rPr>
          <w:rFonts w:hint="default" w:ascii="Times New Roman" w:hAnsi="Times New Roman" w:eastAsia="方正仿宋_GB2312" w:cs="Times New Roman"/>
          <w:sz w:val="36"/>
          <w:szCs w:val="36"/>
          <w:highlight w:val="none"/>
          <w:u w:val="single"/>
        </w:rPr>
        <w:t>陕西秦源智联科技有限公司金属构件表面</w:t>
      </w:r>
    </w:p>
    <w:p w14:paraId="6CF23186">
      <w:pPr>
        <w:keepNext w:val="0"/>
        <w:keepLines w:val="0"/>
        <w:pageBreakBefore w:val="0"/>
        <w:widowControl w:val="0"/>
        <w:kinsoku/>
        <w:wordWrap/>
        <w:overflowPunct/>
        <w:topLinePunct w:val="0"/>
        <w:autoSpaceDE/>
        <w:autoSpaceDN/>
        <w:bidi w:val="0"/>
        <w:adjustRightInd w:val="0"/>
        <w:snapToGrid w:val="0"/>
        <w:spacing w:line="288" w:lineRule="auto"/>
        <w:ind w:firstLine="2340" w:firstLineChars="650"/>
        <w:textAlignment w:val="auto"/>
        <w:rPr>
          <w:rFonts w:hint="default" w:ascii="Times New Roman" w:hAnsi="Times New Roman" w:eastAsia="方正仿宋_GB2312" w:cs="Times New Roman"/>
          <w:sz w:val="36"/>
          <w:szCs w:val="36"/>
          <w:highlight w:val="none"/>
          <w:u w:val="single"/>
        </w:rPr>
      </w:pPr>
      <w:r>
        <w:rPr>
          <w:rFonts w:hint="default" w:ascii="Times New Roman" w:hAnsi="Times New Roman" w:eastAsia="方正仿宋_GB2312" w:cs="Times New Roman"/>
          <w:sz w:val="36"/>
          <w:szCs w:val="36"/>
          <w:highlight w:val="none"/>
          <w:u w:val="single"/>
        </w:rPr>
        <w:t>处理加工项目</w:t>
      </w:r>
    </w:p>
    <w:p w14:paraId="523E70BC">
      <w:pPr>
        <w:keepNext w:val="0"/>
        <w:keepLines w:val="0"/>
        <w:pageBreakBefore w:val="0"/>
        <w:widowControl w:val="0"/>
        <w:kinsoku/>
        <w:wordWrap/>
        <w:overflowPunct/>
        <w:topLinePunct w:val="0"/>
        <w:autoSpaceDE/>
        <w:autoSpaceDN/>
        <w:bidi w:val="0"/>
        <w:adjustRightInd w:val="0"/>
        <w:snapToGrid w:val="0"/>
        <w:spacing w:line="288" w:lineRule="auto"/>
        <w:ind w:firstLine="737"/>
        <w:textAlignment w:val="auto"/>
        <w:rPr>
          <w:rFonts w:hint="default" w:ascii="Times New Roman" w:hAnsi="Times New Roman" w:eastAsia="方正仿宋_GB2312" w:cs="Times New Roman"/>
          <w:sz w:val="36"/>
          <w:szCs w:val="36"/>
          <w:highlight w:val="none"/>
          <w:u w:val="single"/>
        </w:rPr>
      </w:pPr>
      <w:r>
        <w:rPr>
          <w:rFonts w:hint="default" w:ascii="Times New Roman" w:hAnsi="Times New Roman" w:eastAsia="方正仿宋_GB2312" w:cs="Times New Roman"/>
          <w:sz w:val="36"/>
          <w:szCs w:val="36"/>
          <w:highlight w:val="none"/>
        </w:rPr>
        <w:t>建设单位（盖章）：</w:t>
      </w:r>
      <w:r>
        <w:rPr>
          <w:rFonts w:hint="default" w:ascii="Times New Roman" w:hAnsi="Times New Roman" w:eastAsia="方正仿宋_GB2312" w:cs="Times New Roman"/>
          <w:sz w:val="36"/>
          <w:szCs w:val="36"/>
          <w:highlight w:val="none"/>
          <w:u w:val="single"/>
        </w:rPr>
        <w:t>陕西秦源智联科技有限责任公司</w:t>
      </w:r>
    </w:p>
    <w:p w14:paraId="32FCB31F">
      <w:pPr>
        <w:keepNext w:val="0"/>
        <w:keepLines w:val="0"/>
        <w:pageBreakBefore w:val="0"/>
        <w:widowControl w:val="0"/>
        <w:kinsoku/>
        <w:wordWrap/>
        <w:overflowPunct/>
        <w:topLinePunct w:val="0"/>
        <w:autoSpaceDE/>
        <w:autoSpaceDN/>
        <w:bidi w:val="0"/>
        <w:adjustRightInd w:val="0"/>
        <w:snapToGrid w:val="0"/>
        <w:spacing w:line="288" w:lineRule="auto"/>
        <w:ind w:firstLine="737"/>
        <w:textAlignment w:val="auto"/>
        <w:rPr>
          <w:rFonts w:hint="default" w:ascii="Times New Roman" w:hAnsi="Times New Roman" w:eastAsia="仿宋_GB2312" w:cs="Times New Roman"/>
          <w:sz w:val="36"/>
          <w:szCs w:val="36"/>
          <w:highlight w:val="none"/>
          <w:u w:val="single"/>
        </w:rPr>
      </w:pPr>
      <w:r>
        <w:rPr>
          <w:rFonts w:hint="default" w:ascii="Times New Roman" w:hAnsi="Times New Roman" w:eastAsia="方正仿宋_GB2312" w:cs="Times New Roman"/>
          <w:sz w:val="36"/>
          <w:szCs w:val="36"/>
          <w:highlight w:val="none"/>
        </w:rPr>
        <w:t>编制日期：</w:t>
      </w:r>
      <w:r>
        <w:rPr>
          <w:rFonts w:hint="default" w:ascii="Times New Roman" w:hAnsi="Times New Roman" w:eastAsia="方正仿宋_GB2312" w:cs="Times New Roman"/>
          <w:sz w:val="36"/>
          <w:szCs w:val="36"/>
          <w:highlight w:val="none"/>
          <w:u w:val="single"/>
        </w:rPr>
        <w:t xml:space="preserve">    </w:t>
      </w:r>
      <w:r>
        <w:rPr>
          <w:rFonts w:hint="default" w:ascii="Times New Roman" w:hAnsi="Times New Roman" w:eastAsia="方正仿宋_GB2312" w:cs="Times New Roman"/>
          <w:sz w:val="36"/>
          <w:szCs w:val="36"/>
          <w:highlight w:val="none"/>
          <w:u w:val="single"/>
          <w:lang w:val="en-US" w:eastAsia="zh-CN"/>
        </w:rPr>
        <w:t>2026年9月</w:t>
      </w:r>
      <w:r>
        <w:rPr>
          <w:rFonts w:hint="default" w:ascii="Times New Roman" w:hAnsi="Times New Roman" w:eastAsia="方正仿宋_GB2312" w:cs="Times New Roman"/>
          <w:sz w:val="36"/>
          <w:szCs w:val="36"/>
          <w:highlight w:val="none"/>
          <w:u w:val="single"/>
        </w:rPr>
        <w:t xml:space="preserve">                      </w:t>
      </w:r>
      <w:r>
        <w:rPr>
          <w:rFonts w:hint="default" w:ascii="Times New Roman" w:hAnsi="Times New Roman" w:eastAsia="仿宋_GB2312" w:cs="Times New Roman"/>
          <w:sz w:val="36"/>
          <w:szCs w:val="36"/>
          <w:highlight w:val="none"/>
          <w:u w:val="single"/>
        </w:rPr>
        <w:t xml:space="preserve"> </w:t>
      </w:r>
    </w:p>
    <w:p w14:paraId="029411CB">
      <w:pPr>
        <w:adjustRightInd w:val="0"/>
        <w:snapToGrid w:val="0"/>
        <w:spacing w:line="288" w:lineRule="auto"/>
        <w:ind w:firstLine="1040"/>
        <w:rPr>
          <w:rFonts w:hint="default" w:ascii="Times New Roman" w:hAnsi="Times New Roman" w:eastAsia="仿宋_GB2312" w:cs="Times New Roman"/>
          <w:sz w:val="36"/>
          <w:szCs w:val="36"/>
          <w:highlight w:val="none"/>
          <w:u w:val="single"/>
        </w:rPr>
      </w:pPr>
      <w:bookmarkStart w:id="0" w:name="_Hlk57884087"/>
    </w:p>
    <w:p w14:paraId="0BAB3C4E">
      <w:pPr>
        <w:adjustRightInd w:val="0"/>
        <w:snapToGrid w:val="0"/>
        <w:spacing w:line="288" w:lineRule="auto"/>
        <w:ind w:firstLine="1040"/>
        <w:rPr>
          <w:rFonts w:hint="default" w:ascii="Times New Roman" w:hAnsi="Times New Roman" w:eastAsia="仿宋_GB2312" w:cs="Times New Roman"/>
          <w:sz w:val="36"/>
          <w:szCs w:val="36"/>
          <w:highlight w:val="none"/>
        </w:rPr>
      </w:pPr>
    </w:p>
    <w:p w14:paraId="5C14137E">
      <w:pPr>
        <w:adjustRightInd w:val="0"/>
        <w:snapToGrid w:val="0"/>
        <w:spacing w:line="288" w:lineRule="auto"/>
        <w:ind w:firstLine="1040"/>
        <w:rPr>
          <w:rFonts w:hint="default" w:ascii="Times New Roman" w:hAnsi="Times New Roman" w:eastAsia="仿宋_GB2312" w:cs="Times New Roman"/>
          <w:sz w:val="36"/>
          <w:szCs w:val="36"/>
          <w:highlight w:val="none"/>
        </w:rPr>
      </w:pPr>
    </w:p>
    <w:p w14:paraId="143AAC06">
      <w:pPr>
        <w:adjustRightInd w:val="0"/>
        <w:snapToGrid w:val="0"/>
        <w:spacing w:line="288" w:lineRule="auto"/>
        <w:ind w:firstLine="1040"/>
        <w:rPr>
          <w:rFonts w:hint="default" w:ascii="Times New Roman" w:hAnsi="Times New Roman" w:eastAsia="仿宋_GB2312" w:cs="Times New Roman"/>
          <w:sz w:val="36"/>
          <w:szCs w:val="36"/>
          <w:highlight w:val="none"/>
        </w:rPr>
      </w:pPr>
    </w:p>
    <w:p w14:paraId="1388F3A4">
      <w:pPr>
        <w:adjustRightInd w:val="0"/>
        <w:snapToGrid w:val="0"/>
        <w:spacing w:line="288" w:lineRule="auto"/>
        <w:ind w:firstLine="1040"/>
        <w:rPr>
          <w:rFonts w:hint="default" w:ascii="Times New Roman" w:hAnsi="Times New Roman" w:eastAsia="仿宋_GB2312" w:cs="Times New Roman"/>
          <w:sz w:val="36"/>
          <w:szCs w:val="36"/>
          <w:highlight w:val="none"/>
        </w:rPr>
      </w:pPr>
    </w:p>
    <w:bookmarkEnd w:id="0"/>
    <w:p w14:paraId="2398FDDE">
      <w:pPr>
        <w:adjustRightInd w:val="0"/>
        <w:snapToGrid w:val="0"/>
        <w:spacing w:line="288" w:lineRule="auto"/>
        <w:jc w:val="center"/>
        <w:rPr>
          <w:rFonts w:hint="eastAsia" w:ascii="方正楷体_GB2312" w:hAnsi="方正楷体_GB2312" w:eastAsia="方正楷体_GB2312" w:cs="方正楷体_GB2312"/>
          <w:sz w:val="36"/>
          <w:szCs w:val="36"/>
          <w:highlight w:val="none"/>
        </w:rPr>
      </w:pPr>
      <w:r>
        <w:rPr>
          <w:rFonts w:hint="eastAsia" w:ascii="方正楷体_GB2312" w:hAnsi="方正楷体_GB2312" w:eastAsia="方正楷体_GB2312" w:cs="方正楷体_GB2312"/>
          <w:sz w:val="36"/>
          <w:szCs w:val="36"/>
          <w:highlight w:val="none"/>
        </w:rPr>
        <w:t>中华人民共和国生态环境部制</w:t>
      </w:r>
    </w:p>
    <w:p w14:paraId="4A6A112A">
      <w:pPr>
        <w:jc w:val="center"/>
        <w:rPr>
          <w:rFonts w:hint="default" w:ascii="Times New Roman" w:hAnsi="Times New Roman" w:eastAsia="楷体_GB2312" w:cs="Times New Roman"/>
          <w:color w:val="auto"/>
          <w:sz w:val="36"/>
          <w:szCs w:val="36"/>
          <w:highlight w:val="none"/>
        </w:rPr>
        <w:sectPr>
          <w:pgSz w:w="11906" w:h="16838"/>
          <w:pgMar w:top="1701" w:right="1531" w:bottom="1701" w:left="1531" w:header="851" w:footer="992" w:gutter="0"/>
          <w:pgBorders>
            <w:top w:val="none" w:sz="0" w:space="0"/>
            <w:left w:val="none" w:sz="0" w:space="0"/>
            <w:bottom w:val="none" w:sz="0" w:space="0"/>
            <w:right w:val="none" w:sz="0" w:space="0"/>
          </w:pgBorders>
          <w:cols w:space="425" w:num="1"/>
          <w:docGrid w:type="lines" w:linePitch="312" w:charSpace="0"/>
        </w:sectPr>
      </w:pPr>
    </w:p>
    <w:p w14:paraId="253B821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附图：</w:t>
      </w:r>
    </w:p>
    <w:p w14:paraId="365ABE6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附</w:t>
      </w:r>
      <w:r>
        <w:rPr>
          <w:rFonts w:hint="default" w:ascii="Times New Roman" w:hAnsi="Times New Roman" w:eastAsia="宋体" w:cs="Times New Roman"/>
          <w:color w:val="auto"/>
          <w:sz w:val="24"/>
          <w:szCs w:val="24"/>
          <w:highlight w:val="none"/>
        </w:rPr>
        <w:t>图</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：项目地理位置图</w:t>
      </w:r>
    </w:p>
    <w:p w14:paraId="1D4B8D4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附</w:t>
      </w:r>
      <w:r>
        <w:rPr>
          <w:rFonts w:hint="default" w:ascii="Times New Roman" w:hAnsi="Times New Roman" w:eastAsia="宋体" w:cs="Times New Roman"/>
          <w:color w:val="auto"/>
          <w:sz w:val="24"/>
          <w:szCs w:val="24"/>
          <w:highlight w:val="none"/>
        </w:rPr>
        <w:t>图</w:t>
      </w:r>
      <w:r>
        <w:rPr>
          <w:rFonts w:hint="default" w:ascii="Times New Roman" w:hAnsi="Times New Roman" w:cs="Times New Roman"/>
          <w:color w:val="auto"/>
          <w:sz w:val="24"/>
          <w:szCs w:val="24"/>
          <w:highlight w:val="none"/>
          <w:lang w:val="en-US" w:eastAsia="zh-CN"/>
        </w:rPr>
        <w:t>二</w:t>
      </w:r>
      <w:r>
        <w:rPr>
          <w:rFonts w:hint="default" w:ascii="Times New Roman" w:hAnsi="Times New Roman" w:eastAsia="宋体" w:cs="Times New Roman"/>
          <w:color w:val="auto"/>
          <w:sz w:val="24"/>
          <w:szCs w:val="24"/>
          <w:highlight w:val="none"/>
        </w:rPr>
        <w:t>：项目</w:t>
      </w:r>
      <w:r>
        <w:rPr>
          <w:rFonts w:hint="default" w:ascii="Times New Roman" w:hAnsi="Times New Roman" w:cs="Times New Roman"/>
          <w:color w:val="auto"/>
          <w:sz w:val="24"/>
          <w:szCs w:val="24"/>
          <w:highlight w:val="none"/>
          <w:lang w:val="en-US" w:eastAsia="zh-CN"/>
        </w:rPr>
        <w:t>四邻关系</w:t>
      </w:r>
      <w:r>
        <w:rPr>
          <w:rFonts w:hint="default" w:ascii="Times New Roman" w:hAnsi="Times New Roman" w:eastAsia="宋体" w:cs="Times New Roman"/>
          <w:color w:val="auto"/>
          <w:sz w:val="24"/>
          <w:szCs w:val="24"/>
          <w:highlight w:val="none"/>
        </w:rPr>
        <w:t>图</w:t>
      </w:r>
    </w:p>
    <w:p w14:paraId="78711A6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附</w:t>
      </w:r>
      <w:r>
        <w:rPr>
          <w:rFonts w:hint="default" w:ascii="Times New Roman" w:hAnsi="Times New Roman" w:eastAsia="宋体" w:cs="Times New Roman"/>
          <w:color w:val="auto"/>
          <w:sz w:val="24"/>
          <w:szCs w:val="24"/>
          <w:highlight w:val="none"/>
        </w:rPr>
        <w:t>图</w:t>
      </w:r>
      <w:r>
        <w:rPr>
          <w:rFonts w:hint="default" w:ascii="Times New Roman" w:hAnsi="Times New Roman" w:cs="Times New Roman"/>
          <w:color w:val="auto"/>
          <w:sz w:val="24"/>
          <w:szCs w:val="24"/>
          <w:highlight w:val="none"/>
          <w:lang w:val="en-US" w:eastAsia="zh-CN"/>
        </w:rPr>
        <w:t>三</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大气环境保护目标分布</w:t>
      </w:r>
      <w:r>
        <w:rPr>
          <w:rFonts w:hint="default" w:ascii="Times New Roman" w:hAnsi="Times New Roman" w:eastAsia="宋体" w:cs="Times New Roman"/>
          <w:color w:val="auto"/>
          <w:sz w:val="24"/>
          <w:szCs w:val="24"/>
          <w:highlight w:val="none"/>
        </w:rPr>
        <w:t>图</w:t>
      </w:r>
    </w:p>
    <w:p w14:paraId="5352A2C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附</w:t>
      </w:r>
      <w:r>
        <w:rPr>
          <w:rFonts w:hint="default" w:ascii="Times New Roman" w:hAnsi="Times New Roman" w:eastAsia="宋体" w:cs="Times New Roman"/>
          <w:color w:val="auto"/>
          <w:sz w:val="24"/>
          <w:szCs w:val="24"/>
          <w:highlight w:val="none"/>
        </w:rPr>
        <w:t>图</w:t>
      </w:r>
      <w:r>
        <w:rPr>
          <w:rFonts w:hint="default" w:ascii="Times New Roman" w:hAnsi="Times New Roman" w:cs="Times New Roman"/>
          <w:color w:val="auto"/>
          <w:sz w:val="24"/>
          <w:szCs w:val="24"/>
          <w:highlight w:val="none"/>
          <w:lang w:val="en-US" w:eastAsia="zh-CN"/>
        </w:rPr>
        <w:t>四</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平面布置</w:t>
      </w:r>
      <w:r>
        <w:rPr>
          <w:rFonts w:hint="default" w:ascii="Times New Roman" w:hAnsi="Times New Roman" w:eastAsia="宋体" w:cs="Times New Roman"/>
          <w:color w:val="auto"/>
          <w:sz w:val="24"/>
          <w:szCs w:val="24"/>
          <w:highlight w:val="none"/>
        </w:rPr>
        <w:t>图</w:t>
      </w:r>
    </w:p>
    <w:p w14:paraId="5EB5487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附</w:t>
      </w:r>
      <w:r>
        <w:rPr>
          <w:rFonts w:hint="default" w:ascii="Times New Roman" w:hAnsi="Times New Roman" w:eastAsia="宋体" w:cs="Times New Roman"/>
          <w:color w:val="auto"/>
          <w:sz w:val="24"/>
          <w:szCs w:val="24"/>
          <w:highlight w:val="none"/>
        </w:rPr>
        <w:t>图</w:t>
      </w:r>
      <w:r>
        <w:rPr>
          <w:rFonts w:hint="default" w:ascii="Times New Roman" w:hAnsi="Times New Roman" w:cs="Times New Roman"/>
          <w:color w:val="auto"/>
          <w:sz w:val="24"/>
          <w:szCs w:val="24"/>
          <w:highlight w:val="none"/>
          <w:lang w:val="en-US" w:eastAsia="zh-CN"/>
        </w:rPr>
        <w:t>五</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监测点位</w:t>
      </w:r>
      <w:r>
        <w:rPr>
          <w:rFonts w:hint="default" w:ascii="Times New Roman" w:hAnsi="Times New Roman" w:eastAsia="宋体" w:cs="Times New Roman"/>
          <w:color w:val="auto"/>
          <w:sz w:val="24"/>
          <w:szCs w:val="24"/>
          <w:highlight w:val="none"/>
        </w:rPr>
        <w:t>图</w:t>
      </w:r>
    </w:p>
    <w:p w14:paraId="6C524A0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highlight w:val="none"/>
          <w:lang w:val="en-US"/>
        </w:rPr>
      </w:pPr>
      <w:r>
        <w:rPr>
          <w:rFonts w:hint="default" w:ascii="Times New Roman" w:hAnsi="Times New Roman" w:cs="Times New Roman"/>
          <w:color w:val="auto"/>
          <w:sz w:val="24"/>
          <w:szCs w:val="24"/>
          <w:highlight w:val="none"/>
          <w:lang w:val="en-US" w:eastAsia="zh-CN"/>
        </w:rPr>
        <w:t>附</w:t>
      </w:r>
      <w:r>
        <w:rPr>
          <w:rFonts w:hint="default" w:ascii="Times New Roman" w:hAnsi="Times New Roman" w:eastAsia="宋体" w:cs="Times New Roman"/>
          <w:color w:val="auto"/>
          <w:sz w:val="24"/>
          <w:szCs w:val="24"/>
          <w:highlight w:val="none"/>
        </w:rPr>
        <w:t>图</w:t>
      </w:r>
      <w:r>
        <w:rPr>
          <w:rFonts w:hint="default" w:ascii="Times New Roman" w:hAnsi="Times New Roman" w:cs="Times New Roman"/>
          <w:color w:val="auto"/>
          <w:sz w:val="24"/>
          <w:szCs w:val="24"/>
          <w:highlight w:val="none"/>
          <w:lang w:val="en-US" w:eastAsia="zh-CN"/>
        </w:rPr>
        <w:t>六</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现场照片</w:t>
      </w:r>
    </w:p>
    <w:p w14:paraId="1DCBC1B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bCs/>
          <w:color w:val="auto"/>
          <w:sz w:val="24"/>
          <w:szCs w:val="24"/>
          <w:highlight w:val="none"/>
        </w:rPr>
      </w:pPr>
    </w:p>
    <w:p w14:paraId="316664D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附件：</w:t>
      </w:r>
    </w:p>
    <w:p w14:paraId="3B250FD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附件</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：委托书</w:t>
      </w:r>
      <w:bookmarkStart w:id="13" w:name="_GoBack"/>
      <w:bookmarkEnd w:id="13"/>
    </w:p>
    <w:p w14:paraId="4D2CD55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附件</w:t>
      </w:r>
      <w:r>
        <w:rPr>
          <w:rFonts w:hint="default" w:ascii="Times New Roman" w:hAnsi="Times New Roman" w:cs="Times New Roman"/>
          <w:color w:val="auto"/>
          <w:sz w:val="24"/>
          <w:szCs w:val="24"/>
          <w:highlight w:val="none"/>
          <w:lang w:val="en-US" w:eastAsia="zh-CN"/>
        </w:rPr>
        <w:t>二</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营业执照</w:t>
      </w:r>
    </w:p>
    <w:p w14:paraId="1303F41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附件</w:t>
      </w:r>
      <w:r>
        <w:rPr>
          <w:rFonts w:hint="default" w:ascii="Times New Roman" w:hAnsi="Times New Roman" w:cs="Times New Roman"/>
          <w:color w:val="auto"/>
          <w:sz w:val="24"/>
          <w:szCs w:val="24"/>
          <w:highlight w:val="none"/>
          <w:lang w:val="en-US" w:eastAsia="zh-CN"/>
        </w:rPr>
        <w:t>三</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备案确认书</w:t>
      </w:r>
    </w:p>
    <w:p w14:paraId="7B5E165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附件</w:t>
      </w:r>
      <w:r>
        <w:rPr>
          <w:rFonts w:hint="default" w:ascii="Times New Roman" w:hAnsi="Times New Roman" w:cs="Times New Roman"/>
          <w:color w:val="auto"/>
          <w:sz w:val="24"/>
          <w:szCs w:val="24"/>
          <w:highlight w:val="none"/>
          <w:lang w:val="en-US" w:eastAsia="zh-CN"/>
        </w:rPr>
        <w:t>四</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土地证明</w:t>
      </w:r>
    </w:p>
    <w:p w14:paraId="375FAD0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附件</w:t>
      </w:r>
      <w:r>
        <w:rPr>
          <w:rFonts w:hint="default" w:ascii="Times New Roman" w:hAnsi="Times New Roman" w:cs="Times New Roman"/>
          <w:color w:val="auto"/>
          <w:sz w:val="24"/>
          <w:szCs w:val="24"/>
          <w:highlight w:val="none"/>
          <w:lang w:val="en-US" w:eastAsia="zh-CN"/>
        </w:rPr>
        <w:t>五</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粉末</w:t>
      </w:r>
      <w:r>
        <w:rPr>
          <w:rFonts w:hint="default" w:ascii="Times New Roman" w:hAnsi="Times New Roman" w:cs="Times New Roman"/>
          <w:color w:val="auto"/>
          <w:sz w:val="24"/>
          <w:szCs w:val="24"/>
          <w:highlight w:val="none"/>
          <w:lang w:val="en-US" w:eastAsia="zh-CN"/>
        </w:rPr>
        <w:t>涂料检测报告</w:t>
      </w:r>
    </w:p>
    <w:p w14:paraId="0DBECE6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附件</w:t>
      </w:r>
      <w:r>
        <w:rPr>
          <w:rFonts w:hint="default" w:ascii="Times New Roman" w:hAnsi="Times New Roman" w:cs="Times New Roman"/>
          <w:color w:val="auto"/>
          <w:sz w:val="24"/>
          <w:szCs w:val="24"/>
          <w:highlight w:val="none"/>
          <w:lang w:val="en-US" w:eastAsia="zh-CN"/>
        </w:rPr>
        <w:t>六</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水性</w:t>
      </w:r>
      <w:r>
        <w:rPr>
          <w:rFonts w:hint="default" w:ascii="Times New Roman" w:hAnsi="Times New Roman" w:cs="Times New Roman"/>
          <w:color w:val="auto"/>
          <w:sz w:val="24"/>
          <w:szCs w:val="24"/>
          <w:highlight w:val="none"/>
          <w:lang w:val="en-US" w:eastAsia="zh-CN"/>
        </w:rPr>
        <w:t>涂料检测报告</w:t>
      </w:r>
    </w:p>
    <w:p w14:paraId="51F26E8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附件</w:t>
      </w:r>
      <w:r>
        <w:rPr>
          <w:rFonts w:hint="default" w:ascii="Times New Roman" w:hAnsi="Times New Roman" w:cs="Times New Roman"/>
          <w:color w:val="auto"/>
          <w:sz w:val="24"/>
          <w:szCs w:val="24"/>
          <w:highlight w:val="none"/>
          <w:lang w:val="en-US" w:eastAsia="zh-CN"/>
        </w:rPr>
        <w:t>七</w:t>
      </w:r>
      <w:r>
        <w:rPr>
          <w:rFonts w:hint="eastAsia" w:cs="Times New Roman"/>
          <w:color w:val="auto"/>
          <w:sz w:val="24"/>
          <w:szCs w:val="24"/>
          <w:highlight w:val="none"/>
          <w:lang w:val="en-US" w:eastAsia="zh-CN"/>
        </w:rPr>
        <w:t>：电泳涂料检测报告</w:t>
      </w:r>
    </w:p>
    <w:p w14:paraId="4153389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附件</w:t>
      </w:r>
      <w:r>
        <w:rPr>
          <w:rFonts w:hint="eastAsia" w:cs="Times New Roman"/>
          <w:color w:val="auto"/>
          <w:sz w:val="24"/>
          <w:szCs w:val="24"/>
          <w:highlight w:val="none"/>
          <w:lang w:val="en-US" w:eastAsia="zh-CN"/>
        </w:rPr>
        <w:t>八</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eastAsia="zh-CN"/>
        </w:rPr>
        <w:t>“三线一单”</w:t>
      </w:r>
      <w:r>
        <w:rPr>
          <w:rFonts w:hint="default" w:ascii="Times New Roman" w:hAnsi="Times New Roman" w:cs="Times New Roman"/>
          <w:color w:val="auto"/>
          <w:sz w:val="24"/>
          <w:szCs w:val="24"/>
          <w:highlight w:val="none"/>
          <w:lang w:val="en-US" w:eastAsia="zh-CN"/>
        </w:rPr>
        <w:t>生态环境控制单元分析报告</w:t>
      </w:r>
    </w:p>
    <w:p w14:paraId="6B4C8DD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附件</w:t>
      </w:r>
      <w:r>
        <w:rPr>
          <w:rFonts w:hint="eastAsia" w:cs="Times New Roman"/>
          <w:color w:val="auto"/>
          <w:sz w:val="24"/>
          <w:szCs w:val="24"/>
          <w:highlight w:val="none"/>
          <w:lang w:val="en-US" w:eastAsia="zh-CN"/>
        </w:rPr>
        <w:t>九：</w:t>
      </w:r>
      <w:r>
        <w:rPr>
          <w:rFonts w:hint="default" w:ascii="Times New Roman" w:hAnsi="Times New Roman" w:cs="Times New Roman"/>
          <w:color w:val="auto"/>
          <w:sz w:val="24"/>
          <w:szCs w:val="24"/>
          <w:highlight w:val="none"/>
          <w:lang w:val="en-US" w:eastAsia="zh-CN"/>
        </w:rPr>
        <w:t>引用监测报告</w:t>
      </w:r>
    </w:p>
    <w:p w14:paraId="133668B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color w:val="auto"/>
          <w:sz w:val="24"/>
          <w:szCs w:val="24"/>
          <w:highlight w:val="none"/>
          <w:lang w:val="en-US" w:eastAsia="zh-CN"/>
        </w:rPr>
      </w:pPr>
    </w:p>
    <w:p w14:paraId="250A17FB">
      <w:pPr>
        <w:jc w:val="center"/>
        <w:outlineLvl w:val="0"/>
        <w:rPr>
          <w:rFonts w:hint="default" w:ascii="Times New Roman" w:hAnsi="Times New Roman" w:cs="Times New Roman"/>
          <w:b/>
          <w:bCs/>
          <w:color w:val="auto"/>
          <w:sz w:val="28"/>
          <w:szCs w:val="28"/>
          <w:highlight w:val="none"/>
        </w:rPr>
        <w:sectPr>
          <w:footerReference r:id="rId3" w:type="default"/>
          <w:pgSz w:w="11906" w:h="16838"/>
          <w:pgMar w:top="1701" w:right="1531" w:bottom="1701" w:left="1531" w:header="851" w:footer="992" w:gutter="0"/>
          <w:pgBorders>
            <w:top w:val="none" w:sz="0" w:space="0"/>
            <w:left w:val="none" w:sz="0" w:space="0"/>
            <w:bottom w:val="none" w:sz="0" w:space="0"/>
            <w:right w:val="none" w:sz="0" w:space="0"/>
          </w:pgBorders>
          <w:pgNumType w:start="1"/>
          <w:cols w:space="425" w:num="1"/>
          <w:docGrid w:type="lines" w:linePitch="312" w:charSpace="0"/>
        </w:sectPr>
      </w:pPr>
      <w:bookmarkStart w:id="1" w:name="_Toc27520"/>
    </w:p>
    <w:p w14:paraId="0D4FC9B9">
      <w:pPr>
        <w:jc w:val="center"/>
        <w:outlineLvl w:val="0"/>
        <w:rPr>
          <w:rFonts w:hint="default" w:ascii="Times New Roman" w:hAnsi="Times New Roman" w:cs="Times New Roman"/>
          <w:b/>
          <w:bCs/>
          <w:color w:val="auto"/>
          <w:highlight w:val="none"/>
        </w:rPr>
      </w:pPr>
      <w:r>
        <w:rPr>
          <w:rFonts w:hint="default" w:ascii="Times New Roman" w:hAnsi="Times New Roman" w:cs="Times New Roman"/>
          <w:b/>
          <w:bCs/>
          <w:color w:val="auto"/>
          <w:sz w:val="28"/>
          <w:szCs w:val="28"/>
          <w:highlight w:val="none"/>
        </w:rPr>
        <w:t>一、建设项目基本情况</w:t>
      </w:r>
      <w:bookmarkEnd w:id="1"/>
    </w:p>
    <w:tbl>
      <w:tblPr>
        <w:tblStyle w:val="32"/>
        <w:tblW w:w="90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47"/>
        <w:gridCol w:w="2183"/>
        <w:gridCol w:w="2241"/>
        <w:gridCol w:w="3023"/>
      </w:tblGrid>
      <w:tr w14:paraId="51FE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47" w:type="dxa"/>
            <w:tcMar>
              <w:top w:w="16" w:type="dxa"/>
              <w:left w:w="16" w:type="dxa"/>
              <w:right w:w="16" w:type="dxa"/>
            </w:tcMar>
            <w:vAlign w:val="center"/>
          </w:tcPr>
          <w:p w14:paraId="11C42B37">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建设项目名称</w:t>
            </w:r>
          </w:p>
        </w:tc>
        <w:tc>
          <w:tcPr>
            <w:tcW w:w="7447" w:type="dxa"/>
            <w:gridSpan w:val="3"/>
            <w:vAlign w:val="center"/>
          </w:tcPr>
          <w:p w14:paraId="383FF14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陕西秦源智联科技有限公司金属构件表面处理加工项目</w:t>
            </w:r>
          </w:p>
        </w:tc>
      </w:tr>
      <w:tr w14:paraId="5C34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47" w:type="dxa"/>
            <w:tcMar>
              <w:top w:w="16" w:type="dxa"/>
              <w:left w:w="16" w:type="dxa"/>
              <w:right w:w="16" w:type="dxa"/>
            </w:tcMar>
            <w:vAlign w:val="center"/>
          </w:tcPr>
          <w:p w14:paraId="72BD3CB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项目代码</w:t>
            </w:r>
          </w:p>
        </w:tc>
        <w:tc>
          <w:tcPr>
            <w:tcW w:w="7447" w:type="dxa"/>
            <w:gridSpan w:val="3"/>
            <w:vAlign w:val="center"/>
          </w:tcPr>
          <w:p w14:paraId="0D20C50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2608-611205-04-05-816813</w:t>
            </w:r>
          </w:p>
        </w:tc>
      </w:tr>
      <w:tr w14:paraId="47762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3" w:hRule="atLeast"/>
          <w:jc w:val="center"/>
        </w:trPr>
        <w:tc>
          <w:tcPr>
            <w:tcW w:w="1647" w:type="dxa"/>
            <w:tcMar>
              <w:top w:w="16" w:type="dxa"/>
              <w:left w:w="16" w:type="dxa"/>
              <w:right w:w="16" w:type="dxa"/>
            </w:tcMar>
            <w:vAlign w:val="center"/>
          </w:tcPr>
          <w:p w14:paraId="3FB153C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建设单位联系人</w:t>
            </w:r>
          </w:p>
        </w:tc>
        <w:tc>
          <w:tcPr>
            <w:tcW w:w="2183" w:type="dxa"/>
            <w:vAlign w:val="center"/>
          </w:tcPr>
          <w:p w14:paraId="0C3C2CF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孙泽宇</w:t>
            </w:r>
          </w:p>
        </w:tc>
        <w:tc>
          <w:tcPr>
            <w:tcW w:w="2241" w:type="dxa"/>
            <w:vAlign w:val="center"/>
          </w:tcPr>
          <w:p w14:paraId="7EA207D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联系方式</w:t>
            </w:r>
          </w:p>
        </w:tc>
        <w:tc>
          <w:tcPr>
            <w:tcW w:w="3023" w:type="dxa"/>
            <w:vAlign w:val="center"/>
          </w:tcPr>
          <w:p w14:paraId="2D53E90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15526031752</w:t>
            </w:r>
          </w:p>
        </w:tc>
      </w:tr>
      <w:tr w14:paraId="130FB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47" w:type="dxa"/>
            <w:tcMar>
              <w:top w:w="16" w:type="dxa"/>
              <w:left w:w="16" w:type="dxa"/>
              <w:right w:w="16" w:type="dxa"/>
            </w:tcMar>
            <w:vAlign w:val="center"/>
          </w:tcPr>
          <w:p w14:paraId="29748EE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建设地点</w:t>
            </w:r>
          </w:p>
        </w:tc>
        <w:tc>
          <w:tcPr>
            <w:tcW w:w="7447" w:type="dxa"/>
            <w:gridSpan w:val="3"/>
            <w:vAlign w:val="center"/>
          </w:tcPr>
          <w:p w14:paraId="4690108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陕西省西咸新区大王108国道与东灵路十字向南300米（租赁标准化生产厂房）</w:t>
            </w:r>
          </w:p>
        </w:tc>
      </w:tr>
      <w:tr w14:paraId="088F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47" w:type="dxa"/>
            <w:tcMar>
              <w:top w:w="16" w:type="dxa"/>
              <w:left w:w="16" w:type="dxa"/>
              <w:right w:w="16" w:type="dxa"/>
            </w:tcMar>
            <w:vAlign w:val="center"/>
          </w:tcPr>
          <w:p w14:paraId="400F5DC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地理坐标</w:t>
            </w:r>
          </w:p>
        </w:tc>
        <w:tc>
          <w:tcPr>
            <w:tcW w:w="7447" w:type="dxa"/>
            <w:gridSpan w:val="3"/>
            <w:vAlign w:val="center"/>
          </w:tcPr>
          <w:p w14:paraId="02BA974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经度：1</w:t>
            </w:r>
            <w:r>
              <w:rPr>
                <w:rFonts w:hint="default" w:ascii="Times New Roman" w:hAnsi="Times New Roman" w:cs="Times New Roman"/>
                <w:color w:val="auto"/>
                <w:sz w:val="24"/>
                <w:highlight w:val="none"/>
                <w:lang w:val="en-US" w:eastAsia="zh-CN"/>
              </w:rPr>
              <w:t>08</w:t>
            </w:r>
            <w:r>
              <w:rPr>
                <w:rFonts w:hint="default" w:ascii="Times New Roman" w:hAnsi="Times New Roman" w:cs="Times New Roman"/>
                <w:color w:val="auto"/>
                <w:sz w:val="24"/>
                <w:highlight w:val="none"/>
              </w:rPr>
              <w:t>度</w:t>
            </w:r>
            <w:r>
              <w:rPr>
                <w:rFonts w:hint="default" w:ascii="Times New Roman" w:hAnsi="Times New Roman" w:cs="Times New Roman"/>
                <w:color w:val="auto"/>
                <w:sz w:val="24"/>
                <w:highlight w:val="none"/>
                <w:lang w:val="en-US" w:eastAsia="zh-CN"/>
              </w:rPr>
              <w:t>37</w:t>
            </w:r>
            <w:r>
              <w:rPr>
                <w:rFonts w:hint="default" w:ascii="Times New Roman" w:hAnsi="Times New Roman" w:cs="Times New Roman"/>
                <w:color w:val="auto"/>
                <w:sz w:val="24"/>
                <w:highlight w:val="none"/>
              </w:rPr>
              <w:t>分</w:t>
            </w:r>
            <w:r>
              <w:rPr>
                <w:rFonts w:hint="default" w:ascii="Times New Roman" w:hAnsi="Times New Roman" w:cs="Times New Roman"/>
                <w:color w:val="auto"/>
                <w:sz w:val="24"/>
                <w:highlight w:val="none"/>
                <w:lang w:val="en-US" w:eastAsia="zh-CN"/>
              </w:rPr>
              <w:t>50.201</w:t>
            </w:r>
            <w:r>
              <w:rPr>
                <w:rFonts w:hint="default" w:ascii="Times New Roman" w:hAnsi="Times New Roman" w:cs="Times New Roman"/>
                <w:color w:val="auto"/>
                <w:sz w:val="24"/>
                <w:highlight w:val="none"/>
              </w:rPr>
              <w:t>秒，纬度：</w:t>
            </w:r>
            <w:r>
              <w:rPr>
                <w:rFonts w:hint="default" w:ascii="Times New Roman" w:hAnsi="Times New Roman" w:cs="Times New Roman"/>
                <w:color w:val="auto"/>
                <w:sz w:val="24"/>
                <w:highlight w:val="none"/>
                <w:lang w:val="en-US" w:eastAsia="zh-CN"/>
              </w:rPr>
              <w:t>34</w:t>
            </w:r>
            <w:r>
              <w:rPr>
                <w:rFonts w:hint="default" w:ascii="Times New Roman" w:hAnsi="Times New Roman" w:cs="Times New Roman"/>
                <w:color w:val="auto"/>
                <w:sz w:val="24"/>
                <w:highlight w:val="none"/>
              </w:rPr>
              <w:t>度</w:t>
            </w:r>
            <w:r>
              <w:rPr>
                <w:rFonts w:hint="default" w:ascii="Times New Roman" w:hAnsi="Times New Roman" w:cs="Times New Roman"/>
                <w:color w:val="auto"/>
                <w:sz w:val="24"/>
                <w:highlight w:val="none"/>
                <w:lang w:val="en-US" w:eastAsia="zh-CN"/>
              </w:rPr>
              <w:t>11</w:t>
            </w:r>
            <w:r>
              <w:rPr>
                <w:rFonts w:hint="default" w:ascii="Times New Roman" w:hAnsi="Times New Roman" w:cs="Times New Roman"/>
                <w:color w:val="auto"/>
                <w:sz w:val="24"/>
                <w:highlight w:val="none"/>
              </w:rPr>
              <w:t>分</w:t>
            </w:r>
            <w:r>
              <w:rPr>
                <w:rFonts w:hint="default" w:ascii="Times New Roman" w:hAnsi="Times New Roman" w:cs="Times New Roman"/>
                <w:color w:val="auto"/>
                <w:sz w:val="24"/>
                <w:highlight w:val="none"/>
                <w:lang w:val="en-US" w:eastAsia="zh-CN"/>
              </w:rPr>
              <w:t>36.280</w:t>
            </w:r>
            <w:r>
              <w:rPr>
                <w:rFonts w:hint="default" w:ascii="Times New Roman" w:hAnsi="Times New Roman" w:cs="Times New Roman"/>
                <w:color w:val="auto"/>
                <w:sz w:val="24"/>
                <w:highlight w:val="none"/>
              </w:rPr>
              <w:t>秒</w:t>
            </w:r>
          </w:p>
        </w:tc>
      </w:tr>
      <w:tr w14:paraId="0C3F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647" w:type="dxa"/>
            <w:tcMar>
              <w:top w:w="16" w:type="dxa"/>
              <w:left w:w="16" w:type="dxa"/>
              <w:right w:w="16" w:type="dxa"/>
            </w:tcMar>
            <w:vAlign w:val="center"/>
          </w:tcPr>
          <w:p w14:paraId="28C53EB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bookmarkStart w:id="2" w:name="OLE_LINK1" w:colFirst="3" w:colLast="3"/>
            <w:r>
              <w:rPr>
                <w:rFonts w:hint="default" w:ascii="Times New Roman" w:hAnsi="Times New Roman" w:cs="Times New Roman"/>
                <w:b/>
                <w:color w:val="auto"/>
                <w:sz w:val="24"/>
                <w:highlight w:val="none"/>
              </w:rPr>
              <w:t>国民经济</w:t>
            </w:r>
          </w:p>
          <w:p w14:paraId="5169470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行业类别</w:t>
            </w:r>
          </w:p>
        </w:tc>
        <w:tc>
          <w:tcPr>
            <w:tcW w:w="2183" w:type="dxa"/>
            <w:vAlign w:val="center"/>
          </w:tcPr>
          <w:p w14:paraId="579642A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lang w:eastAsia="zh-CN"/>
              </w:rPr>
            </w:pPr>
            <w:r>
              <w:rPr>
                <w:rFonts w:hint="default" w:ascii="Times New Roman" w:hAnsi="Times New Roman" w:cs="Times New Roman"/>
                <w:bCs/>
                <w:color w:val="auto"/>
                <w:sz w:val="24"/>
                <w:highlight w:val="none"/>
              </w:rPr>
              <w:t>C3360 金属表面处理及热处理加工</w:t>
            </w:r>
          </w:p>
        </w:tc>
        <w:tc>
          <w:tcPr>
            <w:tcW w:w="2241" w:type="dxa"/>
            <w:vAlign w:val="center"/>
          </w:tcPr>
          <w:p w14:paraId="18E6E27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bookmarkStart w:id="3" w:name="_Hlk49843745"/>
            <w:r>
              <w:rPr>
                <w:rFonts w:hint="default" w:ascii="Times New Roman" w:hAnsi="Times New Roman" w:cs="Times New Roman"/>
                <w:b/>
                <w:color w:val="auto"/>
                <w:sz w:val="24"/>
                <w:highlight w:val="none"/>
              </w:rPr>
              <w:t>建设项目</w:t>
            </w:r>
          </w:p>
          <w:p w14:paraId="56FDCDC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rPr>
              <w:t>行业类别</w:t>
            </w:r>
            <w:bookmarkEnd w:id="3"/>
          </w:p>
        </w:tc>
        <w:tc>
          <w:tcPr>
            <w:tcW w:w="3023" w:type="dxa"/>
            <w:vAlign w:val="center"/>
          </w:tcPr>
          <w:p w14:paraId="1B49DD8C">
            <w:pPr>
              <w:keepNext w:val="0"/>
              <w:keepLines w:val="0"/>
              <w:suppressLineNumbers w:val="0"/>
              <w:spacing w:before="0" w:beforeAutospacing="0" w:after="0" w:afterAutospacing="0"/>
              <w:ind w:left="0" w:right="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三十、金属制品业-67金属表面处理及热处理加工（其他）</w:t>
            </w:r>
          </w:p>
        </w:tc>
      </w:tr>
      <w:bookmarkEnd w:id="2"/>
      <w:tr w14:paraId="4C8A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647" w:type="dxa"/>
            <w:tcMar>
              <w:top w:w="16" w:type="dxa"/>
              <w:left w:w="16" w:type="dxa"/>
              <w:right w:w="16" w:type="dxa"/>
            </w:tcMar>
            <w:vAlign w:val="center"/>
          </w:tcPr>
          <w:p w14:paraId="50A79FB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建设性质</w:t>
            </w:r>
          </w:p>
        </w:tc>
        <w:tc>
          <w:tcPr>
            <w:tcW w:w="2183" w:type="dxa"/>
            <w:vAlign w:val="center"/>
          </w:tcPr>
          <w:p w14:paraId="0E60E3D2">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52"/>
            </w:r>
            <w:r>
              <w:rPr>
                <w:rFonts w:hint="default" w:ascii="Times New Roman" w:hAnsi="Times New Roman" w:cs="Times New Roman"/>
                <w:color w:val="auto"/>
                <w:sz w:val="24"/>
                <w:highlight w:val="none"/>
              </w:rPr>
              <w:t>新建（迁建）</w:t>
            </w:r>
          </w:p>
          <w:p w14:paraId="24AED8EC">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改建</w:t>
            </w:r>
          </w:p>
          <w:p w14:paraId="48EC4CDE">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扩建</w:t>
            </w:r>
          </w:p>
          <w:p w14:paraId="1F687B9E">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技术改造</w:t>
            </w:r>
          </w:p>
        </w:tc>
        <w:tc>
          <w:tcPr>
            <w:tcW w:w="2241" w:type="dxa"/>
            <w:vAlign w:val="center"/>
          </w:tcPr>
          <w:p w14:paraId="09AC551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建设项目</w:t>
            </w:r>
          </w:p>
          <w:p w14:paraId="061A418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rPr>
              <w:t>申报情形</w:t>
            </w:r>
          </w:p>
        </w:tc>
        <w:tc>
          <w:tcPr>
            <w:tcW w:w="3023" w:type="dxa"/>
            <w:vAlign w:val="center"/>
          </w:tcPr>
          <w:p w14:paraId="6F44700F">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52"/>
            </w:r>
            <w:r>
              <w:rPr>
                <w:rFonts w:hint="default" w:ascii="Times New Roman" w:hAnsi="Times New Roman" w:cs="Times New Roman"/>
                <w:color w:val="auto"/>
                <w:sz w:val="24"/>
                <w:highlight w:val="none"/>
              </w:rPr>
              <w:t xml:space="preserve">首次申报项目             </w:t>
            </w:r>
          </w:p>
          <w:p w14:paraId="53F6F559">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□不予批准后再次申报项目</w:t>
            </w:r>
          </w:p>
          <w:p w14:paraId="78EC6224">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 xml:space="preserve">超五年重新审核项目     </w:t>
            </w:r>
          </w:p>
          <w:p w14:paraId="3851A239">
            <w:pPr>
              <w:keepNext w:val="0"/>
              <w:keepLines w:val="0"/>
              <w:suppressLineNumbers w:val="0"/>
              <w:spacing w:before="0" w:beforeAutospacing="0" w:after="0" w:afterAutospacing="0"/>
              <w:ind w:left="0" w:right="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□重大变动重新报批项目</w:t>
            </w:r>
          </w:p>
        </w:tc>
      </w:tr>
      <w:tr w14:paraId="510D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647" w:type="dxa"/>
            <w:tcMar>
              <w:top w:w="16" w:type="dxa"/>
              <w:left w:w="16" w:type="dxa"/>
              <w:right w:w="16" w:type="dxa"/>
            </w:tcMar>
            <w:vAlign w:val="center"/>
          </w:tcPr>
          <w:p w14:paraId="35D0A6E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项目审批（核准/备案）部门（选填）</w:t>
            </w:r>
          </w:p>
        </w:tc>
        <w:tc>
          <w:tcPr>
            <w:tcW w:w="2183" w:type="dxa"/>
            <w:vAlign w:val="center"/>
          </w:tcPr>
          <w:p w14:paraId="3F9061D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陕西省西咸新区沣西新城管理委员会</w:t>
            </w:r>
          </w:p>
        </w:tc>
        <w:tc>
          <w:tcPr>
            <w:tcW w:w="2241" w:type="dxa"/>
            <w:vAlign w:val="center"/>
          </w:tcPr>
          <w:p w14:paraId="3D5A473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项目审批（核准/</w:t>
            </w:r>
          </w:p>
          <w:p w14:paraId="10E2CD7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rPr>
              <w:t>备案）文号（选填）</w:t>
            </w:r>
          </w:p>
        </w:tc>
        <w:tc>
          <w:tcPr>
            <w:tcW w:w="3023" w:type="dxa"/>
            <w:vAlign w:val="center"/>
          </w:tcPr>
          <w:p w14:paraId="65D3634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lang w:val="en-US" w:eastAsia="zh-CN"/>
              </w:rPr>
              <w:t>/</w:t>
            </w:r>
          </w:p>
        </w:tc>
      </w:tr>
      <w:tr w14:paraId="6046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47" w:type="dxa"/>
            <w:tcMar>
              <w:top w:w="16" w:type="dxa"/>
              <w:left w:w="16" w:type="dxa"/>
              <w:right w:w="16" w:type="dxa"/>
            </w:tcMar>
            <w:vAlign w:val="center"/>
          </w:tcPr>
          <w:p w14:paraId="744ED9C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总投资（万元）</w:t>
            </w:r>
          </w:p>
        </w:tc>
        <w:tc>
          <w:tcPr>
            <w:tcW w:w="2183" w:type="dxa"/>
            <w:vAlign w:val="center"/>
          </w:tcPr>
          <w:p w14:paraId="2B56692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150</w:t>
            </w:r>
          </w:p>
        </w:tc>
        <w:tc>
          <w:tcPr>
            <w:tcW w:w="2241" w:type="dxa"/>
            <w:tcMar>
              <w:top w:w="16" w:type="dxa"/>
              <w:left w:w="16" w:type="dxa"/>
              <w:right w:w="16" w:type="dxa"/>
            </w:tcMar>
            <w:vAlign w:val="center"/>
          </w:tcPr>
          <w:p w14:paraId="4B0141D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环保投资（万元）</w:t>
            </w:r>
          </w:p>
        </w:tc>
        <w:tc>
          <w:tcPr>
            <w:tcW w:w="3023" w:type="dxa"/>
            <w:vAlign w:val="center"/>
          </w:tcPr>
          <w:p w14:paraId="00380CC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55</w:t>
            </w:r>
          </w:p>
        </w:tc>
      </w:tr>
      <w:tr w14:paraId="3AC5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47" w:type="dxa"/>
            <w:tcMar>
              <w:top w:w="16" w:type="dxa"/>
              <w:left w:w="16" w:type="dxa"/>
              <w:right w:w="16" w:type="dxa"/>
            </w:tcMar>
            <w:vAlign w:val="center"/>
          </w:tcPr>
          <w:p w14:paraId="3808180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环保投资占比（%）</w:t>
            </w:r>
          </w:p>
        </w:tc>
        <w:tc>
          <w:tcPr>
            <w:tcW w:w="2183" w:type="dxa"/>
            <w:vAlign w:val="center"/>
          </w:tcPr>
          <w:p w14:paraId="17FCBCE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lang w:val="en-US"/>
              </w:rPr>
            </w:pPr>
            <w:r>
              <w:rPr>
                <w:rFonts w:hint="default" w:ascii="Times New Roman" w:hAnsi="Times New Roman" w:cs="Times New Roman"/>
                <w:color w:val="auto"/>
                <w:sz w:val="24"/>
                <w:highlight w:val="none"/>
                <w:lang w:val="en-US" w:eastAsia="zh-CN"/>
              </w:rPr>
              <w:t>36.7</w:t>
            </w:r>
          </w:p>
        </w:tc>
        <w:tc>
          <w:tcPr>
            <w:tcW w:w="2241" w:type="dxa"/>
            <w:tcMar>
              <w:top w:w="16" w:type="dxa"/>
              <w:left w:w="16" w:type="dxa"/>
              <w:right w:w="16" w:type="dxa"/>
            </w:tcMar>
            <w:vAlign w:val="center"/>
          </w:tcPr>
          <w:p w14:paraId="40C2665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施工工期</w:t>
            </w:r>
          </w:p>
        </w:tc>
        <w:tc>
          <w:tcPr>
            <w:tcW w:w="3023" w:type="dxa"/>
            <w:vAlign w:val="center"/>
          </w:tcPr>
          <w:p w14:paraId="32C8FF6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个月</w:t>
            </w:r>
          </w:p>
        </w:tc>
      </w:tr>
      <w:tr w14:paraId="6D99D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1" w:hRule="atLeast"/>
          <w:jc w:val="center"/>
        </w:trPr>
        <w:tc>
          <w:tcPr>
            <w:tcW w:w="1647" w:type="dxa"/>
            <w:tcMar>
              <w:top w:w="16" w:type="dxa"/>
              <w:left w:w="16" w:type="dxa"/>
              <w:right w:w="16" w:type="dxa"/>
            </w:tcMar>
            <w:vAlign w:val="center"/>
          </w:tcPr>
          <w:p w14:paraId="72E1669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是否开工建设</w:t>
            </w:r>
          </w:p>
        </w:tc>
        <w:tc>
          <w:tcPr>
            <w:tcW w:w="2183" w:type="dxa"/>
            <w:vAlign w:val="center"/>
          </w:tcPr>
          <w:p w14:paraId="0F61EFB5">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52"/>
            </w:r>
            <w:r>
              <w:rPr>
                <w:rFonts w:hint="default" w:ascii="Times New Roman" w:hAnsi="Times New Roman" w:cs="Times New Roman"/>
                <w:color w:val="auto"/>
                <w:sz w:val="24"/>
                <w:highlight w:val="none"/>
              </w:rPr>
              <w:t>否</w:t>
            </w:r>
          </w:p>
          <w:p w14:paraId="2BE11AA7">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是：</w:t>
            </w:r>
            <w:r>
              <w:rPr>
                <w:rFonts w:hint="default" w:ascii="Times New Roman" w:hAnsi="Times New Roman" w:cs="Times New Roman"/>
                <w:color w:val="auto"/>
                <w:sz w:val="24"/>
                <w:highlight w:val="none"/>
                <w:u w:val="single"/>
              </w:rPr>
              <w:t xml:space="preserve">             </w:t>
            </w:r>
          </w:p>
        </w:tc>
        <w:tc>
          <w:tcPr>
            <w:tcW w:w="2241" w:type="dxa"/>
            <w:tcMar>
              <w:top w:w="16" w:type="dxa"/>
              <w:left w:w="16" w:type="dxa"/>
              <w:right w:w="16" w:type="dxa"/>
            </w:tcMar>
            <w:vAlign w:val="center"/>
          </w:tcPr>
          <w:p w14:paraId="0D6252C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spacing w:val="-6"/>
                <w:sz w:val="24"/>
                <w:highlight w:val="none"/>
              </w:rPr>
            </w:pPr>
            <w:r>
              <w:rPr>
                <w:rFonts w:hint="default" w:ascii="Times New Roman" w:hAnsi="Times New Roman" w:cs="Times New Roman"/>
                <w:b/>
                <w:color w:val="auto"/>
                <w:spacing w:val="-6"/>
                <w:sz w:val="24"/>
                <w:highlight w:val="none"/>
              </w:rPr>
              <w:t>用地（用海）</w:t>
            </w:r>
          </w:p>
          <w:p w14:paraId="5B2D82C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rPr>
            </w:pPr>
            <w:r>
              <w:rPr>
                <w:rFonts w:hint="default" w:ascii="Times New Roman" w:hAnsi="Times New Roman" w:cs="Times New Roman"/>
                <w:b/>
                <w:color w:val="auto"/>
                <w:spacing w:val="-6"/>
                <w:sz w:val="24"/>
                <w:highlight w:val="none"/>
              </w:rPr>
              <w:t>面积（m</w:t>
            </w:r>
            <w:r>
              <w:rPr>
                <w:rFonts w:hint="default" w:ascii="Times New Roman" w:hAnsi="Times New Roman" w:cs="Times New Roman"/>
                <w:b/>
                <w:color w:val="auto"/>
                <w:spacing w:val="-6"/>
                <w:sz w:val="24"/>
                <w:highlight w:val="none"/>
                <w:vertAlign w:val="superscript"/>
              </w:rPr>
              <w:t>2</w:t>
            </w:r>
            <w:r>
              <w:rPr>
                <w:rFonts w:hint="default" w:ascii="Times New Roman" w:hAnsi="Times New Roman" w:cs="Times New Roman"/>
                <w:b/>
                <w:color w:val="auto"/>
                <w:spacing w:val="-6"/>
                <w:sz w:val="24"/>
                <w:highlight w:val="none"/>
              </w:rPr>
              <w:t>）</w:t>
            </w:r>
          </w:p>
        </w:tc>
        <w:tc>
          <w:tcPr>
            <w:tcW w:w="3023" w:type="dxa"/>
            <w:vAlign w:val="center"/>
          </w:tcPr>
          <w:p w14:paraId="334176A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kern w:val="0"/>
                <w:sz w:val="24"/>
                <w:highlight w:val="none"/>
                <w:lang w:val="en-US" w:eastAsia="zh-CN"/>
              </w:rPr>
              <w:t>5927.00</w:t>
            </w:r>
          </w:p>
        </w:tc>
      </w:tr>
      <w:tr w14:paraId="2D4C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647" w:type="dxa"/>
            <w:vAlign w:val="center"/>
          </w:tcPr>
          <w:p w14:paraId="244BB381">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专项评价设置情况</w:t>
            </w:r>
          </w:p>
        </w:tc>
        <w:tc>
          <w:tcPr>
            <w:tcW w:w="7447" w:type="dxa"/>
            <w:gridSpan w:val="3"/>
            <w:vAlign w:val="center"/>
          </w:tcPr>
          <w:p w14:paraId="71606F8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cs="Times New Roman"/>
                <w:color w:val="auto"/>
                <w:kern w:val="0"/>
                <w:sz w:val="24"/>
                <w:szCs w:val="24"/>
                <w:highlight w:val="none"/>
              </w:rPr>
              <w:t>根据《建设项目环境影响报告表</w:t>
            </w:r>
            <w:r>
              <w:rPr>
                <w:rFonts w:hint="default" w:ascii="Times New Roman" w:hAnsi="Times New Roman" w:cs="Times New Roman"/>
                <w:color w:val="auto"/>
                <w:kern w:val="0"/>
                <w:sz w:val="24"/>
                <w:szCs w:val="24"/>
                <w:highlight w:val="none"/>
                <w:lang w:val="en-US" w:eastAsia="zh-CN"/>
              </w:rPr>
              <w:t>编制</w:t>
            </w:r>
            <w:r>
              <w:rPr>
                <w:rFonts w:hint="default" w:ascii="Times New Roman" w:hAnsi="Times New Roman" w:cs="Times New Roman"/>
                <w:color w:val="auto"/>
                <w:kern w:val="0"/>
                <w:sz w:val="24"/>
                <w:szCs w:val="24"/>
                <w:highlight w:val="none"/>
              </w:rPr>
              <w:t>技术指南（污染影响类）》表1专项评价设置原则表相关要求与本项目建设情况进行对比分析</w:t>
            </w:r>
            <w:r>
              <w:rPr>
                <w:rFonts w:hint="default" w:ascii="Times New Roman" w:hAnsi="Times New Roman" w:cs="Times New Roman"/>
                <w:color w:val="auto"/>
                <w:kern w:val="0"/>
                <w:sz w:val="24"/>
                <w:szCs w:val="24"/>
                <w:highlight w:val="none"/>
                <w:lang w:eastAsia="zh-CN"/>
              </w:rPr>
              <w:t>：</w:t>
            </w:r>
          </w:p>
          <w:p w14:paraId="5BA926D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center"/>
              <w:textAlignment w:val="auto"/>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 w:val="21"/>
                <w:szCs w:val="21"/>
                <w:highlight w:val="none"/>
              </w:rPr>
              <w:t>表1</w:t>
            </w:r>
            <w:r>
              <w:rPr>
                <w:rFonts w:hint="default" w:ascii="Times New Roman" w:hAnsi="Times New Roman" w:cs="Times New Roman"/>
                <w:b/>
                <w:color w:val="auto"/>
                <w:kern w:val="0"/>
                <w:sz w:val="21"/>
                <w:szCs w:val="21"/>
                <w:highlight w:val="none"/>
                <w:lang w:val="en-US" w:eastAsia="zh-CN"/>
              </w:rPr>
              <w:t>-1</w:t>
            </w:r>
            <w:r>
              <w:rPr>
                <w:rFonts w:hint="default" w:ascii="Times New Roman" w:hAnsi="Times New Roman" w:cs="Times New Roman"/>
                <w:b/>
                <w:color w:val="auto"/>
                <w:kern w:val="0"/>
                <w:sz w:val="21"/>
                <w:szCs w:val="21"/>
                <w:highlight w:val="none"/>
              </w:rPr>
              <w:t xml:space="preserve">  专项评价设置原则对比情况一览表</w:t>
            </w:r>
          </w:p>
          <w:tbl>
            <w:tblPr>
              <w:tblStyle w:val="32"/>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097"/>
              <w:gridCol w:w="2630"/>
              <w:gridCol w:w="2320"/>
              <w:gridCol w:w="1165"/>
            </w:tblGrid>
            <w:tr w14:paraId="45FD3F7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0" w:type="pct"/>
                  <w:tcBorders>
                    <w:tl2br w:val="nil"/>
                    <w:tr2bl w:val="nil"/>
                  </w:tcBorders>
                  <w:noWrap w:val="0"/>
                  <w:vAlign w:val="center"/>
                </w:tcPr>
                <w:p w14:paraId="562B2442">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专项评价</w:t>
                  </w:r>
                </w:p>
              </w:tc>
              <w:tc>
                <w:tcPr>
                  <w:tcW w:w="1823" w:type="pct"/>
                  <w:tcBorders>
                    <w:tl2br w:val="nil"/>
                    <w:tr2bl w:val="nil"/>
                  </w:tcBorders>
                  <w:noWrap w:val="0"/>
                  <w:vAlign w:val="center"/>
                </w:tcPr>
                <w:p w14:paraId="4BD2421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设置原则</w:t>
                  </w:r>
                </w:p>
              </w:tc>
              <w:tc>
                <w:tcPr>
                  <w:tcW w:w="1608" w:type="pct"/>
                  <w:tcBorders>
                    <w:tl2br w:val="nil"/>
                    <w:tr2bl w:val="nil"/>
                  </w:tcBorders>
                  <w:noWrap w:val="0"/>
                  <w:vAlign w:val="center"/>
                </w:tcPr>
                <w:p w14:paraId="71DFF3D3">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项目情况</w:t>
                  </w:r>
                </w:p>
              </w:tc>
              <w:tc>
                <w:tcPr>
                  <w:tcW w:w="807" w:type="pct"/>
                  <w:tcBorders>
                    <w:tl2br w:val="nil"/>
                    <w:tr2bl w:val="nil"/>
                  </w:tcBorders>
                  <w:noWrap w:val="0"/>
                  <w:vAlign w:val="center"/>
                </w:tcPr>
                <w:p w14:paraId="596B5C0B">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是否设置</w:t>
                  </w:r>
                </w:p>
              </w:tc>
            </w:tr>
            <w:tr w14:paraId="7AF36B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0" w:type="pct"/>
                  <w:tcBorders>
                    <w:tl2br w:val="nil"/>
                    <w:tr2bl w:val="nil"/>
                  </w:tcBorders>
                  <w:noWrap w:val="0"/>
                  <w:vAlign w:val="center"/>
                </w:tcPr>
                <w:p w14:paraId="2D997E7A">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大气</w:t>
                  </w:r>
                </w:p>
              </w:tc>
              <w:tc>
                <w:tcPr>
                  <w:tcW w:w="1823" w:type="pct"/>
                  <w:tcBorders>
                    <w:tl2br w:val="nil"/>
                    <w:tr2bl w:val="nil"/>
                  </w:tcBorders>
                  <w:noWrap w:val="0"/>
                  <w:vAlign w:val="center"/>
                </w:tcPr>
                <w:p w14:paraId="00D29C58">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排放废气含有毒有害污染物</w:t>
                  </w:r>
                  <w:r>
                    <w:rPr>
                      <w:rFonts w:hint="default" w:ascii="Times New Roman" w:hAnsi="Times New Roman" w:cs="Times New Roman"/>
                      <w:color w:val="auto"/>
                      <w:kern w:val="0"/>
                      <w:sz w:val="21"/>
                      <w:szCs w:val="21"/>
                      <w:highlight w:val="none"/>
                      <w:vertAlign w:val="superscript"/>
                    </w:rPr>
                    <w:t>1</w:t>
                  </w:r>
                  <w:r>
                    <w:rPr>
                      <w:rFonts w:hint="default" w:ascii="Times New Roman" w:hAnsi="Times New Roman" w:cs="Times New Roman"/>
                      <w:color w:val="auto"/>
                      <w:kern w:val="0"/>
                      <w:sz w:val="21"/>
                      <w:szCs w:val="21"/>
                      <w:highlight w:val="none"/>
                    </w:rPr>
                    <w:t>、二噁英、苯并[a]芘、氰化物、氯气且厂界外500m范围内有环境空气保护目标的建设项目</w:t>
                  </w:r>
                </w:p>
              </w:tc>
              <w:tc>
                <w:tcPr>
                  <w:tcW w:w="1608" w:type="pct"/>
                  <w:tcBorders>
                    <w:tl2br w:val="nil"/>
                    <w:tr2bl w:val="nil"/>
                  </w:tcBorders>
                  <w:noWrap w:val="0"/>
                  <w:vAlign w:val="center"/>
                </w:tcPr>
                <w:p w14:paraId="15BD4D35">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本</w:t>
                  </w:r>
                  <w:r>
                    <w:rPr>
                      <w:rFonts w:hint="default" w:ascii="Times New Roman" w:hAnsi="Times New Roman" w:cs="Times New Roman"/>
                      <w:color w:val="auto"/>
                      <w:kern w:val="0"/>
                      <w:sz w:val="21"/>
                      <w:szCs w:val="21"/>
                      <w:highlight w:val="none"/>
                    </w:rPr>
                    <w:t>项目</w:t>
                  </w:r>
                  <w:r>
                    <w:rPr>
                      <w:rFonts w:hint="default" w:ascii="Times New Roman" w:hAnsi="Times New Roman" w:cs="Times New Roman"/>
                      <w:color w:val="auto"/>
                      <w:kern w:val="0"/>
                      <w:sz w:val="21"/>
                      <w:szCs w:val="21"/>
                      <w:highlight w:val="none"/>
                      <w:lang w:val="en-US" w:eastAsia="zh-CN"/>
                    </w:rPr>
                    <w:t>涉及的</w:t>
                  </w:r>
                  <w:r>
                    <w:rPr>
                      <w:rFonts w:hint="default" w:ascii="Times New Roman" w:hAnsi="Times New Roman" w:cs="Times New Roman"/>
                      <w:color w:val="auto"/>
                      <w:kern w:val="0"/>
                      <w:sz w:val="21"/>
                      <w:szCs w:val="21"/>
                      <w:highlight w:val="none"/>
                    </w:rPr>
                    <w:t>废气污染物</w:t>
                  </w:r>
                  <w:r>
                    <w:rPr>
                      <w:rFonts w:hint="default" w:ascii="Times New Roman" w:hAnsi="Times New Roman" w:cs="Times New Roman"/>
                      <w:color w:val="auto"/>
                      <w:kern w:val="0"/>
                      <w:sz w:val="21"/>
                      <w:szCs w:val="21"/>
                      <w:highlight w:val="none"/>
                      <w:lang w:val="en-US" w:eastAsia="zh-CN"/>
                    </w:rPr>
                    <w:t>为颗粒物、非甲烷总烃（VOCs）、SO₂、NOₓ，不属于有毒有害污染物。</w:t>
                  </w:r>
                </w:p>
              </w:tc>
              <w:tc>
                <w:tcPr>
                  <w:tcW w:w="807" w:type="pct"/>
                  <w:tcBorders>
                    <w:tl2br w:val="nil"/>
                    <w:tr2bl w:val="nil"/>
                  </w:tcBorders>
                  <w:noWrap w:val="0"/>
                  <w:vAlign w:val="center"/>
                </w:tcPr>
                <w:p w14:paraId="18BD90D4">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否</w:t>
                  </w:r>
                </w:p>
              </w:tc>
            </w:tr>
            <w:tr w14:paraId="0EDD398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0" w:type="pct"/>
                  <w:tcBorders>
                    <w:tl2br w:val="nil"/>
                    <w:tr2bl w:val="nil"/>
                  </w:tcBorders>
                  <w:noWrap w:val="0"/>
                  <w:vAlign w:val="center"/>
                </w:tcPr>
                <w:p w14:paraId="47CD27B6">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地表水</w:t>
                  </w:r>
                </w:p>
              </w:tc>
              <w:tc>
                <w:tcPr>
                  <w:tcW w:w="1823" w:type="pct"/>
                  <w:tcBorders>
                    <w:tl2br w:val="nil"/>
                    <w:tr2bl w:val="nil"/>
                  </w:tcBorders>
                  <w:noWrap w:val="0"/>
                  <w:vAlign w:val="center"/>
                </w:tcPr>
                <w:p w14:paraId="4D244929">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新增工业废水直排建设项目（槽罐车外送污水处理厂的除外）；新增废水直排的污水集中处理厂</w:t>
                  </w:r>
                </w:p>
              </w:tc>
              <w:tc>
                <w:tcPr>
                  <w:tcW w:w="1608" w:type="pct"/>
                  <w:tcBorders>
                    <w:tl2br w:val="nil"/>
                    <w:tr2bl w:val="nil"/>
                  </w:tcBorders>
                  <w:noWrap w:val="0"/>
                  <w:vAlign w:val="center"/>
                </w:tcPr>
                <w:p w14:paraId="73B35424">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本项目生活污水经化粪池处理后定期清掏外运，生产废水经处理后全部回用于厂区洒扫，全厂废水不外排、不直接排入地表水体，故不设置地表水专项评价。</w:t>
                  </w:r>
                </w:p>
              </w:tc>
              <w:tc>
                <w:tcPr>
                  <w:tcW w:w="807" w:type="pct"/>
                  <w:tcBorders>
                    <w:tl2br w:val="nil"/>
                    <w:tr2bl w:val="nil"/>
                  </w:tcBorders>
                  <w:noWrap w:val="0"/>
                  <w:vAlign w:val="center"/>
                </w:tcPr>
                <w:p w14:paraId="27944C21">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否</w:t>
                  </w:r>
                </w:p>
              </w:tc>
            </w:tr>
            <w:tr w14:paraId="1D5163A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0" w:type="pct"/>
                  <w:tcBorders>
                    <w:tl2br w:val="nil"/>
                    <w:tr2bl w:val="nil"/>
                  </w:tcBorders>
                  <w:noWrap w:val="0"/>
                  <w:vAlign w:val="center"/>
                </w:tcPr>
                <w:p w14:paraId="1B873741">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环境风险</w:t>
                  </w:r>
                </w:p>
              </w:tc>
              <w:tc>
                <w:tcPr>
                  <w:tcW w:w="1823" w:type="pct"/>
                  <w:tcBorders>
                    <w:tl2br w:val="nil"/>
                    <w:tr2bl w:val="nil"/>
                  </w:tcBorders>
                  <w:noWrap w:val="0"/>
                  <w:vAlign w:val="center"/>
                </w:tcPr>
                <w:p w14:paraId="6C2CEC48">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有毒有害和易燃易爆危险物质存储量超过临界量的建设项目</w:t>
                  </w:r>
                </w:p>
              </w:tc>
              <w:tc>
                <w:tcPr>
                  <w:tcW w:w="1608" w:type="pct"/>
                  <w:tcBorders>
                    <w:tl2br w:val="nil"/>
                    <w:tr2bl w:val="nil"/>
                  </w:tcBorders>
                  <w:noWrap w:val="0"/>
                  <w:vAlign w:val="center"/>
                </w:tcPr>
                <w:p w14:paraId="16F4FF76">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w:t>
                  </w:r>
                  <w:r>
                    <w:rPr>
                      <w:rFonts w:hint="default" w:ascii="Times New Roman" w:hAnsi="Times New Roman" w:cs="Times New Roman"/>
                      <w:color w:val="auto"/>
                      <w:kern w:val="0"/>
                      <w:sz w:val="21"/>
                      <w:szCs w:val="21"/>
                      <w:highlight w:val="none"/>
                      <w:lang w:val="en-US" w:eastAsia="zh-CN"/>
                    </w:rPr>
                    <w:t>风</w:t>
                  </w:r>
                  <w:r>
                    <w:rPr>
                      <w:rFonts w:hint="default" w:ascii="Times New Roman" w:hAnsi="Times New Roman" w:cs="Times New Roman"/>
                      <w:color w:val="auto"/>
                      <w:kern w:val="0"/>
                      <w:sz w:val="21"/>
                      <w:szCs w:val="21"/>
                      <w:highlight w:val="none"/>
                    </w:rPr>
                    <w:t>险物质最大存储量均未超过临界量。</w:t>
                  </w:r>
                </w:p>
              </w:tc>
              <w:tc>
                <w:tcPr>
                  <w:tcW w:w="807" w:type="pct"/>
                  <w:tcBorders>
                    <w:tl2br w:val="nil"/>
                    <w:tr2bl w:val="nil"/>
                  </w:tcBorders>
                  <w:noWrap w:val="0"/>
                  <w:vAlign w:val="center"/>
                </w:tcPr>
                <w:p w14:paraId="6DE3F06F">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否</w:t>
                  </w:r>
                </w:p>
              </w:tc>
            </w:tr>
            <w:tr w14:paraId="247ECA2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0" w:type="pct"/>
                  <w:tcBorders>
                    <w:tl2br w:val="nil"/>
                    <w:tr2bl w:val="nil"/>
                  </w:tcBorders>
                  <w:noWrap w:val="0"/>
                  <w:vAlign w:val="center"/>
                </w:tcPr>
                <w:p w14:paraId="3026C6F4">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生态</w:t>
                  </w:r>
                </w:p>
              </w:tc>
              <w:tc>
                <w:tcPr>
                  <w:tcW w:w="1823" w:type="pct"/>
                  <w:tcBorders>
                    <w:tl2br w:val="nil"/>
                    <w:tr2bl w:val="nil"/>
                  </w:tcBorders>
                  <w:noWrap w:val="0"/>
                  <w:vAlign w:val="center"/>
                </w:tcPr>
                <w:p w14:paraId="782F7732">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取水口下游500m范围内有重要水生生物的自然产卵场、索饵场、越冬场和洄游通道的新增河道取水的污染类建设项目</w:t>
                  </w:r>
                </w:p>
              </w:tc>
              <w:tc>
                <w:tcPr>
                  <w:tcW w:w="1608" w:type="pct"/>
                  <w:tcBorders>
                    <w:tl2br w:val="nil"/>
                    <w:tr2bl w:val="nil"/>
                  </w:tcBorders>
                  <w:noWrap w:val="0"/>
                  <w:vAlign w:val="center"/>
                </w:tcPr>
                <w:p w14:paraId="05F50A90">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项目位于工业园区，不涉及生态保护红线等生态敏感区，故不设置生态专项评价。</w:t>
                  </w:r>
                </w:p>
              </w:tc>
              <w:tc>
                <w:tcPr>
                  <w:tcW w:w="807" w:type="pct"/>
                  <w:tcBorders>
                    <w:tl2br w:val="nil"/>
                    <w:tr2bl w:val="nil"/>
                  </w:tcBorders>
                  <w:noWrap w:val="0"/>
                  <w:vAlign w:val="center"/>
                </w:tcPr>
                <w:p w14:paraId="482004F3">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否</w:t>
                  </w:r>
                </w:p>
              </w:tc>
            </w:tr>
            <w:tr w14:paraId="15CD5C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0" w:type="pct"/>
                  <w:tcBorders>
                    <w:tl2br w:val="nil"/>
                    <w:tr2bl w:val="nil"/>
                  </w:tcBorders>
                  <w:noWrap w:val="0"/>
                  <w:vAlign w:val="center"/>
                </w:tcPr>
                <w:p w14:paraId="399C2FC3">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海洋</w:t>
                  </w:r>
                </w:p>
              </w:tc>
              <w:tc>
                <w:tcPr>
                  <w:tcW w:w="1823" w:type="pct"/>
                  <w:tcBorders>
                    <w:tl2br w:val="nil"/>
                    <w:tr2bl w:val="nil"/>
                  </w:tcBorders>
                  <w:noWrap w:val="0"/>
                  <w:vAlign w:val="center"/>
                </w:tcPr>
                <w:p w14:paraId="1A175E0B">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直接向海洋排放污染物的海洋工程建设项目</w:t>
                  </w:r>
                </w:p>
              </w:tc>
              <w:tc>
                <w:tcPr>
                  <w:tcW w:w="1608" w:type="pct"/>
                  <w:tcBorders>
                    <w:tl2br w:val="nil"/>
                    <w:tr2bl w:val="nil"/>
                  </w:tcBorders>
                  <w:noWrap w:val="0"/>
                  <w:vAlign w:val="center"/>
                </w:tcPr>
                <w:p w14:paraId="40158334">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w:t>
                  </w:r>
                  <w:r>
                    <w:rPr>
                      <w:rFonts w:hint="default" w:ascii="Times New Roman" w:hAnsi="Times New Roman" w:eastAsia="宋体" w:cs="Times New Roman"/>
                      <w:color w:val="auto"/>
                      <w:kern w:val="0"/>
                      <w:sz w:val="21"/>
                      <w:szCs w:val="21"/>
                      <w:highlight w:val="none"/>
                    </w:rPr>
                    <w:t>项目为</w:t>
                  </w:r>
                  <w:r>
                    <w:rPr>
                      <w:rFonts w:hint="default" w:ascii="Times New Roman" w:hAnsi="Times New Roman" w:eastAsia="宋体" w:cs="Times New Roman"/>
                      <w:color w:val="auto"/>
                      <w:kern w:val="0"/>
                      <w:sz w:val="21"/>
                      <w:szCs w:val="21"/>
                      <w:highlight w:val="none"/>
                      <w:lang w:eastAsia="zh-CN"/>
                    </w:rPr>
                    <w:t>金属表面处理</w:t>
                  </w:r>
                  <w:r>
                    <w:rPr>
                      <w:rFonts w:hint="default" w:ascii="Times New Roman" w:hAnsi="Times New Roman" w:eastAsia="宋体" w:cs="Times New Roman"/>
                      <w:color w:val="auto"/>
                      <w:kern w:val="0"/>
                      <w:sz w:val="21"/>
                      <w:szCs w:val="21"/>
                      <w:highlight w:val="none"/>
                    </w:rPr>
                    <w:t>，不涉及海洋工程。</w:t>
                  </w:r>
                </w:p>
              </w:tc>
              <w:tc>
                <w:tcPr>
                  <w:tcW w:w="807" w:type="pct"/>
                  <w:tcBorders>
                    <w:tl2br w:val="nil"/>
                    <w:tr2bl w:val="nil"/>
                  </w:tcBorders>
                  <w:noWrap w:val="0"/>
                  <w:vAlign w:val="center"/>
                </w:tcPr>
                <w:p w14:paraId="7560CFBA">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否</w:t>
                  </w:r>
                </w:p>
              </w:tc>
            </w:tr>
          </w:tbl>
          <w:p w14:paraId="3D663E68">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szCs w:val="24"/>
                <w:highlight w:val="none"/>
              </w:rPr>
              <w:t>因此，本项目不设置专项评价。</w:t>
            </w:r>
          </w:p>
        </w:tc>
      </w:tr>
      <w:tr w14:paraId="39D9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7" w:type="dxa"/>
            <w:vAlign w:val="center"/>
          </w:tcPr>
          <w:p w14:paraId="75CE71D8">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center"/>
              <w:textAlignment w:val="auto"/>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规划情况</w:t>
            </w:r>
          </w:p>
        </w:tc>
        <w:tc>
          <w:tcPr>
            <w:tcW w:w="7447" w:type="dxa"/>
            <w:gridSpan w:val="3"/>
            <w:vAlign w:val="center"/>
          </w:tcPr>
          <w:p w14:paraId="2B4F742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0" w:firstLineChars="0"/>
              <w:jc w:val="left"/>
              <w:textAlignment w:val="auto"/>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规划名称：《西咸新区沣西新城分区规划（2016</w:t>
            </w:r>
            <w:r>
              <w:rPr>
                <w:rFonts w:hint="eastAsia" w:cs="Times New Roman"/>
                <w:color w:val="000000" w:themeColor="text1"/>
                <w:ker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2035年）》</w:t>
            </w:r>
          </w:p>
          <w:p w14:paraId="64BD750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firstLine="0" w:firstLineChars="0"/>
              <w:jc w:val="left"/>
              <w:textAlignment w:val="auto"/>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规划审批机关：陕西省西咸新区开发建设管理委员会</w:t>
            </w:r>
          </w:p>
          <w:p w14:paraId="0BB59088">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审批文件名称及文号：</w:t>
            </w:r>
            <w:r>
              <w:rPr>
                <w:rFonts w:hint="default" w:ascii="Times New Roman" w:hAnsi="Times New Roman" w:cs="Times New Roman"/>
                <w:color w:val="000000" w:themeColor="text1"/>
                <w:kern w:val="0"/>
                <w:sz w:val="24"/>
                <w:szCs w:val="24"/>
                <w:highlight w:val="none"/>
                <w14:textFill>
                  <w14:solidFill>
                    <w14:schemeClr w14:val="tx1"/>
                  </w14:solidFill>
                </w14:textFill>
              </w:rPr>
              <w:t>陕西省西咸新区开发建设管理委员会</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关于《西咸新区沣西新城分区规划》的批复（陕西咸函</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kern w:val="0"/>
                <w:sz w:val="24"/>
                <w:szCs w:val="24"/>
                <w:highlight w:val="none"/>
                <w:lang w:val="en-US" w:eastAsia="zh-CN" w:bidi="ar-SA"/>
              </w:rPr>
              <w:t>2011</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123号）</w:t>
            </w:r>
          </w:p>
        </w:tc>
      </w:tr>
      <w:tr w14:paraId="3BCE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7" w:type="dxa"/>
            <w:vAlign w:val="center"/>
          </w:tcPr>
          <w:p w14:paraId="1A116ECC">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规划环境影响评价情况</w:t>
            </w:r>
          </w:p>
        </w:tc>
        <w:tc>
          <w:tcPr>
            <w:tcW w:w="7447" w:type="dxa"/>
            <w:gridSpan w:val="3"/>
            <w:vAlign w:val="center"/>
          </w:tcPr>
          <w:p w14:paraId="3B7224F0">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cs="Times New Roman"/>
                <w:color w:val="auto"/>
                <w:kern w:val="0"/>
                <w:sz w:val="24"/>
                <w:highlight w:val="none"/>
                <w:lang w:val="en-US" w:eastAsia="zh-CN"/>
              </w:rPr>
              <w:t>规</w:t>
            </w:r>
            <w:r>
              <w:rPr>
                <w:rFonts w:hint="default" w:ascii="Times New Roman" w:hAnsi="Times New Roman" w:eastAsia="宋体" w:cs="Times New Roman"/>
                <w:color w:val="auto"/>
                <w:kern w:val="0"/>
                <w:sz w:val="24"/>
                <w:highlight w:val="none"/>
                <w:lang w:val="en-US" w:eastAsia="zh-CN"/>
              </w:rPr>
              <w:t>划环评名称：《西咸新区沣西新城分区规划（2016~2035</w:t>
            </w:r>
            <w:r>
              <w:rPr>
                <w:rFonts w:hint="eastAsia" w:cs="Times New Roman"/>
                <w:color w:val="auto"/>
                <w:kern w:val="0"/>
                <w:sz w:val="24"/>
                <w:highlight w:val="none"/>
                <w:lang w:val="en-US" w:eastAsia="zh-CN"/>
              </w:rPr>
              <w:t>年）</w:t>
            </w:r>
            <w:r>
              <w:rPr>
                <w:rFonts w:hint="default" w:ascii="Times New Roman" w:hAnsi="Times New Roman" w:eastAsia="宋体" w:cs="Times New Roman"/>
                <w:color w:val="auto"/>
                <w:kern w:val="0"/>
                <w:sz w:val="24"/>
                <w:highlight w:val="none"/>
                <w:lang w:val="en-US" w:eastAsia="zh-CN"/>
              </w:rPr>
              <w:t>环境影响报告书》</w:t>
            </w:r>
          </w:p>
          <w:p w14:paraId="3B5DDD3B">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召集审查机关：陕西省西咸新区环境保护局（现更名为西安市生态环境局西咸新区分局）</w:t>
            </w:r>
          </w:p>
          <w:p w14:paraId="60E72494">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审查文件名称及文号：陕西省西咸新区环境保护局关于《西咸新区沣西新城分区规划（2016-2035）环境影响报告书》审查意见的函（陕西咸环函</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kern w:val="0"/>
                <w:sz w:val="24"/>
                <w:szCs w:val="24"/>
                <w:highlight w:val="none"/>
                <w:lang w:val="en-US" w:eastAsia="zh-CN" w:bidi="ar-SA"/>
              </w:rPr>
              <w:t>201</w:t>
            </w:r>
            <w:r>
              <w:rPr>
                <w:rFonts w:hint="default" w:ascii="Times New Roman" w:hAnsi="Times New Roman" w:cs="Times New Roman"/>
                <w:color w:val="auto"/>
                <w:kern w:val="0"/>
                <w:sz w:val="24"/>
                <w:szCs w:val="24"/>
                <w:highlight w:val="none"/>
                <w:lang w:val="en-US" w:eastAsia="zh-CN" w:bidi="ar-SA"/>
              </w:rPr>
              <w:t>8</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kern w:val="0"/>
                <w:sz w:val="24"/>
                <w:highlight w:val="none"/>
                <w:lang w:val="en-US" w:eastAsia="zh-CN"/>
              </w:rPr>
              <w:t>61号）</w:t>
            </w:r>
          </w:p>
        </w:tc>
      </w:tr>
      <w:tr w14:paraId="0CCD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7" w:type="dxa"/>
            <w:vAlign w:val="center"/>
          </w:tcPr>
          <w:p w14:paraId="1C84BD5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规划及规划环境影响评价符合性分析</w:t>
            </w:r>
          </w:p>
        </w:tc>
        <w:tc>
          <w:tcPr>
            <w:tcW w:w="7447" w:type="dxa"/>
            <w:gridSpan w:val="3"/>
            <w:vAlign w:val="center"/>
          </w:tcPr>
          <w:p w14:paraId="5FC2BA2B">
            <w:pPr>
              <w:keepNext w:val="0"/>
              <w:keepLines w:val="0"/>
              <w:suppressLineNumbers w:val="0"/>
              <w:autoSpaceDE w:val="0"/>
              <w:autoSpaceDN w:val="0"/>
              <w:snapToGrid w:val="0"/>
              <w:spacing w:before="0" w:beforeAutospacing="0" w:after="0" w:afterAutospacing="0" w:line="360" w:lineRule="auto"/>
              <w:ind w:left="0" w:right="0" w:firstLine="480" w:firstLineChars="200"/>
              <w:rPr>
                <w:rFonts w:hint="default"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4"/>
                <w:highlight w:val="none"/>
                <w14:textFill>
                  <w14:solidFill>
                    <w14:schemeClr w14:val="tx1"/>
                  </w14:solidFill>
                </w14:textFill>
              </w:rPr>
              <w:t>本项目与相关规划及规划环评的符合性分析见表1-</w:t>
            </w:r>
            <w:r>
              <w:rPr>
                <w:rFonts w:hint="default" w:ascii="Times New Roman" w:hAnsi="Times New Roman" w:cs="Times New Roman"/>
                <w:snapToGrid w:val="0"/>
                <w:color w:val="000000" w:themeColor="text1"/>
                <w:kern w:val="0"/>
                <w:sz w:val="24"/>
                <w:highlight w:val="none"/>
                <w:lang w:val="en-US" w:eastAsia="zh-CN"/>
                <w14:textFill>
                  <w14:solidFill>
                    <w14:schemeClr w14:val="tx1"/>
                  </w14:solidFill>
                </w14:textFill>
              </w:rPr>
              <w:t>2</w:t>
            </w:r>
            <w:r>
              <w:rPr>
                <w:rFonts w:hint="default" w:ascii="Times New Roman" w:hAnsi="Times New Roman" w:eastAsia="宋体" w:cs="Times New Roman"/>
                <w:snapToGrid w:val="0"/>
                <w:color w:val="000000" w:themeColor="text1"/>
                <w:kern w:val="0"/>
                <w:sz w:val="24"/>
                <w:highlight w:val="none"/>
                <w14:textFill>
                  <w14:solidFill>
                    <w14:schemeClr w14:val="tx1"/>
                  </w14:solidFill>
                </w14:textFill>
              </w:rPr>
              <w:t>。</w:t>
            </w:r>
          </w:p>
          <w:p w14:paraId="7DA56E95">
            <w:pPr>
              <w:keepNext w:val="0"/>
              <w:keepLines w:val="0"/>
              <w:suppressLineNumbers w:val="0"/>
              <w:autoSpaceDE w:val="0"/>
              <w:autoSpaceDN w:val="0"/>
              <w:snapToGrid w:val="0"/>
              <w:spacing w:before="0" w:beforeAutospacing="0" w:after="0" w:afterAutospacing="0"/>
              <w:ind w:left="0" w:right="0"/>
              <w:jc w:val="center"/>
              <w:rPr>
                <w:rFonts w:hint="default" w:ascii="Times New Roman" w:hAnsi="Times New Roman" w:eastAsia="宋体" w:cs="Times New Roman"/>
                <w:b/>
                <w:snapToGrid w:val="0"/>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b/>
                <w:snapToGrid w:val="0"/>
                <w:color w:val="000000" w:themeColor="text1"/>
                <w:kern w:val="0"/>
                <w:sz w:val="21"/>
                <w:szCs w:val="21"/>
                <w:highlight w:val="none"/>
                <w14:textFill>
                  <w14:solidFill>
                    <w14:schemeClr w14:val="tx1"/>
                  </w14:solidFill>
                </w14:textFill>
              </w:rPr>
              <w:t>表</w:t>
            </w:r>
            <w:r>
              <w:rPr>
                <w:rFonts w:hint="default" w:ascii="Times New Roman" w:hAnsi="Times New Roman" w:eastAsia="宋体" w:cs="Times New Roman"/>
                <w:b/>
                <w:bCs/>
                <w:snapToGrid w:val="0"/>
                <w:color w:val="000000" w:themeColor="text1"/>
                <w:kern w:val="0"/>
                <w:sz w:val="21"/>
                <w:szCs w:val="21"/>
                <w:highlight w:val="none"/>
                <w14:textFill>
                  <w14:solidFill>
                    <w14:schemeClr w14:val="tx1"/>
                  </w14:solidFill>
                </w14:textFill>
              </w:rPr>
              <w:t>1-</w:t>
            </w:r>
            <w:r>
              <w:rPr>
                <w:rFonts w:hint="default" w:ascii="Times New Roman" w:hAnsi="Times New Roman" w:cs="Times New Roman"/>
                <w:b/>
                <w:bCs/>
                <w:snapToGrid w:val="0"/>
                <w:color w:val="000000" w:themeColor="text1"/>
                <w:kern w:val="0"/>
                <w:sz w:val="21"/>
                <w:szCs w:val="21"/>
                <w:highlight w:val="none"/>
                <w:lang w:val="en-US" w:eastAsia="zh-CN"/>
                <w14:textFill>
                  <w14:solidFill>
                    <w14:schemeClr w14:val="tx1"/>
                  </w14:solidFill>
                </w14:textFill>
              </w:rPr>
              <w:t>2</w:t>
            </w:r>
            <w:r>
              <w:rPr>
                <w:rFonts w:hint="default" w:ascii="Times New Roman" w:hAnsi="Times New Roman" w:eastAsia="宋体" w:cs="Times New Roman"/>
                <w:b/>
                <w:snapToGrid w:val="0"/>
                <w:color w:val="000000" w:themeColor="text1"/>
                <w:kern w:val="0"/>
                <w:sz w:val="21"/>
                <w:szCs w:val="21"/>
                <w:highlight w:val="none"/>
                <w14:textFill>
                  <w14:solidFill>
                    <w14:schemeClr w14:val="tx1"/>
                  </w14:solidFill>
                </w14:textFill>
              </w:rPr>
              <w:t>与相关规划及规划环评的符合性分析</w:t>
            </w:r>
          </w:p>
          <w:tbl>
            <w:tblPr>
              <w:tblStyle w:val="3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94"/>
              <w:gridCol w:w="2973"/>
              <w:gridCol w:w="2246"/>
              <w:gridCol w:w="605"/>
            </w:tblGrid>
            <w:tr w14:paraId="6630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965" w:type="pct"/>
                  <w:noWrap w:val="0"/>
                  <w:vAlign w:val="center"/>
                </w:tcPr>
                <w:p w14:paraId="3AAEC700">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val="0"/>
                      <w:color w:val="000000" w:themeColor="text1"/>
                      <w:kern w:val="0"/>
                      <w:sz w:val="21"/>
                      <w:szCs w:val="21"/>
                      <w:highlight w:val="none"/>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bidi="ar"/>
                      <w14:textFill>
                        <w14:solidFill>
                          <w14:schemeClr w14:val="tx1"/>
                        </w14:solidFill>
                      </w14:textFill>
                    </w:rPr>
                    <w:t>名称</w:t>
                  </w:r>
                </w:p>
              </w:tc>
              <w:tc>
                <w:tcPr>
                  <w:tcW w:w="2058" w:type="pct"/>
                  <w:noWrap w:val="0"/>
                  <w:vAlign w:val="center"/>
                </w:tcPr>
                <w:p w14:paraId="521B54FD">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val="0"/>
                      <w:color w:val="000000" w:themeColor="text1"/>
                      <w:kern w:val="0"/>
                      <w:sz w:val="21"/>
                      <w:szCs w:val="21"/>
                      <w:highlight w:val="none"/>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bidi="ar"/>
                      <w14:textFill>
                        <w14:solidFill>
                          <w14:schemeClr w14:val="tx1"/>
                        </w14:solidFill>
                      </w14:textFill>
                    </w:rPr>
                    <w:t>规划要求</w:t>
                  </w:r>
                </w:p>
              </w:tc>
              <w:tc>
                <w:tcPr>
                  <w:tcW w:w="1555" w:type="pct"/>
                  <w:noWrap w:val="0"/>
                  <w:vAlign w:val="center"/>
                </w:tcPr>
                <w:p w14:paraId="6CE7E5F6">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val="0"/>
                      <w:color w:val="000000" w:themeColor="text1"/>
                      <w:kern w:val="0"/>
                      <w:sz w:val="21"/>
                      <w:szCs w:val="21"/>
                      <w:highlight w:val="none"/>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bidi="ar"/>
                      <w14:textFill>
                        <w14:solidFill>
                          <w14:schemeClr w14:val="tx1"/>
                        </w14:solidFill>
                      </w14:textFill>
                    </w:rPr>
                    <w:t>项目情况</w:t>
                  </w:r>
                </w:p>
              </w:tc>
              <w:tc>
                <w:tcPr>
                  <w:tcW w:w="419" w:type="pct"/>
                  <w:noWrap w:val="0"/>
                  <w:vAlign w:val="center"/>
                </w:tcPr>
                <w:p w14:paraId="7085E09A">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val="0"/>
                      <w:color w:val="000000" w:themeColor="text1"/>
                      <w:kern w:val="0"/>
                      <w:sz w:val="21"/>
                      <w:szCs w:val="21"/>
                      <w:highlight w:val="none"/>
                      <w14:textFill>
                        <w14:solidFill>
                          <w14:schemeClr w14:val="tx1"/>
                        </w14:solidFill>
                      </w14:textFill>
                    </w:rPr>
                  </w:pPr>
                  <w:r>
                    <w:rPr>
                      <w:rFonts w:hint="default" w:ascii="Times New Roman" w:hAnsi="Times New Roman" w:cs="Times New Roman"/>
                      <w:b/>
                      <w:bCs w:val="0"/>
                      <w:color w:val="000000" w:themeColor="text1"/>
                      <w:kern w:val="0"/>
                      <w:sz w:val="21"/>
                      <w:szCs w:val="21"/>
                      <w:highlight w:val="none"/>
                      <w:lang w:bidi="ar"/>
                      <w14:textFill>
                        <w14:solidFill>
                          <w14:schemeClr w14:val="tx1"/>
                        </w14:solidFill>
                      </w14:textFill>
                    </w:rPr>
                    <w:t>符合性</w:t>
                  </w:r>
                </w:p>
              </w:tc>
            </w:tr>
            <w:tr w14:paraId="6745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965" w:type="pct"/>
                  <w:noWrap w:val="0"/>
                  <w:vAlign w:val="center"/>
                </w:tcPr>
                <w:p w14:paraId="406AED5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《西咸新区沣西新城分区规划（2016-2035年）》</w:t>
                  </w:r>
                </w:p>
              </w:tc>
              <w:tc>
                <w:tcPr>
                  <w:tcW w:w="2058" w:type="pct"/>
                  <w:noWrap w:val="0"/>
                  <w:vAlign w:val="center"/>
                </w:tcPr>
                <w:p w14:paraId="39C5175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规划范围：沣西新城位于西安市与咸阳市接壤部，包括鄠邑区的大王镇，长安区的马王街道、高桥乡，秦都区的钓台、陈杨寨街道，总面积142.77平方千米。</w:t>
                  </w:r>
                </w:p>
                <w:p w14:paraId="17D65EF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kern w:val="0"/>
                      <w:sz w:val="21"/>
                      <w:szCs w:val="21"/>
                      <w:highlight w:val="none"/>
                      <w:lang w:val="en-US" w:eastAsia="zh-CN"/>
                      <w14:textFill>
                        <w14:solidFill>
                          <w14:schemeClr w14:val="tx1"/>
                        </w14:solidFill>
                      </w14:textFill>
                    </w:rPr>
                    <w:t>沣西新城行业准入条件：南部工业区-新能源、新材料、节能环保相关产业、现代仓储物流产业、农产品加工、新型建材行业、生物研发行业。</w:t>
                  </w:r>
                </w:p>
              </w:tc>
              <w:tc>
                <w:tcPr>
                  <w:tcW w:w="1555" w:type="pct"/>
                  <w:noWrap w:val="0"/>
                  <w:vAlign w:val="center"/>
                </w:tcPr>
                <w:p w14:paraId="05226AB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本项目位于西咸新区沣西新城大王街道，租赁标准化工业厂房从事金属构件表面处理加工，用地现状地类为工业用地（大王街道资源规划所地类说明，面积约8.89亩），项目不新增建设用地，符合规划用地性质及产业导向</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w:t>
                  </w:r>
                </w:p>
              </w:tc>
              <w:tc>
                <w:tcPr>
                  <w:tcW w:w="419" w:type="pct"/>
                  <w:noWrap w:val="0"/>
                  <w:vAlign w:val="center"/>
                </w:tcPr>
                <w:p w14:paraId="5062DF6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符合</w:t>
                  </w:r>
                </w:p>
              </w:tc>
            </w:tr>
            <w:tr w14:paraId="3723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jc w:val="center"/>
              </w:trPr>
              <w:tc>
                <w:tcPr>
                  <w:tcW w:w="965" w:type="pct"/>
                  <w:noWrap w:val="0"/>
                  <w:vAlign w:val="center"/>
                </w:tcPr>
                <w:p w14:paraId="0151B47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《西咸新区沣西新城分区规划(2016~2035年)环境影响报告书》</w:t>
                  </w:r>
                </w:p>
              </w:tc>
              <w:tc>
                <w:tcPr>
                  <w:tcW w:w="2058" w:type="pct"/>
                  <w:noWrap w:val="0"/>
                  <w:vAlign w:val="center"/>
                </w:tcPr>
                <w:p w14:paraId="3281BE4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①对产业的引入采取“底线控制、优势相关、鼓励创新”的原则，底线控制即淘汰</w:t>
                  </w:r>
                  <w:r>
                    <w:rPr>
                      <w:rFonts w:hint="eastAsia" w:cs="Times New Roman"/>
                      <w:color w:val="000000" w:themeColor="text1"/>
                      <w:kern w:val="0"/>
                      <w:sz w:val="21"/>
                      <w:szCs w:val="21"/>
                      <w:highlight w:val="none"/>
                      <w:lang w:eastAsia="zh-CN"/>
                      <w14:textFill>
                        <w14:solidFill>
                          <w14:schemeClr w14:val="tx1"/>
                        </w14:solidFill>
                      </w14:textFill>
                    </w:rPr>
                    <w:t>“三高”</w:t>
                  </w: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（高污染、高耗能、高耗水，如铸造、化工等），凡是非三高企业都可引入；</w:t>
                  </w:r>
                </w:p>
                <w:p w14:paraId="3EF38E0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②区内建设污水处理厂，对地表水有较大的改善，但考虑到距离最终的规划目标仍有差距，评价要求严禁高耗水、高排水企业入驻区内，严格控制污水外排；</w:t>
                  </w:r>
                </w:p>
                <w:p w14:paraId="7E5B6FD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③合理规划区内环卫基础设施建设，针对固废的不同性质，采取相应的处置措施。推行生活垃圾分类收集，提高生活垃圾无害化处理率和固体废物的综合利用率。固废须按照《一般工业固体废物贮存、处置场污染控制标准》</w:t>
                  </w:r>
                  <w: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t>（GB18599-2001）要求，进行贮存和处置，危废的产生和管理按照陕西省环境保护厅颁发的《危险废物转</w:t>
                  </w: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移联单管理办法》等有关规定文件的要求，收集后送往危废处理处置中心。</w:t>
                  </w:r>
                </w:p>
              </w:tc>
              <w:tc>
                <w:tcPr>
                  <w:tcW w:w="1555" w:type="pct"/>
                  <w:noWrap w:val="0"/>
                  <w:vAlign w:val="center"/>
                </w:tcPr>
                <w:p w14:paraId="1FAABD5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①本项目</w:t>
                  </w:r>
                  <w:r>
                    <w:rPr>
                      <w:rFonts w:hint="default" w:ascii="Times New Roman" w:hAnsi="Times New Roman" w:cs="Times New Roman"/>
                      <w:color w:val="auto"/>
                      <w:kern w:val="0"/>
                      <w:sz w:val="21"/>
                      <w:szCs w:val="21"/>
                      <w:highlight w:val="none"/>
                      <w:lang w:val="en-US" w:eastAsia="zh-CN"/>
                    </w:rPr>
                    <w:t>为金属表面加工</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不属于“三高”行业</w:t>
                  </w:r>
                  <w:r>
                    <w:rPr>
                      <w:rFonts w:hint="default" w:ascii="Times New Roman" w:hAnsi="Times New Roman" w:eastAsia="宋体" w:cs="Times New Roman"/>
                      <w:color w:val="auto"/>
                      <w:kern w:val="0"/>
                      <w:sz w:val="21"/>
                      <w:szCs w:val="21"/>
                      <w:highlight w:val="none"/>
                      <w:lang w:eastAsia="zh-CN"/>
                    </w:rPr>
                    <w:t>；</w:t>
                  </w:r>
                </w:p>
                <w:p w14:paraId="05BC84F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eastAsia="zh-CN"/>
                    </w:rPr>
                    <w:t>②本项目不属于高耗水、高排水企业，生产工艺废水、清洗废水经厂区自建废水处理站处理后全部回用于厂区洒扫；纯水制备浓水、循环冷却系统排污回用于厂区绿化洒扫；生活污水经化粪池处理后定期清掏外运，厂区实行雨污分流，全厂废水不外排。</w:t>
                  </w:r>
                </w:p>
                <w:p w14:paraId="7EBB785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eastAsia="zh-CN"/>
                    </w:rPr>
                    <w:t>③本项目废边角料、不合格产品</w:t>
                  </w:r>
                  <w:r>
                    <w:rPr>
                      <w:rFonts w:hint="default" w:ascii="Times New Roman" w:hAnsi="Times New Roman" w:eastAsia="宋体" w:cs="Times New Roman"/>
                      <w:color w:val="auto"/>
                      <w:kern w:val="0"/>
                      <w:sz w:val="21"/>
                      <w:szCs w:val="21"/>
                      <w:highlight w:val="none"/>
                      <w:lang w:val="en-US" w:eastAsia="zh-CN"/>
                    </w:rPr>
                    <w:t>回用于生产</w:t>
                  </w:r>
                  <w:r>
                    <w:rPr>
                      <w:rFonts w:hint="default" w:ascii="Times New Roman" w:hAnsi="Times New Roman" w:eastAsia="宋体" w:cs="Times New Roman"/>
                      <w:color w:val="auto"/>
                      <w:kern w:val="0"/>
                      <w:sz w:val="21"/>
                      <w:szCs w:val="21"/>
                      <w:highlight w:val="none"/>
                      <w:lang w:eastAsia="zh-CN"/>
                    </w:rPr>
                    <w:t>，废</w:t>
                  </w:r>
                  <w:r>
                    <w:rPr>
                      <w:rFonts w:hint="default" w:ascii="Times New Roman" w:hAnsi="Times New Roman" w:eastAsia="宋体" w:cs="Times New Roman"/>
                      <w:color w:val="auto"/>
                      <w:kern w:val="0"/>
                      <w:sz w:val="21"/>
                      <w:szCs w:val="21"/>
                      <w:highlight w:val="none"/>
                      <w:lang w:val="en-US" w:eastAsia="zh-CN"/>
                    </w:rPr>
                    <w:t>包装材料外售给废品回收单位，一般工业固体废物处置和利用满足</w:t>
                  </w:r>
                  <w:r>
                    <w:rPr>
                      <w:rFonts w:hint="default" w:ascii="Times New Roman" w:hAnsi="Times New Roman" w:cs="Times New Roman"/>
                      <w:color w:val="auto"/>
                      <w:highlight w:val="none"/>
                      <w:lang w:val="en-US" w:eastAsia="zh-CN"/>
                    </w:rPr>
                    <w:t>《一般工业固体废物环境管理工作指南》（环办固体函〔2026〕18号）</w:t>
                  </w:r>
                  <w:r>
                    <w:rPr>
                      <w:rFonts w:hint="default" w:ascii="Times New Roman" w:hAnsi="Times New Roman" w:eastAsia="宋体" w:cs="Times New Roman"/>
                      <w:color w:val="auto"/>
                      <w:kern w:val="0"/>
                      <w:sz w:val="21"/>
                      <w:szCs w:val="21"/>
                      <w:highlight w:val="none"/>
                      <w:lang w:val="en-US" w:eastAsia="zh-CN"/>
                    </w:rPr>
                    <w:t>等相关要求</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废活性炭、废矿物油类</w:t>
                  </w:r>
                  <w:r>
                    <w:rPr>
                      <w:rFonts w:hint="default" w:ascii="Times New Roman" w:hAnsi="Times New Roman" w:cs="Times New Roman"/>
                      <w:color w:val="auto"/>
                      <w:kern w:val="0"/>
                      <w:sz w:val="21"/>
                      <w:szCs w:val="21"/>
                      <w:highlight w:val="none"/>
                      <w:lang w:val="en-US" w:eastAsia="zh-CN"/>
                    </w:rPr>
                    <w:t>等</w:t>
                  </w:r>
                  <w:r>
                    <w:rPr>
                      <w:rFonts w:hint="default" w:ascii="Times New Roman" w:hAnsi="Times New Roman" w:eastAsia="宋体" w:cs="Times New Roman"/>
                      <w:color w:val="auto"/>
                      <w:kern w:val="0"/>
                      <w:sz w:val="21"/>
                      <w:szCs w:val="21"/>
                      <w:highlight w:val="none"/>
                      <w:lang w:eastAsia="zh-CN"/>
                    </w:rPr>
                    <w:t>危险废物按照《危险废物贮存污染控制标准》（GB18597-2023）</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highlight w:val="none"/>
                      <w:lang w:val="en-US" w:eastAsia="zh-CN"/>
                    </w:rPr>
                    <w:t>《危险废物转移管理办法》</w:t>
                  </w:r>
                  <w:r>
                    <w:rPr>
                      <w:rFonts w:hint="default" w:ascii="Times New Roman" w:hAnsi="Times New Roman" w:eastAsia="宋体" w:cs="Times New Roman"/>
                      <w:color w:val="auto"/>
                      <w:kern w:val="0"/>
                      <w:sz w:val="21"/>
                      <w:szCs w:val="21"/>
                      <w:highlight w:val="none"/>
                      <w:lang w:eastAsia="zh-CN"/>
                    </w:rPr>
                    <w:t>要求进行贮存</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管理，</w:t>
                  </w:r>
                  <w:r>
                    <w:rPr>
                      <w:rFonts w:hint="default" w:ascii="Times New Roman" w:hAnsi="Times New Roman" w:eastAsia="宋体" w:cs="Times New Roman"/>
                      <w:color w:val="auto"/>
                      <w:kern w:val="0"/>
                      <w:sz w:val="21"/>
                      <w:szCs w:val="21"/>
                      <w:highlight w:val="none"/>
                      <w:lang w:eastAsia="zh-CN"/>
                    </w:rPr>
                    <w:t>定期交由有资质单位处置。</w:t>
                  </w:r>
                </w:p>
              </w:tc>
              <w:tc>
                <w:tcPr>
                  <w:tcW w:w="419" w:type="pct"/>
                  <w:noWrap w:val="0"/>
                  <w:vAlign w:val="center"/>
                </w:tcPr>
                <w:p w14:paraId="0AF9535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符合</w:t>
                  </w:r>
                </w:p>
              </w:tc>
            </w:tr>
            <w:tr w14:paraId="4DF01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965" w:type="pct"/>
                  <w:noWrap w:val="0"/>
                  <w:vAlign w:val="center"/>
                </w:tcPr>
                <w:p w14:paraId="760977B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《西咸新区沣西新城分区规划（2016</w:t>
                  </w:r>
                  <w:r>
                    <w:rPr>
                      <w:rFonts w:hint="eastAsia" w:cs="Times New Roman"/>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2035年）环境影响报告书》审查意见（陕西咸环函</w:t>
                  </w:r>
                  <w:r>
                    <w:rPr>
                      <w:rFonts w:hint="eastAsia" w:cs="Times New Roman"/>
                      <w:color w:val="000000" w:themeColor="text1"/>
                      <w:kern w:val="0"/>
                      <w:sz w:val="21"/>
                      <w:szCs w:val="21"/>
                      <w:highlight w:val="none"/>
                      <w:lang w:eastAsia="zh-CN"/>
                      <w14:textFill>
                        <w14:solidFill>
                          <w14:schemeClr w14:val="tx1"/>
                        </w14:solidFill>
                      </w14:textFill>
                    </w:rPr>
                    <w:t>〔2018〕61号</w:t>
                  </w: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w:t>
                  </w:r>
                </w:p>
              </w:tc>
              <w:tc>
                <w:tcPr>
                  <w:tcW w:w="2058" w:type="pct"/>
                  <w:noWrap w:val="0"/>
                  <w:vAlign w:val="center"/>
                </w:tcPr>
                <w:p w14:paraId="6BD57B9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①加强规划引导，坚持生态优先、绿色集约发展，突出城市与产业协调发展的理念。严格落实生态保护红线、环境质量底线、资源利用上线和环境准入负面清单管控要求。强化“三线一单”在优布局、控规模及对项目环境准入的强制约束作用。严禁“三高一低”项目入区</w:t>
                  </w:r>
                  <w:r>
                    <w:rPr>
                      <w:rFonts w:hint="default" w:ascii="Times New Roman" w:hAnsi="Times New Roman" w:cs="Times New Roman"/>
                      <w:color w:val="000000" w:themeColor="text1"/>
                      <w:kern w:val="0"/>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采用总量控制方式，限制大气污染物及水污染物排放量大的项目入区。引进项目的生产工艺、设备、污染治理技术，以及单位产品能耗、物耗、污染物排放和资源利用率等均需达到同行业国际先进水平，落实《报告书》提出的环境要求；</w:t>
                  </w:r>
                </w:p>
                <w:p w14:paraId="021D958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②严守环境质量底线，落实污染物总量管控要求。根据国家、陕西省、</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西咸</w:t>
                  </w: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新区有关大气、水、土壤污染防治行动计划相关要求，制定区域污染物减排方案，采取有效措施减少主要污染物和挥发性有机物等排放总量，实现区域环境质量改善目标；</w:t>
                  </w:r>
                </w:p>
                <w:p w14:paraId="3B96574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③结合区域大气环境质量改善目标要求，明确无煤化城市建设阶段性目标，进一步优化能源结构，加大无干热岩供热技术的应用推广。加强挥发性有机物产生企业监督管理，强化移动源污染防治；</w:t>
                  </w:r>
                </w:p>
                <w:p w14:paraId="098F472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④结合区域水环境质量改善目标的要求，提高再生水回用率，提高污水厂管理标准；落实畜禽养殖禁养、景观水体建设等措施；</w:t>
                  </w:r>
                </w:p>
                <w:p w14:paraId="24EFF5D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⑤结合规划及水源地保护相关法律法规，加强水源地保护，全力保障饮用水安全；</w:t>
                  </w:r>
                </w:p>
                <w:p w14:paraId="0FEED8D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⑥积极开展垃圾分类试点建设，加强固体废弃物特别是危险废物的集中处理处置。</w:t>
                  </w:r>
                </w:p>
              </w:tc>
              <w:tc>
                <w:tcPr>
                  <w:tcW w:w="1555" w:type="pct"/>
                  <w:noWrap w:val="0"/>
                  <w:vAlign w:val="center"/>
                </w:tcPr>
                <w:p w14:paraId="5BF7B52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eastAsia="zh-CN"/>
                    </w:rPr>
                    <w:t>本项目废气经收集治理后达标排放，废水经处理后全部回用于厂区洒扫、生活污水经化粪池处理后定期清掏外运，全厂废水不外排，固体废物分类规范处置，危废委托有资质单位处置，并落实废气总量控制指标（NOₓ、VOCs），满足规划环评管控要求。</w:t>
                  </w:r>
                </w:p>
              </w:tc>
              <w:tc>
                <w:tcPr>
                  <w:tcW w:w="419" w:type="pct"/>
                  <w:noWrap w:val="0"/>
                  <w:vAlign w:val="center"/>
                </w:tcPr>
                <w:p w14:paraId="6052268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eastAsia="zh-CN"/>
                      <w14:textFill>
                        <w14:solidFill>
                          <w14:schemeClr w14:val="tx1"/>
                        </w14:solidFill>
                      </w14:textFill>
                    </w:rPr>
                    <w:t>符合</w:t>
                  </w:r>
                </w:p>
              </w:tc>
            </w:tr>
          </w:tbl>
          <w:p w14:paraId="295D991C">
            <w:pPr>
              <w:keepNext w:val="0"/>
              <w:keepLines w:val="0"/>
              <w:suppressLineNumbers w:val="0"/>
              <w:autoSpaceDE w:val="0"/>
              <w:autoSpaceDN w:val="0"/>
              <w:adjustRightInd w:val="0"/>
              <w:snapToGrid w:val="0"/>
              <w:spacing w:before="0" w:beforeAutospacing="0" w:after="0" w:afterAutospacing="0" w:line="360" w:lineRule="auto"/>
              <w:ind w:left="0" w:right="0"/>
              <w:jc w:val="center"/>
              <w:rPr>
                <w:rFonts w:hint="default" w:ascii="Times New Roman" w:hAnsi="Times New Roman" w:cs="Times New Roman"/>
                <w:color w:val="auto"/>
                <w:sz w:val="24"/>
                <w:highlight w:val="none"/>
              </w:rPr>
            </w:pPr>
          </w:p>
        </w:tc>
      </w:tr>
      <w:tr w14:paraId="77A0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7" w:type="dxa"/>
            <w:vAlign w:val="center"/>
          </w:tcPr>
          <w:p w14:paraId="5C3D3331">
            <w:pPr>
              <w:keepNext w:val="0"/>
              <w:keepLines w:val="0"/>
              <w:suppressLineNumbers w:val="0"/>
              <w:autoSpaceDE w:val="0"/>
              <w:autoSpaceDN w:val="0"/>
              <w:adjustRightInd w:val="0"/>
              <w:snapToGrid w:val="0"/>
              <w:spacing w:before="0" w:beforeAutospacing="0" w:after="0" w:afterAutospacing="0"/>
              <w:ind w:left="0" w:leftChars="0" w:right="0" w:rightChars="0"/>
              <w:jc w:val="center"/>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其他符合性分析</w:t>
            </w:r>
          </w:p>
        </w:tc>
        <w:tc>
          <w:tcPr>
            <w:tcW w:w="7447" w:type="dxa"/>
            <w:gridSpan w:val="3"/>
            <w:vAlign w:val="center"/>
          </w:tcPr>
          <w:p w14:paraId="43A89D6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left"/>
              <w:textAlignment w:val="auto"/>
              <w:rPr>
                <w:rFonts w:hint="default" w:ascii="Times New Roman" w:hAnsi="Times New Roman" w:cs="Times New Roman"/>
                <w:b/>
                <w:bCs/>
                <w:color w:val="auto"/>
                <w:sz w:val="24"/>
                <w:szCs w:val="32"/>
                <w:highlight w:val="none"/>
              </w:rPr>
            </w:pPr>
            <w:r>
              <w:rPr>
                <w:rFonts w:hint="default" w:ascii="Times New Roman" w:hAnsi="Times New Roman" w:cs="Times New Roman"/>
                <w:b/>
                <w:bCs/>
                <w:color w:val="auto"/>
                <w:kern w:val="0"/>
                <w:sz w:val="24"/>
                <w:highlight w:val="none"/>
                <w:lang w:eastAsia="zh-CN"/>
              </w:rPr>
              <w:t>1.</w:t>
            </w:r>
            <w:r>
              <w:rPr>
                <w:rFonts w:hint="default" w:ascii="Times New Roman" w:hAnsi="Times New Roman" w:cs="Times New Roman"/>
                <w:b/>
                <w:bCs/>
                <w:color w:val="auto"/>
                <w:sz w:val="24"/>
                <w:szCs w:val="32"/>
                <w:highlight w:val="none"/>
              </w:rPr>
              <w:t>产业政策符合性分析</w:t>
            </w:r>
          </w:p>
          <w:p w14:paraId="445A2AB5">
            <w:pPr>
              <w:keepNext w:val="0"/>
              <w:keepLines w:val="0"/>
              <w:suppressLineNumbers w:val="0"/>
              <w:spacing w:before="0" w:beforeAutospacing="0" w:after="0" w:afterAutospacing="0" w:line="360" w:lineRule="auto"/>
              <w:ind w:left="0" w:right="0" w:firstLine="488"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pacing w:val="2"/>
                <w:sz w:val="24"/>
                <w:szCs w:val="24"/>
                <w:highlight w:val="none"/>
                <w:lang w:val="en-US" w:eastAsia="zh-CN"/>
              </w:rPr>
              <w:t>根据《产业结构调整指导目录（2024年本）》，本项目属于金属表面处理及热处理加工（C3360），不属于该目录中的限制类、淘汰类项目，属于允许类。对照《市场准入负面清单（2025年版）》，本项目不属于禁止准入类、许可准入类所列事项。项目已在陕西省西咸新区沣西新城管理委员会完成企业投资项目备案（项目代码：2608-611205-04-05-816813），符合国家及陕西省产业政策要求。</w:t>
            </w:r>
          </w:p>
          <w:p w14:paraId="4E1BDE36">
            <w:pPr>
              <w:keepNext w:val="0"/>
              <w:keepLines w:val="0"/>
              <w:suppressLineNumbers w:val="0"/>
              <w:spacing w:before="0" w:beforeAutospacing="0" w:after="0" w:afterAutospacing="0" w:line="360" w:lineRule="auto"/>
              <w:ind w:left="0" w:right="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2.</w:t>
            </w:r>
            <w:r>
              <w:rPr>
                <w:rFonts w:hint="default" w:ascii="Times New Roman" w:hAnsi="Times New Roman" w:cs="Times New Roman"/>
                <w:b/>
                <w:color w:val="auto"/>
                <w:sz w:val="24"/>
                <w:highlight w:val="none"/>
              </w:rPr>
              <w:t>“三线一单”符合性分析</w:t>
            </w:r>
          </w:p>
          <w:p w14:paraId="1190A8B9">
            <w:pPr>
              <w:keepNext w:val="0"/>
              <w:keepLines w:val="0"/>
              <w:suppressLineNumbers w:val="0"/>
              <w:adjustRightInd w:val="0"/>
              <w:snapToGrid w:val="0"/>
              <w:spacing w:before="0" w:beforeAutospacing="0" w:after="0" w:afterAutospacing="0" w:line="360" w:lineRule="auto"/>
              <w:ind w:left="0" w:right="0" w:firstLine="420"/>
              <w:rPr>
                <w:rFonts w:hint="default" w:ascii="Times New Roman" w:hAnsi="Times New Roman" w:cs="Times New Roman"/>
                <w:color w:val="auto"/>
                <w:sz w:val="24"/>
                <w:highlight w:val="none"/>
                <w:lang w:bidi="ar"/>
              </w:rPr>
            </w:pPr>
            <w:r>
              <w:rPr>
                <w:rFonts w:hint="default" w:ascii="Times New Roman" w:hAnsi="Times New Roman" w:cs="Times New Roman"/>
                <w:color w:val="auto"/>
                <w:sz w:val="24"/>
                <w:highlight w:val="none"/>
              </w:rPr>
              <w:t>根据《陕西省“三线一单”生态环境分区管控应用技术指南：环境影响评价（试行）》，环评文件涉及“三线一单”生态环境分区管控符合性分析应采取“一图一表一说明”的表达方式，本项目“三线一单”生态环境分区管控方案符合性分析如下：</w:t>
            </w:r>
          </w:p>
          <w:p w14:paraId="4456C18A">
            <w:pPr>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（1）一图</w:t>
            </w:r>
          </w:p>
          <w:p w14:paraId="17E9139A">
            <w:pPr>
              <w:keepNext w:val="0"/>
              <w:keepLines w:val="0"/>
              <w:numPr>
                <w:ilvl w:val="0"/>
                <w:numId w:val="0"/>
              </w:numPr>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依据《中华人民共和国生态环境法典》第一编第三章规划和生态环境分区管控相关规定，国家实行生态环境分区管控制度，落实生态保护红线、环境质量底线、资源利用上线管控要求。本项目通过陕西省“三线一单”数据应用分析平台（V1.0）冲突分析，形成对照分析示意图，由图可知项目建设范围全部位于生态环境管控的重点管控单元。</w:t>
            </w:r>
          </w:p>
          <w:p w14:paraId="38269243">
            <w:pPr>
              <w:keepNext w:val="0"/>
              <w:keepLines w:val="0"/>
              <w:numPr>
                <w:ilvl w:val="0"/>
                <w:numId w:val="0"/>
              </w:numPr>
              <w:suppressLineNumbers w:val="0"/>
              <w:spacing w:before="0" w:beforeAutospacing="0" w:after="0" w:afterAutospacing="0" w:line="360" w:lineRule="auto"/>
              <w:ind w:left="0" w:right="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4410075" cy="6419850"/>
                  <wp:effectExtent l="0" t="0" r="9525" b="0"/>
                  <wp:docPr id="2" name="图片 2" descr="b6360c24f8295cc512f7475d15456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6360c24f8295cc512f7475d15456454"/>
                          <pic:cNvPicPr>
                            <a:picLocks noChangeAspect="1"/>
                          </pic:cNvPicPr>
                        </pic:nvPicPr>
                        <pic:blipFill>
                          <a:blip r:embed="rId6"/>
                          <a:stretch>
                            <a:fillRect/>
                          </a:stretch>
                        </pic:blipFill>
                        <pic:spPr>
                          <a:xfrm>
                            <a:off x="0" y="0"/>
                            <a:ext cx="4410075" cy="6419850"/>
                          </a:xfrm>
                          <a:prstGeom prst="rect">
                            <a:avLst/>
                          </a:prstGeom>
                        </pic:spPr>
                      </pic:pic>
                    </a:graphicData>
                  </a:graphic>
                </wp:inline>
              </w:drawing>
            </w:r>
          </w:p>
          <w:p w14:paraId="217C621C">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jc w:val="center"/>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cs="Times New Roman"/>
                <w:b/>
                <w:bCs/>
                <w:color w:val="auto"/>
                <w:sz w:val="24"/>
                <w:szCs w:val="32"/>
                <w:highlight w:val="none"/>
                <w:lang w:val="en-US" w:eastAsia="zh-CN"/>
              </w:rPr>
              <w:t>图1-1  空间冲突分布图</w:t>
            </w:r>
          </w:p>
          <w:p w14:paraId="4E21FF77">
            <w:pPr>
              <w:keepNext w:val="0"/>
              <w:keepLines w:val="0"/>
              <w:pageBreakBefore w:val="0"/>
              <w:widowControl w:val="0"/>
              <w:numPr>
                <w:ilvl w:val="0"/>
                <w:numId w:val="3"/>
              </w:numPr>
              <w:suppressLineNumbers w:val="0"/>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一表</w:t>
            </w:r>
          </w:p>
          <w:p w14:paraId="4CB70E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rightChars="0" w:firstLine="420" w:firstLineChars="0"/>
              <w:textAlignment w:val="auto"/>
              <w:rPr>
                <w:rFonts w:hint="default" w:ascii="Times New Roman" w:hAnsi="Times New Roman" w:cs="Times New Roman"/>
                <w:color w:val="auto"/>
                <w:kern w:val="0"/>
                <w:sz w:val="24"/>
                <w:highlight w:val="none"/>
                <w:lang w:val="en-US" w:eastAsia="zh-CN"/>
              </w:rPr>
            </w:pPr>
            <w:r>
              <w:rPr>
                <w:rFonts w:hint="default" w:ascii="Times New Roman" w:hAnsi="Times New Roman" w:cs="Times New Roman"/>
                <w:color w:val="auto"/>
                <w:sz w:val="24"/>
                <w:highlight w:val="none"/>
                <w:lang w:val="en-US" w:eastAsia="zh-CN"/>
              </w:rPr>
              <w:t>对照《2023年西安市生态环境分区管控调整方案》中“西安市生态环境分区管控准入清单”中的重点管控单元要求，本项目符合性分析一览表详见下表。</w:t>
            </w:r>
          </w:p>
        </w:tc>
      </w:tr>
    </w:tbl>
    <w:p w14:paraId="1053BBF5">
      <w:pPr>
        <w:pStyle w:val="41"/>
        <w:rPr>
          <w:rFonts w:hint="default" w:ascii="Times New Roman" w:hAnsi="Times New Roman" w:eastAsia="宋体" w:cs="Times New Roman"/>
          <w:color w:val="auto"/>
          <w:highlight w:val="none"/>
        </w:rPr>
        <w:sectPr>
          <w:pgSz w:w="11906" w:h="16838"/>
          <w:pgMar w:top="1701" w:right="1531" w:bottom="1701" w:left="1531" w:header="851" w:footer="992" w:gutter="0"/>
          <w:pgBorders>
            <w:top w:val="none" w:sz="0" w:space="0"/>
            <w:left w:val="none" w:sz="0" w:space="0"/>
            <w:bottom w:val="none" w:sz="0" w:space="0"/>
            <w:right w:val="none" w:sz="0" w:space="0"/>
          </w:pgBorders>
          <w:pgNumType w:start="1"/>
          <w:cols w:space="425" w:num="1"/>
          <w:docGrid w:type="lines" w:linePitch="312" w:charSpace="0"/>
        </w:sectPr>
      </w:pPr>
    </w:p>
    <w:tbl>
      <w:tblPr>
        <w:tblStyle w:val="33"/>
        <w:tblW w:w="13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3"/>
        <w:gridCol w:w="12496"/>
      </w:tblGrid>
      <w:tr w14:paraId="3A86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4" w:hRule="atLeast"/>
        </w:trPr>
        <w:tc>
          <w:tcPr>
            <w:tcW w:w="1183" w:type="dxa"/>
          </w:tcPr>
          <w:p w14:paraId="063BF307">
            <w:pPr>
              <w:pStyle w:val="13"/>
              <w:keepNext w:val="0"/>
              <w:keepLines w:val="0"/>
              <w:suppressLineNumbers w:val="0"/>
              <w:spacing w:before="0" w:beforeAutospacing="0" w:afterAutospacing="0"/>
              <w:ind w:right="0"/>
              <w:jc w:val="center"/>
              <w:rPr>
                <w:rFonts w:hint="default" w:ascii="Times New Roman" w:hAnsi="Times New Roman" w:cs="Times New Roman"/>
                <w:color w:val="auto"/>
                <w:highlight w:val="none"/>
                <w:vertAlign w:val="baseline"/>
              </w:rPr>
            </w:pPr>
            <w:bookmarkStart w:id="4" w:name="_Toc16436"/>
          </w:p>
        </w:tc>
        <w:tc>
          <w:tcPr>
            <w:tcW w:w="12496" w:type="dxa"/>
          </w:tcPr>
          <w:p w14:paraId="45FF721C">
            <w:pPr>
              <w:pStyle w:val="8"/>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2" w:firstLineChars="200"/>
              <w:textAlignment w:val="baseline"/>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表1-</w:t>
            </w:r>
            <w:r>
              <w:rPr>
                <w:rFonts w:hint="default" w:ascii="Times New Roman" w:hAnsi="Times New Roman"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 xml:space="preserve">  与环境管控单元管控要求符合性分析一览表</w:t>
            </w:r>
          </w:p>
          <w:tbl>
            <w:tblPr>
              <w:tblStyle w:val="3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536"/>
              <w:gridCol w:w="849"/>
              <w:gridCol w:w="911"/>
              <w:gridCol w:w="737"/>
              <w:gridCol w:w="4865"/>
              <w:gridCol w:w="868"/>
              <w:gridCol w:w="1952"/>
              <w:gridCol w:w="622"/>
            </w:tblGrid>
            <w:tr w14:paraId="1760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8" w:type="pct"/>
                  <w:tcBorders>
                    <w:tl2br w:val="nil"/>
                    <w:tr2bl w:val="nil"/>
                  </w:tcBorders>
                  <w:noWrap w:val="0"/>
                  <w:vAlign w:val="center"/>
                </w:tcPr>
                <w:p w14:paraId="159336D4">
                  <w:pPr>
                    <w:pStyle w:val="82"/>
                    <w:keepNext w:val="0"/>
                    <w:keepLines w:val="0"/>
                    <w:suppressLineNumbers w:val="0"/>
                    <w:spacing w:before="0" w:beforeLines="0" w:beforeAutospacing="0" w:afterAutospacing="0" w:line="240" w:lineRule="auto"/>
                    <w:ind w:left="0" w:leftChars="0" w:right="0" w:firstLine="0" w:firstLineChars="0"/>
                    <w:jc w:val="both"/>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环境管控单元名称</w:t>
                  </w:r>
                </w:p>
              </w:tc>
              <w:tc>
                <w:tcPr>
                  <w:tcW w:w="220" w:type="pct"/>
                  <w:tcBorders>
                    <w:tl2br w:val="nil"/>
                    <w:tr2bl w:val="nil"/>
                  </w:tcBorders>
                  <w:noWrap w:val="0"/>
                  <w:vAlign w:val="center"/>
                </w:tcPr>
                <w:p w14:paraId="2F08BD5B">
                  <w:pPr>
                    <w:pStyle w:val="82"/>
                    <w:keepNext w:val="0"/>
                    <w:keepLines w:val="0"/>
                    <w:suppressLineNumbers w:val="0"/>
                    <w:spacing w:before="0" w:beforeLines="0" w:beforeAutospacing="0" w:afterAutospacing="0" w:line="240" w:lineRule="auto"/>
                    <w:ind w:left="0" w:leftChars="0" w:right="0" w:firstLine="0" w:firstLineChars="0"/>
                    <w:jc w:val="both"/>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区县</w:t>
                  </w:r>
                </w:p>
              </w:tc>
              <w:tc>
                <w:tcPr>
                  <w:tcW w:w="346" w:type="pct"/>
                  <w:tcBorders>
                    <w:tl2br w:val="nil"/>
                    <w:tr2bl w:val="nil"/>
                  </w:tcBorders>
                  <w:noWrap w:val="0"/>
                  <w:vAlign w:val="center"/>
                </w:tcPr>
                <w:p w14:paraId="72A6B764">
                  <w:pPr>
                    <w:pStyle w:val="82"/>
                    <w:keepNext w:val="0"/>
                    <w:keepLines w:val="0"/>
                    <w:suppressLineNumbers w:val="0"/>
                    <w:spacing w:before="0" w:beforeLines="0" w:beforeAutospacing="0" w:afterAutospacing="0" w:line="240" w:lineRule="auto"/>
                    <w:ind w:left="0" w:leftChars="0" w:right="0" w:firstLine="0" w:firstLineChars="0"/>
                    <w:jc w:val="both"/>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市（区）</w:t>
                  </w:r>
                </w:p>
              </w:tc>
              <w:tc>
                <w:tcPr>
                  <w:tcW w:w="373" w:type="pct"/>
                  <w:tcBorders>
                    <w:tl2br w:val="nil"/>
                    <w:tr2bl w:val="nil"/>
                  </w:tcBorders>
                  <w:noWrap w:val="0"/>
                  <w:vAlign w:val="center"/>
                </w:tcPr>
                <w:p w14:paraId="0C47671C">
                  <w:pPr>
                    <w:pStyle w:val="82"/>
                    <w:keepNext w:val="0"/>
                    <w:keepLines w:val="0"/>
                    <w:suppressLineNumbers w:val="0"/>
                    <w:spacing w:before="0" w:beforeLines="0" w:beforeAutospacing="0" w:afterAutospacing="0" w:line="240" w:lineRule="auto"/>
                    <w:ind w:left="0" w:leftChars="0" w:right="0" w:firstLine="0" w:firstLineChars="0"/>
                    <w:jc w:val="center"/>
                    <w:rPr>
                      <w:rFonts w:hint="default" w:ascii="Times New Roman" w:hAnsi="Times New Roman" w:eastAsia="宋体" w:cs="Times New Roman"/>
                      <w:b/>
                      <w:bCs/>
                      <w:color w:val="auto"/>
                      <w:sz w:val="21"/>
                      <w:szCs w:val="21"/>
                      <w:highlight w:val="none"/>
                      <w:lang w:val="en-US"/>
                    </w:rPr>
                  </w:pPr>
                  <w:r>
                    <w:rPr>
                      <w:rFonts w:hint="default" w:ascii="Times New Roman" w:hAnsi="Times New Roman" w:eastAsia="宋体" w:cs="Times New Roman"/>
                      <w:b/>
                      <w:bCs/>
                      <w:color w:val="auto"/>
                      <w:sz w:val="21"/>
                      <w:szCs w:val="21"/>
                      <w:highlight w:val="none"/>
                      <w:lang w:val="en-US" w:eastAsia="zh-CN"/>
                    </w:rPr>
                    <w:t>单元要素属性</w:t>
                  </w:r>
                </w:p>
              </w:tc>
              <w:tc>
                <w:tcPr>
                  <w:tcW w:w="302" w:type="pct"/>
                  <w:tcBorders>
                    <w:tl2br w:val="nil"/>
                    <w:tr2bl w:val="nil"/>
                  </w:tcBorders>
                  <w:noWrap w:val="0"/>
                  <w:vAlign w:val="center"/>
                </w:tcPr>
                <w:p w14:paraId="75102E16">
                  <w:pPr>
                    <w:pStyle w:val="82"/>
                    <w:keepNext w:val="0"/>
                    <w:keepLines w:val="0"/>
                    <w:suppressLineNumbers w:val="0"/>
                    <w:spacing w:before="0" w:beforeLines="0" w:beforeAutospacing="0" w:afterAutospacing="0" w:line="240" w:lineRule="auto"/>
                    <w:ind w:left="0" w:leftChars="0" w:right="0"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管控要求分类</w:t>
                  </w:r>
                </w:p>
              </w:tc>
              <w:tc>
                <w:tcPr>
                  <w:tcW w:w="1984" w:type="pct"/>
                  <w:tcBorders>
                    <w:tl2br w:val="nil"/>
                    <w:tr2bl w:val="nil"/>
                  </w:tcBorders>
                  <w:noWrap w:val="0"/>
                  <w:vAlign w:val="center"/>
                </w:tcPr>
                <w:p w14:paraId="1FEB9525">
                  <w:pPr>
                    <w:pStyle w:val="82"/>
                    <w:keepNext w:val="0"/>
                    <w:keepLines w:val="0"/>
                    <w:suppressLineNumbers w:val="0"/>
                    <w:spacing w:before="0" w:beforeLines="0" w:beforeAutospacing="0" w:afterAutospacing="0" w:line="240" w:lineRule="auto"/>
                    <w:ind w:left="0" w:leftChars="0" w:right="0"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管控要求</w:t>
                  </w:r>
                </w:p>
              </w:tc>
              <w:tc>
                <w:tcPr>
                  <w:tcW w:w="342" w:type="pct"/>
                  <w:tcBorders>
                    <w:tl2br w:val="nil"/>
                    <w:tr2bl w:val="nil"/>
                  </w:tcBorders>
                  <w:noWrap w:val="0"/>
                  <w:vAlign w:val="center"/>
                </w:tcPr>
                <w:p w14:paraId="18943887">
                  <w:pPr>
                    <w:pStyle w:val="82"/>
                    <w:keepNext w:val="0"/>
                    <w:keepLines w:val="0"/>
                    <w:suppressLineNumbers w:val="0"/>
                    <w:spacing w:before="0" w:beforeLines="0" w:beforeAutospacing="0" w:afterAutospacing="0" w:line="240" w:lineRule="auto"/>
                    <w:ind w:left="0" w:leftChars="0" w:right="0"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面积/长度</w:t>
                  </w:r>
                </w:p>
              </w:tc>
              <w:tc>
                <w:tcPr>
                  <w:tcW w:w="797" w:type="pct"/>
                  <w:tcBorders>
                    <w:tl2br w:val="nil"/>
                    <w:tr2bl w:val="nil"/>
                  </w:tcBorders>
                  <w:noWrap w:val="0"/>
                  <w:vAlign w:val="center"/>
                </w:tcPr>
                <w:p w14:paraId="351B95D8">
                  <w:pPr>
                    <w:pStyle w:val="82"/>
                    <w:keepNext w:val="0"/>
                    <w:keepLines w:val="0"/>
                    <w:suppressLineNumbers w:val="0"/>
                    <w:spacing w:before="0" w:beforeLines="0" w:beforeAutospacing="0" w:afterAutospacing="0" w:line="240" w:lineRule="auto"/>
                    <w:ind w:left="0" w:leftChars="0" w:right="0" w:firstLine="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val="en-US" w:eastAsia="zh-CN"/>
                    </w:rPr>
                    <w:t>本</w:t>
                  </w:r>
                  <w:r>
                    <w:rPr>
                      <w:rFonts w:hint="default" w:ascii="Times New Roman" w:hAnsi="Times New Roman" w:eastAsia="宋体" w:cs="Times New Roman"/>
                      <w:b/>
                      <w:bCs/>
                      <w:color w:val="auto"/>
                      <w:sz w:val="21"/>
                      <w:szCs w:val="21"/>
                      <w:highlight w:val="none"/>
                      <w:lang w:eastAsia="zh-CN"/>
                    </w:rPr>
                    <w:t>项目</w:t>
                  </w:r>
                </w:p>
                <w:p w14:paraId="3F7F42D3">
                  <w:pPr>
                    <w:pStyle w:val="82"/>
                    <w:keepNext w:val="0"/>
                    <w:keepLines w:val="0"/>
                    <w:suppressLineNumbers w:val="0"/>
                    <w:spacing w:before="0" w:beforeLines="0" w:beforeAutospacing="0" w:afterAutospacing="0" w:line="240" w:lineRule="auto"/>
                    <w:ind w:left="0" w:leftChars="0" w:right="0" w:firstLine="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情况</w:t>
                  </w:r>
                </w:p>
              </w:tc>
              <w:tc>
                <w:tcPr>
                  <w:tcW w:w="255" w:type="pct"/>
                  <w:tcBorders>
                    <w:tl2br w:val="nil"/>
                    <w:tr2bl w:val="nil"/>
                  </w:tcBorders>
                  <w:noWrap w:val="0"/>
                  <w:vAlign w:val="center"/>
                </w:tcPr>
                <w:p w14:paraId="4849175B">
                  <w:pPr>
                    <w:pStyle w:val="82"/>
                    <w:keepNext w:val="0"/>
                    <w:keepLines w:val="0"/>
                    <w:suppressLineNumbers w:val="0"/>
                    <w:spacing w:before="0" w:beforeLines="0" w:beforeAutospacing="0" w:afterAutospacing="0" w:line="240" w:lineRule="auto"/>
                    <w:ind w:left="0" w:leftChars="0" w:right="0" w:firstLine="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符合性</w:t>
                  </w:r>
                </w:p>
              </w:tc>
            </w:tr>
            <w:tr w14:paraId="389F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8" w:type="pct"/>
                  <w:vMerge w:val="restart"/>
                  <w:tcBorders>
                    <w:tl2br w:val="nil"/>
                    <w:tr2bl w:val="nil"/>
                  </w:tcBorders>
                  <w:noWrap w:val="0"/>
                  <w:vAlign w:val="center"/>
                </w:tcPr>
                <w:p w14:paraId="5AB019A3">
                  <w:pPr>
                    <w:pStyle w:val="82"/>
                    <w:keepNext w:val="0"/>
                    <w:keepLines w:val="0"/>
                    <w:suppressLineNumbers w:val="0"/>
                    <w:spacing w:before="0" w:beforeLines="0" w:beforeAutospacing="0" w:afterAutospacing="0" w:line="240" w:lineRule="auto"/>
                    <w:ind w:left="0" w:leftChars="0" w:right="0" w:firstLine="0" w:firstLineChars="0"/>
                    <w:jc w:val="both"/>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陕西省西安市鄠邑区重点管控单元2</w:t>
                  </w:r>
                </w:p>
              </w:tc>
              <w:tc>
                <w:tcPr>
                  <w:tcW w:w="220" w:type="pct"/>
                  <w:vMerge w:val="restart"/>
                  <w:tcBorders>
                    <w:tl2br w:val="nil"/>
                    <w:tr2bl w:val="nil"/>
                  </w:tcBorders>
                  <w:noWrap w:val="0"/>
                  <w:vAlign w:val="center"/>
                </w:tcPr>
                <w:p w14:paraId="7A66F1DA">
                  <w:pPr>
                    <w:pStyle w:val="82"/>
                    <w:keepNext w:val="0"/>
                    <w:keepLines w:val="0"/>
                    <w:suppressLineNumbers w:val="0"/>
                    <w:spacing w:before="0" w:beforeLines="0" w:beforeAutospacing="0" w:afterAutospacing="0" w:line="240" w:lineRule="auto"/>
                    <w:ind w:left="0" w:leftChars="0" w:right="0"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西安市</w:t>
                  </w:r>
                </w:p>
              </w:tc>
              <w:tc>
                <w:tcPr>
                  <w:tcW w:w="346" w:type="pct"/>
                  <w:vMerge w:val="restart"/>
                  <w:tcBorders>
                    <w:tl2br w:val="nil"/>
                    <w:tr2bl w:val="nil"/>
                  </w:tcBorders>
                  <w:noWrap w:val="0"/>
                  <w:vAlign w:val="center"/>
                </w:tcPr>
                <w:p w14:paraId="673521DC">
                  <w:pPr>
                    <w:pStyle w:val="82"/>
                    <w:keepNext w:val="0"/>
                    <w:keepLines w:val="0"/>
                    <w:suppressLineNumbers w:val="0"/>
                    <w:spacing w:before="0" w:beforeLines="0" w:beforeAutospacing="0" w:afterAutospacing="0" w:line="240" w:lineRule="auto"/>
                    <w:ind w:left="0" w:leftChars="0" w:right="0"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鄠邑区</w:t>
                  </w:r>
                </w:p>
              </w:tc>
              <w:tc>
                <w:tcPr>
                  <w:tcW w:w="373" w:type="pct"/>
                  <w:vMerge w:val="restart"/>
                  <w:tcBorders>
                    <w:tl2br w:val="nil"/>
                    <w:tr2bl w:val="nil"/>
                  </w:tcBorders>
                  <w:noWrap w:val="0"/>
                  <w:vAlign w:val="center"/>
                </w:tcPr>
                <w:p w14:paraId="565C3D19">
                  <w:pPr>
                    <w:pStyle w:val="82"/>
                    <w:keepNext w:val="0"/>
                    <w:keepLines w:val="0"/>
                    <w:suppressLineNumbers w:val="0"/>
                    <w:spacing w:before="0" w:beforeLines="0" w:beforeAutospacing="0" w:afterAutospacing="0" w:line="240" w:lineRule="auto"/>
                    <w:ind w:left="0" w:leftChars="0" w:right="0" w:firstLine="0" w:firstLineChars="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大气环境布局敏感重点管控区、水环境城镇生活污染重点管控区、高污染燃料禁燃区</w:t>
                  </w:r>
                </w:p>
              </w:tc>
              <w:tc>
                <w:tcPr>
                  <w:tcW w:w="302" w:type="pct"/>
                  <w:tcBorders>
                    <w:tl2br w:val="nil"/>
                    <w:tr2bl w:val="nil"/>
                  </w:tcBorders>
                  <w:noWrap w:val="0"/>
                  <w:vAlign w:val="center"/>
                </w:tcPr>
                <w:p w14:paraId="68078BC1">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空间布局约束</w:t>
                  </w:r>
                </w:p>
              </w:tc>
              <w:tc>
                <w:tcPr>
                  <w:tcW w:w="1984" w:type="pct"/>
                  <w:tcBorders>
                    <w:tl2br w:val="nil"/>
                    <w:tr2bl w:val="nil"/>
                  </w:tcBorders>
                  <w:noWrap w:val="0"/>
                  <w:vAlign w:val="center"/>
                </w:tcPr>
                <w:p w14:paraId="11C85E35">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Cs w:val="21"/>
                      <w:highlight w:val="none"/>
                      <w:lang w:val="en-US" w:eastAsia="zh-CN"/>
                    </w:rPr>
                    <w:t>大气环境布局敏感重点管控区：1.严格控制新增《陕西省“两高”项目管理暂行目录》行业项目（民生等项目除外，后续对“两高”范围国家如有新规定的，从其规定）。2.严禁新增钢铁、焦化、水泥熟料、平板玻璃、电解铝、氧化铝、煤化工产能。3.推动重污染企业搬迁入园或依法关闭。水环境城镇生活污染重点管控区：1.持续推进城中村、老旧城区、城乡结合部污水截流、收集和城市雨污管道新建、改建。</w:t>
                  </w:r>
                </w:p>
              </w:tc>
              <w:tc>
                <w:tcPr>
                  <w:tcW w:w="342" w:type="pct"/>
                  <w:vMerge w:val="restart"/>
                  <w:tcBorders>
                    <w:tl2br w:val="nil"/>
                    <w:tr2bl w:val="nil"/>
                  </w:tcBorders>
                  <w:noWrap w:val="0"/>
                  <w:vAlign w:val="center"/>
                </w:tcPr>
                <w:p w14:paraId="6A9D8C89">
                  <w:pPr>
                    <w:pStyle w:val="82"/>
                    <w:keepNext w:val="0"/>
                    <w:keepLines w:val="0"/>
                    <w:suppressLineNumbers w:val="0"/>
                    <w:spacing w:before="0" w:beforeLines="0" w:beforeAutospacing="0" w:afterAutospacing="0" w:line="240" w:lineRule="auto"/>
                    <w:ind w:left="0" w:leftChars="0" w:right="0" w:firstLine="0" w:firstLineChars="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5927m</w:t>
                  </w:r>
                  <w:r>
                    <w:rPr>
                      <w:rFonts w:hint="default" w:ascii="Times New Roman" w:hAnsi="Times New Roman" w:cs="Times New Roman"/>
                      <w:color w:val="auto"/>
                      <w:sz w:val="21"/>
                      <w:szCs w:val="21"/>
                      <w:highlight w:val="none"/>
                      <w:vertAlign w:val="superscript"/>
                      <w:lang w:val="en-US" w:eastAsia="zh-CN"/>
                    </w:rPr>
                    <w:t>2</w:t>
                  </w:r>
                </w:p>
              </w:tc>
              <w:tc>
                <w:tcPr>
                  <w:tcW w:w="797" w:type="pct"/>
                  <w:tcBorders>
                    <w:tl2br w:val="nil"/>
                    <w:tr2bl w:val="nil"/>
                  </w:tcBorders>
                  <w:noWrap w:val="0"/>
                  <w:vAlign w:val="center"/>
                </w:tcPr>
                <w:p w14:paraId="52E06A27">
                  <w:pPr>
                    <w:keepNext w:val="0"/>
                    <w:keepLines w:val="0"/>
                    <w:numPr>
                      <w:ilvl w:val="0"/>
                      <w:numId w:val="0"/>
                    </w:numPr>
                    <w:suppressLineNumbers w:val="0"/>
                    <w:autoSpaceDE w:val="0"/>
                    <w:autoSpaceDN w:val="0"/>
                    <w:spacing w:before="0" w:beforeAutospacing="0" w:after="0" w:afterAutospacing="0"/>
                    <w:ind w:left="0" w:right="0"/>
                    <w:jc w:val="both"/>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lang w:val="en-US" w:eastAsia="zh-CN"/>
                    </w:rPr>
                    <w:t>1.本项目属于C3360金属表面处理及热处理加工，不属于“两高”项目</w:t>
                  </w:r>
                  <w:r>
                    <w:rPr>
                      <w:rFonts w:hint="default" w:ascii="Times New Roman" w:hAnsi="Times New Roman" w:eastAsia="宋体" w:cs="Times New Roman"/>
                      <w:color w:val="auto"/>
                      <w:kern w:val="0"/>
                      <w:szCs w:val="21"/>
                      <w:highlight w:val="none"/>
                      <w:lang w:eastAsia="zh-CN"/>
                    </w:rPr>
                    <w:t>；</w:t>
                  </w:r>
                </w:p>
                <w:p w14:paraId="6264AC71">
                  <w:pPr>
                    <w:keepNext w:val="0"/>
                    <w:keepLines w:val="0"/>
                    <w:suppressLineNumbers w:val="0"/>
                    <w:autoSpaceDE w:val="0"/>
                    <w:autoSpaceDN w:val="0"/>
                    <w:adjustRightInd w:val="0"/>
                    <w:snapToGrid w:val="0"/>
                    <w:spacing w:before="0" w:beforeAutospacing="0" w:after="0" w:afterAutospacing="0"/>
                    <w:ind w:left="0" w:right="0"/>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w:t>
                  </w:r>
                  <w:r>
                    <w:rPr>
                      <w:rFonts w:hint="default" w:ascii="Times New Roman" w:hAnsi="Times New Roman" w:eastAsia="宋体" w:cs="Times New Roman"/>
                      <w:color w:val="auto"/>
                      <w:kern w:val="0"/>
                      <w:szCs w:val="21"/>
                      <w:highlight w:val="none"/>
                    </w:rPr>
                    <w:t>本项目不属于</w:t>
                  </w:r>
                  <w:r>
                    <w:rPr>
                      <w:rFonts w:hint="default" w:ascii="Times New Roman" w:hAnsi="Times New Roman" w:eastAsia="宋体" w:cs="Times New Roman"/>
                      <w:color w:val="auto"/>
                      <w:kern w:val="0"/>
                      <w:szCs w:val="21"/>
                      <w:highlight w:val="none"/>
                      <w:lang w:val="en-US" w:eastAsia="zh-CN"/>
                    </w:rPr>
                    <w:t>钢铁、焦化、水泥熟料、平板玻璃、电解铝、氧化铝、煤化工产能。</w:t>
                  </w:r>
                </w:p>
                <w:p w14:paraId="5F321C35">
                  <w:pPr>
                    <w:keepNext w:val="0"/>
                    <w:keepLines w:val="0"/>
                    <w:suppressLineNumbers w:val="0"/>
                    <w:autoSpaceDE w:val="0"/>
                    <w:autoSpaceDN w:val="0"/>
                    <w:adjustRightInd w:val="0"/>
                    <w:snapToGrid w:val="0"/>
                    <w:spacing w:before="0" w:beforeAutospacing="0" w:after="0" w:afterAutospacing="0"/>
                    <w:ind w:left="0" w:right="0"/>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3.</w:t>
                  </w:r>
                  <w:r>
                    <w:rPr>
                      <w:rFonts w:hint="default" w:ascii="Times New Roman" w:hAnsi="Times New Roman" w:eastAsia="宋体" w:cs="Times New Roman"/>
                      <w:color w:val="auto"/>
                      <w:kern w:val="0"/>
                      <w:szCs w:val="21"/>
                      <w:highlight w:val="none"/>
                    </w:rPr>
                    <w:t>本项目不属于</w:t>
                  </w:r>
                  <w:r>
                    <w:rPr>
                      <w:rFonts w:hint="default" w:ascii="Times New Roman" w:hAnsi="Times New Roman" w:cs="Times New Roman"/>
                      <w:color w:val="auto"/>
                      <w:kern w:val="0"/>
                      <w:szCs w:val="21"/>
                      <w:highlight w:val="none"/>
                      <w:lang w:val="en-US" w:eastAsia="zh-CN"/>
                    </w:rPr>
                    <w:t>重污染企业。</w:t>
                  </w:r>
                </w:p>
              </w:tc>
              <w:tc>
                <w:tcPr>
                  <w:tcW w:w="255" w:type="pct"/>
                  <w:tcBorders>
                    <w:tl2br w:val="nil"/>
                    <w:tr2bl w:val="nil"/>
                  </w:tcBorders>
                  <w:noWrap w:val="0"/>
                  <w:vAlign w:val="center"/>
                </w:tcPr>
                <w:p w14:paraId="3261FB54">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3D7CF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1" w:hRule="atLeast"/>
                <w:jc w:val="center"/>
              </w:trPr>
              <w:tc>
                <w:tcPr>
                  <w:tcW w:w="378" w:type="pct"/>
                  <w:vMerge w:val="continue"/>
                  <w:tcBorders>
                    <w:tl2br w:val="nil"/>
                    <w:tr2bl w:val="nil"/>
                  </w:tcBorders>
                  <w:noWrap w:val="0"/>
                  <w:vAlign w:val="center"/>
                </w:tcPr>
                <w:p w14:paraId="186A77A1">
                  <w:pPr>
                    <w:pStyle w:val="82"/>
                    <w:keepNext w:val="0"/>
                    <w:keepLines w:val="0"/>
                    <w:suppressLineNumbers w:val="0"/>
                    <w:spacing w:before="0" w:beforeLines="0" w:beforeAutospacing="0" w:afterAutospacing="0" w:line="240" w:lineRule="auto"/>
                    <w:ind w:right="0"/>
                    <w:rPr>
                      <w:rFonts w:hint="default" w:ascii="Times New Roman" w:hAnsi="Times New Roman" w:eastAsia="宋体" w:cs="Times New Roman"/>
                      <w:color w:val="auto"/>
                      <w:sz w:val="21"/>
                      <w:szCs w:val="21"/>
                      <w:highlight w:val="none"/>
                    </w:rPr>
                  </w:pPr>
                </w:p>
              </w:tc>
              <w:tc>
                <w:tcPr>
                  <w:tcW w:w="220" w:type="pct"/>
                  <w:vMerge w:val="continue"/>
                  <w:tcBorders>
                    <w:tl2br w:val="nil"/>
                    <w:tr2bl w:val="nil"/>
                  </w:tcBorders>
                  <w:noWrap w:val="0"/>
                  <w:vAlign w:val="center"/>
                </w:tcPr>
                <w:p w14:paraId="12EDA7EB">
                  <w:pPr>
                    <w:pStyle w:val="82"/>
                    <w:keepNext w:val="0"/>
                    <w:keepLines w:val="0"/>
                    <w:suppressLineNumbers w:val="0"/>
                    <w:tabs>
                      <w:tab w:val="left" w:pos="265"/>
                    </w:tabs>
                    <w:autoSpaceDE w:val="0"/>
                    <w:autoSpaceDN w:val="0"/>
                    <w:spacing w:before="0" w:beforeLines="0" w:beforeAutospacing="0" w:afterAutospacing="0" w:line="240" w:lineRule="auto"/>
                    <w:ind w:right="0"/>
                    <w:jc w:val="both"/>
                    <w:rPr>
                      <w:rFonts w:hint="default" w:ascii="Times New Roman" w:hAnsi="Times New Roman" w:eastAsia="宋体" w:cs="Times New Roman"/>
                      <w:color w:val="auto"/>
                      <w:sz w:val="21"/>
                      <w:szCs w:val="21"/>
                      <w:highlight w:val="none"/>
                    </w:rPr>
                  </w:pPr>
                </w:p>
              </w:tc>
              <w:tc>
                <w:tcPr>
                  <w:tcW w:w="346" w:type="pct"/>
                  <w:vMerge w:val="continue"/>
                  <w:tcBorders>
                    <w:tl2br w:val="nil"/>
                    <w:tr2bl w:val="nil"/>
                  </w:tcBorders>
                  <w:noWrap w:val="0"/>
                  <w:vAlign w:val="center"/>
                </w:tcPr>
                <w:p w14:paraId="567DE935">
                  <w:pPr>
                    <w:pStyle w:val="82"/>
                    <w:keepNext w:val="0"/>
                    <w:keepLines w:val="0"/>
                    <w:suppressLineNumbers w:val="0"/>
                    <w:tabs>
                      <w:tab w:val="left" w:pos="265"/>
                    </w:tabs>
                    <w:autoSpaceDE w:val="0"/>
                    <w:autoSpaceDN w:val="0"/>
                    <w:spacing w:before="0" w:beforeLines="0" w:beforeAutospacing="0" w:afterAutospacing="0" w:line="240" w:lineRule="auto"/>
                    <w:ind w:right="0"/>
                    <w:jc w:val="both"/>
                    <w:rPr>
                      <w:rFonts w:hint="default" w:ascii="Times New Roman" w:hAnsi="Times New Roman" w:eastAsia="宋体" w:cs="Times New Roman"/>
                      <w:color w:val="auto"/>
                      <w:sz w:val="21"/>
                      <w:szCs w:val="21"/>
                      <w:highlight w:val="none"/>
                    </w:rPr>
                  </w:pPr>
                </w:p>
              </w:tc>
              <w:tc>
                <w:tcPr>
                  <w:tcW w:w="373" w:type="pct"/>
                  <w:vMerge w:val="continue"/>
                  <w:tcBorders>
                    <w:tl2br w:val="nil"/>
                    <w:tr2bl w:val="nil"/>
                  </w:tcBorders>
                  <w:noWrap w:val="0"/>
                  <w:vAlign w:val="center"/>
                </w:tcPr>
                <w:p w14:paraId="45917FF6">
                  <w:pPr>
                    <w:pStyle w:val="82"/>
                    <w:keepNext w:val="0"/>
                    <w:keepLines w:val="0"/>
                    <w:suppressLineNumbers w:val="0"/>
                    <w:tabs>
                      <w:tab w:val="left" w:pos="265"/>
                    </w:tabs>
                    <w:autoSpaceDE w:val="0"/>
                    <w:autoSpaceDN w:val="0"/>
                    <w:spacing w:before="0" w:beforeLines="0" w:beforeAutospacing="0" w:afterAutospacing="0" w:line="240" w:lineRule="auto"/>
                    <w:ind w:right="0"/>
                    <w:jc w:val="both"/>
                    <w:rPr>
                      <w:rFonts w:hint="default" w:ascii="Times New Roman" w:hAnsi="Times New Roman" w:eastAsia="宋体" w:cs="Times New Roman"/>
                      <w:color w:val="auto"/>
                      <w:sz w:val="21"/>
                      <w:szCs w:val="21"/>
                      <w:highlight w:val="none"/>
                    </w:rPr>
                  </w:pPr>
                </w:p>
              </w:tc>
              <w:tc>
                <w:tcPr>
                  <w:tcW w:w="302" w:type="pct"/>
                  <w:tcBorders>
                    <w:tl2br w:val="nil"/>
                    <w:tr2bl w:val="nil"/>
                  </w:tcBorders>
                  <w:noWrap w:val="0"/>
                  <w:vAlign w:val="center"/>
                </w:tcPr>
                <w:p w14:paraId="3CF01D96">
                  <w:pPr>
                    <w:keepNext w:val="0"/>
                    <w:keepLines w:val="0"/>
                    <w:suppressLineNumbers w:val="0"/>
                    <w:tabs>
                      <w:tab w:val="left" w:pos="265"/>
                    </w:tabs>
                    <w:autoSpaceDE w:val="0"/>
                    <w:autoSpaceDN w:val="0"/>
                    <w:spacing w:before="0" w:beforeAutospacing="0" w:after="0" w:afterAutospacing="0" w:line="320" w:lineRule="exact"/>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污染物排放管控</w:t>
                  </w:r>
                </w:p>
              </w:tc>
              <w:tc>
                <w:tcPr>
                  <w:tcW w:w="1984" w:type="pct"/>
                  <w:tcBorders>
                    <w:tl2br w:val="nil"/>
                    <w:tr2bl w:val="nil"/>
                  </w:tcBorders>
                  <w:noWrap w:val="0"/>
                  <w:vAlign w:val="center"/>
                </w:tcPr>
                <w:p w14:paraId="0DD95B49">
                  <w:pPr>
                    <w:keepNext w:val="0"/>
                    <w:keepLines w:val="0"/>
                    <w:widowControl/>
                    <w:suppressLineNumbers w:val="0"/>
                    <w:autoSpaceDE w:val="0"/>
                    <w:autoSpaceDN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eastAsia="宋体" w:cs="Times New Roman"/>
                      <w:color w:val="auto"/>
                      <w:kern w:val="0"/>
                      <w:szCs w:val="21"/>
                      <w:highlight w:val="none"/>
                      <w:lang w:val="en-US" w:eastAsia="zh-CN"/>
                    </w:rPr>
                    <w:t>大气环境布局敏感重点管控区：1.鼓励将老旧车辆和非道路移动机械替换为清洁能源车辆。推进新能源或清洁能源汽车使用。水环境城镇生活污染重点管控区：1.加强城镇污水收集处理设施建设与提标改造。城镇生活污水处理达到《陕西省黄河流域污水综合排放标准》（DB61/224-2018）排放限值要求。2.城镇新区管网建设及老旧城区管网升级改造中实行雨污分流，鼓励推进初期雨水收集、处理和资源化利用，建设人工湿地水质净化工程，对处理达标后的尾水进一步净化。3.污水处理厂出水用于绿化、农灌等用途的，合理确定管控要求，确保达到相应污水再生利用标准。</w:t>
                  </w:r>
                </w:p>
              </w:tc>
              <w:tc>
                <w:tcPr>
                  <w:tcW w:w="342" w:type="pct"/>
                  <w:vMerge w:val="continue"/>
                  <w:tcBorders>
                    <w:tl2br w:val="nil"/>
                    <w:tr2bl w:val="nil"/>
                  </w:tcBorders>
                  <w:noWrap w:val="0"/>
                  <w:vAlign w:val="center"/>
                </w:tcPr>
                <w:p w14:paraId="18918B7F">
                  <w:pPr>
                    <w:pStyle w:val="82"/>
                    <w:keepNext w:val="0"/>
                    <w:keepLines w:val="0"/>
                    <w:suppressLineNumbers w:val="0"/>
                    <w:spacing w:before="0" w:beforeLines="0" w:beforeAutospacing="0" w:afterAutospacing="0" w:line="240" w:lineRule="auto"/>
                    <w:ind w:right="0"/>
                    <w:rPr>
                      <w:rFonts w:hint="default" w:ascii="Times New Roman" w:hAnsi="Times New Roman" w:eastAsia="宋体" w:cs="Times New Roman"/>
                      <w:color w:val="auto"/>
                      <w:sz w:val="21"/>
                      <w:szCs w:val="21"/>
                      <w:highlight w:val="none"/>
                    </w:rPr>
                  </w:pPr>
                </w:p>
              </w:tc>
              <w:tc>
                <w:tcPr>
                  <w:tcW w:w="797" w:type="pct"/>
                  <w:tcBorders>
                    <w:tl2br w:val="nil"/>
                    <w:tr2bl w:val="nil"/>
                  </w:tcBorders>
                  <w:noWrap w:val="0"/>
                  <w:vAlign w:val="center"/>
                </w:tcPr>
                <w:p w14:paraId="5B1EA7D6">
                  <w:pPr>
                    <w:keepNext w:val="0"/>
                    <w:keepLines w:val="0"/>
                    <w:numPr>
                      <w:ilvl w:val="0"/>
                      <w:numId w:val="0"/>
                    </w:numPr>
                    <w:suppressLineNumbers w:val="0"/>
                    <w:autoSpaceDE w:val="0"/>
                    <w:autoSpaceDN w:val="0"/>
                    <w:spacing w:before="0" w:beforeAutospacing="0" w:after="0" w:afterAutospacing="0"/>
                    <w:ind w:left="0" w:right="0"/>
                    <w:jc w:val="left"/>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1.本项目厂区内不涉及非道路移动机械，厂内物料转运采用电动叉车（新能源）。</w:t>
                  </w:r>
                </w:p>
                <w:p w14:paraId="2837E375">
                  <w:pPr>
                    <w:keepNext w:val="0"/>
                    <w:keepLines w:val="0"/>
                    <w:numPr>
                      <w:ilvl w:val="0"/>
                      <w:numId w:val="0"/>
                    </w:numPr>
                    <w:suppressLineNumbers w:val="0"/>
                    <w:autoSpaceDE w:val="0"/>
                    <w:autoSpaceDN w:val="0"/>
                    <w:spacing w:before="0" w:beforeAutospacing="0" w:after="0" w:afterAutospacing="0"/>
                    <w:ind w:left="0" w:right="0"/>
                    <w:jc w:val="left"/>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0"/>
                      <w:sz w:val="21"/>
                      <w:szCs w:val="21"/>
                      <w:highlight w:val="none"/>
                      <w:lang w:val="en-US" w:eastAsia="zh-CN"/>
                    </w:rPr>
                    <w:t>2</w:t>
                  </w:r>
                  <w:r>
                    <w:rPr>
                      <w:rFonts w:hint="eastAsia" w:cs="Times New Roman"/>
                      <w:color w:val="auto"/>
                      <w:kern w:val="0"/>
                      <w:sz w:val="21"/>
                      <w:szCs w:val="21"/>
                      <w:highlight w:val="none"/>
                      <w:lang w:val="en-US" w:eastAsia="zh-CN"/>
                    </w:rPr>
                    <w:t>. 本</w:t>
                  </w:r>
                  <w:r>
                    <w:rPr>
                      <w:rFonts w:hint="default" w:ascii="Times New Roman" w:hAnsi="Times New Roman" w:eastAsia="宋体" w:cs="Times New Roman"/>
                      <w:color w:val="auto"/>
                      <w:kern w:val="0"/>
                      <w:sz w:val="21"/>
                      <w:szCs w:val="21"/>
                      <w:highlight w:val="none"/>
                      <w:lang w:val="en-US" w:eastAsia="zh-CN"/>
                    </w:rPr>
                    <w:t>项目生活污水经厂区化粪池（依托厂房已建）处理后定期清掏外运；生产废水经厂区自建废水处理站处理后全部回用于厂区洒扫，全厂废水不外排。</w:t>
                  </w:r>
                </w:p>
              </w:tc>
              <w:tc>
                <w:tcPr>
                  <w:tcW w:w="255" w:type="pct"/>
                  <w:tcBorders>
                    <w:tl2br w:val="nil"/>
                    <w:tr2bl w:val="nil"/>
                  </w:tcBorders>
                  <w:noWrap w:val="0"/>
                  <w:vAlign w:val="center"/>
                </w:tcPr>
                <w:p w14:paraId="02C0DEA0">
                  <w:pPr>
                    <w:pStyle w:val="82"/>
                    <w:keepNext w:val="0"/>
                    <w:keepLines w:val="0"/>
                    <w:suppressLineNumbers w:val="0"/>
                    <w:spacing w:before="0" w:beforeLines="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r w14:paraId="57B47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8" w:type="pct"/>
                  <w:vMerge w:val="continue"/>
                  <w:tcBorders>
                    <w:tl2br w:val="nil"/>
                    <w:tr2bl w:val="nil"/>
                  </w:tcBorders>
                  <w:noWrap w:val="0"/>
                  <w:vAlign w:val="center"/>
                </w:tcPr>
                <w:p w14:paraId="42A12B84">
                  <w:pPr>
                    <w:pStyle w:val="82"/>
                    <w:keepNext w:val="0"/>
                    <w:keepLines w:val="0"/>
                    <w:suppressLineNumbers w:val="0"/>
                    <w:spacing w:before="0" w:beforeLines="0" w:beforeAutospacing="0" w:afterAutospacing="0" w:line="240" w:lineRule="auto"/>
                    <w:ind w:right="0"/>
                    <w:rPr>
                      <w:rFonts w:hint="default" w:ascii="Times New Roman" w:hAnsi="Times New Roman" w:eastAsia="宋体" w:cs="Times New Roman"/>
                      <w:color w:val="auto"/>
                      <w:sz w:val="21"/>
                      <w:szCs w:val="21"/>
                      <w:highlight w:val="none"/>
                    </w:rPr>
                  </w:pPr>
                </w:p>
              </w:tc>
              <w:tc>
                <w:tcPr>
                  <w:tcW w:w="220" w:type="pct"/>
                  <w:vMerge w:val="continue"/>
                  <w:tcBorders>
                    <w:tl2br w:val="nil"/>
                    <w:tr2bl w:val="nil"/>
                  </w:tcBorders>
                  <w:noWrap w:val="0"/>
                  <w:vAlign w:val="center"/>
                </w:tcPr>
                <w:p w14:paraId="5133EEF4">
                  <w:pPr>
                    <w:pStyle w:val="82"/>
                    <w:keepNext w:val="0"/>
                    <w:keepLines w:val="0"/>
                    <w:suppressLineNumbers w:val="0"/>
                    <w:tabs>
                      <w:tab w:val="left" w:pos="265"/>
                    </w:tabs>
                    <w:autoSpaceDE w:val="0"/>
                    <w:autoSpaceDN w:val="0"/>
                    <w:spacing w:before="0" w:beforeLines="0" w:beforeAutospacing="0" w:afterAutospacing="0" w:line="240" w:lineRule="auto"/>
                    <w:ind w:right="0"/>
                    <w:jc w:val="both"/>
                    <w:rPr>
                      <w:rFonts w:hint="default" w:ascii="Times New Roman" w:hAnsi="Times New Roman" w:eastAsia="宋体" w:cs="Times New Roman"/>
                      <w:color w:val="auto"/>
                      <w:sz w:val="21"/>
                      <w:szCs w:val="21"/>
                      <w:highlight w:val="none"/>
                    </w:rPr>
                  </w:pPr>
                </w:p>
              </w:tc>
              <w:tc>
                <w:tcPr>
                  <w:tcW w:w="346" w:type="pct"/>
                  <w:vMerge w:val="continue"/>
                  <w:tcBorders>
                    <w:tl2br w:val="nil"/>
                    <w:tr2bl w:val="nil"/>
                  </w:tcBorders>
                  <w:noWrap w:val="0"/>
                  <w:vAlign w:val="center"/>
                </w:tcPr>
                <w:p w14:paraId="66F27561">
                  <w:pPr>
                    <w:pStyle w:val="82"/>
                    <w:keepNext w:val="0"/>
                    <w:keepLines w:val="0"/>
                    <w:suppressLineNumbers w:val="0"/>
                    <w:tabs>
                      <w:tab w:val="left" w:pos="265"/>
                    </w:tabs>
                    <w:autoSpaceDE w:val="0"/>
                    <w:autoSpaceDN w:val="0"/>
                    <w:spacing w:before="0" w:beforeLines="0" w:beforeAutospacing="0" w:afterAutospacing="0" w:line="240" w:lineRule="auto"/>
                    <w:ind w:right="0"/>
                    <w:jc w:val="both"/>
                    <w:rPr>
                      <w:rFonts w:hint="default" w:ascii="Times New Roman" w:hAnsi="Times New Roman" w:eastAsia="宋体" w:cs="Times New Roman"/>
                      <w:color w:val="auto"/>
                      <w:sz w:val="21"/>
                      <w:szCs w:val="21"/>
                      <w:highlight w:val="none"/>
                    </w:rPr>
                  </w:pPr>
                </w:p>
              </w:tc>
              <w:tc>
                <w:tcPr>
                  <w:tcW w:w="373" w:type="pct"/>
                  <w:vMerge w:val="continue"/>
                  <w:tcBorders>
                    <w:tl2br w:val="nil"/>
                    <w:tr2bl w:val="nil"/>
                  </w:tcBorders>
                  <w:noWrap w:val="0"/>
                  <w:vAlign w:val="center"/>
                </w:tcPr>
                <w:p w14:paraId="48CED5FB">
                  <w:pPr>
                    <w:pStyle w:val="82"/>
                    <w:keepNext w:val="0"/>
                    <w:keepLines w:val="0"/>
                    <w:suppressLineNumbers w:val="0"/>
                    <w:tabs>
                      <w:tab w:val="left" w:pos="265"/>
                    </w:tabs>
                    <w:autoSpaceDE w:val="0"/>
                    <w:autoSpaceDN w:val="0"/>
                    <w:spacing w:before="0" w:beforeLines="0" w:beforeAutospacing="0" w:afterAutospacing="0" w:line="240" w:lineRule="auto"/>
                    <w:ind w:right="0"/>
                    <w:jc w:val="both"/>
                    <w:rPr>
                      <w:rFonts w:hint="default" w:ascii="Times New Roman" w:hAnsi="Times New Roman" w:eastAsia="宋体" w:cs="Times New Roman"/>
                      <w:color w:val="auto"/>
                      <w:sz w:val="21"/>
                      <w:szCs w:val="21"/>
                      <w:highlight w:val="none"/>
                    </w:rPr>
                  </w:pPr>
                </w:p>
              </w:tc>
              <w:tc>
                <w:tcPr>
                  <w:tcW w:w="302" w:type="pct"/>
                  <w:tcBorders>
                    <w:tl2br w:val="nil"/>
                    <w:tr2bl w:val="nil"/>
                  </w:tcBorders>
                  <w:noWrap w:val="0"/>
                  <w:vAlign w:val="center"/>
                </w:tcPr>
                <w:p w14:paraId="11E73FCB">
                  <w:pPr>
                    <w:keepNext w:val="0"/>
                    <w:keepLines w:val="0"/>
                    <w:suppressLineNumbers w:val="0"/>
                    <w:tabs>
                      <w:tab w:val="left" w:pos="265"/>
                    </w:tabs>
                    <w:autoSpaceDE w:val="0"/>
                    <w:autoSpaceDN w:val="0"/>
                    <w:spacing w:before="0" w:beforeAutospacing="0" w:after="0" w:afterAutospacing="0" w:line="32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资源开发效率要求</w:t>
                  </w:r>
                </w:p>
              </w:tc>
              <w:tc>
                <w:tcPr>
                  <w:tcW w:w="1984" w:type="pct"/>
                  <w:tcBorders>
                    <w:tl2br w:val="nil"/>
                    <w:tr2bl w:val="nil"/>
                  </w:tcBorders>
                  <w:noWrap w:val="0"/>
                  <w:vAlign w:val="center"/>
                </w:tcPr>
                <w:p w14:paraId="20A59DC5">
                  <w:pPr>
                    <w:keepNext w:val="0"/>
                    <w:keepLines w:val="0"/>
                    <w:suppressLineNumbers w:val="0"/>
                    <w:autoSpaceDE w:val="0"/>
                    <w:autoSpaceDN w:val="0"/>
                    <w:spacing w:before="0" w:beforeAutospacing="0" w:after="0" w:afterAutospacing="0"/>
                    <w:ind w:left="0" w:right="0"/>
                    <w:jc w:val="left"/>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高污染燃料禁燃区：1.禁止销售、使用高污染燃料。禁止新建、扩建燃用高污染燃料的设施。已建成的，应当在市人民政府规定的期限内停止使用或者改用天然气、页岩气、煤层气、液化石油气、干热岩、电、太阳能或者其他清洁能源。2.禁止燃放烟花爆竹。</w:t>
                  </w:r>
                </w:p>
              </w:tc>
              <w:tc>
                <w:tcPr>
                  <w:tcW w:w="342" w:type="pct"/>
                  <w:vMerge w:val="continue"/>
                  <w:tcBorders>
                    <w:tl2br w:val="nil"/>
                    <w:tr2bl w:val="nil"/>
                  </w:tcBorders>
                  <w:noWrap w:val="0"/>
                  <w:vAlign w:val="center"/>
                </w:tcPr>
                <w:p w14:paraId="6AEFF03F">
                  <w:pPr>
                    <w:pStyle w:val="82"/>
                    <w:keepNext w:val="0"/>
                    <w:keepLines w:val="0"/>
                    <w:suppressLineNumbers w:val="0"/>
                    <w:spacing w:before="0" w:beforeLines="0" w:beforeAutospacing="0" w:afterAutospacing="0" w:line="240" w:lineRule="auto"/>
                    <w:ind w:right="0"/>
                    <w:rPr>
                      <w:rFonts w:hint="default" w:ascii="Times New Roman" w:hAnsi="Times New Roman" w:eastAsia="宋体" w:cs="Times New Roman"/>
                      <w:color w:val="auto"/>
                      <w:sz w:val="21"/>
                      <w:szCs w:val="21"/>
                      <w:highlight w:val="none"/>
                    </w:rPr>
                  </w:pPr>
                </w:p>
              </w:tc>
              <w:tc>
                <w:tcPr>
                  <w:tcW w:w="797" w:type="pct"/>
                  <w:tcBorders>
                    <w:tl2br w:val="nil"/>
                    <w:tr2bl w:val="nil"/>
                  </w:tcBorders>
                  <w:noWrap w:val="0"/>
                  <w:vAlign w:val="center"/>
                </w:tcPr>
                <w:p w14:paraId="3C43A567">
                  <w:pPr>
                    <w:pStyle w:val="82"/>
                    <w:keepNext w:val="0"/>
                    <w:keepLines w:val="0"/>
                    <w:suppressLineNumbers w:val="0"/>
                    <w:spacing w:before="0" w:beforeLines="0" w:beforeAutospacing="0" w:afterAutospacing="0" w:line="240" w:lineRule="auto"/>
                    <w:ind w:left="0" w:leftChars="0" w:right="0" w:firstLine="0" w:firstLineChars="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本项目采用电能和天然气等清洁能源，不使用高污染燃料，不涉及燃煤等。</w:t>
                  </w:r>
                </w:p>
              </w:tc>
              <w:tc>
                <w:tcPr>
                  <w:tcW w:w="255" w:type="pct"/>
                  <w:tcBorders>
                    <w:tl2br w:val="nil"/>
                    <w:tr2bl w:val="nil"/>
                  </w:tcBorders>
                  <w:noWrap w:val="0"/>
                  <w:vAlign w:val="center"/>
                </w:tcPr>
                <w:p w14:paraId="17967598">
                  <w:pPr>
                    <w:pStyle w:val="82"/>
                    <w:keepNext w:val="0"/>
                    <w:keepLines w:val="0"/>
                    <w:suppressLineNumbers w:val="0"/>
                    <w:spacing w:before="0" w:beforeLines="0" w:beforeAutospacing="0" w:afterAutospacing="0" w:line="240" w:lineRule="auto"/>
                    <w:ind w:left="0" w:leftChars="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w:t>
                  </w:r>
                </w:p>
              </w:tc>
            </w:tr>
          </w:tbl>
          <w:p w14:paraId="0BC50B5B">
            <w:pPr>
              <w:keepNext w:val="0"/>
              <w:keepLines w:val="0"/>
              <w:numPr>
                <w:ilvl w:val="0"/>
                <w:numId w:val="3"/>
              </w:numPr>
              <w:suppressLineNumbers w:val="0"/>
              <w:spacing w:before="0" w:beforeAutospacing="0" w:after="0" w:afterAutospacing="0" w:line="360" w:lineRule="auto"/>
              <w:ind w:left="0" w:leftChars="0" w:right="0"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一说明</w:t>
            </w:r>
          </w:p>
          <w:p w14:paraId="5CA1435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szCs w:val="24"/>
                <w:highlight w:val="none"/>
                <w:lang w:val="en-US" w:eastAsia="zh-CN"/>
              </w:rPr>
              <w:t>本项目位于西安市生态环境分区管控中的重点管控单元，不涉及优先管控单元。项目建设满足各重点管控单元空间布局约束、污染物排放管控要求，符合《2023年西安市生态环境分区管控调整方案》要求。</w:t>
            </w:r>
          </w:p>
          <w:p w14:paraId="2EDD4043">
            <w:pPr>
              <w:pStyle w:val="13"/>
              <w:keepNext w:val="0"/>
              <w:keepLines w:val="0"/>
              <w:suppressLineNumbers w:val="0"/>
              <w:spacing w:before="0" w:beforeAutospacing="0" w:afterAutospacing="0"/>
              <w:ind w:right="0"/>
              <w:jc w:val="center"/>
              <w:rPr>
                <w:rFonts w:hint="default" w:ascii="Times New Roman" w:hAnsi="Times New Roman" w:cs="Times New Roman"/>
                <w:color w:val="auto"/>
                <w:highlight w:val="none"/>
                <w:vertAlign w:val="baseline"/>
              </w:rPr>
            </w:pPr>
          </w:p>
        </w:tc>
      </w:tr>
    </w:tbl>
    <w:p w14:paraId="3CB8BC1D">
      <w:pPr>
        <w:pStyle w:val="13"/>
        <w:ind w:left="0" w:leftChars="0" w:firstLine="0" w:firstLineChars="0"/>
        <w:rPr>
          <w:rFonts w:hint="default" w:ascii="Times New Roman" w:hAnsi="Times New Roman" w:cs="Times New Roman"/>
          <w:color w:val="auto"/>
          <w:highlight w:val="none"/>
        </w:rPr>
        <w:sectPr>
          <w:pgSz w:w="16838" w:h="11906" w:orient="landscape"/>
          <w:pgMar w:top="1531" w:right="1701" w:bottom="1531" w:left="1701" w:header="851" w:footer="992" w:gutter="0"/>
          <w:pgBorders>
            <w:top w:val="none" w:sz="0" w:space="0"/>
            <w:left w:val="none" w:sz="0" w:space="0"/>
            <w:bottom w:val="none" w:sz="0" w:space="0"/>
            <w:right w:val="none" w:sz="0" w:space="0"/>
          </w:pgBorders>
          <w:cols w:space="425" w:num="1"/>
          <w:docGrid w:type="lines" w:linePitch="312" w:charSpace="0"/>
        </w:sectPr>
      </w:pPr>
    </w:p>
    <w:tbl>
      <w:tblPr>
        <w:tblStyle w:val="32"/>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6"/>
        <w:gridCol w:w="7450"/>
      </w:tblGrid>
      <w:tr w14:paraId="68B0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2" w:hRule="atLeast"/>
          <w:jc w:val="center"/>
        </w:trPr>
        <w:tc>
          <w:tcPr>
            <w:tcW w:w="1506" w:type="dxa"/>
            <w:vAlign w:val="center"/>
          </w:tcPr>
          <w:p w14:paraId="21B527FF">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 w:val="24"/>
                <w:highlight w:val="none"/>
              </w:rPr>
              <w:t>其他符合性分析</w:t>
            </w:r>
          </w:p>
        </w:tc>
        <w:tc>
          <w:tcPr>
            <w:tcW w:w="7450" w:type="dxa"/>
            <w:vAlign w:val="center"/>
          </w:tcPr>
          <w:p w14:paraId="71710EA6">
            <w:pPr>
              <w:keepNext w:val="0"/>
              <w:keepLines w:val="0"/>
              <w:suppressLineNumbers w:val="0"/>
              <w:autoSpaceDE w:val="0"/>
              <w:autoSpaceDN w:val="0"/>
              <w:adjustRightInd w:val="0"/>
              <w:snapToGrid w:val="0"/>
              <w:spacing w:before="0" w:beforeAutospacing="0" w:after="0" w:afterAutospacing="0" w:line="360" w:lineRule="auto"/>
              <w:ind w:left="0" w:right="0"/>
              <w:rPr>
                <w:rFonts w:hint="default" w:ascii="Times New Roman" w:hAnsi="Times New Roman" w:cs="Times New Roman"/>
                <w:b/>
                <w:color w:val="auto"/>
                <w:sz w:val="24"/>
                <w:highlight w:val="none"/>
              </w:rPr>
            </w:pPr>
            <w:r>
              <w:rPr>
                <w:rFonts w:hint="default" w:ascii="Times New Roman" w:hAnsi="Times New Roman" w:cs="Times New Roman"/>
                <w:b/>
                <w:bCs/>
                <w:color w:val="auto"/>
                <w:kern w:val="0"/>
                <w:sz w:val="24"/>
                <w:highlight w:val="none"/>
                <w:lang w:val="en-US" w:eastAsia="zh-CN"/>
              </w:rPr>
              <w:t>3.</w:t>
            </w:r>
            <w:r>
              <w:rPr>
                <w:rFonts w:hint="default" w:ascii="Times New Roman" w:hAnsi="Times New Roman" w:cs="Times New Roman"/>
                <w:b/>
                <w:bCs/>
                <w:color w:val="auto"/>
                <w:kern w:val="0"/>
                <w:sz w:val="24"/>
                <w:highlight w:val="none"/>
              </w:rPr>
              <w:t>相关政策符合性分析</w:t>
            </w:r>
          </w:p>
          <w:p w14:paraId="6478B0CB">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 xml:space="preserve">表1-4  </w:t>
            </w:r>
            <w:r>
              <w:rPr>
                <w:rFonts w:hint="default" w:ascii="Times New Roman" w:hAnsi="Times New Roman" w:cs="Times New Roman"/>
                <w:b/>
                <w:bCs/>
                <w:color w:val="auto"/>
                <w:sz w:val="24"/>
                <w:highlight w:val="none"/>
                <w:lang w:val="en-US" w:eastAsia="zh-CN"/>
              </w:rPr>
              <w:t>本项目</w:t>
            </w:r>
            <w:r>
              <w:rPr>
                <w:rFonts w:hint="default" w:ascii="Times New Roman" w:hAnsi="Times New Roman" w:cs="Times New Roman"/>
                <w:b/>
                <w:bCs/>
                <w:color w:val="auto"/>
                <w:sz w:val="24"/>
                <w:highlight w:val="none"/>
              </w:rPr>
              <w:t>与</w:t>
            </w:r>
            <w:r>
              <w:rPr>
                <w:rFonts w:hint="default" w:ascii="Times New Roman" w:hAnsi="Times New Roman" w:cs="Times New Roman"/>
                <w:b/>
                <w:bCs/>
                <w:color w:val="auto"/>
                <w:sz w:val="24"/>
                <w:highlight w:val="none"/>
                <w:lang w:val="en-US" w:eastAsia="zh-CN"/>
              </w:rPr>
              <w:t>相关环保政策</w:t>
            </w:r>
            <w:r>
              <w:rPr>
                <w:rFonts w:hint="default" w:ascii="Times New Roman" w:hAnsi="Times New Roman" w:cs="Times New Roman"/>
                <w:b/>
                <w:bCs/>
                <w:color w:val="auto"/>
                <w:sz w:val="24"/>
                <w:highlight w:val="none"/>
              </w:rPr>
              <w:t>符合性分析</w:t>
            </w:r>
          </w:p>
          <w:tbl>
            <w:tblPr>
              <w:tblStyle w:val="32"/>
              <w:tblW w:w="50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736"/>
              <w:gridCol w:w="2692"/>
              <w:gridCol w:w="2335"/>
              <w:gridCol w:w="583"/>
            </w:tblGrid>
            <w:tr w14:paraId="440C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181" w:type="pct"/>
                  <w:tcBorders>
                    <w:tl2br w:val="nil"/>
                    <w:tr2bl w:val="nil"/>
                  </w:tcBorders>
                  <w:noWrap w:val="0"/>
                  <w:vAlign w:val="center"/>
                </w:tcPr>
                <w:p w14:paraId="0ADAA031">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1"/>
                      <w:szCs w:val="21"/>
                      <w:highlight w:val="none"/>
                    </w:rPr>
                  </w:pPr>
                  <w:r>
                    <w:rPr>
                      <w:rFonts w:hint="default" w:ascii="Times New Roman" w:hAnsi="Times New Roman" w:eastAsia="宋体" w:cs="Times New Roman"/>
                      <w:b/>
                      <w:bCs/>
                      <w:color w:val="auto"/>
                      <w:kern w:val="21"/>
                      <w:szCs w:val="21"/>
                      <w:highlight w:val="none"/>
                    </w:rPr>
                    <w:t>文件</w:t>
                  </w:r>
                </w:p>
              </w:tc>
              <w:tc>
                <w:tcPr>
                  <w:tcW w:w="1832" w:type="pct"/>
                  <w:tcBorders>
                    <w:tl2br w:val="nil"/>
                    <w:tr2bl w:val="nil"/>
                  </w:tcBorders>
                  <w:noWrap w:val="0"/>
                  <w:vAlign w:val="center"/>
                </w:tcPr>
                <w:p w14:paraId="20A28BA0">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1"/>
                      <w:szCs w:val="21"/>
                      <w:highlight w:val="none"/>
                    </w:rPr>
                  </w:pPr>
                  <w:r>
                    <w:rPr>
                      <w:rFonts w:hint="default" w:ascii="Times New Roman" w:hAnsi="Times New Roman" w:eastAsia="宋体" w:cs="Times New Roman"/>
                      <w:b/>
                      <w:bCs/>
                      <w:color w:val="auto"/>
                      <w:kern w:val="21"/>
                      <w:szCs w:val="21"/>
                      <w:highlight w:val="none"/>
                    </w:rPr>
                    <w:t>政策要求</w:t>
                  </w:r>
                </w:p>
              </w:tc>
              <w:tc>
                <w:tcPr>
                  <w:tcW w:w="1589" w:type="pct"/>
                  <w:tcBorders>
                    <w:tl2br w:val="nil"/>
                    <w:tr2bl w:val="nil"/>
                  </w:tcBorders>
                  <w:noWrap w:val="0"/>
                  <w:vAlign w:val="center"/>
                </w:tcPr>
                <w:p w14:paraId="3C847D66">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1"/>
                      <w:szCs w:val="21"/>
                      <w:highlight w:val="none"/>
                    </w:rPr>
                  </w:pPr>
                  <w:r>
                    <w:rPr>
                      <w:rFonts w:hint="default" w:ascii="Times New Roman" w:hAnsi="Times New Roman" w:eastAsia="宋体" w:cs="Times New Roman"/>
                      <w:b/>
                      <w:bCs/>
                      <w:color w:val="auto"/>
                      <w:kern w:val="21"/>
                      <w:szCs w:val="21"/>
                      <w:highlight w:val="none"/>
                    </w:rPr>
                    <w:t>本项目情况</w:t>
                  </w:r>
                </w:p>
              </w:tc>
              <w:tc>
                <w:tcPr>
                  <w:tcW w:w="396" w:type="pct"/>
                  <w:tcBorders>
                    <w:tl2br w:val="nil"/>
                    <w:tr2bl w:val="nil"/>
                  </w:tcBorders>
                  <w:noWrap w:val="0"/>
                  <w:vAlign w:val="center"/>
                </w:tcPr>
                <w:p w14:paraId="0B6BCF43">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1"/>
                      <w:szCs w:val="21"/>
                      <w:highlight w:val="none"/>
                    </w:rPr>
                  </w:pPr>
                  <w:r>
                    <w:rPr>
                      <w:rFonts w:hint="default" w:ascii="Times New Roman" w:hAnsi="Times New Roman" w:eastAsia="宋体" w:cs="Times New Roman"/>
                      <w:b/>
                      <w:bCs/>
                      <w:color w:val="auto"/>
                      <w:kern w:val="21"/>
                      <w:szCs w:val="21"/>
                      <w:highlight w:val="none"/>
                    </w:rPr>
                    <w:t>相符性</w:t>
                  </w:r>
                </w:p>
              </w:tc>
            </w:tr>
            <w:tr w14:paraId="5DA4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14" w:hRule="atLeast"/>
                <w:jc w:val="center"/>
              </w:trPr>
              <w:tc>
                <w:tcPr>
                  <w:tcW w:w="1181" w:type="pct"/>
                  <w:tcBorders>
                    <w:tl2br w:val="nil"/>
                    <w:tr2bl w:val="nil"/>
                  </w:tcBorders>
                  <w:noWrap w:val="0"/>
                  <w:vAlign w:val="center"/>
                </w:tcPr>
                <w:p w14:paraId="7FAF2D8B">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1"/>
                      <w:szCs w:val="21"/>
                      <w:highlight w:val="none"/>
                      <w:lang w:val="en"/>
                    </w:rPr>
                  </w:pPr>
                  <w:r>
                    <w:rPr>
                      <w:rFonts w:hint="default" w:ascii="Times New Roman" w:hAnsi="Times New Roman" w:eastAsia="宋体" w:cs="Times New Roman"/>
                      <w:color w:val="auto"/>
                      <w:kern w:val="21"/>
                      <w:szCs w:val="21"/>
                      <w:highlight w:val="none"/>
                      <w:lang w:val="en"/>
                    </w:rPr>
                    <w:t>《中华人民共和国生态环境法典》第二编第六分编固体废物污染防治</w:t>
                  </w:r>
                </w:p>
              </w:tc>
              <w:tc>
                <w:tcPr>
                  <w:tcW w:w="1832" w:type="pct"/>
                  <w:tcBorders>
                    <w:tl2br w:val="nil"/>
                    <w:tr2bl w:val="nil"/>
                  </w:tcBorders>
                  <w:noWrap w:val="0"/>
                  <w:vAlign w:val="center"/>
                </w:tcPr>
                <w:p w14:paraId="49F01F1C">
                  <w:pPr>
                    <w:keepNext w:val="0"/>
                    <w:keepLines w:val="0"/>
                    <w:suppressLineNumbers w:val="0"/>
                    <w:spacing w:before="0" w:beforeAutospacing="0" w:after="0" w:afterAutospacing="0"/>
                    <w:ind w:left="0" w:leftChars="0" w:right="0" w:rightChars="0"/>
                    <w:jc w:val="both"/>
                    <w:rPr>
                      <w:rFonts w:hint="default" w:ascii="Times New Roman" w:hAnsi="Times New Roman" w:eastAsia="宋体" w:cs="Times New Roman"/>
                      <w:bCs/>
                      <w:color w:val="auto"/>
                      <w:kern w:val="0"/>
                      <w:szCs w:val="21"/>
                      <w:highlight w:val="none"/>
                      <w:lang w:val="en-GB" w:eastAsia="zh-CN"/>
                    </w:rPr>
                  </w:pPr>
                  <w:r>
                    <w:rPr>
                      <w:rFonts w:hint="default" w:ascii="Times New Roman" w:hAnsi="Times New Roman" w:eastAsia="宋体" w:cs="Times New Roman"/>
                      <w:bCs/>
                      <w:color w:val="auto"/>
                      <w:kern w:val="0"/>
                      <w:szCs w:val="21"/>
                      <w:highlight w:val="none"/>
                      <w:lang w:val="en-GB"/>
                    </w:rPr>
                    <w:t>固体废物减量化、资源化、无害化原则，要求对固体废物产生、收集、贮存、运输、利用、处置实施全过程管控；区分一般工业固体废物、生活垃圾、危险废物实施分类管理；要求落实贮存防扬散、防流失、防渗漏，建立管理台账，危险废物应当委托具备相应资质单位处置，禁止擅自倾倒、堆放、丢弃固体废物</w:t>
                  </w:r>
                  <w:r>
                    <w:rPr>
                      <w:rFonts w:hint="default" w:ascii="Times New Roman" w:hAnsi="Times New Roman" w:cs="Times New Roman"/>
                      <w:bCs/>
                      <w:color w:val="auto"/>
                      <w:kern w:val="0"/>
                      <w:szCs w:val="21"/>
                      <w:highlight w:val="none"/>
                      <w:lang w:val="en-GB" w:eastAsia="zh-CN"/>
                    </w:rPr>
                    <w:t>。</w:t>
                  </w:r>
                </w:p>
              </w:tc>
              <w:tc>
                <w:tcPr>
                  <w:tcW w:w="1589" w:type="pct"/>
                  <w:tcBorders>
                    <w:tl2br w:val="nil"/>
                    <w:tr2bl w:val="nil"/>
                  </w:tcBorders>
                  <w:shd w:val="clear" w:color="auto" w:fill="auto"/>
                  <w:noWrap w:val="0"/>
                  <w:vAlign w:val="center"/>
                </w:tcPr>
                <w:p w14:paraId="5B43EADE">
                  <w:pPr>
                    <w:keepNext w:val="0"/>
                    <w:keepLines w:val="0"/>
                    <w:suppressLineNumbers w:val="0"/>
                    <w:spacing w:before="0" w:beforeAutospacing="0" w:after="0" w:afterAutospacing="0"/>
                    <w:ind w:left="0" w:leftChars="0" w:right="0" w:rightChars="0"/>
                    <w:jc w:val="both"/>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b w:val="0"/>
                      <w:sz w:val="21"/>
                      <w:szCs w:val="21"/>
                      <w:highlight w:val="none"/>
                    </w:rPr>
                    <w:t>分类收集暂存；危废委托有资质单位处置；一般固废外售综合利用；生活垃圾环卫清运</w:t>
                  </w:r>
                  <w:r>
                    <w:rPr>
                      <w:rFonts w:hint="default" w:ascii="Times New Roman" w:hAnsi="Times New Roman" w:eastAsia="宋体" w:cs="Times New Roman"/>
                      <w:b w:val="0"/>
                      <w:sz w:val="21"/>
                      <w:szCs w:val="21"/>
                      <w:highlight w:val="none"/>
                      <w:lang w:eastAsia="zh-CN"/>
                    </w:rPr>
                    <w:t>。</w:t>
                  </w:r>
                </w:p>
              </w:tc>
              <w:tc>
                <w:tcPr>
                  <w:tcW w:w="396" w:type="pct"/>
                  <w:tcBorders>
                    <w:tl2br w:val="nil"/>
                    <w:tr2bl w:val="nil"/>
                  </w:tcBorders>
                  <w:shd w:val="clear" w:color="auto" w:fill="auto"/>
                  <w:noWrap w:val="0"/>
                  <w:vAlign w:val="center"/>
                </w:tcPr>
                <w:p w14:paraId="610D3E8E">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符合</w:t>
                  </w:r>
                </w:p>
              </w:tc>
            </w:tr>
            <w:tr w14:paraId="6749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181" w:type="pct"/>
                  <w:tcBorders>
                    <w:tl2br w:val="nil"/>
                    <w:tr2bl w:val="nil"/>
                  </w:tcBorders>
                  <w:noWrap w:val="0"/>
                  <w:vAlign w:val="center"/>
                </w:tcPr>
                <w:p w14:paraId="55445AF6">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color w:val="auto"/>
                      <w:kern w:val="0"/>
                      <w:sz w:val="24"/>
                      <w:highlight w:val="none"/>
                    </w:rPr>
                  </w:pPr>
                  <w:r>
                    <w:rPr>
                      <w:rFonts w:hint="default" w:ascii="Times New Roman" w:hAnsi="Times New Roman" w:cs="Times New Roman"/>
                      <w:b w:val="0"/>
                      <w:bCs/>
                      <w:color w:val="auto"/>
                      <w:kern w:val="0"/>
                      <w:sz w:val="21"/>
                      <w:szCs w:val="21"/>
                      <w:highlight w:val="none"/>
                    </w:rPr>
                    <w:t>《中华人民共和国生态环境法典》（第二编第三分编 水污染防治）</w:t>
                  </w:r>
                </w:p>
              </w:tc>
              <w:tc>
                <w:tcPr>
                  <w:tcW w:w="1832" w:type="pct"/>
                  <w:tcBorders>
                    <w:tl2br w:val="nil"/>
                    <w:tr2bl w:val="nil"/>
                  </w:tcBorders>
                  <w:noWrap w:val="0"/>
                  <w:vAlign w:val="center"/>
                </w:tcPr>
                <w:p w14:paraId="65C4A371">
                  <w:pPr>
                    <w:pStyle w:val="29"/>
                    <w:keepNext w:val="0"/>
                    <w:keepLines w:val="0"/>
                    <w:suppressLineNumbers w:val="0"/>
                    <w:shd w:val="clear" w:color="auto"/>
                    <w:spacing w:before="0" w:beforeAutospacing="0" w:after="0" w:afterAutospacing="0"/>
                    <w:ind w:left="0" w:leftChars="0" w:right="0" w:rightChars="0"/>
                    <w:jc w:val="both"/>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优先保护饮用水水源，严格控制工业水污染；工业生产废水应当综合利用，优先回用；禁止违法向水体排放废水、废液；生产厂区应做好防渗，防范废水渗漏污染地下水；生活污水宜纳入城镇污水集中处理设施处置。</w:t>
                  </w:r>
                </w:p>
              </w:tc>
              <w:tc>
                <w:tcPr>
                  <w:tcW w:w="1589" w:type="pct"/>
                  <w:tcBorders>
                    <w:tl2br w:val="nil"/>
                    <w:tr2bl w:val="nil"/>
                  </w:tcBorders>
                  <w:shd w:val="clear" w:color="auto" w:fill="auto"/>
                  <w:noWrap w:val="0"/>
                  <w:vAlign w:val="center"/>
                </w:tcPr>
                <w:p w14:paraId="7F2EA2B1">
                  <w:pPr>
                    <w:keepNext w:val="0"/>
                    <w:keepLines w:val="0"/>
                    <w:suppressLineNumbers w:val="0"/>
                    <w:spacing w:before="0" w:beforeAutospacing="0" w:after="0" w:afterAutospacing="0"/>
                    <w:ind w:left="0" w:leftChars="0" w:right="0" w:rightChars="0"/>
                    <w:jc w:val="both"/>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本项目生产废水经厂区自建废水处理站处理后全部回用于厂区洒扫；纯水制备浓水、循环冷却系统排污回用于厂区绿化洒扫；生活污水经化粪池处理后定期清掏外运，厂区实行雨污分流，全厂废水不外排。</w:t>
                  </w:r>
                </w:p>
              </w:tc>
              <w:tc>
                <w:tcPr>
                  <w:tcW w:w="396" w:type="pct"/>
                  <w:tcBorders>
                    <w:tl2br w:val="nil"/>
                    <w:tr2bl w:val="nil"/>
                  </w:tcBorders>
                  <w:shd w:val="clear" w:color="auto" w:fill="auto"/>
                  <w:noWrap w:val="0"/>
                  <w:vAlign w:val="center"/>
                </w:tcPr>
                <w:p w14:paraId="701725B0">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符合</w:t>
                  </w:r>
                </w:p>
              </w:tc>
            </w:tr>
            <w:tr w14:paraId="359C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181" w:type="pct"/>
                  <w:tcBorders>
                    <w:tl2br w:val="nil"/>
                    <w:tr2bl w:val="nil"/>
                  </w:tcBorders>
                  <w:noWrap w:val="0"/>
                  <w:vAlign w:val="center"/>
                </w:tcPr>
                <w:p w14:paraId="25C74B4F">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1"/>
                      <w:szCs w:val="21"/>
                      <w:highlight w:val="none"/>
                    </w:rPr>
                  </w:pPr>
                  <w:r>
                    <w:rPr>
                      <w:rFonts w:hint="default" w:ascii="Times New Roman" w:hAnsi="Times New Roman" w:eastAsia="宋体" w:cs="Times New Roman"/>
                      <w:color w:val="auto"/>
                      <w:kern w:val="21"/>
                      <w:szCs w:val="21"/>
                      <w:highlight w:val="none"/>
                      <w:lang w:val="en"/>
                    </w:rPr>
                    <w:t>《陕西省</w:t>
                  </w:r>
                  <w:r>
                    <w:rPr>
                      <w:rFonts w:hint="default" w:ascii="Times New Roman" w:hAnsi="Times New Roman" w:cs="Times New Roman"/>
                      <w:color w:val="auto"/>
                      <w:kern w:val="21"/>
                      <w:szCs w:val="21"/>
                      <w:highlight w:val="none"/>
                      <w:lang w:val="en" w:eastAsia="zh-CN"/>
                    </w:rPr>
                    <w:t>“</w:t>
                  </w:r>
                  <w:r>
                    <w:rPr>
                      <w:rFonts w:hint="default" w:ascii="Times New Roman" w:hAnsi="Times New Roman" w:eastAsia="宋体" w:cs="Times New Roman"/>
                      <w:color w:val="auto"/>
                      <w:kern w:val="21"/>
                      <w:szCs w:val="21"/>
                      <w:highlight w:val="none"/>
                      <w:lang w:val="en"/>
                    </w:rPr>
                    <w:t>十四五</w:t>
                  </w:r>
                  <w:r>
                    <w:rPr>
                      <w:rFonts w:hint="default" w:ascii="Times New Roman" w:hAnsi="Times New Roman" w:cs="Times New Roman"/>
                      <w:color w:val="auto"/>
                      <w:kern w:val="21"/>
                      <w:szCs w:val="21"/>
                      <w:highlight w:val="none"/>
                      <w:lang w:val="en" w:eastAsia="zh-CN"/>
                    </w:rPr>
                    <w:t>”</w:t>
                  </w:r>
                  <w:r>
                    <w:rPr>
                      <w:rFonts w:hint="default" w:ascii="Times New Roman" w:hAnsi="Times New Roman" w:eastAsia="宋体" w:cs="Times New Roman"/>
                      <w:color w:val="auto"/>
                      <w:kern w:val="21"/>
                      <w:szCs w:val="21"/>
                      <w:highlight w:val="none"/>
                      <w:lang w:val="en"/>
                    </w:rPr>
                    <w:t>生态环境保护规划》（陕政办发〔2021〕25号）</w:t>
                  </w:r>
                </w:p>
              </w:tc>
              <w:tc>
                <w:tcPr>
                  <w:tcW w:w="1832" w:type="pct"/>
                  <w:tcBorders>
                    <w:tl2br w:val="nil"/>
                    <w:tr2bl w:val="nil"/>
                  </w:tcBorders>
                  <w:noWrap w:val="0"/>
                  <w:vAlign w:val="center"/>
                </w:tcPr>
                <w:p w14:paraId="28598FB4">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bCs/>
                      <w:color w:val="auto"/>
                      <w:kern w:val="21"/>
                      <w:szCs w:val="21"/>
                      <w:highlight w:val="none"/>
                    </w:rPr>
                  </w:pPr>
                  <w:r>
                    <w:rPr>
                      <w:rFonts w:hint="default" w:ascii="Times New Roman" w:hAnsi="Times New Roman" w:eastAsia="宋体" w:cs="Times New Roman"/>
                      <w:bCs/>
                      <w:color w:val="auto"/>
                      <w:kern w:val="0"/>
                      <w:szCs w:val="21"/>
                      <w:highlight w:val="none"/>
                      <w:lang w:val="en-GB"/>
                    </w:rPr>
                    <w:t>深化落实环评制度。不断健全环境影响评价等生态源头预防体系，对重点区域、重点流域、重点行业依法开展规划环境影响评价，严格建设项目生态环境准入。</w:t>
                  </w:r>
                </w:p>
              </w:tc>
              <w:tc>
                <w:tcPr>
                  <w:tcW w:w="1589" w:type="pct"/>
                  <w:tcBorders>
                    <w:tl2br w:val="nil"/>
                    <w:tr2bl w:val="nil"/>
                  </w:tcBorders>
                  <w:shd w:val="clear" w:color="auto" w:fill="auto"/>
                  <w:noWrap w:val="0"/>
                  <w:vAlign w:val="center"/>
                </w:tcPr>
                <w:p w14:paraId="13632AA3">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lang w:bidi="ar"/>
                    </w:rPr>
                    <w:t>本项目租赁已建成厂房，目前正在办理相关环评手续。</w:t>
                  </w:r>
                </w:p>
              </w:tc>
              <w:tc>
                <w:tcPr>
                  <w:tcW w:w="396" w:type="pct"/>
                  <w:tcBorders>
                    <w:tl2br w:val="nil"/>
                    <w:tr2bl w:val="nil"/>
                  </w:tcBorders>
                  <w:shd w:val="clear" w:color="auto" w:fill="auto"/>
                  <w:noWrap w:val="0"/>
                  <w:vAlign w:val="center"/>
                </w:tcPr>
                <w:p w14:paraId="43796775">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Cs w:val="21"/>
                      <w:highlight w:val="none"/>
                    </w:rPr>
                    <w:t>符合</w:t>
                  </w:r>
                </w:p>
              </w:tc>
            </w:tr>
            <w:tr w14:paraId="2591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181" w:type="pct"/>
                  <w:tcBorders>
                    <w:tl2br w:val="nil"/>
                    <w:tr2bl w:val="nil"/>
                  </w:tcBorders>
                  <w:noWrap w:val="0"/>
                  <w:vAlign w:val="center"/>
                </w:tcPr>
                <w:p w14:paraId="43912C8B">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21"/>
                      <w:szCs w:val="21"/>
                      <w:highlight w:val="none"/>
                    </w:rPr>
                  </w:pPr>
                  <w:r>
                    <w:rPr>
                      <w:rFonts w:hint="default" w:ascii="Times New Roman" w:hAnsi="Times New Roman" w:cs="Times New Roman"/>
                      <w:color w:val="auto"/>
                      <w:kern w:val="2"/>
                      <w:sz w:val="21"/>
                      <w:szCs w:val="21"/>
                      <w:highlight w:val="none"/>
                      <w:lang w:val="en-US" w:eastAsia="zh-CN" w:bidi="ar-SA"/>
                    </w:rPr>
                    <w:t>西安市人民政府关于印发《西安市空气质量达标规划（2023</w:t>
                  </w:r>
                  <w:r>
                    <w:rPr>
                      <w:rFonts w:hint="eastAsia" w:cs="Times New Roman"/>
                      <w:color w:val="auto"/>
                      <w:kern w:val="2"/>
                      <w:sz w:val="21"/>
                      <w:szCs w:val="21"/>
                      <w:highlight w:val="none"/>
                      <w:lang w:val="en-US" w:eastAsia="zh-CN" w:bidi="ar-SA"/>
                    </w:rPr>
                    <w:t>—</w:t>
                  </w:r>
                  <w:r>
                    <w:rPr>
                      <w:rFonts w:hint="default" w:ascii="Times New Roman" w:hAnsi="Times New Roman" w:cs="Times New Roman"/>
                      <w:color w:val="auto"/>
                      <w:kern w:val="2"/>
                      <w:sz w:val="21"/>
                      <w:szCs w:val="21"/>
                      <w:highlight w:val="none"/>
                      <w:lang w:val="en-US" w:eastAsia="zh-CN" w:bidi="ar-SA"/>
                    </w:rPr>
                    <w:t>2030年）》的通知 （市政发〔2023〕10号）</w:t>
                  </w:r>
                </w:p>
              </w:tc>
              <w:tc>
                <w:tcPr>
                  <w:tcW w:w="1832" w:type="pct"/>
                  <w:tcBorders>
                    <w:tl2br w:val="nil"/>
                    <w:tr2bl w:val="nil"/>
                  </w:tcBorders>
                  <w:noWrap w:val="0"/>
                  <w:vAlign w:val="center"/>
                </w:tcPr>
                <w:p w14:paraId="27B68760">
                  <w:pPr>
                    <w:keepNext w:val="0"/>
                    <w:keepLines w:val="0"/>
                    <w:suppressLineNumbers w:val="0"/>
                    <w:autoSpaceDE w:val="0"/>
                    <w:adjustRightInd w:val="0"/>
                    <w:snapToGrid w:val="0"/>
                    <w:spacing w:before="0" w:beforeAutospacing="0" w:after="0" w:afterAutospacing="0"/>
                    <w:ind w:left="0" w:right="0"/>
                    <w:jc w:val="both"/>
                    <w:rPr>
                      <w:rFonts w:hint="default" w:ascii="Times New Roman" w:hAnsi="Times New Roman" w:eastAsia="宋体" w:cs="Times New Roman"/>
                      <w:b/>
                      <w:bCs/>
                      <w:color w:val="auto"/>
                      <w:kern w:val="21"/>
                      <w:szCs w:val="21"/>
                      <w:highlight w:val="none"/>
                    </w:rPr>
                  </w:pPr>
                  <w:r>
                    <w:rPr>
                      <w:rFonts w:hint="default" w:ascii="Times New Roman" w:hAnsi="Times New Roman" w:cs="Times New Roman"/>
                      <w:color w:val="auto"/>
                      <w:szCs w:val="21"/>
                      <w:highlight w:val="none"/>
                      <w:lang w:eastAsia="zh-CN"/>
                    </w:rPr>
                    <w:t>着力优化城市生态空间布局。根据国土空间规划分区和用途管制，实施“三线一单”</w:t>
                  </w:r>
                  <w:r>
                    <w:rPr>
                      <w:rFonts w:hint="eastAsia" w:cs="Times New Roman"/>
                      <w:color w:val="auto"/>
                      <w:szCs w:val="21"/>
                      <w:highlight w:val="none"/>
                      <w:lang w:eastAsia="zh-CN"/>
                    </w:rPr>
                    <w:t>（</w:t>
                  </w:r>
                  <w:r>
                    <w:rPr>
                      <w:rFonts w:hint="default" w:ascii="Times New Roman" w:hAnsi="Times New Roman" w:cs="Times New Roman"/>
                      <w:color w:val="auto"/>
                      <w:szCs w:val="21"/>
                      <w:highlight w:val="none"/>
                      <w:lang w:eastAsia="zh-CN"/>
                    </w:rPr>
                    <w:t>生态保护红线、环境质量底线、资源利用上线和生态环境准入清单</w:t>
                  </w:r>
                  <w:r>
                    <w:rPr>
                      <w:rFonts w:hint="eastAsia" w:cs="Times New Roman"/>
                      <w:color w:val="auto"/>
                      <w:szCs w:val="21"/>
                      <w:highlight w:val="none"/>
                      <w:lang w:eastAsia="zh-CN"/>
                    </w:rPr>
                    <w:t>）</w:t>
                  </w:r>
                  <w:r>
                    <w:rPr>
                      <w:rFonts w:hint="default" w:ascii="Times New Roman" w:hAnsi="Times New Roman" w:cs="Times New Roman"/>
                      <w:color w:val="auto"/>
                      <w:szCs w:val="21"/>
                      <w:highlight w:val="none"/>
                      <w:lang w:eastAsia="zh-CN"/>
                    </w:rPr>
                    <w:t>生态环境分区管控制度。新建项目不再采用单一低温等离子、光氧化、光催化等治理技术，非水溶性 VOCs 废气不再采用单一喷淋吸收方式处理。严格新改扩建涉气重点行业绩效评级限制条件，各区县、开发区范围内新改扩建涉气重点行业企业应达到环保绩效A级、绩效引领性水平，周至县、蓝田县应达到环保绩效B级及以上水平。</w:t>
                  </w:r>
                </w:p>
              </w:tc>
              <w:tc>
                <w:tcPr>
                  <w:tcW w:w="1589" w:type="pct"/>
                  <w:tcBorders>
                    <w:tl2br w:val="nil"/>
                    <w:tr2bl w:val="nil"/>
                  </w:tcBorders>
                  <w:noWrap w:val="0"/>
                  <w:vAlign w:val="center"/>
                </w:tcPr>
                <w:p w14:paraId="1975A134">
                  <w:pPr>
                    <w:keepNext w:val="0"/>
                    <w:keepLines w:val="0"/>
                    <w:suppressLineNumbers w:val="0"/>
                    <w:autoSpaceDE w:val="0"/>
                    <w:adjustRightInd w:val="0"/>
                    <w:snapToGrid w:val="0"/>
                    <w:spacing w:before="0" w:beforeAutospacing="0" w:after="0" w:afterAutospacing="0"/>
                    <w:ind w:left="0" w:right="0"/>
                    <w:jc w:val="both"/>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本项目符合“三线一单”要求，不属于严禁新增产能行业。</w:t>
                  </w:r>
                </w:p>
                <w:p w14:paraId="1D2C5EAD">
                  <w:pPr>
                    <w:keepNext w:val="0"/>
                    <w:keepLines w:val="0"/>
                    <w:suppressLineNumbers w:val="0"/>
                    <w:autoSpaceDE w:val="0"/>
                    <w:adjustRightInd w:val="0"/>
                    <w:snapToGrid w:val="0"/>
                    <w:spacing w:before="0" w:beforeAutospacing="0" w:after="0" w:afterAutospacing="0"/>
                    <w:ind w:left="0" w:right="0"/>
                    <w:jc w:val="both"/>
                    <w:rPr>
                      <w:rFonts w:hint="default" w:ascii="Times New Roman" w:hAnsi="Times New Roman" w:eastAsia="宋体" w:cs="Times New Roman"/>
                      <w:b/>
                      <w:bCs/>
                      <w:color w:val="auto"/>
                      <w:kern w:val="21"/>
                      <w:szCs w:val="21"/>
                      <w:highlight w:val="none"/>
                    </w:rPr>
                  </w:pPr>
                  <w:r>
                    <w:rPr>
                      <w:rFonts w:hint="default" w:ascii="Times New Roman" w:hAnsi="Times New Roman" w:eastAsia="宋体" w:cs="Times New Roman"/>
                      <w:color w:val="auto"/>
                      <w:kern w:val="0"/>
                      <w:szCs w:val="21"/>
                      <w:highlight w:val="none"/>
                    </w:rPr>
                    <w:t>本项目</w:t>
                  </w:r>
                  <w:r>
                    <w:rPr>
                      <w:rFonts w:hint="eastAsia" w:ascii="Times New Roman" w:hAnsi="Times New Roman" w:cs="Times New Roman"/>
                      <w:color w:val="auto"/>
                      <w:kern w:val="0"/>
                      <w:szCs w:val="21"/>
                      <w:highlight w:val="none"/>
                      <w:lang w:val="en-US" w:eastAsia="zh-CN"/>
                    </w:rPr>
                    <w:t>水性漆喷涂采用干式纸盒处理，</w:t>
                  </w:r>
                  <w:r>
                    <w:rPr>
                      <w:rFonts w:hint="default" w:ascii="Times New Roman" w:hAnsi="Times New Roman" w:eastAsia="宋体" w:cs="Times New Roman"/>
                      <w:color w:val="auto"/>
                      <w:kern w:val="0"/>
                      <w:szCs w:val="21"/>
                      <w:highlight w:val="none"/>
                    </w:rPr>
                    <w:t>有机废气经收集后由</w:t>
                  </w:r>
                  <w:r>
                    <w:rPr>
                      <w:rFonts w:hint="eastAsia" w:ascii="宋体" w:hAnsi="宋体" w:eastAsia="宋体" w:cs="宋体"/>
                      <w:color w:val="auto"/>
                      <w:kern w:val="0"/>
                      <w:szCs w:val="21"/>
                      <w:highlight w:val="none"/>
                    </w:rPr>
                    <w:t>“干式过滤+二级活性炭吸附”</w:t>
                  </w:r>
                  <w:r>
                    <w:rPr>
                      <w:rFonts w:hint="default" w:ascii="Times New Roman" w:hAnsi="Times New Roman" w:eastAsia="宋体" w:cs="Times New Roman"/>
                      <w:color w:val="auto"/>
                      <w:kern w:val="0"/>
                      <w:szCs w:val="21"/>
                      <w:highlight w:val="none"/>
                    </w:rPr>
                    <w:t>装置处理达标后经15m高排气筒（DA003）排放。</w:t>
                  </w:r>
                  <w:r>
                    <w:rPr>
                      <w:rFonts w:hint="default" w:ascii="Times New Roman" w:hAnsi="Times New Roman" w:eastAsia="宋体" w:cs="Times New Roman"/>
                      <w:color w:val="auto"/>
                      <w:kern w:val="0"/>
                      <w:szCs w:val="21"/>
                      <w:highlight w:val="none"/>
                    </w:rPr>
                    <w:t>本项目属于涉气重点行业（工业涂装：金属表面处理及热处理加工）企业，达到环保绩效A级水平，详见环保绩效管理篇章。</w:t>
                  </w:r>
                </w:p>
              </w:tc>
              <w:tc>
                <w:tcPr>
                  <w:tcW w:w="396" w:type="pct"/>
                  <w:tcBorders>
                    <w:tl2br w:val="nil"/>
                    <w:tr2bl w:val="nil"/>
                  </w:tcBorders>
                  <w:noWrap w:val="0"/>
                  <w:vAlign w:val="center"/>
                </w:tcPr>
                <w:p w14:paraId="07F66D46">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21"/>
                      <w:szCs w:val="21"/>
                      <w:highlight w:val="none"/>
                    </w:rPr>
                  </w:pPr>
                  <w:r>
                    <w:rPr>
                      <w:rFonts w:hint="default" w:ascii="Times New Roman" w:hAnsi="Times New Roman" w:cs="Times New Roman"/>
                      <w:color w:val="auto"/>
                      <w:szCs w:val="21"/>
                      <w:highlight w:val="none"/>
                      <w:lang w:val="en-US" w:eastAsia="zh-CN"/>
                    </w:rPr>
                    <w:t>符合</w:t>
                  </w:r>
                </w:p>
              </w:tc>
            </w:tr>
            <w:tr w14:paraId="3C45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181" w:type="pct"/>
                  <w:tcBorders>
                    <w:tl2br w:val="nil"/>
                    <w:tr2bl w:val="nil"/>
                  </w:tcBorders>
                  <w:noWrap w:val="0"/>
                  <w:vAlign w:val="center"/>
                </w:tcPr>
                <w:p w14:paraId="614634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 w:eastAsia="zh-CN" w:bidi="ar-SA"/>
                    </w:rPr>
                  </w:pPr>
                  <w:r>
                    <w:rPr>
                      <w:rFonts w:hint="default" w:ascii="Times New Roman" w:hAnsi="Times New Roman" w:eastAsia="宋体" w:cs="Times New Roman"/>
                      <w:color w:val="auto"/>
                      <w:kern w:val="0"/>
                      <w:sz w:val="21"/>
                      <w:szCs w:val="21"/>
                      <w:highlight w:val="none"/>
                      <w:lang w:val="en-US" w:eastAsia="zh-CN" w:bidi="ar"/>
                    </w:rPr>
                    <w:t>《西安市挥发性有机物污染整治专项实施方案（2023</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2027年）》</w:t>
                  </w:r>
                </w:p>
              </w:tc>
              <w:tc>
                <w:tcPr>
                  <w:tcW w:w="1832" w:type="pct"/>
                  <w:tcBorders>
                    <w:tl2br w:val="nil"/>
                    <w:tr2bl w:val="nil"/>
                  </w:tcBorders>
                  <w:noWrap w:val="0"/>
                  <w:vAlign w:val="center"/>
                </w:tcPr>
                <w:p w14:paraId="30B9E0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firstLine="0" w:firstLineChars="0"/>
                    <w:jc w:val="both"/>
                    <w:textAlignment w:val="auto"/>
                    <w:rPr>
                      <w:rFonts w:hint="default" w:ascii="Times New Roman" w:hAnsi="Times New Roman" w:eastAsia="宋体" w:cs="Times New Roman"/>
                      <w:color w:val="auto"/>
                      <w:kern w:val="0"/>
                      <w:sz w:val="21"/>
                      <w:szCs w:val="21"/>
                      <w:highlight w:val="none"/>
                      <w:lang w:val="en-GB" w:eastAsia="zh-CN" w:bidi="ar-SA"/>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强化涉活性炭NMHC处理工艺治理。采用活性炭吸附技术的，其中颗粒碳碘吸附值不低于 800mg/g或四氯化碳吸附率不低于 60%，蜂窝活性炭碘吸附值不低于600mg/g 或四氯化碳吸附率不低于30%，按设计要求足量添加、定期更换，动态更新挥发性有机物治理设施台账。组织开展活性炭技术等NMHC 治理设施排查，对达不到要求的，应当更换或升级改造，实现稳定达标排放。</w:t>
                  </w:r>
                </w:p>
              </w:tc>
              <w:tc>
                <w:tcPr>
                  <w:tcW w:w="1589" w:type="pct"/>
                  <w:tcBorders>
                    <w:tl2br w:val="nil"/>
                    <w:tr2bl w:val="nil"/>
                  </w:tcBorders>
                  <w:noWrap w:val="0"/>
                  <w:vAlign w:val="center"/>
                </w:tcPr>
                <w:p w14:paraId="290374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firstLine="0" w:firstLineChars="0"/>
                    <w:jc w:val="both"/>
                    <w:textAlignment w:val="auto"/>
                    <w:rPr>
                      <w:rFonts w:hint="default" w:ascii="Times New Roman" w:hAnsi="Times New Roman" w:eastAsia="宋体" w:cs="Times New Roman"/>
                      <w:color w:val="auto"/>
                      <w:kern w:val="2"/>
                      <w:sz w:val="21"/>
                      <w:szCs w:val="21"/>
                      <w:highlight w:val="none"/>
                      <w:lang w:val="en-GB" w:eastAsia="zh-CN" w:bidi="ar-SA"/>
                    </w:rPr>
                  </w:pPr>
                  <w:r>
                    <w:rPr>
                      <w:rFonts w:hint="default" w:ascii="Times New Roman" w:hAnsi="Times New Roman" w:eastAsia="宋体" w:cs="Times New Roman"/>
                      <w:color w:val="auto"/>
                      <w:kern w:val="0"/>
                      <w:sz w:val="21"/>
                      <w:szCs w:val="21"/>
                      <w:highlight w:val="none"/>
                      <w:lang w:val="en-US" w:eastAsia="zh-CN" w:bidi="ar"/>
                    </w:rPr>
                    <w:t>本项目VOCs治理使用活性炭吸附。要求采用的蜂窝活性炭碘吸附值不低于600mg/g或四氯化碳吸附率不低于30%，按要求设计、填装和更换。</w:t>
                  </w:r>
                </w:p>
              </w:tc>
              <w:tc>
                <w:tcPr>
                  <w:tcW w:w="396" w:type="pct"/>
                  <w:tcBorders>
                    <w:tl2br w:val="nil"/>
                    <w:tr2bl w:val="nil"/>
                  </w:tcBorders>
                  <w:noWrap w:val="0"/>
                  <w:vAlign w:val="center"/>
                </w:tcPr>
                <w:p w14:paraId="4AE049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符合</w:t>
                  </w:r>
                </w:p>
              </w:tc>
            </w:tr>
            <w:tr w14:paraId="5907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181" w:type="pct"/>
                  <w:tcBorders>
                    <w:tl2br w:val="nil"/>
                    <w:tr2bl w:val="nil"/>
                  </w:tcBorders>
                  <w:shd w:val="clear" w:color="auto" w:fill="auto"/>
                  <w:noWrap w:val="0"/>
                  <w:vAlign w:val="center"/>
                </w:tcPr>
                <w:p w14:paraId="36DF47B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Cs w:val="21"/>
                      <w:highlight w:val="none"/>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西安市生态环境局《关于加强挥发性有机物活性炭吸附处理设施运行管理工作的通知》</w:t>
                  </w:r>
                  <w:r>
                    <w:rPr>
                      <w:rFonts w:hint="eastAsia"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Cs w:val="21"/>
                      <w:highlight w:val="none"/>
                      <w14:textFill>
                        <w14:solidFill>
                          <w14:schemeClr w14:val="tx1"/>
                        </w14:solidFill>
                      </w14:textFill>
                    </w:rPr>
                    <w:t>市环发</w:t>
                  </w:r>
                </w:p>
                <w:p w14:paraId="27F2D6D5">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cs="Times New Roman"/>
                      <w:bCs/>
                      <w:color w:val="000000" w:themeColor="text1"/>
                      <w:kern w:val="0"/>
                      <w:szCs w:val="21"/>
                      <w:highlight w:val="none"/>
                      <w:lang w:eastAsia="zh-CN"/>
                      <w14:textFill>
                        <w14:solidFill>
                          <w14:schemeClr w14:val="tx1"/>
                        </w14:solidFill>
                      </w14:textFill>
                    </w:rPr>
                  </w:pPr>
                  <w:r>
                    <w:rPr>
                      <w:rFonts w:hint="default" w:ascii="Times New Roman" w:hAnsi="Times New Roman" w:cs="Times New Roman"/>
                      <w:bCs/>
                      <w:color w:val="000000" w:themeColor="text1"/>
                      <w:kern w:val="0"/>
                      <w:szCs w:val="21"/>
                      <w:highlight w:val="none"/>
                      <w14:textFill>
                        <w14:solidFill>
                          <w14:schemeClr w14:val="tx1"/>
                        </w14:solidFill>
                      </w14:textFill>
                    </w:rPr>
                    <w:t>〔202</w:t>
                  </w:r>
                  <w:r>
                    <w:rPr>
                      <w:rFonts w:hint="default" w:ascii="Times New Roman" w:hAnsi="Times New Roman" w:cs="Times New Roman"/>
                      <w:bCs/>
                      <w:color w:val="000000" w:themeColor="text1"/>
                      <w:kern w:val="0"/>
                      <w:szCs w:val="21"/>
                      <w:highlight w:val="none"/>
                      <w:lang w:val="en-US" w:eastAsia="zh-CN"/>
                      <w14:textFill>
                        <w14:solidFill>
                          <w14:schemeClr w14:val="tx1"/>
                        </w14:solidFill>
                      </w14:textFill>
                    </w:rPr>
                    <w:t>2</w:t>
                  </w:r>
                  <w:r>
                    <w:rPr>
                      <w:rFonts w:hint="default" w:ascii="Times New Roman" w:hAnsi="Times New Roman" w:cs="Times New Roman"/>
                      <w:bCs/>
                      <w:color w:val="000000" w:themeColor="text1"/>
                      <w:kern w:val="0"/>
                      <w:szCs w:val="21"/>
                      <w:highlight w:val="none"/>
                      <w14:textFill>
                        <w14:solidFill>
                          <w14:schemeClr w14:val="tx1"/>
                        </w14:solidFill>
                      </w14:textFill>
                    </w:rPr>
                    <w:t>〕65号</w:t>
                  </w:r>
                  <w:r>
                    <w:rPr>
                      <w:rFonts w:hint="eastAsia"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w:t>
                  </w:r>
                  <w:r>
                    <w:rPr>
                      <w:rFonts w:hint="eastAsia" w:cs="Times New Roman"/>
                      <w:bCs/>
                      <w:color w:val="000000" w:themeColor="text1"/>
                      <w:kern w:val="0"/>
                      <w:szCs w:val="21"/>
                      <w:highlight w:val="none"/>
                      <w:lang w:eastAsia="zh-CN"/>
                      <w14:textFill>
                        <w14:solidFill>
                          <w14:schemeClr w14:val="tx1"/>
                        </w14:solidFill>
                      </w14:textFill>
                    </w:rPr>
                    <w:t>《西安市</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生态环境局西咸新区分局关于加强挥发性有机物活性炭吸附处理设施运行管理工作的通知》</w:t>
                  </w:r>
                  <w:r>
                    <w:rPr>
                      <w:rFonts w:hint="eastAsia" w:cs="Times New Roman"/>
                      <w:bCs/>
                      <w:color w:val="000000" w:themeColor="text1"/>
                      <w:kern w:val="0"/>
                      <w:szCs w:val="21"/>
                      <w:highlight w:val="none"/>
                      <w:lang w:eastAsia="zh-CN"/>
                      <w14:textFill>
                        <w14:solidFill>
                          <w14:schemeClr w14:val="tx1"/>
                        </w14:solidFill>
                      </w14:textFill>
                    </w:rPr>
                    <w:t>（</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陕西咸环发</w:t>
                  </w:r>
                  <w:r>
                    <w:rPr>
                      <w:rFonts w:hint="default" w:ascii="Times New Roman" w:hAnsi="Times New Roman" w:cs="Times New Roman"/>
                      <w:color w:val="auto"/>
                      <w:kern w:val="2"/>
                      <w:sz w:val="21"/>
                      <w:szCs w:val="21"/>
                      <w:highlight w:val="none"/>
                      <w:lang w:val="en-US" w:eastAsia="zh-CN" w:bidi="ar-SA"/>
                    </w:rPr>
                    <w:t>〔2023〕</w:t>
                  </w:r>
                  <w:r>
                    <w:rPr>
                      <w:rFonts w:hint="default" w:ascii="Times New Roman" w:hAnsi="Times New Roman" w:cs="Times New Roman"/>
                      <w:bCs/>
                      <w:color w:val="000000" w:themeColor="text1"/>
                      <w:kern w:val="0"/>
                      <w:szCs w:val="21"/>
                      <w:highlight w:val="none"/>
                      <w:lang w:eastAsia="zh-CN"/>
                      <w14:textFill>
                        <w14:solidFill>
                          <w14:schemeClr w14:val="tx1"/>
                        </w14:solidFill>
                      </w14:textFill>
                    </w:rPr>
                    <w:t>1号</w:t>
                  </w:r>
                </w:p>
                <w:p w14:paraId="7829EFE0">
                  <w:pPr>
                    <w:keepNext w:val="0"/>
                    <w:keepLines w:val="0"/>
                    <w:pageBreakBefore w:val="0"/>
                    <w:suppressLineNumbers w:val="0"/>
                    <w:kinsoku/>
                    <w:wordWrap/>
                    <w:overflowPunct/>
                    <w:topLinePunct w:val="0"/>
                    <w:bidi w:val="0"/>
                    <w:adjustRightInd w:val="0"/>
                    <w:snapToGrid w:val="0"/>
                    <w:spacing w:before="0" w:beforeAutospacing="0" w:after="0" w:afterAutospacing="0" w:line="340" w:lineRule="exact"/>
                    <w:ind w:left="0" w:right="0"/>
                    <w:jc w:val="center"/>
                    <w:textAlignment w:val="auto"/>
                    <w:rPr>
                      <w:rFonts w:hint="default" w:ascii="Times New Roman" w:hAnsi="Times New Roman" w:eastAsia="宋体" w:cs="Times New Roman"/>
                      <w:color w:val="auto"/>
                      <w:highlight w:val="none"/>
                      <w:lang w:val="en" w:eastAsia="zh-CN"/>
                    </w:rPr>
                  </w:pPr>
                  <w:r>
                    <w:rPr>
                      <w:rFonts w:hint="default" w:ascii="Times New Roman" w:hAnsi="Times New Roman" w:cs="Times New Roman"/>
                      <w:bCs/>
                      <w:color w:val="000000" w:themeColor="text1"/>
                      <w:kern w:val="0"/>
                      <w:szCs w:val="21"/>
                      <w:highlight w:val="none"/>
                      <w:lang w:eastAsia="zh-CN"/>
                      <w14:textFill>
                        <w14:solidFill>
                          <w14:schemeClr w14:val="tx1"/>
                        </w14:solidFill>
                      </w14:textFill>
                    </w:rPr>
                    <w:t>文</w:t>
                  </w:r>
                  <w:r>
                    <w:rPr>
                      <w:rFonts w:hint="eastAsia" w:cs="Times New Roman"/>
                      <w:bCs/>
                      <w:color w:val="000000" w:themeColor="text1"/>
                      <w:kern w:val="0"/>
                      <w:szCs w:val="21"/>
                      <w:highlight w:val="none"/>
                      <w:lang w:eastAsia="zh-CN"/>
                      <w14:textFill>
                        <w14:solidFill>
                          <w14:schemeClr w14:val="tx1"/>
                        </w14:solidFill>
                      </w14:textFill>
                    </w:rPr>
                    <w:t>）</w:t>
                  </w:r>
                </w:p>
              </w:tc>
              <w:tc>
                <w:tcPr>
                  <w:tcW w:w="1832" w:type="pct"/>
                  <w:tcBorders>
                    <w:tl2br w:val="nil"/>
                    <w:tr2bl w:val="nil"/>
                  </w:tcBorders>
                  <w:shd w:val="clear" w:color="auto" w:fill="auto"/>
                  <w:noWrap w:val="0"/>
                  <w:vAlign w:val="center"/>
                </w:tcPr>
                <w:p w14:paraId="661CED63">
                  <w:pPr>
                    <w:keepNext w:val="0"/>
                    <w:keepLines w:val="0"/>
                    <w:numPr>
                      <w:ilvl w:val="0"/>
                      <w:numId w:val="4"/>
                    </w:numPr>
                    <w:suppressLineNumbers w:val="0"/>
                    <w:spacing w:before="0" w:beforeAutospacing="0" w:after="0" w:afterAutospacing="0" w:line="240" w:lineRule="auto"/>
                    <w:ind w:left="0" w:right="0"/>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规范治理技术。涉气企业根据当前有关 VOCs 治理的法律法规、技术规范、政策文件等要求，选择合理的治理工艺除恶臭异味治理外，淘汰单一使用低温等离子、光催化氧化、活性炭吸附棉、水喷淋等低效处理工艺或其组合工艺。原料VOCs 浓度高、排放总量较大的生产工艺原则上采用RTO、RCO等高效处理技术。</w:t>
                  </w:r>
                </w:p>
                <w:p w14:paraId="3DF9AE2D">
                  <w:pPr>
                    <w:keepNext w:val="0"/>
                    <w:keepLines w:val="0"/>
                    <w:numPr>
                      <w:ilvl w:val="0"/>
                      <w:numId w:val="4"/>
                    </w:numPr>
                    <w:suppressLineNumbers w:val="0"/>
                    <w:spacing w:before="0" w:beforeAutospacing="0" w:after="0" w:afterAutospacing="0" w:line="240" w:lineRule="auto"/>
                    <w:ind w:left="0" w:right="0"/>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保证活性炭质量。企业购置活性炭必须提供活性炭检测报告，技术指标至少应包括水分含量、耐强度(颗粒活性炭)、抗压强度</w:t>
                  </w:r>
                  <w:r>
                    <w:rPr>
                      <w:rFonts w:hint="eastAsia" w:cs="Times New Roman"/>
                      <w:color w:val="000000" w:themeColor="text1"/>
                      <w:szCs w:val="21"/>
                      <w:highlight w:val="none"/>
                      <w:lang w:val="en-US" w:eastAsia="zh-CN"/>
                      <w14:textFill>
                        <w14:solidFill>
                          <w14:schemeClr w14:val="tx1"/>
                        </w14:solidFill>
                      </w14:textFill>
                    </w:rPr>
                    <w:t>（蜂窝活性炭）</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、碘吸附值、四氯化碳吸附率、着火点等。活性炭技术指标应符合《工业有机废气净化用活性炭技术指标及试验方法》</w:t>
                  </w: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LY/T3284</w:t>
                  </w: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规定的优级活性炭指标要求。</w:t>
                  </w:r>
                </w:p>
                <w:p w14:paraId="4E815071">
                  <w:pPr>
                    <w:keepNext w:val="0"/>
                    <w:keepLines w:val="0"/>
                    <w:numPr>
                      <w:ilvl w:val="0"/>
                      <w:numId w:val="4"/>
                    </w:numPr>
                    <w:suppressLineNumbers w:val="0"/>
                    <w:spacing w:before="0" w:beforeAutospacing="0" w:after="0" w:afterAutospacing="0" w:line="240" w:lineRule="auto"/>
                    <w:ind w:left="0" w:right="0"/>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明确填充量并及时更换。企业应当根据风量和 VOCs 初始浓度范围，明确活性炭的填充量、填充厚度和更换时间。</w:t>
                  </w:r>
                </w:p>
                <w:p w14:paraId="7FE38C4C">
                  <w:pPr>
                    <w:keepNext w:val="0"/>
                    <w:keepLines w:val="0"/>
                    <w:numPr>
                      <w:ilvl w:val="0"/>
                      <w:numId w:val="4"/>
                    </w:numPr>
                    <w:suppressLineNumbers w:val="0"/>
                    <w:spacing w:before="0" w:beforeAutospacing="0" w:after="0" w:afterAutospacing="0" w:line="240" w:lineRule="auto"/>
                    <w:ind w:left="0" w:right="0"/>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严格控制无组织排放。涂料、稀释剂、固化剂、清洗剂、胶粘剂等VOCs 物料应密闭储存。盛装VOCs 物料的容器或包装袋应密闭储存于室内，或存放于设置有雨棚、遮阳和防渗设施的专用场地，非取用状态时应加盖、封口，保持封闭。含 VOCs 废料</w:t>
                  </w: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渣、液</w:t>
                  </w:r>
                  <w:r>
                    <w:rPr>
                      <w:rFonts w:hint="eastAsia" w:cs="Times New Roman"/>
                      <w:color w:val="000000" w:themeColor="text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以及 VOCs 物料废包装物等属于危险废物的应密封储存于危废储存间。 VOCs 物料的调配过程应采用密闭设备或在密闭空间内操作，并设置专门的密闭调配间，调配废气应排至 VOCs 废气收集处理系统，无法密闭的，应采取局部气体收集措施，废气应排至 VOCs 废气收集处理系统。</w:t>
                  </w:r>
                </w:p>
                <w:p w14:paraId="3BF97985">
                  <w:pPr>
                    <w:keepNext w:val="0"/>
                    <w:keepLines w:val="0"/>
                    <w:numPr>
                      <w:ilvl w:val="0"/>
                      <w:numId w:val="4"/>
                    </w:numPr>
                    <w:suppressLineNumbers w:val="0"/>
                    <w:spacing w:before="0" w:beforeAutospacing="0" w:after="0" w:afterAutospacing="0" w:line="240" w:lineRule="auto"/>
                    <w:ind w:left="0" w:right="0"/>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严格危废管理。产生废活性炭的企业，必须与有许可证的危废经营单位签订危废处置协议。</w:t>
                  </w:r>
                </w:p>
                <w:p w14:paraId="3113124C">
                  <w:pPr>
                    <w:keepNext w:val="0"/>
                    <w:keepLines w:val="0"/>
                    <w:pageBreakBefore w:val="0"/>
                    <w:suppressLineNumbers w:val="0"/>
                    <w:kinsoku/>
                    <w:wordWrap/>
                    <w:overflowPunct/>
                    <w:topLinePunct w:val="0"/>
                    <w:bidi w:val="0"/>
                    <w:adjustRightInd w:val="0"/>
                    <w:snapToGrid w:val="0"/>
                    <w:spacing w:before="0" w:beforeAutospacing="0" w:after="0" w:afterAutospacing="0" w:line="340" w:lineRule="exact"/>
                    <w:ind w:left="0" w:right="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完善台账记录。企业应按要求做好活性炭吸附日常运行维护台账记录，台账内容应包括开启时间、关停时间、更换时间、更换照片、装填数量、设计参数、风量等，以及活性炭主要技术指标检测合格材料。环境管理台账记录保存期限不得少于5年。</w:t>
                  </w:r>
                </w:p>
              </w:tc>
              <w:tc>
                <w:tcPr>
                  <w:tcW w:w="1589" w:type="pct"/>
                  <w:tcBorders>
                    <w:tl2br w:val="nil"/>
                    <w:tr2bl w:val="nil"/>
                  </w:tcBorders>
                  <w:shd w:val="clear" w:color="auto" w:fill="auto"/>
                  <w:noWrap w:val="0"/>
                  <w:vAlign w:val="center"/>
                </w:tcPr>
                <w:p w14:paraId="3F26F552">
                  <w:pPr>
                    <w:keepNext w:val="0"/>
                    <w:keepLines w:val="0"/>
                    <w:pageBreakBefore w:val="0"/>
                    <w:suppressLineNumbers w:val="0"/>
                    <w:kinsoku/>
                    <w:wordWrap/>
                    <w:overflowPunct/>
                    <w:topLinePunct w:val="0"/>
                    <w:bidi w:val="0"/>
                    <w:adjustRightInd w:val="0"/>
                    <w:snapToGrid w:val="0"/>
                    <w:spacing w:before="0" w:beforeAutospacing="0" w:after="0" w:afterAutospacing="0" w:line="34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1.本项目VOCs治理使用蜂窝活性炭吸附工艺。</w:t>
                  </w:r>
                </w:p>
                <w:p w14:paraId="7720105A">
                  <w:pPr>
                    <w:keepNext w:val="0"/>
                    <w:keepLines w:val="0"/>
                    <w:pageBreakBefore w:val="0"/>
                    <w:suppressLineNumbers w:val="0"/>
                    <w:kinsoku/>
                    <w:wordWrap/>
                    <w:overflowPunct/>
                    <w:topLinePunct w:val="0"/>
                    <w:bidi w:val="0"/>
                    <w:adjustRightInd w:val="0"/>
                    <w:snapToGrid w:val="0"/>
                    <w:spacing w:before="0" w:beforeAutospacing="0" w:after="0" w:afterAutospacing="0" w:line="34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2.企业购置活性炭必须提供活性炭检测报告。活性炭技术指标应符合《工业有机废气净化用活性炭技术指标及试验方法》</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LY/T3284</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规定的优级活性炭指标要求。</w:t>
                  </w:r>
                </w:p>
                <w:p w14:paraId="60D93F32">
                  <w:pPr>
                    <w:keepNext w:val="0"/>
                    <w:keepLines w:val="0"/>
                    <w:pageBreakBefore w:val="0"/>
                    <w:suppressLineNumbers w:val="0"/>
                    <w:kinsoku/>
                    <w:wordWrap/>
                    <w:overflowPunct/>
                    <w:topLinePunct w:val="0"/>
                    <w:bidi w:val="0"/>
                    <w:adjustRightInd w:val="0"/>
                    <w:snapToGrid w:val="0"/>
                    <w:spacing w:before="0" w:beforeAutospacing="0" w:after="0" w:afterAutospacing="0" w:line="340" w:lineRule="exact"/>
                    <w:ind w:left="0" w:right="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3.活性炭按设计要求足量添加、定期更换。</w:t>
                  </w:r>
                </w:p>
                <w:p w14:paraId="2D7141D5">
                  <w:pPr>
                    <w:keepNext w:val="0"/>
                    <w:keepLines w:val="0"/>
                    <w:pageBreakBefore w:val="0"/>
                    <w:suppressLineNumbers w:val="0"/>
                    <w:kinsoku/>
                    <w:wordWrap/>
                    <w:overflowPunct/>
                    <w:topLinePunct w:val="0"/>
                    <w:bidi w:val="0"/>
                    <w:adjustRightInd w:val="0"/>
                    <w:snapToGrid w:val="0"/>
                    <w:spacing w:before="0" w:beforeAutospacing="0" w:after="0" w:afterAutospacing="0" w:line="34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eastAsia="zh-CN"/>
                    </w:rPr>
                    <w:t>水性漆</w:t>
                  </w:r>
                  <w:r>
                    <w:rPr>
                      <w:rFonts w:hint="default" w:ascii="Times New Roman" w:hAnsi="Times New Roman" w:eastAsia="宋体" w:cs="Times New Roman"/>
                      <w:color w:val="auto"/>
                      <w:sz w:val="21"/>
                      <w:szCs w:val="21"/>
                      <w:highlight w:val="none"/>
                      <w:lang w:val="en-US" w:eastAsia="zh-CN"/>
                    </w:rPr>
                    <w:t>密闭储存。存放于符合要求的专用库房内，非取用状态时应加盖、封口，保持封闭。不涉及物料调配。</w:t>
                  </w:r>
                </w:p>
                <w:p w14:paraId="79F90618">
                  <w:pPr>
                    <w:keepNext w:val="0"/>
                    <w:keepLines w:val="0"/>
                    <w:pageBreakBefore w:val="0"/>
                    <w:suppressLineNumbers w:val="0"/>
                    <w:kinsoku/>
                    <w:wordWrap/>
                    <w:overflowPunct/>
                    <w:topLinePunct w:val="0"/>
                    <w:bidi w:val="0"/>
                    <w:adjustRightInd w:val="0"/>
                    <w:snapToGrid w:val="0"/>
                    <w:spacing w:before="0" w:beforeAutospacing="0" w:after="0" w:afterAutospacing="0" w:line="34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废活性炭设专用容器，危废贮存库贮存，委托有资质单位处置。企业按要求做好活性炭吸附日常运行维护台账记录，包括开启时间、关停时间、更换时间、更换照片、装填数量、设计参数、风量等，环境管理台账记录保存期限不少于5年。</w:t>
                  </w:r>
                </w:p>
              </w:tc>
              <w:tc>
                <w:tcPr>
                  <w:tcW w:w="396" w:type="pct"/>
                  <w:tcBorders>
                    <w:tl2br w:val="nil"/>
                    <w:tr2bl w:val="nil"/>
                  </w:tcBorders>
                  <w:shd w:val="clear" w:color="auto" w:fill="auto"/>
                  <w:noWrap w:val="0"/>
                  <w:vAlign w:val="center"/>
                </w:tcPr>
                <w:p w14:paraId="490577C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default" w:ascii="Times New Roman" w:hAnsi="Times New Roman" w:eastAsia="宋体" w:cs="Times New Roman"/>
                      <w:color w:val="auto"/>
                      <w:kern w:val="21"/>
                      <w:szCs w:val="21"/>
                      <w:highlight w:val="none"/>
                    </w:rPr>
                  </w:pPr>
                  <w:r>
                    <w:rPr>
                      <w:rFonts w:hint="default" w:ascii="Times New Roman" w:hAnsi="Times New Roman" w:eastAsia="宋体" w:cs="Times New Roman"/>
                      <w:color w:val="auto"/>
                      <w:sz w:val="21"/>
                      <w:szCs w:val="21"/>
                      <w:highlight w:val="none"/>
                      <w:lang w:eastAsia="zh-CN"/>
                    </w:rPr>
                    <w:t>符合</w:t>
                  </w:r>
                </w:p>
              </w:tc>
            </w:tr>
            <w:tr w14:paraId="3260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181" w:type="pct"/>
                  <w:tcBorders>
                    <w:tl2br w:val="nil"/>
                    <w:tr2bl w:val="nil"/>
                  </w:tcBorders>
                  <w:shd w:val="clear" w:color="auto" w:fill="auto"/>
                  <w:noWrap w:val="0"/>
                  <w:vAlign w:val="center"/>
                </w:tcPr>
                <w:p w14:paraId="0D43FDE4">
                  <w:pPr>
                    <w:keepNext w:val="0"/>
                    <w:keepLines w:val="0"/>
                    <w:pageBreakBefore w:val="0"/>
                    <w:suppressLineNumbers w:val="0"/>
                    <w:kinsoku/>
                    <w:wordWrap/>
                    <w:overflowPunct/>
                    <w:topLinePunct w:val="0"/>
                    <w:bidi w:val="0"/>
                    <w:adjustRightInd w:val="0"/>
                    <w:snapToGrid w:val="0"/>
                    <w:spacing w:before="0" w:beforeAutospacing="0" w:after="0" w:afterAutospacing="0" w:line="340" w:lineRule="exact"/>
                    <w:ind w:left="0" w:right="0"/>
                    <w:jc w:val="center"/>
                    <w:textAlignment w:val="auto"/>
                    <w:rPr>
                      <w:rFonts w:hint="default" w:ascii="Times New Roman" w:hAnsi="Times New Roman" w:cs="Times New Roman"/>
                      <w:bCs/>
                      <w:color w:val="000000" w:themeColor="text1"/>
                      <w:kern w:val="0"/>
                      <w:szCs w:val="21"/>
                      <w:highlight w:val="none"/>
                      <w:lang w:eastAsia="zh-CN"/>
                      <w14:textFill>
                        <w14:solidFill>
                          <w14:schemeClr w14:val="tx1"/>
                        </w14:solidFill>
                      </w14:textFill>
                    </w:rPr>
                  </w:pPr>
                  <w:r>
                    <w:rPr>
                      <w:rFonts w:hint="default" w:ascii="Times New Roman" w:hAnsi="Times New Roman" w:eastAsia="宋体" w:cs="Times New Roman"/>
                      <w:snapToGrid w:val="0"/>
                      <w:color w:val="auto"/>
                      <w:sz w:val="21"/>
                      <w:szCs w:val="21"/>
                      <w:highlight w:val="none"/>
                      <w:lang w:val="en-US" w:eastAsia="zh-CN"/>
                    </w:rPr>
                    <w:t>《西咸新区大气污染治理专项行动方案（2023</w:t>
                  </w:r>
                  <w:r>
                    <w:rPr>
                      <w:rFonts w:hint="eastAsia" w:cs="Times New Roman"/>
                      <w:snapToGrid w:val="0"/>
                      <w:color w:val="auto"/>
                      <w:sz w:val="21"/>
                      <w:szCs w:val="21"/>
                      <w:highlight w:val="none"/>
                      <w:lang w:val="en-US" w:eastAsia="zh-CN"/>
                    </w:rPr>
                    <w:t>—</w:t>
                  </w:r>
                  <w:r>
                    <w:rPr>
                      <w:rFonts w:hint="default" w:ascii="Times New Roman" w:hAnsi="Times New Roman" w:eastAsia="宋体" w:cs="Times New Roman"/>
                      <w:snapToGrid w:val="0"/>
                      <w:color w:val="auto"/>
                      <w:sz w:val="21"/>
                      <w:szCs w:val="21"/>
                      <w:highlight w:val="none"/>
                      <w:lang w:val="en-US" w:eastAsia="zh-CN"/>
                    </w:rPr>
                    <w:t>2027年）》（陕西咸党发〔2023〕4号）</w:t>
                  </w:r>
                </w:p>
              </w:tc>
              <w:tc>
                <w:tcPr>
                  <w:tcW w:w="1832" w:type="pct"/>
                  <w:tcBorders>
                    <w:tl2br w:val="nil"/>
                    <w:tr2bl w:val="nil"/>
                  </w:tcBorders>
                  <w:shd w:val="clear" w:color="auto" w:fill="auto"/>
                  <w:noWrap w:val="0"/>
                  <w:vAlign w:val="center"/>
                </w:tcPr>
                <w:p w14:paraId="3FEA7E30">
                  <w:pPr>
                    <w:keepNext w:val="0"/>
                    <w:keepLines w:val="0"/>
                    <w:suppressLineNumbers w:val="0"/>
                    <w:spacing w:before="0" w:beforeAutospacing="0" w:after="0" w:afterAutospacing="0" w:line="240" w:lineRule="auto"/>
                    <w:ind w:left="0" w:right="0"/>
                    <w:rPr>
                      <w:rFonts w:hint="default" w:ascii="Times New Roman" w:hAnsi="Times New Roman" w:cs="Times New Roman"/>
                      <w:color w:val="000000" w:themeColor="text1"/>
                      <w:szCs w:val="21"/>
                      <w:highlight w:val="none"/>
                      <w:lang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产业发展结构调整</w:t>
                  </w:r>
                  <w:r>
                    <w:rPr>
                      <w:rFonts w:hint="default" w:ascii="Times New Roman" w:hAnsi="Times New Roman" w:cs="Times New Roman"/>
                      <w:color w:val="000000" w:themeColor="text1"/>
                      <w:szCs w:val="21"/>
                      <w:highlight w:val="none"/>
                      <w:lang w:eastAsia="zh-CN"/>
                      <w14:textFill>
                        <w14:solidFill>
                          <w14:schemeClr w14:val="tx1"/>
                        </w14:solidFill>
                      </w14:textFill>
                    </w:rPr>
                    <w:t>：</w:t>
                  </w:r>
                  <w:r>
                    <w:rPr>
                      <w:rFonts w:hint="default" w:ascii="Times New Roman" w:hAnsi="Times New Roman" w:cs="Times New Roman"/>
                      <w:color w:val="000000" w:themeColor="text1"/>
                      <w:szCs w:val="21"/>
                      <w:highlight w:val="none"/>
                      <w14:textFill>
                        <w14:solidFill>
                          <w14:schemeClr w14:val="tx1"/>
                        </w14:solidFill>
                      </w14:textFill>
                    </w:rPr>
                    <w:t>强化源头管控。严格新、改、扩建涉气重点行业绩效评级限制条件。新区范围内新、改、扩建涉气重点行业企业应达到环保绩效A级、绩效引领性水平</w:t>
                  </w:r>
                  <w:r>
                    <w:rPr>
                      <w:rFonts w:hint="default" w:ascii="Times New Roman" w:hAnsi="Times New Roman" w:cs="Times New Roman"/>
                      <w:color w:val="000000" w:themeColor="text1"/>
                      <w:szCs w:val="21"/>
                      <w:highlight w:val="none"/>
                      <w:lang w:eastAsia="zh-CN"/>
                      <w14:textFill>
                        <w14:solidFill>
                          <w14:schemeClr w14:val="tx1"/>
                        </w14:solidFill>
                      </w14:textFill>
                    </w:rPr>
                    <w:t>。</w:t>
                  </w:r>
                </w:p>
                <w:p w14:paraId="3AE7463B">
                  <w:pPr>
                    <w:keepNext w:val="0"/>
                    <w:keepLines w:val="0"/>
                    <w:pageBreakBefore w:val="0"/>
                    <w:suppressLineNumbers w:val="0"/>
                    <w:kinsoku/>
                    <w:wordWrap/>
                    <w:overflowPunct/>
                    <w:topLinePunct w:val="0"/>
                    <w:bidi w:val="0"/>
                    <w:adjustRightInd w:val="0"/>
                    <w:snapToGrid w:val="0"/>
                    <w:spacing w:before="0" w:beforeAutospacing="0" w:after="0" w:afterAutospacing="0" w:line="340" w:lineRule="exact"/>
                    <w:ind w:left="0" w:right="0"/>
                    <w:jc w:val="center"/>
                    <w:textAlignment w:val="auto"/>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lang w:eastAsia="zh-CN"/>
                      <w14:textFill>
                        <w14:solidFill>
                          <w14:schemeClr w14:val="tx1"/>
                        </w14:solidFill>
                      </w14:textFill>
                    </w:rPr>
                    <w:t>夏季臭氧应对行动：推进提标改造。推进印刷、玻璃、矿物棉、石灰、电石企业提标改造。强化涉活性炭 VOCs 处理工艺治理。新建项目不再采用单一低温等离子、光氧化、光催化等治理技术，非水溶性 VOCs 废气不再采用单一喷淋吸收方式处理。全面推进涉 VOCs 排放企业低挥发性原辅材料替代。</w:t>
                  </w:r>
                </w:p>
              </w:tc>
              <w:tc>
                <w:tcPr>
                  <w:tcW w:w="1589" w:type="pct"/>
                  <w:tcBorders>
                    <w:tl2br w:val="nil"/>
                    <w:tr2bl w:val="nil"/>
                  </w:tcBorders>
                  <w:shd w:val="clear" w:color="auto" w:fill="auto"/>
                  <w:noWrap w:val="0"/>
                  <w:vAlign w:val="center"/>
                </w:tcPr>
                <w:p w14:paraId="244082AC">
                  <w:pPr>
                    <w:keepNext w:val="0"/>
                    <w:keepLines w:val="0"/>
                    <w:numPr>
                      <w:ilvl w:val="0"/>
                      <w:numId w:val="0"/>
                    </w:numPr>
                    <w:suppressLineNumbers w:val="0"/>
                    <w:spacing w:before="0" w:beforeAutospacing="0" w:after="0" w:afterAutospacing="0" w:line="240" w:lineRule="auto"/>
                    <w:ind w:left="0" w:right="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Cs w:val="21"/>
                      <w:highlight w:val="none"/>
                      <w14:textFill>
                        <w14:solidFill>
                          <w14:schemeClr w14:val="tx1"/>
                        </w14:solidFill>
                      </w14:textFill>
                    </w:rPr>
                    <w:t>本项目</w:t>
                  </w:r>
                  <w:r>
                    <w:rPr>
                      <w:rFonts w:hint="default" w:ascii="Times New Roman" w:hAnsi="Times New Roman" w:cs="Times New Roman"/>
                      <w:color w:val="auto"/>
                      <w:kern w:val="0"/>
                      <w:szCs w:val="21"/>
                      <w:highlight w:val="none"/>
                      <w:lang w:val="en-US" w:eastAsia="zh-CN"/>
                    </w:rPr>
                    <w:t>达到</w:t>
                  </w:r>
                  <w:r>
                    <w:rPr>
                      <w:rFonts w:hint="default" w:ascii="Times New Roman" w:hAnsi="Times New Roman" w:cs="Times New Roman"/>
                      <w:color w:val="auto"/>
                      <w:szCs w:val="21"/>
                      <w:highlight w:val="none"/>
                      <w:lang w:eastAsia="zh-CN"/>
                    </w:rPr>
                    <w:t>环保绩效A级</w:t>
                  </w:r>
                  <w:r>
                    <w:rPr>
                      <w:rFonts w:hint="default" w:ascii="Times New Roman" w:hAnsi="Times New Roman" w:cs="Times New Roman"/>
                      <w:color w:val="auto"/>
                      <w:szCs w:val="21"/>
                      <w:highlight w:val="none"/>
                      <w:lang w:val="en-US" w:eastAsia="zh-CN"/>
                    </w:rPr>
                    <w:t>水平，详见环保绩效管理篇章</w:t>
                  </w:r>
                  <w:r>
                    <w:rPr>
                      <w:rFonts w:hint="default" w:ascii="Times New Roman" w:hAnsi="Times New Roman" w:eastAsia="宋体" w:cs="Times New Roman"/>
                      <w:color w:val="auto"/>
                      <w:kern w:val="0"/>
                      <w:szCs w:val="21"/>
                      <w:highlight w:val="none"/>
                    </w:rPr>
                    <w:t>。</w:t>
                  </w:r>
                </w:p>
                <w:p w14:paraId="08E77D55">
                  <w:pPr>
                    <w:keepNext w:val="0"/>
                    <w:keepLines w:val="0"/>
                    <w:pageBreakBefore w:val="0"/>
                    <w:suppressLineNumbers w:val="0"/>
                    <w:kinsoku/>
                    <w:wordWrap/>
                    <w:overflowPunct/>
                    <w:topLinePunct w:val="0"/>
                    <w:bidi w:val="0"/>
                    <w:adjustRightInd w:val="0"/>
                    <w:snapToGrid w:val="0"/>
                    <w:spacing w:before="0" w:beforeAutospacing="0" w:after="0" w:afterAutospacing="0" w:line="34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2.本项目有机废气经收集后由两级活性炭吸附+15m高排气筒达标排放。本项目VOCs治理设施技术可行，可确保稳定达标排放，不属于简易低效措施。</w:t>
                  </w:r>
                </w:p>
              </w:tc>
              <w:tc>
                <w:tcPr>
                  <w:tcW w:w="396" w:type="pct"/>
                  <w:tcBorders>
                    <w:tl2br w:val="nil"/>
                    <w:tr2bl w:val="nil"/>
                  </w:tcBorders>
                  <w:shd w:val="clear" w:color="auto" w:fill="auto"/>
                  <w:noWrap w:val="0"/>
                  <w:vAlign w:val="center"/>
                </w:tcPr>
                <w:p w14:paraId="4C7B178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lang w:eastAsia="zh-CN"/>
                    </w:rPr>
                    <w:t>符合</w:t>
                  </w:r>
                </w:p>
              </w:tc>
            </w:tr>
            <w:tr w14:paraId="167A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2" w:hRule="atLeast"/>
                <w:jc w:val="center"/>
              </w:trPr>
              <w:tc>
                <w:tcPr>
                  <w:tcW w:w="1181" w:type="pct"/>
                  <w:tcBorders>
                    <w:tl2br w:val="nil"/>
                    <w:tr2bl w:val="nil"/>
                  </w:tcBorders>
                  <w:noWrap w:val="0"/>
                  <w:vAlign w:val="center"/>
                </w:tcPr>
                <w:p w14:paraId="5D84B39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《沣西新城大气污染治理专项行动方案</w:t>
                  </w:r>
                  <w:r>
                    <w:rPr>
                      <w:rFonts w:hint="eastAsia"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2023-</w:t>
                  </w:r>
                </w:p>
                <w:p w14:paraId="614A34F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kern w:val="21"/>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2027</w:t>
                  </w:r>
                  <w:r>
                    <w:rPr>
                      <w:rFonts w:hint="eastAsia"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w:t>
                  </w:r>
                </w:p>
              </w:tc>
              <w:tc>
                <w:tcPr>
                  <w:tcW w:w="1832" w:type="pct"/>
                  <w:tcBorders>
                    <w:tl2br w:val="nil"/>
                    <w:tr2bl w:val="nil"/>
                  </w:tcBorders>
                  <w:shd w:val="clear" w:color="auto" w:fill="auto"/>
                  <w:noWrap w:val="0"/>
                  <w:vAlign w:val="center"/>
                </w:tcPr>
                <w:p w14:paraId="07C6A6C9">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000000" w:themeColor="text1"/>
                      <w:szCs w:val="21"/>
                      <w:highlight w:val="none"/>
                      <w14:textFill>
                        <w14:solidFill>
                          <w14:schemeClr w14:val="tx1"/>
                        </w14:solidFill>
                      </w14:textFill>
                    </w:rPr>
                    <w:t>强化涉活性炭 VOCs 处理工艺治理。动态更新挥发性有机物治理设施台账，开展简易低效挥发性有机物治理设施清理整治、涉活性炭挥发性有机物处理工艺专项整治行动，强化挥发性有机物无组织排放整治，确保达到相关标准要求。新建项目不再采用单一低温等离子、光氧化、光催化等治理技术，非水溶性 VOCs 废气不再采用单一喷淋吸收方式处理</w:t>
                  </w:r>
                  <w:r>
                    <w:rPr>
                      <w:rFonts w:hint="default" w:ascii="Times New Roman" w:hAnsi="Times New Roman" w:cs="Times New Roman"/>
                      <w:color w:val="000000" w:themeColor="text1"/>
                      <w:szCs w:val="21"/>
                      <w:highlight w:val="none"/>
                      <w:lang w:eastAsia="zh-CN"/>
                      <w14:textFill>
                        <w14:solidFill>
                          <w14:schemeClr w14:val="tx1"/>
                        </w14:solidFill>
                      </w14:textFill>
                    </w:rPr>
                    <w:t>。</w:t>
                  </w:r>
                </w:p>
              </w:tc>
              <w:tc>
                <w:tcPr>
                  <w:tcW w:w="1589" w:type="pct"/>
                  <w:tcBorders>
                    <w:tl2br w:val="nil"/>
                    <w:tr2bl w:val="nil"/>
                  </w:tcBorders>
                  <w:shd w:val="clear" w:color="auto" w:fill="auto"/>
                  <w:noWrap w:val="0"/>
                  <w:vAlign w:val="center"/>
                </w:tcPr>
                <w:p w14:paraId="131391E2">
                  <w:pPr>
                    <w:keepNext w:val="0"/>
                    <w:keepLines w:val="0"/>
                    <w:suppressLineNumbers w:val="0"/>
                    <w:autoSpaceDE w:val="0"/>
                    <w:autoSpaceDN w:val="0"/>
                    <w:adjustRightInd w:val="0"/>
                    <w:snapToGrid w:val="0"/>
                    <w:spacing w:before="0" w:beforeAutospacing="0" w:after="0" w:afterAutospacing="0"/>
                    <w:ind w:left="0" w:right="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本项目</w:t>
                  </w:r>
                  <w:r>
                    <w:rPr>
                      <w:rFonts w:hint="default" w:ascii="Times New Roman" w:hAnsi="Times New Roman" w:cs="Times New Roman"/>
                      <w:color w:val="000000" w:themeColor="text1"/>
                      <w:highlight w:val="none"/>
                      <w:lang w:val="en-US" w:eastAsia="zh-CN"/>
                      <w14:textFill>
                        <w14:solidFill>
                          <w14:schemeClr w14:val="tx1"/>
                        </w14:solidFill>
                      </w14:textFill>
                    </w:rPr>
                    <w:t>有机废气经收集后由两级</w:t>
                  </w:r>
                  <w:r>
                    <w:rPr>
                      <w:rFonts w:hint="default" w:ascii="Times New Roman" w:hAnsi="Times New Roman" w:cs="Times New Roman"/>
                      <w:color w:val="000000" w:themeColor="text1"/>
                      <w:highlight w:val="none"/>
                      <w14:textFill>
                        <w14:solidFill>
                          <w14:schemeClr w14:val="tx1"/>
                        </w14:solidFill>
                      </w14:textFill>
                    </w:rPr>
                    <w:t>活性炭吸附</w:t>
                  </w:r>
                  <w:r>
                    <w:rPr>
                      <w:rFonts w:hint="default" w:ascii="Times New Roman" w:hAnsi="Times New Roman" w:cs="Times New Roman"/>
                      <w:color w:val="000000" w:themeColor="text1"/>
                      <w:highlight w:val="none"/>
                      <w:lang w:val="en-US" w:eastAsia="zh-CN"/>
                      <w14:textFill>
                        <w14:solidFill>
                          <w14:schemeClr w14:val="tx1"/>
                        </w14:solidFill>
                      </w14:textFill>
                    </w:rPr>
                    <w:t>+15m高排气筒达标排放</w:t>
                  </w:r>
                  <w:r>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。本项目VOCs治理设施技术可行，可确保稳定达标排放，不属于简易低效措施。</w:t>
                  </w:r>
                </w:p>
              </w:tc>
              <w:tc>
                <w:tcPr>
                  <w:tcW w:w="396" w:type="pct"/>
                  <w:tcBorders>
                    <w:tl2br w:val="nil"/>
                    <w:tr2bl w:val="nil"/>
                  </w:tcBorders>
                  <w:shd w:val="clear" w:color="auto" w:fill="auto"/>
                  <w:noWrap w:val="0"/>
                  <w:vAlign w:val="center"/>
                </w:tcPr>
                <w:p w14:paraId="121B82A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szCs w:val="21"/>
                      <w:highlight w:val="none"/>
                      <w:lang w:val="en-US" w:eastAsia="zh-CN"/>
                    </w:rPr>
                  </w:pPr>
                  <w:r>
                    <w:rPr>
                      <w:rFonts w:hint="default" w:ascii="Times New Roman" w:hAnsi="Times New Roman" w:eastAsia="宋体" w:cs="Times New Roman"/>
                      <w:bCs/>
                      <w:color w:val="auto"/>
                      <w:sz w:val="21"/>
                      <w:szCs w:val="21"/>
                      <w:highlight w:val="none"/>
                    </w:rPr>
                    <w:t>符合</w:t>
                  </w:r>
                </w:p>
              </w:tc>
            </w:tr>
          </w:tbl>
          <w:p w14:paraId="5D3FD1EA">
            <w:pPr>
              <w:keepNext w:val="0"/>
              <w:keepLines w:val="0"/>
              <w:suppressLineNumbers w:val="0"/>
              <w:spacing w:before="0" w:beforeAutospacing="0" w:after="0" w:afterAutospacing="0" w:line="360" w:lineRule="auto"/>
              <w:ind w:left="0" w:right="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4.</w:t>
            </w:r>
            <w:r>
              <w:rPr>
                <w:rFonts w:hint="default" w:ascii="Times New Roman" w:hAnsi="Times New Roman" w:cs="Times New Roman"/>
                <w:b/>
                <w:color w:val="auto"/>
                <w:sz w:val="24"/>
                <w:highlight w:val="none"/>
              </w:rPr>
              <w:t>选址</w:t>
            </w:r>
            <w:r>
              <w:rPr>
                <w:rFonts w:hint="default" w:ascii="Times New Roman" w:hAnsi="Times New Roman" w:cs="Times New Roman"/>
                <w:b/>
                <w:color w:val="auto"/>
                <w:sz w:val="24"/>
                <w:highlight w:val="none"/>
                <w:lang w:val="en-US" w:eastAsia="zh-CN"/>
              </w:rPr>
              <w:t>合理性</w:t>
            </w:r>
            <w:r>
              <w:rPr>
                <w:rFonts w:hint="default" w:ascii="Times New Roman" w:hAnsi="Times New Roman" w:cs="Times New Roman"/>
                <w:b/>
                <w:color w:val="auto"/>
                <w:sz w:val="24"/>
                <w:highlight w:val="none"/>
              </w:rPr>
              <w:t>分析</w:t>
            </w:r>
          </w:p>
          <w:p w14:paraId="43D1633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b w:val="0"/>
                <w:bCs w:val="0"/>
                <w:color w:val="auto"/>
                <w:sz w:val="24"/>
                <w:szCs w:val="24"/>
                <w:highlight w:val="none"/>
                <w:lang w:val="en-US" w:eastAsia="zh-CN"/>
              </w:rPr>
              <w:t>本项目选址于陕西省西咸新区沣西新城大王街道，用地现状地类为工业用地，租赁已建成的标准化生产厂房，不涉及新增建设用地和拆迁安置；项目所在园区水、电、气等基础设施配套完善，本项目废水经处理后全部回用、生活污水经化粪池处理后定期清掏外运，不依托园区污水管网；厂界外50m范围内无居民住宅、学校、医院等声环境敏感目标，500m范围内无自然保护区、风景名胜区、饮用水水源保护区等环境敏感区，周边环境不敏感，选址合理。</w:t>
            </w:r>
          </w:p>
        </w:tc>
      </w:tr>
    </w:tbl>
    <w:p w14:paraId="74C86965">
      <w:pPr>
        <w:pStyle w:val="29"/>
        <w:adjustRightInd w:val="0"/>
        <w:snapToGrid w:val="0"/>
        <w:spacing w:before="0" w:beforeAutospacing="0" w:after="0" w:afterAutospacing="0" w:line="360" w:lineRule="auto"/>
        <w:jc w:val="center"/>
        <w:outlineLvl w:val="0"/>
        <w:rPr>
          <w:rFonts w:hint="default" w:ascii="Times New Roman" w:hAnsi="Times New Roman" w:cs="Times New Roman"/>
          <w:b/>
          <w:snapToGrid w:val="0"/>
          <w:color w:val="auto"/>
          <w:sz w:val="28"/>
          <w:szCs w:val="28"/>
          <w:highlight w:val="none"/>
        </w:rPr>
      </w:pPr>
      <w:r>
        <w:rPr>
          <w:rFonts w:hint="default" w:ascii="Times New Roman" w:hAnsi="Times New Roman" w:cs="Times New Roman"/>
          <w:b/>
          <w:snapToGrid w:val="0"/>
          <w:color w:val="auto"/>
          <w:sz w:val="28"/>
          <w:szCs w:val="28"/>
          <w:highlight w:val="none"/>
        </w:rPr>
        <w:t>二、建设项目工程分析</w:t>
      </w:r>
      <w:bookmarkEnd w:id="4"/>
    </w:p>
    <w:tbl>
      <w:tblPr>
        <w:tblStyle w:val="32"/>
        <w:tblW w:w="945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46"/>
        <w:gridCol w:w="8512"/>
      </w:tblGrid>
      <w:tr w14:paraId="784122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6" w:type="dxa"/>
            <w:vAlign w:val="center"/>
          </w:tcPr>
          <w:p w14:paraId="4BE1B862">
            <w:pPr>
              <w:pStyle w:val="29"/>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建设内容</w:t>
            </w:r>
          </w:p>
        </w:tc>
        <w:tc>
          <w:tcPr>
            <w:tcW w:w="8512" w:type="dxa"/>
          </w:tcPr>
          <w:p w14:paraId="2F0D09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一、项目由来</w:t>
            </w:r>
          </w:p>
          <w:p w14:paraId="664E9105">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陕西秦源智联科技有限责任公司成立于2025年3月31日，统一社会信用代码91611104MAEFLB5D9U，法定代表人钟雅芳，注册地址位于陕西省西咸新区沣西新城大王街道梧桐村（北）村高速出口东500米处3号，经营范围包括机械设备研发、喷涂加工、涂装设备制造与销售、金属链条及其他金属制品制造与销售等。</w:t>
            </w:r>
          </w:p>
          <w:p w14:paraId="1DF176AB">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公司拟租赁位于陕西省西咸新区大王108国道与东灵路十字向南300米处的标准化生产厂房，投资150万元建设</w:t>
            </w:r>
            <w:r>
              <w:rPr>
                <w:rFonts w:hint="eastAsia" w:ascii="Times New Roman" w:hAnsi="Times New Roman"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陕西秦源智联科技有限公司金属构件表面处理加工项目</w:t>
            </w:r>
            <w:r>
              <w:rPr>
                <w:rFonts w:hint="eastAsia" w:ascii="Times New Roman" w:hAnsi="Times New Roman"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为电气机柜、机箱、工字钢钢结构件、金属支架、五金冲压小件等金属构件提供外协来料表面处理加工服务，主要建设工件抛丸预处理工序、水性漆喷涂工序，预留全自动阴极电泳生产线，并配套建设废水、废气、噪声、固废全套环保治理设施。该项目已取得陕西省西咸新区沣西新城管理委员会核发的《陕西省企业投资项目备案确认书》（项目代码：2608-611205-04-05-816813，2026年8月27日）。</w:t>
            </w:r>
          </w:p>
          <w:p w14:paraId="63313DED">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highlight w:val="none"/>
              </w:rPr>
            </w:pPr>
            <w:r>
              <w:rPr>
                <w:rFonts w:hint="default" w:ascii="Times New Roman" w:hAnsi="Times New Roman" w:eastAsia="宋体" w:cs="Times New Roman"/>
                <w:b w:val="0"/>
                <w:bCs w:val="0"/>
                <w:color w:val="auto"/>
                <w:sz w:val="24"/>
                <w:szCs w:val="24"/>
                <w:highlight w:val="none"/>
              </w:rPr>
              <w:t>根据《中华人民共和国生态环境法典》《建设项目环境保护管理条例》及《建设项目环境影响评价分类管理名录（2021年版）</w:t>
            </w:r>
            <w:r>
              <w:rPr>
                <w:rFonts w:hint="eastAsia" w:ascii="Times New Roman" w:hAnsi="Times New Roman" w:cs="Times New Roman"/>
                <w:b w:val="0"/>
                <w:bCs w:val="0"/>
                <w:color w:val="auto"/>
                <w:sz w:val="24"/>
                <w:szCs w:val="24"/>
                <w:highlight w:val="none"/>
                <w:lang w:eastAsia="zh-CN"/>
              </w:rPr>
              <w:t>》等</w:t>
            </w:r>
            <w:r>
              <w:rPr>
                <w:rFonts w:hint="default" w:ascii="Times New Roman" w:hAnsi="Times New Roman" w:eastAsia="宋体" w:cs="Times New Roman"/>
                <w:b w:val="0"/>
                <w:bCs w:val="0"/>
                <w:color w:val="auto"/>
                <w:sz w:val="24"/>
                <w:szCs w:val="24"/>
                <w:highlight w:val="none"/>
              </w:rPr>
              <w:t>有关规定，本项目属于名录中，本项目属于名录中</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三十、金属制品业—67 金属表面处理及热处理加工</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类别（其他），应编制环境影响报告表。受建设单位委托，我单位承担本项目的环境影响评价工作。环评单位接受委托后，组织技术人员进行了现场踏勘，收集了项目备案、营业执照、土地权属、地类说明、原辅材料检测报告等资料，并对照同区域已批复项目引用环境质量现状监测数据，在此基础上编制完成了本报告表。</w:t>
            </w:r>
          </w:p>
          <w:p w14:paraId="623F4E2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二、项目建设内容</w:t>
            </w:r>
          </w:p>
          <w:p w14:paraId="5ADC75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rPr>
              <w:t>项目基本情况</w:t>
            </w:r>
          </w:p>
          <w:p w14:paraId="4674ED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项目名称：</w:t>
            </w:r>
            <w:r>
              <w:rPr>
                <w:rFonts w:hint="default" w:ascii="Times New Roman" w:hAnsi="Times New Roman" w:cs="Times New Roman"/>
                <w:color w:val="auto"/>
                <w:sz w:val="24"/>
                <w:szCs w:val="24"/>
                <w:highlight w:val="none"/>
                <w:lang w:val="en-US" w:eastAsia="zh-CN"/>
              </w:rPr>
              <w:t>陕西秦源智联科技有限公司金属构件表面处理加工项目</w:t>
            </w:r>
            <w:r>
              <w:rPr>
                <w:rFonts w:hint="default" w:ascii="Times New Roman" w:hAnsi="Times New Roman" w:eastAsia="宋体" w:cs="Times New Roman"/>
                <w:color w:val="auto"/>
                <w:sz w:val="24"/>
                <w:szCs w:val="24"/>
                <w:highlight w:val="none"/>
                <w:lang w:val="en-US" w:eastAsia="zh-CN"/>
              </w:rPr>
              <w:t>；</w:t>
            </w:r>
          </w:p>
          <w:p w14:paraId="5D0698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建设单位：</w:t>
            </w:r>
            <w:r>
              <w:rPr>
                <w:rFonts w:hint="default" w:ascii="Times New Roman" w:hAnsi="Times New Roman" w:cs="Times New Roman"/>
                <w:color w:val="auto"/>
                <w:sz w:val="24"/>
                <w:szCs w:val="24"/>
                <w:highlight w:val="none"/>
                <w:lang w:val="en-US" w:eastAsia="zh-CN"/>
              </w:rPr>
              <w:t>陕西秦源智联科技有限责任公司</w:t>
            </w:r>
            <w:r>
              <w:rPr>
                <w:rFonts w:hint="default" w:ascii="Times New Roman" w:hAnsi="Times New Roman" w:eastAsia="宋体" w:cs="Times New Roman"/>
                <w:color w:val="auto"/>
                <w:sz w:val="24"/>
                <w:szCs w:val="24"/>
                <w:highlight w:val="none"/>
                <w:lang w:val="en-US" w:eastAsia="zh-CN"/>
              </w:rPr>
              <w:t>；</w:t>
            </w:r>
          </w:p>
          <w:p w14:paraId="284ACC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lang w:val="en-US" w:eastAsia="zh-CN"/>
              </w:rPr>
              <w:t>建设性质：新建</w:t>
            </w:r>
            <w:r>
              <w:rPr>
                <w:rFonts w:hint="default" w:ascii="Times New Roman" w:hAnsi="Times New Roman" w:eastAsia="宋体" w:cs="Times New Roman"/>
                <w:b w:val="0"/>
                <w:bCs w:val="0"/>
                <w:color w:val="auto"/>
                <w:sz w:val="24"/>
                <w:szCs w:val="24"/>
                <w:highlight w:val="none"/>
                <w:lang w:eastAsia="zh-CN"/>
              </w:rPr>
              <w:t>；</w:t>
            </w:r>
          </w:p>
          <w:p w14:paraId="4DC07A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项目投资：</w:t>
            </w:r>
            <w:r>
              <w:rPr>
                <w:rFonts w:hint="default" w:ascii="Times New Roman" w:hAnsi="Times New Roman" w:cs="Times New Roman"/>
                <w:b w:val="0"/>
                <w:bCs w:val="0"/>
                <w:color w:val="auto"/>
                <w:sz w:val="24"/>
                <w:szCs w:val="24"/>
                <w:highlight w:val="none"/>
                <w:lang w:val="en-US" w:eastAsia="zh-CN"/>
              </w:rPr>
              <w:t>150</w:t>
            </w:r>
            <w:r>
              <w:rPr>
                <w:rFonts w:hint="default" w:ascii="Times New Roman" w:hAnsi="Times New Roman" w:eastAsia="宋体" w:cs="Times New Roman"/>
                <w:b w:val="0"/>
                <w:bCs w:val="0"/>
                <w:color w:val="auto"/>
                <w:sz w:val="24"/>
                <w:szCs w:val="24"/>
                <w:highlight w:val="none"/>
              </w:rPr>
              <w:t>万元；</w:t>
            </w:r>
          </w:p>
          <w:p w14:paraId="5603D0A8">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rPr>
              <w:t>占地面积：</w:t>
            </w:r>
            <w:r>
              <w:rPr>
                <w:rFonts w:hint="default" w:ascii="Times New Roman" w:hAnsi="Times New Roman" w:cs="Times New Roman"/>
                <w:color w:val="auto"/>
                <w:sz w:val="24"/>
                <w:szCs w:val="24"/>
                <w:highlight w:val="none"/>
                <w:lang w:val="en-US" w:eastAsia="zh-CN"/>
              </w:rPr>
              <w:t>5927</w:t>
            </w:r>
            <w:r>
              <w:rPr>
                <w:rFonts w:hint="default" w:ascii="Times New Roman" w:hAnsi="Times New Roman" w:eastAsia="宋体" w:cs="Times New Roman"/>
                <w:b w:val="0"/>
                <w:bCs w:val="0"/>
                <w:color w:val="auto"/>
                <w:sz w:val="24"/>
                <w:szCs w:val="24"/>
                <w:highlight w:val="none"/>
              </w:rPr>
              <w:t>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vertAlign w:val="baseline"/>
                <w:lang w:val="en-US" w:eastAsia="zh-CN"/>
              </w:rPr>
              <w:t>。</w:t>
            </w:r>
          </w:p>
          <w:p w14:paraId="2B6E7F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rPr>
              <w:t>建设地点及周边关系</w:t>
            </w:r>
          </w:p>
          <w:p w14:paraId="75CCDB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本项目</w:t>
            </w:r>
            <w:r>
              <w:rPr>
                <w:rFonts w:hint="default" w:ascii="Times New Roman" w:hAnsi="Times New Roman" w:eastAsia="宋体" w:cs="Times New Roman"/>
                <w:color w:val="auto"/>
                <w:sz w:val="24"/>
                <w:szCs w:val="24"/>
                <w:highlight w:val="none"/>
              </w:rPr>
              <w:t>位于</w:t>
            </w:r>
            <w:r>
              <w:rPr>
                <w:rFonts w:hint="default" w:ascii="Times New Roman" w:hAnsi="Times New Roman" w:eastAsia="宋体" w:cs="Times New Roman"/>
                <w:b w:val="0"/>
                <w:color w:val="auto"/>
                <w:sz w:val="24"/>
                <w:highlight w:val="none"/>
              </w:rPr>
              <w:t>陕西省西咸新区大王街道108国道与东灵路十字向南300米（租赁标准化生产厂房</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shd w:val="clear"/>
                <w:lang w:val="en-US" w:eastAsia="zh-CN"/>
              </w:rPr>
              <w:t>项目</w:t>
            </w:r>
            <w:r>
              <w:rPr>
                <w:rFonts w:hint="default" w:ascii="Times New Roman" w:hAnsi="Times New Roman" w:cs="Times New Roman"/>
                <w:color w:val="auto"/>
                <w:sz w:val="24"/>
                <w:szCs w:val="24"/>
                <w:highlight w:val="none"/>
                <w:shd w:val="clear"/>
                <w:lang w:val="en-US" w:eastAsia="zh-CN"/>
              </w:rPr>
              <w:t>南侧为空地</w:t>
            </w:r>
            <w:r>
              <w:rPr>
                <w:rFonts w:hint="default" w:ascii="Times New Roman" w:hAnsi="Times New Roman" w:cs="Times New Roman"/>
                <w:color w:val="auto"/>
                <w:sz w:val="24"/>
                <w:szCs w:val="24"/>
                <w:highlight w:val="none"/>
                <w:lang w:val="en-US" w:eastAsia="zh-CN"/>
              </w:rPr>
              <w:t>、北侧为道路、</w:t>
            </w:r>
            <w:r>
              <w:rPr>
                <w:rFonts w:hint="default" w:ascii="Times New Roman" w:hAnsi="Times New Roman" w:eastAsia="宋体" w:cs="Times New Roman"/>
                <w:color w:val="auto"/>
                <w:sz w:val="24"/>
                <w:szCs w:val="24"/>
                <w:highlight w:val="none"/>
                <w:lang w:val="en-US" w:eastAsia="zh-CN"/>
              </w:rPr>
              <w:t>东侧为</w:t>
            </w:r>
            <w:r>
              <w:rPr>
                <w:rFonts w:hint="default" w:ascii="Times New Roman" w:hAnsi="Times New Roman" w:cs="Times New Roman"/>
                <w:color w:val="auto"/>
                <w:sz w:val="24"/>
                <w:szCs w:val="24"/>
                <w:highlight w:val="none"/>
                <w:lang w:val="en-US" w:eastAsia="zh-CN"/>
              </w:rPr>
              <w:t>中腾润机动车检测站、西侧为新旧门窗建材市场</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项目区内地势平坦</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所在地区交通、货运方便</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区位优势明显。</w:t>
            </w:r>
          </w:p>
          <w:p w14:paraId="585A64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Cs/>
                <w:color w:val="auto"/>
                <w:sz w:val="24"/>
                <w:highlight w:val="none"/>
              </w:rPr>
            </w:pPr>
            <w:r>
              <w:rPr>
                <w:rFonts w:hint="default" w:ascii="Times New Roman" w:hAnsi="Times New Roman" w:eastAsia="宋体" w:cs="Times New Roman"/>
                <w:color w:val="auto"/>
                <w:sz w:val="24"/>
                <w:szCs w:val="24"/>
                <w:highlight w:val="none"/>
              </w:rPr>
              <w:t>地理位置见附图</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、四邻关系见附图</w:t>
            </w:r>
            <w:r>
              <w:rPr>
                <w:rFonts w:hint="default" w:ascii="Times New Roman" w:hAnsi="Times New Roman" w:cs="Times New Roman"/>
                <w:color w:val="auto"/>
                <w:sz w:val="24"/>
                <w:szCs w:val="24"/>
                <w:highlight w:val="none"/>
                <w:lang w:val="en-US" w:eastAsia="zh-CN"/>
              </w:rPr>
              <w:t>二</w:t>
            </w:r>
            <w:r>
              <w:rPr>
                <w:rFonts w:hint="default" w:ascii="Times New Roman" w:hAnsi="Times New Roman" w:eastAsia="宋体" w:cs="Times New Roman"/>
                <w:color w:val="auto"/>
                <w:sz w:val="24"/>
                <w:szCs w:val="24"/>
                <w:highlight w:val="none"/>
              </w:rPr>
              <w:t>。</w:t>
            </w:r>
          </w:p>
          <w:p w14:paraId="143DCA9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lang w:val="en-US" w:eastAsia="zh-CN"/>
              </w:rPr>
              <w:t>3.</w:t>
            </w:r>
            <w:r>
              <w:rPr>
                <w:rFonts w:hint="default" w:ascii="Times New Roman" w:hAnsi="Times New Roman" w:cs="Times New Roman"/>
                <w:bCs/>
                <w:color w:val="auto"/>
                <w:sz w:val="24"/>
                <w:highlight w:val="none"/>
              </w:rPr>
              <w:t>项目建设主要内容</w:t>
            </w:r>
          </w:p>
          <w:p w14:paraId="493EA1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lang w:eastAsia="zh-CN"/>
              </w:rPr>
              <w:t>占地</w:t>
            </w:r>
            <w:r>
              <w:rPr>
                <w:rFonts w:hint="default" w:ascii="Times New Roman" w:hAnsi="Times New Roman" w:cs="Times New Roman"/>
                <w:color w:val="auto"/>
                <w:sz w:val="24"/>
                <w:szCs w:val="24"/>
                <w:highlight w:val="none"/>
                <w:lang w:val="en-US" w:eastAsia="zh-CN"/>
              </w:rPr>
              <w:t>5927</w:t>
            </w:r>
            <w:r>
              <w:rPr>
                <w:rFonts w:hint="default" w:ascii="Times New Roman" w:hAnsi="Times New Roman" w:eastAsia="宋体" w:cs="Times New Roman"/>
                <w:color w:val="auto"/>
                <w:sz w:val="24"/>
                <w:szCs w:val="24"/>
                <w:highlight w:val="none"/>
                <w:lang w:val="en-US" w:eastAsia="zh-CN"/>
              </w:rPr>
              <w:t>平方米</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主要建设工件抛丸预处理工序、水性漆喷涂工序，全自动阴极电泳生产线（整体环评批复，分期建设，后期根据订单投产），配套建设废水、废气、噪声、固废全套环保治理设施。</w:t>
            </w:r>
          </w:p>
          <w:p w14:paraId="4552A1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本项目</w:t>
            </w:r>
            <w:r>
              <w:rPr>
                <w:rFonts w:hint="default" w:ascii="Times New Roman" w:hAnsi="Times New Roman" w:eastAsia="宋体" w:cs="Times New Roman"/>
                <w:color w:val="auto"/>
                <w:sz w:val="24"/>
                <w:szCs w:val="24"/>
                <w:highlight w:val="none"/>
                <w:lang w:val="en-US" w:eastAsia="zh-CN"/>
              </w:rPr>
              <w:t>主要工程内容见下表。</w:t>
            </w:r>
          </w:p>
          <w:p w14:paraId="60EDAE43">
            <w:pPr>
              <w:keepNext w:val="0"/>
              <w:keepLines w:val="0"/>
              <w:suppressLineNumbers w:val="0"/>
              <w:tabs>
                <w:tab w:val="left" w:pos="0"/>
              </w:tabs>
              <w:spacing w:before="0" w:beforeAutospacing="0" w:after="0" w:afterAutospacing="0"/>
              <w:ind w:left="0" w:right="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表2-1  项目主要建设内容及规模一览表</w:t>
            </w:r>
          </w:p>
          <w:tbl>
            <w:tblPr>
              <w:tblStyle w:val="32"/>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204"/>
              <w:gridCol w:w="1395"/>
              <w:gridCol w:w="4338"/>
              <w:gridCol w:w="1350"/>
            </w:tblGrid>
            <w:tr w14:paraId="035A01E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204" w:type="dxa"/>
                  <w:vAlign w:val="center"/>
                </w:tcPr>
                <w:p w14:paraId="45CA90A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sz w:val="21"/>
                      <w:highlight w:val="none"/>
                    </w:rPr>
                    <w:t>工程类别</w:t>
                  </w:r>
                </w:p>
              </w:tc>
              <w:tc>
                <w:tcPr>
                  <w:tcW w:w="1395" w:type="dxa"/>
                  <w:vAlign w:val="center"/>
                </w:tcPr>
                <w:p w14:paraId="5FB81BC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sz w:val="21"/>
                      <w:highlight w:val="none"/>
                    </w:rPr>
                    <w:t>工程名称</w:t>
                  </w:r>
                </w:p>
              </w:tc>
              <w:tc>
                <w:tcPr>
                  <w:tcW w:w="4338" w:type="dxa"/>
                  <w:vAlign w:val="center"/>
                </w:tcPr>
                <w:p w14:paraId="6B06534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sz w:val="21"/>
                      <w:highlight w:val="none"/>
                    </w:rPr>
                    <w:t>工程内容</w:t>
                  </w:r>
                </w:p>
              </w:tc>
              <w:tc>
                <w:tcPr>
                  <w:tcW w:w="1350" w:type="dxa"/>
                  <w:vAlign w:val="center"/>
                </w:tcPr>
                <w:p w14:paraId="383C4EE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sz w:val="21"/>
                      <w:highlight w:val="none"/>
                    </w:rPr>
                    <w:t>备注</w:t>
                  </w:r>
                </w:p>
              </w:tc>
            </w:tr>
            <w:tr w14:paraId="5AC34CF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restart"/>
                  <w:vAlign w:val="center"/>
                </w:tcPr>
                <w:p w14:paraId="62F45E4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主体工程</w:t>
                  </w:r>
                </w:p>
              </w:tc>
              <w:tc>
                <w:tcPr>
                  <w:tcW w:w="1395" w:type="dxa"/>
                  <w:vAlign w:val="center"/>
                </w:tcPr>
                <w:p w14:paraId="4633FC8C">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A区生产车间</w:t>
                  </w:r>
                </w:p>
              </w:tc>
              <w:tc>
                <w:tcPr>
                  <w:tcW w:w="4338" w:type="dxa"/>
                  <w:vAlign w:val="center"/>
                </w:tcPr>
                <w:p w14:paraId="76824CB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建筑面积1900</w:t>
                  </w:r>
                  <w:r>
                    <w:rPr>
                      <w:rFonts w:hint="default" w:ascii="Times New Roman" w:hAnsi="Times New Roman" w:cs="Times New Roman"/>
                      <w:b w:val="0"/>
                      <w:sz w:val="21"/>
                      <w:highlight w:val="none"/>
                      <w:lang w:val="en-US" w:eastAsia="zh-CN"/>
                    </w:rPr>
                    <w:t>m</w:t>
                  </w:r>
                  <w:r>
                    <w:rPr>
                      <w:rFonts w:hint="default" w:ascii="Times New Roman" w:hAnsi="Times New Roman" w:cs="Times New Roman"/>
                      <w:b w:val="0"/>
                      <w:sz w:val="21"/>
                      <w:highlight w:val="none"/>
                      <w:vertAlign w:val="superscript"/>
                      <w:lang w:val="en-US" w:eastAsia="zh-CN"/>
                    </w:rPr>
                    <w:t>2</w:t>
                  </w:r>
                  <w:r>
                    <w:rPr>
                      <w:rFonts w:hint="default" w:ascii="Times New Roman" w:hAnsi="Times New Roman" w:eastAsia="宋体" w:cs="Times New Roman"/>
                      <w:b w:val="0"/>
                      <w:sz w:val="21"/>
                      <w:highlight w:val="none"/>
                    </w:rPr>
                    <w:t>，主要布设流水线烘干炉（固化烘道）、喷漆房（水性漆喷涂）、面包炉喷房（静电粉末喷涂）、面包炉烤房（固化炉）、抛丸机、喷砂房等</w:t>
                  </w:r>
                </w:p>
              </w:tc>
              <w:tc>
                <w:tcPr>
                  <w:tcW w:w="1350" w:type="dxa"/>
                  <w:vAlign w:val="center"/>
                </w:tcPr>
                <w:p w14:paraId="52E2FFA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租赁厂房，新建</w:t>
                  </w:r>
                </w:p>
              </w:tc>
            </w:tr>
            <w:tr w14:paraId="79FA35D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continue"/>
                  <w:vAlign w:val="center"/>
                </w:tcPr>
                <w:p w14:paraId="0A28FA8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774B0B2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B区生产车间</w:t>
                  </w:r>
                </w:p>
              </w:tc>
              <w:tc>
                <w:tcPr>
                  <w:tcW w:w="4338" w:type="dxa"/>
                  <w:vAlign w:val="center"/>
                </w:tcPr>
                <w:p w14:paraId="672ED4E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highlight w:val="none"/>
                      <w:lang w:val="en-US" w:eastAsia="zh-CN"/>
                    </w:rPr>
                  </w:pPr>
                  <w:r>
                    <w:rPr>
                      <w:rFonts w:hint="default" w:ascii="Times New Roman" w:hAnsi="Times New Roman" w:eastAsia="宋体" w:cs="Times New Roman"/>
                      <w:b w:val="0"/>
                      <w:sz w:val="21"/>
                      <w:highlight w:val="none"/>
                    </w:rPr>
                    <w:t>建筑面积1600</w:t>
                  </w:r>
                  <w:r>
                    <w:rPr>
                      <w:rFonts w:hint="default" w:ascii="Times New Roman" w:hAnsi="Times New Roman" w:cs="Times New Roman"/>
                      <w:b w:val="0"/>
                      <w:sz w:val="21"/>
                      <w:highlight w:val="none"/>
                      <w:lang w:val="en-US" w:eastAsia="zh-CN"/>
                    </w:rPr>
                    <w:t>m</w:t>
                  </w:r>
                  <w:r>
                    <w:rPr>
                      <w:rFonts w:hint="default" w:ascii="Times New Roman" w:hAnsi="Times New Roman" w:cs="Times New Roman"/>
                      <w:b w:val="0"/>
                      <w:sz w:val="21"/>
                      <w:highlight w:val="none"/>
                      <w:vertAlign w:val="superscript"/>
                      <w:lang w:val="en-US" w:eastAsia="zh-CN"/>
                    </w:rPr>
                    <w:t>2</w:t>
                  </w:r>
                  <w:r>
                    <w:rPr>
                      <w:rFonts w:hint="default" w:ascii="Times New Roman" w:hAnsi="Times New Roman" w:eastAsia="宋体" w:cs="Times New Roman"/>
                      <w:b w:val="0"/>
                      <w:sz w:val="21"/>
                      <w:highlight w:val="none"/>
                    </w:rPr>
                    <w:t>，主要布设流水线辊道、上件下件区、立式抛丸机</w:t>
                  </w:r>
                  <w:r>
                    <w:rPr>
                      <w:rFonts w:hint="default" w:ascii="Times New Roman" w:hAnsi="Times New Roman" w:cs="Times New Roman"/>
                      <w:b w:val="0"/>
                      <w:sz w:val="21"/>
                      <w:highlight w:val="none"/>
                      <w:lang w:eastAsia="zh-CN"/>
                    </w:rPr>
                    <w:t>，</w:t>
                  </w:r>
                  <w:r>
                    <w:rPr>
                      <w:rFonts w:hint="default" w:ascii="Times New Roman" w:hAnsi="Times New Roman" w:cs="Times New Roman"/>
                      <w:b w:val="0"/>
                      <w:sz w:val="21"/>
                      <w:highlight w:val="none"/>
                      <w:lang w:val="en-US" w:eastAsia="zh-CN"/>
                    </w:rPr>
                    <w:t>预留电泳线</w:t>
                  </w:r>
                </w:p>
              </w:tc>
              <w:tc>
                <w:tcPr>
                  <w:tcW w:w="1350" w:type="dxa"/>
                  <w:vAlign w:val="center"/>
                </w:tcPr>
                <w:p w14:paraId="3D525CC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租赁厂房，新建</w:t>
                  </w:r>
                </w:p>
              </w:tc>
            </w:tr>
            <w:tr w14:paraId="341B78D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continue"/>
                  <w:vAlign w:val="center"/>
                </w:tcPr>
                <w:p w14:paraId="3328D95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1B13EE4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C区生产车间</w:t>
                  </w:r>
                </w:p>
              </w:tc>
              <w:tc>
                <w:tcPr>
                  <w:tcW w:w="4338" w:type="dxa"/>
                  <w:vAlign w:val="center"/>
                </w:tcPr>
                <w:p w14:paraId="5D3A9F3E">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建筑面积40</w:t>
                  </w:r>
                  <w:r>
                    <w:rPr>
                      <w:rFonts w:hint="default" w:ascii="Times New Roman" w:hAnsi="Times New Roman" w:cs="Times New Roman"/>
                      <w:b w:val="0"/>
                      <w:sz w:val="21"/>
                      <w:highlight w:val="none"/>
                      <w:lang w:val="en-US" w:eastAsia="zh-CN"/>
                    </w:rPr>
                    <w:t>0m</w:t>
                  </w:r>
                  <w:r>
                    <w:rPr>
                      <w:rFonts w:hint="default" w:ascii="Times New Roman" w:hAnsi="Times New Roman" w:cs="Times New Roman"/>
                      <w:b w:val="0"/>
                      <w:sz w:val="21"/>
                      <w:highlight w:val="none"/>
                      <w:vertAlign w:val="superscript"/>
                      <w:lang w:val="en-US" w:eastAsia="zh-CN"/>
                    </w:rPr>
                    <w:t>2</w:t>
                  </w:r>
                  <w:r>
                    <w:rPr>
                      <w:rFonts w:hint="default" w:ascii="Times New Roman" w:hAnsi="Times New Roman" w:eastAsia="宋体" w:cs="Times New Roman"/>
                      <w:b w:val="0"/>
                      <w:sz w:val="21"/>
                      <w:highlight w:val="none"/>
                    </w:rPr>
                    <w:t>，主要布设危废间、库房（原料、成品）、打磨室</w:t>
                  </w:r>
                </w:p>
              </w:tc>
              <w:tc>
                <w:tcPr>
                  <w:tcW w:w="1350" w:type="dxa"/>
                  <w:vAlign w:val="center"/>
                </w:tcPr>
                <w:p w14:paraId="72F8CD3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租赁厂房，新建</w:t>
                  </w:r>
                </w:p>
              </w:tc>
            </w:tr>
            <w:tr w14:paraId="3795CCD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continue"/>
                  <w:vAlign w:val="center"/>
                </w:tcPr>
                <w:p w14:paraId="7A8089F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1BF1F01C">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阴极电泳生产线</w:t>
                  </w:r>
                </w:p>
              </w:tc>
              <w:tc>
                <w:tcPr>
                  <w:tcW w:w="4338" w:type="dxa"/>
                  <w:vAlign w:val="center"/>
                </w:tcPr>
                <w:p w14:paraId="28D1D75A">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全自动龙门式阴极电泳生产线1套（含电泳槽、超滤回收系统、整流电源、电泳烘干设备），</w:t>
                  </w:r>
                </w:p>
              </w:tc>
              <w:tc>
                <w:tcPr>
                  <w:tcW w:w="1350" w:type="dxa"/>
                  <w:vAlign w:val="center"/>
                </w:tcPr>
                <w:p w14:paraId="3A318DA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新建</w:t>
                  </w:r>
                </w:p>
              </w:tc>
            </w:tr>
            <w:tr w14:paraId="01BF6EC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restart"/>
                  <w:vAlign w:val="center"/>
                </w:tcPr>
                <w:p w14:paraId="51AE921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辅助工程</w:t>
                  </w:r>
                </w:p>
              </w:tc>
              <w:tc>
                <w:tcPr>
                  <w:tcW w:w="1395" w:type="dxa"/>
                  <w:vAlign w:val="center"/>
                </w:tcPr>
                <w:p w14:paraId="58B998C4">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办公区</w:t>
                  </w:r>
                </w:p>
              </w:tc>
              <w:tc>
                <w:tcPr>
                  <w:tcW w:w="4338" w:type="dxa"/>
                  <w:vAlign w:val="center"/>
                </w:tcPr>
                <w:p w14:paraId="5F9B54E0">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依托园区办公用房，用于日常办公</w:t>
                  </w:r>
                </w:p>
              </w:tc>
              <w:tc>
                <w:tcPr>
                  <w:tcW w:w="1350" w:type="dxa"/>
                  <w:vAlign w:val="center"/>
                </w:tcPr>
                <w:p w14:paraId="46D8B51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依托</w:t>
                  </w:r>
                </w:p>
              </w:tc>
            </w:tr>
            <w:tr w14:paraId="291C8CA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continue"/>
                  <w:vAlign w:val="center"/>
                </w:tcPr>
                <w:p w14:paraId="7ED40D7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4F8B03D0">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纯水制备间</w:t>
                  </w:r>
                </w:p>
              </w:tc>
              <w:tc>
                <w:tcPr>
                  <w:tcW w:w="4338" w:type="dxa"/>
                  <w:vAlign w:val="center"/>
                </w:tcPr>
                <w:p w14:paraId="3FE26D8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设置纯水制备系统（RO反渗透），供生产用水</w:t>
                  </w:r>
                </w:p>
              </w:tc>
              <w:tc>
                <w:tcPr>
                  <w:tcW w:w="1350" w:type="dxa"/>
                  <w:vAlign w:val="center"/>
                </w:tcPr>
                <w:p w14:paraId="275F63F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新建</w:t>
                  </w:r>
                </w:p>
              </w:tc>
            </w:tr>
            <w:tr w14:paraId="6F9E43D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restart"/>
                  <w:vAlign w:val="center"/>
                </w:tcPr>
                <w:p w14:paraId="4EF6749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储运工程</w:t>
                  </w:r>
                </w:p>
              </w:tc>
              <w:tc>
                <w:tcPr>
                  <w:tcW w:w="1395" w:type="dxa"/>
                  <w:vAlign w:val="center"/>
                </w:tcPr>
                <w:p w14:paraId="4AD6498C">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原料区</w:t>
                  </w:r>
                </w:p>
              </w:tc>
              <w:tc>
                <w:tcPr>
                  <w:tcW w:w="4338" w:type="dxa"/>
                  <w:vAlign w:val="center"/>
                </w:tcPr>
                <w:p w14:paraId="28DEF3D9">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位于C区库房，用于粉末涂料、水性漆、除油剂等原辅材料暂存</w:t>
                  </w:r>
                </w:p>
              </w:tc>
              <w:tc>
                <w:tcPr>
                  <w:tcW w:w="1350" w:type="dxa"/>
                  <w:vAlign w:val="center"/>
                </w:tcPr>
                <w:p w14:paraId="05E47B0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新建</w:t>
                  </w:r>
                </w:p>
              </w:tc>
            </w:tr>
            <w:tr w14:paraId="3E600B3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continue"/>
                  <w:vAlign w:val="center"/>
                </w:tcPr>
                <w:p w14:paraId="5C39F5E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2E2A2124">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成品区</w:t>
                  </w:r>
                </w:p>
              </w:tc>
              <w:tc>
                <w:tcPr>
                  <w:tcW w:w="4338" w:type="dxa"/>
                  <w:vAlign w:val="center"/>
                </w:tcPr>
                <w:p w14:paraId="66090C1E">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位于C区库房，用于加工成品暂存</w:t>
                  </w:r>
                </w:p>
              </w:tc>
              <w:tc>
                <w:tcPr>
                  <w:tcW w:w="1350" w:type="dxa"/>
                  <w:vAlign w:val="center"/>
                </w:tcPr>
                <w:p w14:paraId="47F34AC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新建</w:t>
                  </w:r>
                </w:p>
              </w:tc>
            </w:tr>
            <w:tr w14:paraId="319F03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restart"/>
                  <w:vAlign w:val="center"/>
                </w:tcPr>
                <w:p w14:paraId="5A03F02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公用工程</w:t>
                  </w:r>
                </w:p>
              </w:tc>
              <w:tc>
                <w:tcPr>
                  <w:tcW w:w="1395" w:type="dxa"/>
                  <w:vAlign w:val="center"/>
                </w:tcPr>
                <w:p w14:paraId="0210A77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给水</w:t>
                  </w:r>
                </w:p>
              </w:tc>
              <w:tc>
                <w:tcPr>
                  <w:tcW w:w="4338" w:type="dxa"/>
                  <w:vAlign w:val="center"/>
                </w:tcPr>
                <w:p w14:paraId="0047533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市政供水管网供给</w:t>
                  </w:r>
                </w:p>
              </w:tc>
              <w:tc>
                <w:tcPr>
                  <w:tcW w:w="1350" w:type="dxa"/>
                  <w:vAlign w:val="center"/>
                </w:tcPr>
                <w:p w14:paraId="3A07A90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依托园区</w:t>
                  </w:r>
                </w:p>
              </w:tc>
            </w:tr>
            <w:tr w14:paraId="566ACC6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continue"/>
                  <w:vAlign w:val="center"/>
                </w:tcPr>
                <w:p w14:paraId="1A235B2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055DDD84">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排水</w:t>
                  </w:r>
                </w:p>
              </w:tc>
              <w:tc>
                <w:tcPr>
                  <w:tcW w:w="4338" w:type="dxa"/>
                  <w:vAlign w:val="center"/>
                </w:tcPr>
                <w:p w14:paraId="2525C659">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厂区雨污分流；生活污水经化粪池处理后定期清掏外运，生产废水经废水处理站处理后全部回用于厂区洒扫，全厂废水不外排</w:t>
                  </w:r>
                </w:p>
              </w:tc>
              <w:tc>
                <w:tcPr>
                  <w:tcW w:w="1350" w:type="dxa"/>
                  <w:vAlign w:val="center"/>
                </w:tcPr>
                <w:p w14:paraId="2644787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新建</w:t>
                  </w:r>
                </w:p>
              </w:tc>
            </w:tr>
            <w:tr w14:paraId="108B421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continue"/>
                  <w:vAlign w:val="center"/>
                </w:tcPr>
                <w:p w14:paraId="0C03429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0CC58C10">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供电</w:t>
                  </w:r>
                </w:p>
              </w:tc>
              <w:tc>
                <w:tcPr>
                  <w:tcW w:w="4338" w:type="dxa"/>
                  <w:vAlign w:val="center"/>
                </w:tcPr>
                <w:p w14:paraId="6F78ADEC">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市政电网供电，年耗电量30万kWh</w:t>
                  </w:r>
                </w:p>
              </w:tc>
              <w:tc>
                <w:tcPr>
                  <w:tcW w:w="1350" w:type="dxa"/>
                  <w:vAlign w:val="center"/>
                </w:tcPr>
                <w:p w14:paraId="246675A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依托园区</w:t>
                  </w:r>
                </w:p>
              </w:tc>
            </w:tr>
            <w:tr w14:paraId="3394588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continue"/>
                  <w:vAlign w:val="center"/>
                </w:tcPr>
                <w:p w14:paraId="6E81FC5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48E693D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供气</w:t>
                  </w:r>
                </w:p>
              </w:tc>
              <w:tc>
                <w:tcPr>
                  <w:tcW w:w="4338" w:type="dxa"/>
                  <w:vAlign w:val="center"/>
                </w:tcPr>
                <w:p w14:paraId="3689EB7E">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管道天然气，年用量4万</w:t>
                  </w:r>
                  <w:r>
                    <w:rPr>
                      <w:rFonts w:hint="default" w:ascii="Times New Roman" w:hAnsi="Times New Roman" w:eastAsia="宋体" w:cs="Times New Roman"/>
                      <w:b w:val="0"/>
                      <w:color w:val="auto"/>
                      <w:sz w:val="21"/>
                      <w:highlight w:val="none"/>
                    </w:rPr>
                    <w:t>m³/a</w:t>
                  </w:r>
                  <w:r>
                    <w:rPr>
                      <w:rFonts w:hint="default" w:ascii="Times New Roman" w:hAnsi="Times New Roman" w:eastAsia="宋体" w:cs="Times New Roman"/>
                      <w:b w:val="0"/>
                      <w:sz w:val="21"/>
                      <w:highlight w:val="none"/>
                    </w:rPr>
                    <w:t>，用于固化烘干（低氮燃烧）</w:t>
                  </w:r>
                </w:p>
              </w:tc>
              <w:tc>
                <w:tcPr>
                  <w:tcW w:w="1350" w:type="dxa"/>
                  <w:vAlign w:val="center"/>
                </w:tcPr>
                <w:p w14:paraId="59AF9F2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依托园区</w:t>
                  </w:r>
                </w:p>
              </w:tc>
            </w:tr>
            <w:tr w14:paraId="1A1D91D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continue"/>
                  <w:vAlign w:val="center"/>
                </w:tcPr>
                <w:p w14:paraId="3259F6A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7B79167E">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供暖制冷</w:t>
                  </w:r>
                </w:p>
              </w:tc>
              <w:tc>
                <w:tcPr>
                  <w:tcW w:w="4338" w:type="dxa"/>
                  <w:vAlign w:val="center"/>
                </w:tcPr>
                <w:p w14:paraId="1278A840">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办公区采用空调</w:t>
                  </w:r>
                </w:p>
              </w:tc>
              <w:tc>
                <w:tcPr>
                  <w:tcW w:w="1350" w:type="dxa"/>
                  <w:vAlign w:val="center"/>
                </w:tcPr>
                <w:p w14:paraId="3001C88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依托</w:t>
                  </w:r>
                </w:p>
              </w:tc>
            </w:tr>
            <w:tr w14:paraId="60C830F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restart"/>
                  <w:vAlign w:val="center"/>
                </w:tcPr>
                <w:p w14:paraId="219F84F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环保工程</w:t>
                  </w:r>
                </w:p>
              </w:tc>
              <w:tc>
                <w:tcPr>
                  <w:tcW w:w="1395" w:type="dxa"/>
                  <w:vAlign w:val="center"/>
                </w:tcPr>
                <w:p w14:paraId="5E15EC8E">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废气治理</w:t>
                  </w:r>
                </w:p>
              </w:tc>
              <w:tc>
                <w:tcPr>
                  <w:tcW w:w="4338" w:type="dxa"/>
                  <w:vAlign w:val="center"/>
                </w:tcPr>
                <w:p w14:paraId="156D5F54">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抛丸粉尘：密闭负压收集+脉冲布袋除尘器+15m排气筒（DA001）；</w:t>
                  </w:r>
                  <w:r>
                    <w:rPr>
                      <w:rFonts w:hint="default" w:ascii="Times New Roman" w:hAnsi="Times New Roman" w:eastAsia="宋体" w:cs="Times New Roman"/>
                      <w:b w:val="0"/>
                      <w:color w:val="auto"/>
                      <w:sz w:val="21"/>
                      <w:highlight w:val="none"/>
                    </w:rPr>
                    <w:t>喷粉粉尘：密闭喷粉房+旋风除尘器+滤筒除尘器+15m排气筒（DA002）；固化、流平、烘干有机废气：密闭负压收集+干式过滤+二级活性炭吸附装置+15m排气筒（DA003）（远期电泳烘干废气预留接入）；天然气燃烧废气：天然气炉直接加热、低氮燃烧，燃烧废气经DA003排气筒（与固化烘干有机废气合并）排放</w:t>
                  </w:r>
                </w:p>
              </w:tc>
              <w:tc>
                <w:tcPr>
                  <w:tcW w:w="1350" w:type="dxa"/>
                  <w:vAlign w:val="center"/>
                </w:tcPr>
                <w:p w14:paraId="6E48488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新建</w:t>
                  </w:r>
                </w:p>
              </w:tc>
            </w:tr>
            <w:tr w14:paraId="05EB459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204" w:type="dxa"/>
                  <w:vMerge w:val="continue"/>
                  <w:vAlign w:val="center"/>
                </w:tcPr>
                <w:p w14:paraId="26285E4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4D34E72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废水治理</w:t>
                  </w:r>
                </w:p>
              </w:tc>
              <w:tc>
                <w:tcPr>
                  <w:tcW w:w="4338" w:type="dxa"/>
                  <w:vAlign w:val="center"/>
                </w:tcPr>
                <w:p w14:paraId="0880DAC6">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highlight w:val="none"/>
                      <w:lang w:eastAsia="zh-CN"/>
                    </w:rPr>
                  </w:pPr>
                  <w:r>
                    <w:rPr>
                      <w:rFonts w:hint="default" w:ascii="Times New Roman" w:hAnsi="Times New Roman" w:eastAsia="宋体" w:cs="Times New Roman"/>
                      <w:b w:val="0"/>
                      <w:color w:val="auto"/>
                      <w:sz w:val="21"/>
                      <w:highlight w:val="none"/>
                    </w:rPr>
                    <w:t>厂区自建废水处理站（调节+混凝沉淀+MBR+砂滤）1座（处理规模5m³/d），处理清洗废水、电泳废水及车间地面清洁废水；化粪池1座</w:t>
                  </w:r>
                </w:p>
              </w:tc>
              <w:tc>
                <w:tcPr>
                  <w:tcW w:w="1350" w:type="dxa"/>
                  <w:vAlign w:val="center"/>
                </w:tcPr>
                <w:p w14:paraId="36B0E4B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新建</w:t>
                  </w:r>
                </w:p>
              </w:tc>
            </w:tr>
            <w:tr w14:paraId="4D0486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continue"/>
                  <w:vAlign w:val="center"/>
                </w:tcPr>
                <w:p w14:paraId="3018511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66E17AC8">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噪声治理</w:t>
                  </w:r>
                </w:p>
              </w:tc>
              <w:tc>
                <w:tcPr>
                  <w:tcW w:w="4338" w:type="dxa"/>
                  <w:vAlign w:val="center"/>
                </w:tcPr>
                <w:p w14:paraId="7762F66E">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低噪声设备、基础减振、厂房隔声</w:t>
                  </w:r>
                </w:p>
              </w:tc>
              <w:tc>
                <w:tcPr>
                  <w:tcW w:w="1350" w:type="dxa"/>
                  <w:vAlign w:val="center"/>
                </w:tcPr>
                <w:p w14:paraId="386DB77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新建</w:t>
                  </w:r>
                </w:p>
              </w:tc>
            </w:tr>
            <w:tr w14:paraId="7DE688A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continue"/>
                  <w:vAlign w:val="center"/>
                </w:tcPr>
                <w:p w14:paraId="2C694B9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2E9E78A7">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固废治理</w:t>
                  </w:r>
                </w:p>
              </w:tc>
              <w:tc>
                <w:tcPr>
                  <w:tcW w:w="4338" w:type="dxa"/>
                  <w:vAlign w:val="center"/>
                </w:tcPr>
                <w:p w14:paraId="6B7579AC">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一般固废暂存区、标准化危废暂存</w:t>
                  </w:r>
                  <w:r>
                    <w:rPr>
                      <w:rFonts w:hint="default" w:ascii="Times New Roman" w:hAnsi="Times New Roman" w:cs="Times New Roman"/>
                      <w:b w:val="0"/>
                      <w:sz w:val="21"/>
                      <w:highlight w:val="none"/>
                      <w:lang w:val="en-US" w:eastAsia="zh-CN"/>
                    </w:rPr>
                    <w:t>库</w:t>
                  </w:r>
                  <w:r>
                    <w:rPr>
                      <w:rFonts w:hint="default" w:ascii="Times New Roman" w:hAnsi="Times New Roman" w:eastAsia="宋体" w:cs="Times New Roman"/>
                      <w:b w:val="0"/>
                      <w:sz w:val="21"/>
                      <w:highlight w:val="none"/>
                    </w:rPr>
                    <w:t>（约</w:t>
                  </w:r>
                  <w:r>
                    <w:rPr>
                      <w:rFonts w:hint="default" w:ascii="Times New Roman" w:hAnsi="Times New Roman" w:cs="Times New Roman"/>
                      <w:b w:val="0"/>
                      <w:sz w:val="21"/>
                      <w:highlight w:val="none"/>
                      <w:lang w:val="en-US" w:eastAsia="zh-CN"/>
                    </w:rPr>
                    <w:t>20m</w:t>
                  </w:r>
                  <w:r>
                    <w:rPr>
                      <w:rFonts w:hint="default" w:ascii="Times New Roman" w:hAnsi="Times New Roman" w:cs="Times New Roman"/>
                      <w:b w:val="0"/>
                      <w:sz w:val="21"/>
                      <w:highlight w:val="none"/>
                      <w:vertAlign w:val="superscript"/>
                      <w:lang w:val="en-US" w:eastAsia="zh-CN"/>
                    </w:rPr>
                    <w:t>2</w:t>
                  </w:r>
                  <w:r>
                    <w:rPr>
                      <w:rFonts w:hint="default" w:ascii="Times New Roman" w:hAnsi="Times New Roman" w:eastAsia="宋体" w:cs="Times New Roman"/>
                      <w:b w:val="0"/>
                      <w:sz w:val="21"/>
                      <w:highlight w:val="none"/>
                    </w:rPr>
                    <w:t>）</w:t>
                  </w:r>
                </w:p>
              </w:tc>
              <w:tc>
                <w:tcPr>
                  <w:tcW w:w="1350" w:type="dxa"/>
                  <w:vAlign w:val="center"/>
                </w:tcPr>
                <w:p w14:paraId="6DB482C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新建</w:t>
                  </w:r>
                </w:p>
              </w:tc>
            </w:tr>
            <w:tr w14:paraId="39D1A24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204" w:type="dxa"/>
                  <w:vMerge w:val="continue"/>
                  <w:vAlign w:val="center"/>
                </w:tcPr>
                <w:p w14:paraId="1C7E8D4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p>
              </w:tc>
              <w:tc>
                <w:tcPr>
                  <w:tcW w:w="1395" w:type="dxa"/>
                  <w:vAlign w:val="center"/>
                </w:tcPr>
                <w:p w14:paraId="29E88B63">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highlight w:val="none"/>
                    </w:rPr>
                  </w:pPr>
                  <w:r>
                    <w:rPr>
                      <w:rFonts w:hint="default" w:ascii="Times New Roman" w:hAnsi="Times New Roman" w:eastAsia="宋体" w:cs="Times New Roman"/>
                      <w:b w:val="0"/>
                      <w:sz w:val="21"/>
                      <w:highlight w:val="none"/>
                    </w:rPr>
                    <w:t>地下水防渗</w:t>
                  </w:r>
                </w:p>
              </w:tc>
              <w:tc>
                <w:tcPr>
                  <w:tcW w:w="4338" w:type="dxa"/>
                  <w:vAlign w:val="center"/>
                </w:tcPr>
                <w:p w14:paraId="6412E1B0">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highlight w:val="none"/>
                      <w:lang w:val="en-US" w:eastAsia="zh-CN"/>
                    </w:rPr>
                  </w:pPr>
                  <w:r>
                    <w:rPr>
                      <w:rFonts w:hint="default" w:ascii="Times New Roman" w:hAnsi="Times New Roman" w:eastAsia="宋体" w:cs="Times New Roman"/>
                      <w:b w:val="0"/>
                      <w:sz w:val="21"/>
                      <w:highlight w:val="none"/>
                    </w:rPr>
                    <w:t>厂区采取分区防渗措施</w:t>
                  </w:r>
                  <w:r>
                    <w:rPr>
                      <w:rFonts w:hint="default" w:ascii="Times New Roman" w:hAnsi="Times New Roman" w:cs="Times New Roman"/>
                      <w:b w:val="0"/>
                      <w:sz w:val="21"/>
                      <w:highlight w:val="none"/>
                      <w:lang w:eastAsia="zh-CN"/>
                    </w:rPr>
                    <w:t>，</w:t>
                  </w:r>
                  <w:r>
                    <w:rPr>
                      <w:rFonts w:hint="default" w:ascii="Times New Roman" w:hAnsi="Times New Roman" w:eastAsia="宋体" w:cs="Times New Roman"/>
                      <w:b w:val="0"/>
                      <w:sz w:val="21"/>
                      <w:highlight w:val="none"/>
                    </w:rPr>
                    <w:t>生产车间、废水处理站、危废暂存</w:t>
                  </w:r>
                  <w:r>
                    <w:rPr>
                      <w:rFonts w:hint="default" w:ascii="Times New Roman" w:hAnsi="Times New Roman" w:cs="Times New Roman"/>
                      <w:b w:val="0"/>
                      <w:sz w:val="21"/>
                      <w:highlight w:val="none"/>
                      <w:lang w:val="en-US" w:eastAsia="zh-CN"/>
                    </w:rPr>
                    <w:t>库</w:t>
                  </w:r>
                  <w:r>
                    <w:rPr>
                      <w:rFonts w:hint="default" w:ascii="Times New Roman" w:hAnsi="Times New Roman" w:eastAsia="宋体" w:cs="Times New Roman"/>
                      <w:b w:val="0"/>
                      <w:sz w:val="21"/>
                      <w:highlight w:val="none"/>
                    </w:rPr>
                    <w:t>等</w:t>
                  </w:r>
                  <w:r>
                    <w:rPr>
                      <w:rFonts w:hint="default" w:ascii="Times New Roman" w:hAnsi="Times New Roman" w:cs="Times New Roman"/>
                      <w:b w:val="0"/>
                      <w:sz w:val="21"/>
                      <w:highlight w:val="none"/>
                      <w:lang w:val="en-US" w:eastAsia="zh-CN"/>
                    </w:rPr>
                    <w:t>为</w:t>
                  </w:r>
                  <w:r>
                    <w:rPr>
                      <w:rFonts w:hint="default" w:ascii="Times New Roman" w:hAnsi="Times New Roman" w:eastAsia="宋体" w:cs="Times New Roman"/>
                      <w:b w:val="0"/>
                      <w:sz w:val="21"/>
                      <w:highlight w:val="none"/>
                    </w:rPr>
                    <w:t>重点防渗</w:t>
                  </w:r>
                  <w:r>
                    <w:rPr>
                      <w:rFonts w:hint="default" w:ascii="Times New Roman" w:hAnsi="Times New Roman" w:cs="Times New Roman"/>
                      <w:b w:val="0"/>
                      <w:sz w:val="21"/>
                      <w:highlight w:val="none"/>
                      <w:lang w:val="en-US" w:eastAsia="zh-CN"/>
                    </w:rPr>
                    <w:t>区</w:t>
                  </w:r>
                </w:p>
              </w:tc>
              <w:tc>
                <w:tcPr>
                  <w:tcW w:w="1350" w:type="dxa"/>
                  <w:vAlign w:val="center"/>
                </w:tcPr>
                <w:p w14:paraId="06DE689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highlight w:val="none"/>
                    </w:rPr>
                  </w:pPr>
                  <w:r>
                    <w:rPr>
                      <w:rFonts w:hint="default" w:ascii="Times New Roman" w:hAnsi="Times New Roman" w:eastAsia="宋体" w:cs="Times New Roman"/>
                      <w:b w:val="0"/>
                      <w:sz w:val="21"/>
                      <w:highlight w:val="none"/>
                    </w:rPr>
                    <w:t>新建</w:t>
                  </w:r>
                </w:p>
              </w:tc>
            </w:tr>
          </w:tbl>
          <w:p w14:paraId="6B5B7478">
            <w:pPr>
              <w:keepNext w:val="0"/>
              <w:keepLines w:val="0"/>
              <w:suppressLineNumbers w:val="0"/>
              <w:tabs>
                <w:tab w:val="left" w:pos="0"/>
              </w:tabs>
              <w:spacing w:before="0" w:beforeAutospacing="0" w:after="0" w:afterAutospacing="0"/>
              <w:ind w:left="0" w:right="0"/>
              <w:jc w:val="center"/>
              <w:rPr>
                <w:rFonts w:hint="default" w:ascii="Times New Roman" w:hAnsi="Times New Roman" w:cs="Times New Roman"/>
                <w:b/>
                <w:color w:val="auto"/>
                <w:sz w:val="24"/>
                <w:highlight w:val="none"/>
              </w:rPr>
            </w:pPr>
          </w:p>
          <w:p w14:paraId="5C5E27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4.</w:t>
            </w:r>
            <w:r>
              <w:rPr>
                <w:rFonts w:hint="default" w:ascii="Times New Roman" w:hAnsi="Times New Roman" w:eastAsia="宋体" w:cs="Times New Roman"/>
                <w:bCs/>
                <w:color w:val="auto"/>
                <w:sz w:val="24"/>
                <w:highlight w:val="none"/>
                <w:lang w:val="en-US" w:eastAsia="zh-CN"/>
              </w:rPr>
              <w:t>主要生产设备</w:t>
            </w:r>
          </w:p>
          <w:p w14:paraId="3723F58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rPr>
              <w:t>表2-</w:t>
            </w:r>
            <w:r>
              <w:rPr>
                <w:rFonts w:hint="default" w:ascii="Times New Roman" w:hAnsi="Times New Roman" w:cs="Times New Roman"/>
                <w:b/>
                <w:bCs/>
                <w:color w:val="auto"/>
                <w:sz w:val="24"/>
                <w:highlight w:val="none"/>
                <w:lang w:val="en-US" w:eastAsia="zh-CN"/>
              </w:rPr>
              <w:t>2</w:t>
            </w:r>
            <w:r>
              <w:rPr>
                <w:rFonts w:hint="default" w:ascii="Times New Roman" w:hAnsi="Times New Roman" w:cs="Times New Roman"/>
                <w:b/>
                <w:bCs/>
                <w:color w:val="auto"/>
                <w:sz w:val="24"/>
                <w:highlight w:val="none"/>
              </w:rPr>
              <w:t xml:space="preserve">  主要</w:t>
            </w:r>
            <w:r>
              <w:rPr>
                <w:rFonts w:hint="default" w:ascii="Times New Roman" w:hAnsi="Times New Roman" w:cs="Times New Roman"/>
                <w:b/>
                <w:bCs/>
                <w:color w:val="auto"/>
                <w:sz w:val="24"/>
                <w:highlight w:val="none"/>
                <w:lang w:val="en-US" w:eastAsia="zh-CN"/>
              </w:rPr>
              <w:t>生产设备一览表</w:t>
            </w:r>
          </w:p>
          <w:tbl>
            <w:tblPr>
              <w:tblStyle w:val="32"/>
              <w:tblW w:w="8342"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766"/>
              <w:gridCol w:w="2580"/>
              <w:gridCol w:w="1035"/>
              <w:gridCol w:w="2400"/>
              <w:gridCol w:w="1561"/>
            </w:tblGrid>
            <w:tr w14:paraId="71968CB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66" w:type="dxa"/>
                  <w:vAlign w:val="center"/>
                </w:tcPr>
                <w:p w14:paraId="755660B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序号</w:t>
                  </w:r>
                </w:p>
              </w:tc>
              <w:tc>
                <w:tcPr>
                  <w:tcW w:w="2580" w:type="dxa"/>
                  <w:vAlign w:val="center"/>
                </w:tcPr>
                <w:p w14:paraId="4FB08C2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设备名称</w:t>
                  </w:r>
                </w:p>
              </w:tc>
              <w:tc>
                <w:tcPr>
                  <w:tcW w:w="1035" w:type="dxa"/>
                  <w:vAlign w:val="center"/>
                </w:tcPr>
                <w:p w14:paraId="54FE9EC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数量</w:t>
                  </w:r>
                </w:p>
              </w:tc>
              <w:tc>
                <w:tcPr>
                  <w:tcW w:w="2400" w:type="dxa"/>
                  <w:vAlign w:val="center"/>
                </w:tcPr>
                <w:p w14:paraId="2F6645F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工序/用途</w:t>
                  </w:r>
                </w:p>
              </w:tc>
              <w:tc>
                <w:tcPr>
                  <w:tcW w:w="1561" w:type="dxa"/>
                  <w:vAlign w:val="center"/>
                </w:tcPr>
                <w:p w14:paraId="3E61B44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备注</w:t>
                  </w:r>
                </w:p>
              </w:tc>
            </w:tr>
            <w:tr w14:paraId="241D85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76FCF75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w:t>
                  </w:r>
                </w:p>
              </w:tc>
              <w:tc>
                <w:tcPr>
                  <w:tcW w:w="2580" w:type="dxa"/>
                  <w:vAlign w:val="center"/>
                </w:tcPr>
                <w:p w14:paraId="2B50256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台车转台抛丸机</w:t>
                  </w:r>
                </w:p>
              </w:tc>
              <w:tc>
                <w:tcPr>
                  <w:tcW w:w="1035" w:type="dxa"/>
                  <w:vAlign w:val="center"/>
                </w:tcPr>
                <w:p w14:paraId="62739F4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1台</w:t>
                  </w:r>
                </w:p>
              </w:tc>
              <w:tc>
                <w:tcPr>
                  <w:tcW w:w="2400" w:type="dxa"/>
                  <w:vAlign w:val="center"/>
                </w:tcPr>
                <w:p w14:paraId="202A4F8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工件抛丸预处理</w:t>
                  </w:r>
                </w:p>
              </w:tc>
              <w:tc>
                <w:tcPr>
                  <w:tcW w:w="1561" w:type="dxa"/>
                  <w:vAlign w:val="center"/>
                </w:tcPr>
                <w:p w14:paraId="169E70D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w:t>
                  </w:r>
                </w:p>
              </w:tc>
            </w:tr>
            <w:tr w14:paraId="46A5E0D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624F9F6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2</w:t>
                  </w:r>
                </w:p>
              </w:tc>
              <w:tc>
                <w:tcPr>
                  <w:tcW w:w="2580" w:type="dxa"/>
                  <w:vAlign w:val="center"/>
                </w:tcPr>
                <w:p w14:paraId="1CF521B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立式抛丸机</w:t>
                  </w:r>
                </w:p>
              </w:tc>
              <w:tc>
                <w:tcPr>
                  <w:tcW w:w="1035" w:type="dxa"/>
                  <w:vAlign w:val="center"/>
                </w:tcPr>
                <w:p w14:paraId="5DCD5C1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1台</w:t>
                  </w:r>
                </w:p>
              </w:tc>
              <w:tc>
                <w:tcPr>
                  <w:tcW w:w="2400" w:type="dxa"/>
                  <w:vAlign w:val="center"/>
                </w:tcPr>
                <w:p w14:paraId="03ACE11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工件抛丸预处理</w:t>
                  </w:r>
                </w:p>
              </w:tc>
              <w:tc>
                <w:tcPr>
                  <w:tcW w:w="1561" w:type="dxa"/>
                  <w:vAlign w:val="center"/>
                </w:tcPr>
                <w:p w14:paraId="0B49923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w:t>
                  </w:r>
                </w:p>
              </w:tc>
            </w:tr>
            <w:tr w14:paraId="3FAE8AF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371FDDD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3</w:t>
                  </w:r>
                </w:p>
              </w:tc>
              <w:tc>
                <w:tcPr>
                  <w:tcW w:w="2580" w:type="dxa"/>
                  <w:vAlign w:val="center"/>
                </w:tcPr>
                <w:p w14:paraId="6B48B3A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流水线辊道</w:t>
                  </w:r>
                </w:p>
              </w:tc>
              <w:tc>
                <w:tcPr>
                  <w:tcW w:w="1035" w:type="dxa"/>
                  <w:vAlign w:val="center"/>
                </w:tcPr>
                <w:p w14:paraId="4F8489B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1套</w:t>
                  </w:r>
                </w:p>
              </w:tc>
              <w:tc>
                <w:tcPr>
                  <w:tcW w:w="2400" w:type="dxa"/>
                  <w:vAlign w:val="center"/>
                </w:tcPr>
                <w:p w14:paraId="49C1EDC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工件输送、上件、下件</w:t>
                  </w:r>
                </w:p>
              </w:tc>
              <w:tc>
                <w:tcPr>
                  <w:tcW w:w="1561" w:type="dxa"/>
                  <w:vAlign w:val="center"/>
                </w:tcPr>
                <w:p w14:paraId="5406753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w:t>
                  </w:r>
                </w:p>
              </w:tc>
            </w:tr>
            <w:tr w14:paraId="6557648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37DCA40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4</w:t>
                  </w:r>
                </w:p>
              </w:tc>
              <w:tc>
                <w:tcPr>
                  <w:tcW w:w="2580" w:type="dxa"/>
                  <w:vAlign w:val="center"/>
                </w:tcPr>
                <w:p w14:paraId="463C643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流水线烘干设备（天然气固化烘道）</w:t>
                  </w:r>
                </w:p>
              </w:tc>
              <w:tc>
                <w:tcPr>
                  <w:tcW w:w="1035" w:type="dxa"/>
                  <w:vAlign w:val="center"/>
                </w:tcPr>
                <w:p w14:paraId="3DF73B1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1套</w:t>
                  </w:r>
                </w:p>
              </w:tc>
              <w:tc>
                <w:tcPr>
                  <w:tcW w:w="2400" w:type="dxa"/>
                  <w:vAlign w:val="center"/>
                </w:tcPr>
                <w:p w14:paraId="2AA43F7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粉末固化、水性漆烘干</w:t>
                  </w:r>
                </w:p>
              </w:tc>
              <w:tc>
                <w:tcPr>
                  <w:tcW w:w="1561" w:type="dxa"/>
                  <w:vAlign w:val="center"/>
                </w:tcPr>
                <w:p w14:paraId="7F9B0B4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一期，低氮燃烧</w:t>
                  </w:r>
                </w:p>
              </w:tc>
            </w:tr>
            <w:tr w14:paraId="1C5AFD6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7242678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5</w:t>
                  </w:r>
                </w:p>
              </w:tc>
              <w:tc>
                <w:tcPr>
                  <w:tcW w:w="2580" w:type="dxa"/>
                  <w:vAlign w:val="center"/>
                </w:tcPr>
                <w:p w14:paraId="3D9EEB5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面包炉烤箱（固化炉）</w:t>
                  </w:r>
                </w:p>
              </w:tc>
              <w:tc>
                <w:tcPr>
                  <w:tcW w:w="1035" w:type="dxa"/>
                  <w:vAlign w:val="center"/>
                </w:tcPr>
                <w:p w14:paraId="44C7314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1台</w:t>
                  </w:r>
                </w:p>
              </w:tc>
              <w:tc>
                <w:tcPr>
                  <w:tcW w:w="2400" w:type="dxa"/>
                  <w:vAlign w:val="center"/>
                </w:tcPr>
                <w:p w14:paraId="37B7CCA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工件固化</w:t>
                  </w:r>
                </w:p>
              </w:tc>
              <w:tc>
                <w:tcPr>
                  <w:tcW w:w="1561" w:type="dxa"/>
                  <w:shd w:val="clear" w:color="auto" w:fill="auto"/>
                  <w:vAlign w:val="center"/>
                </w:tcPr>
                <w:p w14:paraId="0D9BB21B">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b w:val="0"/>
                      <w:sz w:val="21"/>
                      <w:szCs w:val="21"/>
                      <w:highlight w:val="none"/>
                    </w:rPr>
                    <w:t>一期，低氮燃烧</w:t>
                  </w:r>
                </w:p>
              </w:tc>
            </w:tr>
            <w:tr w14:paraId="5F1A18A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001BC7A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6</w:t>
                  </w:r>
                </w:p>
              </w:tc>
              <w:tc>
                <w:tcPr>
                  <w:tcW w:w="2580" w:type="dxa"/>
                  <w:vAlign w:val="center"/>
                </w:tcPr>
                <w:p w14:paraId="49532E7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面包炉烘干设备</w:t>
                  </w:r>
                </w:p>
              </w:tc>
              <w:tc>
                <w:tcPr>
                  <w:tcW w:w="1035" w:type="dxa"/>
                  <w:vAlign w:val="center"/>
                </w:tcPr>
                <w:p w14:paraId="0C1AE33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1套</w:t>
                  </w:r>
                </w:p>
              </w:tc>
              <w:tc>
                <w:tcPr>
                  <w:tcW w:w="2400" w:type="dxa"/>
                  <w:vAlign w:val="center"/>
                </w:tcPr>
                <w:p w14:paraId="663DBDB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工件水分烘干</w:t>
                  </w:r>
                </w:p>
              </w:tc>
              <w:tc>
                <w:tcPr>
                  <w:tcW w:w="1561" w:type="dxa"/>
                  <w:vAlign w:val="center"/>
                </w:tcPr>
                <w:p w14:paraId="6DEE0A1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w:t>
                  </w:r>
                </w:p>
              </w:tc>
            </w:tr>
            <w:tr w14:paraId="4FCA6A6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26C71D3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7</w:t>
                  </w:r>
                </w:p>
              </w:tc>
              <w:tc>
                <w:tcPr>
                  <w:tcW w:w="2580" w:type="dxa"/>
                  <w:vAlign w:val="center"/>
                </w:tcPr>
                <w:p w14:paraId="334DE25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静电粉末喷涂房（自动往复+手动补喷）</w:t>
                  </w:r>
                </w:p>
              </w:tc>
              <w:tc>
                <w:tcPr>
                  <w:tcW w:w="1035" w:type="dxa"/>
                  <w:vAlign w:val="center"/>
                </w:tcPr>
                <w:p w14:paraId="2A6FDA0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1套</w:t>
                  </w:r>
                </w:p>
              </w:tc>
              <w:tc>
                <w:tcPr>
                  <w:tcW w:w="2400" w:type="dxa"/>
                  <w:vAlign w:val="center"/>
                </w:tcPr>
                <w:p w14:paraId="57EB3A6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静电粉末喷涂</w:t>
                  </w:r>
                </w:p>
              </w:tc>
              <w:tc>
                <w:tcPr>
                  <w:tcW w:w="1561" w:type="dxa"/>
                  <w:vAlign w:val="center"/>
                </w:tcPr>
                <w:p w14:paraId="25416E9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w:t>
                  </w:r>
                </w:p>
              </w:tc>
            </w:tr>
            <w:tr w14:paraId="362D14C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505F782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8</w:t>
                  </w:r>
                </w:p>
              </w:tc>
              <w:tc>
                <w:tcPr>
                  <w:tcW w:w="2580" w:type="dxa"/>
                  <w:vAlign w:val="center"/>
                </w:tcPr>
                <w:p w14:paraId="450B082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水性漆喷涂工位及独立废气收集设施</w:t>
                  </w:r>
                </w:p>
              </w:tc>
              <w:tc>
                <w:tcPr>
                  <w:tcW w:w="1035" w:type="dxa"/>
                  <w:vAlign w:val="center"/>
                </w:tcPr>
                <w:p w14:paraId="052921E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1套</w:t>
                  </w:r>
                </w:p>
              </w:tc>
              <w:tc>
                <w:tcPr>
                  <w:tcW w:w="2400" w:type="dxa"/>
                  <w:vAlign w:val="center"/>
                </w:tcPr>
                <w:p w14:paraId="4E4C85B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水性漆喷涂</w:t>
                  </w:r>
                </w:p>
              </w:tc>
              <w:tc>
                <w:tcPr>
                  <w:tcW w:w="1561" w:type="dxa"/>
                  <w:vAlign w:val="center"/>
                </w:tcPr>
                <w:p w14:paraId="164C1E6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w:t>
                  </w:r>
                  <w:r>
                    <w:rPr>
                      <w:rFonts w:hint="default" w:ascii="Times New Roman" w:hAnsi="Times New Roman" w:cs="Times New Roman"/>
                      <w:b w:val="0"/>
                      <w:sz w:val="21"/>
                      <w:szCs w:val="21"/>
                      <w:highlight w:val="none"/>
                      <w:lang w:eastAsia="zh-CN"/>
                    </w:rPr>
                    <w:t>，</w:t>
                  </w:r>
                  <w:r>
                    <w:rPr>
                      <w:rFonts w:hint="default" w:ascii="Times New Roman" w:hAnsi="Times New Roman" w:eastAsia="宋体" w:cs="Times New Roman"/>
                      <w:b w:val="0"/>
                      <w:color w:val="auto"/>
                      <w:sz w:val="21"/>
                      <w:szCs w:val="21"/>
                      <w:highlight w:val="none"/>
                    </w:rPr>
                    <w:t>混气喷涂</w:t>
                  </w:r>
                </w:p>
              </w:tc>
            </w:tr>
            <w:tr w14:paraId="7A4A5C2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410E5A9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9</w:t>
                  </w:r>
                </w:p>
              </w:tc>
              <w:tc>
                <w:tcPr>
                  <w:tcW w:w="2580" w:type="dxa"/>
                  <w:vAlign w:val="center"/>
                </w:tcPr>
                <w:p w14:paraId="1AC3F72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全自动龙门式阴极电泳生产线</w:t>
                  </w:r>
                </w:p>
              </w:tc>
              <w:tc>
                <w:tcPr>
                  <w:tcW w:w="1035" w:type="dxa"/>
                  <w:vAlign w:val="center"/>
                </w:tcPr>
                <w:p w14:paraId="3DAA72E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1套</w:t>
                  </w:r>
                </w:p>
              </w:tc>
              <w:tc>
                <w:tcPr>
                  <w:tcW w:w="2400" w:type="dxa"/>
                  <w:vAlign w:val="center"/>
                </w:tcPr>
                <w:p w14:paraId="5F42F42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电泳涂装（预留）</w:t>
                  </w:r>
                </w:p>
              </w:tc>
              <w:tc>
                <w:tcPr>
                  <w:tcW w:w="1561" w:type="dxa"/>
                  <w:vAlign w:val="center"/>
                </w:tcPr>
                <w:p w14:paraId="70285ED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远期</w:t>
                  </w:r>
                </w:p>
              </w:tc>
            </w:tr>
            <w:tr w14:paraId="0D768C3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313BDDA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10</w:t>
                  </w:r>
                </w:p>
              </w:tc>
              <w:tc>
                <w:tcPr>
                  <w:tcW w:w="2580" w:type="dxa"/>
                  <w:vAlign w:val="center"/>
                </w:tcPr>
                <w:p w14:paraId="1825C28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纯水制备系统</w:t>
                  </w:r>
                </w:p>
              </w:tc>
              <w:tc>
                <w:tcPr>
                  <w:tcW w:w="1035" w:type="dxa"/>
                  <w:vAlign w:val="center"/>
                </w:tcPr>
                <w:p w14:paraId="6FED1D1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1套</w:t>
                  </w:r>
                </w:p>
              </w:tc>
              <w:tc>
                <w:tcPr>
                  <w:tcW w:w="2400" w:type="dxa"/>
                  <w:vAlign w:val="center"/>
                </w:tcPr>
                <w:p w14:paraId="700DFE0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制备生产纯水</w:t>
                  </w:r>
                </w:p>
              </w:tc>
              <w:tc>
                <w:tcPr>
                  <w:tcW w:w="1561" w:type="dxa"/>
                  <w:vAlign w:val="center"/>
                </w:tcPr>
                <w:p w14:paraId="578CE44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w:t>
                  </w:r>
                </w:p>
              </w:tc>
            </w:tr>
            <w:tr w14:paraId="3008859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1FF6F6E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11</w:t>
                  </w:r>
                </w:p>
              </w:tc>
              <w:tc>
                <w:tcPr>
                  <w:tcW w:w="2580" w:type="dxa"/>
                  <w:vAlign w:val="center"/>
                </w:tcPr>
                <w:p w14:paraId="26F4C6F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废水处理设施</w:t>
                  </w:r>
                </w:p>
              </w:tc>
              <w:tc>
                <w:tcPr>
                  <w:tcW w:w="1035" w:type="dxa"/>
                  <w:vAlign w:val="center"/>
                </w:tcPr>
                <w:p w14:paraId="56C2E1B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1套</w:t>
                  </w:r>
                </w:p>
              </w:tc>
              <w:tc>
                <w:tcPr>
                  <w:tcW w:w="2400" w:type="dxa"/>
                  <w:vAlign w:val="center"/>
                </w:tcPr>
                <w:p w14:paraId="03F4073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生产废水处理</w:t>
                  </w:r>
                </w:p>
              </w:tc>
              <w:tc>
                <w:tcPr>
                  <w:tcW w:w="1561" w:type="dxa"/>
                  <w:vAlign w:val="center"/>
                </w:tcPr>
                <w:p w14:paraId="6CB374A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w:t>
                  </w:r>
                </w:p>
              </w:tc>
            </w:tr>
            <w:tr w14:paraId="21E4EAA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30E7812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12</w:t>
                  </w:r>
                </w:p>
              </w:tc>
              <w:tc>
                <w:tcPr>
                  <w:tcW w:w="2580" w:type="dxa"/>
                  <w:vAlign w:val="center"/>
                </w:tcPr>
                <w:p w14:paraId="3845A15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脉冲布袋除尘器</w:t>
                  </w:r>
                </w:p>
              </w:tc>
              <w:tc>
                <w:tcPr>
                  <w:tcW w:w="1035" w:type="dxa"/>
                  <w:vAlign w:val="center"/>
                </w:tcPr>
                <w:p w14:paraId="410F29D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1套</w:t>
                  </w:r>
                </w:p>
              </w:tc>
              <w:tc>
                <w:tcPr>
                  <w:tcW w:w="2400" w:type="dxa"/>
                  <w:vAlign w:val="center"/>
                </w:tcPr>
                <w:p w14:paraId="4517D22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抛丸粉尘治理</w:t>
                  </w:r>
                </w:p>
              </w:tc>
              <w:tc>
                <w:tcPr>
                  <w:tcW w:w="1561" w:type="dxa"/>
                  <w:vAlign w:val="center"/>
                </w:tcPr>
                <w:p w14:paraId="79378F9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w:t>
                  </w:r>
                </w:p>
              </w:tc>
            </w:tr>
            <w:tr w14:paraId="3D8E61B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594491E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13</w:t>
                  </w:r>
                </w:p>
              </w:tc>
              <w:tc>
                <w:tcPr>
                  <w:tcW w:w="2580" w:type="dxa"/>
                  <w:vAlign w:val="center"/>
                </w:tcPr>
                <w:p w14:paraId="56CC900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b w:val="0"/>
                      <w:sz w:val="21"/>
                      <w:szCs w:val="21"/>
                      <w:highlight w:val="none"/>
                    </w:rPr>
                    <w:t>旋风</w:t>
                  </w:r>
                  <w:r>
                    <w:rPr>
                      <w:rFonts w:hint="default" w:ascii="Times New Roman" w:hAnsi="Times New Roman" w:cs="Times New Roman"/>
                      <w:b w:val="0"/>
                      <w:sz w:val="21"/>
                      <w:szCs w:val="21"/>
                      <w:highlight w:val="none"/>
                      <w:lang w:val="en-US" w:eastAsia="zh-CN"/>
                    </w:rPr>
                    <w:t>除尘器</w:t>
                  </w:r>
                  <w:r>
                    <w:rPr>
                      <w:rFonts w:hint="default" w:ascii="Times New Roman" w:hAnsi="Times New Roman" w:eastAsia="宋体" w:cs="Times New Roman"/>
                      <w:b w:val="0"/>
                      <w:sz w:val="21"/>
                      <w:szCs w:val="21"/>
                      <w:highlight w:val="none"/>
                    </w:rPr>
                    <w:t>+</w:t>
                  </w:r>
                  <w:r>
                    <w:rPr>
                      <w:rFonts w:hint="default" w:ascii="Times New Roman" w:hAnsi="Times New Roman" w:cs="Times New Roman"/>
                      <w:b w:val="0"/>
                      <w:sz w:val="21"/>
                      <w:szCs w:val="21"/>
                      <w:highlight w:val="none"/>
                      <w:lang w:val="en-US" w:eastAsia="zh-CN"/>
                    </w:rPr>
                    <w:t>滤筒除尘器</w:t>
                  </w:r>
                </w:p>
              </w:tc>
              <w:tc>
                <w:tcPr>
                  <w:tcW w:w="1035" w:type="dxa"/>
                  <w:vAlign w:val="center"/>
                </w:tcPr>
                <w:p w14:paraId="7D0A54D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1套</w:t>
                  </w:r>
                </w:p>
              </w:tc>
              <w:tc>
                <w:tcPr>
                  <w:tcW w:w="2400" w:type="dxa"/>
                  <w:vAlign w:val="center"/>
                </w:tcPr>
                <w:p w14:paraId="14BD94B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喷粉粉尘治理及粉末回收</w:t>
                  </w:r>
                </w:p>
              </w:tc>
              <w:tc>
                <w:tcPr>
                  <w:tcW w:w="1561" w:type="dxa"/>
                  <w:vAlign w:val="center"/>
                </w:tcPr>
                <w:p w14:paraId="15772EC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w:t>
                  </w:r>
                </w:p>
              </w:tc>
            </w:tr>
            <w:tr w14:paraId="59B9B00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0F90873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14</w:t>
                  </w:r>
                </w:p>
              </w:tc>
              <w:tc>
                <w:tcPr>
                  <w:tcW w:w="2580" w:type="dxa"/>
                  <w:vAlign w:val="center"/>
                </w:tcPr>
                <w:p w14:paraId="17C6C27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cs="Times New Roman"/>
                      <w:b w:val="0"/>
                      <w:sz w:val="21"/>
                      <w:szCs w:val="21"/>
                      <w:highlight w:val="none"/>
                      <w:lang w:val="en-US" w:eastAsia="zh-CN"/>
                    </w:rPr>
                    <w:t>干式纸盒+</w:t>
                  </w:r>
                  <w:r>
                    <w:rPr>
                      <w:rFonts w:hint="default" w:ascii="Times New Roman" w:hAnsi="Times New Roman" w:eastAsia="宋体" w:cs="Times New Roman"/>
                      <w:b w:val="0"/>
                      <w:sz w:val="21"/>
                      <w:szCs w:val="21"/>
                      <w:highlight w:val="none"/>
                    </w:rPr>
                    <w:t>干式过滤+二级活性炭吸附装置</w:t>
                  </w:r>
                </w:p>
              </w:tc>
              <w:tc>
                <w:tcPr>
                  <w:tcW w:w="1035" w:type="dxa"/>
                  <w:vAlign w:val="center"/>
                </w:tcPr>
                <w:p w14:paraId="3F933B0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1套</w:t>
                  </w:r>
                </w:p>
              </w:tc>
              <w:tc>
                <w:tcPr>
                  <w:tcW w:w="2400" w:type="dxa"/>
                  <w:vAlign w:val="center"/>
                </w:tcPr>
                <w:p w14:paraId="261C703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有机废气治理</w:t>
                  </w:r>
                </w:p>
              </w:tc>
              <w:tc>
                <w:tcPr>
                  <w:tcW w:w="1561" w:type="dxa"/>
                  <w:vAlign w:val="center"/>
                </w:tcPr>
                <w:p w14:paraId="4E40F6A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w:t>
                  </w:r>
                </w:p>
              </w:tc>
            </w:tr>
            <w:tr w14:paraId="76DB809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766" w:type="dxa"/>
                  <w:vAlign w:val="center"/>
                </w:tcPr>
                <w:p w14:paraId="26AF395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15</w:t>
                  </w:r>
                </w:p>
              </w:tc>
              <w:tc>
                <w:tcPr>
                  <w:tcW w:w="2580" w:type="dxa"/>
                  <w:vAlign w:val="center"/>
                </w:tcPr>
                <w:p w14:paraId="6596A2A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空压机</w:t>
                  </w:r>
                </w:p>
              </w:tc>
              <w:tc>
                <w:tcPr>
                  <w:tcW w:w="1035" w:type="dxa"/>
                  <w:vAlign w:val="center"/>
                </w:tcPr>
                <w:p w14:paraId="36D3313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1台</w:t>
                  </w:r>
                </w:p>
              </w:tc>
              <w:tc>
                <w:tcPr>
                  <w:tcW w:w="2400" w:type="dxa"/>
                  <w:vAlign w:val="center"/>
                </w:tcPr>
                <w:p w14:paraId="24F367D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供气</w:t>
                  </w:r>
                </w:p>
              </w:tc>
              <w:tc>
                <w:tcPr>
                  <w:tcW w:w="1561" w:type="dxa"/>
                  <w:vAlign w:val="center"/>
                </w:tcPr>
                <w:p w14:paraId="5A3B70A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一期</w:t>
                  </w:r>
                </w:p>
              </w:tc>
            </w:tr>
          </w:tbl>
          <w:p w14:paraId="62886F6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sz w:val="24"/>
                <w:highlight w:val="none"/>
                <w:lang w:val="en-US" w:eastAsia="zh-CN"/>
              </w:rPr>
            </w:pPr>
          </w:p>
          <w:p w14:paraId="71A0B46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5.</w:t>
            </w:r>
            <w:r>
              <w:rPr>
                <w:rFonts w:hint="default" w:ascii="Times New Roman" w:hAnsi="Times New Roman" w:eastAsia="宋体" w:cs="Times New Roman"/>
                <w:bCs/>
                <w:color w:val="auto"/>
                <w:sz w:val="24"/>
                <w:highlight w:val="none"/>
                <w:lang w:val="en-US" w:eastAsia="zh-CN"/>
              </w:rPr>
              <w:t>原辅材料消耗</w:t>
            </w:r>
          </w:p>
          <w:p w14:paraId="6BAC55B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highlight w:val="none"/>
                <w:lang w:eastAsia="zh-CN"/>
              </w:rPr>
            </w:pPr>
            <w:r>
              <w:rPr>
                <w:rFonts w:hint="default" w:ascii="Times New Roman" w:hAnsi="Times New Roman" w:cs="Times New Roman"/>
                <w:bCs/>
                <w:color w:val="auto"/>
                <w:sz w:val="24"/>
                <w:highlight w:val="none"/>
              </w:rPr>
              <w:t>本项目主要原辅材料及能源消耗情况见表2-3</w:t>
            </w:r>
            <w:r>
              <w:rPr>
                <w:rFonts w:hint="default" w:ascii="Times New Roman" w:hAnsi="Times New Roman" w:cs="Times New Roman"/>
                <w:bCs/>
                <w:color w:val="auto"/>
                <w:sz w:val="24"/>
                <w:highlight w:val="none"/>
                <w:lang w:eastAsia="zh-CN"/>
              </w:rPr>
              <w:t>。</w:t>
            </w:r>
          </w:p>
          <w:p w14:paraId="782752A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表2-3  原辅材料消耗一览表</w:t>
            </w:r>
          </w:p>
          <w:tbl>
            <w:tblPr>
              <w:tblStyle w:val="32"/>
              <w:tblW w:w="8311"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661"/>
              <w:gridCol w:w="1815"/>
              <w:gridCol w:w="1035"/>
              <w:gridCol w:w="1155"/>
              <w:gridCol w:w="2460"/>
              <w:gridCol w:w="1185"/>
            </w:tblGrid>
            <w:tr w14:paraId="169B5FF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661" w:type="dxa"/>
                  <w:vAlign w:val="center"/>
                </w:tcPr>
                <w:p w14:paraId="371A715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sz w:val="21"/>
                      <w:szCs w:val="21"/>
                      <w:highlight w:val="none"/>
                    </w:rPr>
                    <w:t>序号</w:t>
                  </w:r>
                </w:p>
              </w:tc>
              <w:tc>
                <w:tcPr>
                  <w:tcW w:w="1815" w:type="dxa"/>
                  <w:vAlign w:val="center"/>
                </w:tcPr>
                <w:p w14:paraId="6CDD5DA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sz w:val="21"/>
                      <w:szCs w:val="21"/>
                      <w:highlight w:val="none"/>
                    </w:rPr>
                    <w:t>名称</w:t>
                  </w:r>
                </w:p>
              </w:tc>
              <w:tc>
                <w:tcPr>
                  <w:tcW w:w="1035" w:type="dxa"/>
                  <w:vAlign w:val="center"/>
                </w:tcPr>
                <w:p w14:paraId="6C8006C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sz w:val="21"/>
                      <w:szCs w:val="21"/>
                      <w:highlight w:val="none"/>
                    </w:rPr>
                    <w:t>年用量</w:t>
                  </w:r>
                </w:p>
              </w:tc>
              <w:tc>
                <w:tcPr>
                  <w:tcW w:w="1155" w:type="dxa"/>
                  <w:vAlign w:val="center"/>
                </w:tcPr>
                <w:p w14:paraId="1AEA800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sz w:val="21"/>
                      <w:szCs w:val="21"/>
                      <w:highlight w:val="none"/>
                    </w:rPr>
                    <w:t>包装/存放</w:t>
                  </w:r>
                </w:p>
              </w:tc>
              <w:tc>
                <w:tcPr>
                  <w:tcW w:w="2460" w:type="dxa"/>
                  <w:vAlign w:val="center"/>
                </w:tcPr>
                <w:p w14:paraId="5BC20EB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sz w:val="21"/>
                      <w:szCs w:val="21"/>
                      <w:highlight w:val="none"/>
                    </w:rPr>
                    <w:t>主要成分及VOCs含量</w:t>
                  </w:r>
                </w:p>
              </w:tc>
              <w:tc>
                <w:tcPr>
                  <w:tcW w:w="1185" w:type="dxa"/>
                  <w:vAlign w:val="center"/>
                </w:tcPr>
                <w:p w14:paraId="49765E9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sz w:val="21"/>
                      <w:szCs w:val="21"/>
                      <w:highlight w:val="none"/>
                    </w:rPr>
                    <w:t>备注</w:t>
                  </w:r>
                </w:p>
              </w:tc>
            </w:tr>
            <w:tr w14:paraId="1EE8A85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61" w:type="dxa"/>
                  <w:vAlign w:val="center"/>
                </w:tcPr>
                <w:p w14:paraId="50CD8CB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1</w:t>
                  </w:r>
                </w:p>
              </w:tc>
              <w:tc>
                <w:tcPr>
                  <w:tcW w:w="1815" w:type="dxa"/>
                  <w:vAlign w:val="center"/>
                </w:tcPr>
                <w:p w14:paraId="03D32A4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热固性聚酯粉末涂料</w:t>
                  </w:r>
                </w:p>
              </w:tc>
              <w:tc>
                <w:tcPr>
                  <w:tcW w:w="1035" w:type="dxa"/>
                  <w:vAlign w:val="center"/>
                </w:tcPr>
                <w:p w14:paraId="37F5683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45t/a</w:t>
                  </w:r>
                </w:p>
              </w:tc>
              <w:tc>
                <w:tcPr>
                  <w:tcW w:w="1155" w:type="dxa"/>
                  <w:vAlign w:val="center"/>
                </w:tcPr>
                <w:p w14:paraId="4DDF0EB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袋装，库房</w:t>
                  </w:r>
                </w:p>
              </w:tc>
              <w:tc>
                <w:tcPr>
                  <w:tcW w:w="2460" w:type="dxa"/>
                  <w:vAlign w:val="center"/>
                </w:tcPr>
                <w:p w14:paraId="331A6B9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聚酯/环氧树脂、颜料、填料；VOC含量未检出（检出限2g/L，GB/T 23986.2-2023检测）</w:t>
                  </w:r>
                </w:p>
              </w:tc>
              <w:tc>
                <w:tcPr>
                  <w:tcW w:w="1185" w:type="dxa"/>
                  <w:vAlign w:val="center"/>
                </w:tcPr>
                <w:p w14:paraId="7F3E6C9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静电粉末喷涂</w:t>
                  </w:r>
                </w:p>
              </w:tc>
            </w:tr>
            <w:tr w14:paraId="347A54E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61" w:type="dxa"/>
                  <w:vAlign w:val="center"/>
                </w:tcPr>
                <w:p w14:paraId="2A4F493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2</w:t>
                  </w:r>
                </w:p>
              </w:tc>
              <w:tc>
                <w:tcPr>
                  <w:tcW w:w="1815" w:type="dxa"/>
                  <w:vAlign w:val="center"/>
                </w:tcPr>
                <w:p w14:paraId="75CC2FE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水性工业漆（水性丙烯酸漆）</w:t>
                  </w:r>
                </w:p>
              </w:tc>
              <w:tc>
                <w:tcPr>
                  <w:tcW w:w="1035" w:type="dxa"/>
                  <w:vAlign w:val="center"/>
                </w:tcPr>
                <w:p w14:paraId="6F92E08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10t/a</w:t>
                  </w:r>
                </w:p>
              </w:tc>
              <w:tc>
                <w:tcPr>
                  <w:tcW w:w="1155" w:type="dxa"/>
                  <w:vAlign w:val="center"/>
                </w:tcPr>
                <w:p w14:paraId="35A25EE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桶装，库房</w:t>
                  </w:r>
                </w:p>
              </w:tc>
              <w:tc>
                <w:tcPr>
                  <w:tcW w:w="2460" w:type="dxa"/>
                  <w:vAlign w:val="center"/>
                </w:tcPr>
                <w:p w14:paraId="7750E2B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水性丙烯酸树脂、颜料、助剂；VOC含量73g/L（HG/T 4758-2014检测），不挥发物46%</w:t>
                  </w:r>
                </w:p>
              </w:tc>
              <w:tc>
                <w:tcPr>
                  <w:tcW w:w="1185" w:type="dxa"/>
                  <w:vAlign w:val="center"/>
                </w:tcPr>
                <w:p w14:paraId="5413356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水性漆喷涂</w:t>
                  </w:r>
                </w:p>
              </w:tc>
            </w:tr>
            <w:tr w14:paraId="2F93FEE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61" w:type="dxa"/>
                  <w:vAlign w:val="center"/>
                </w:tcPr>
                <w:p w14:paraId="6B04A85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3</w:t>
                  </w:r>
                </w:p>
              </w:tc>
              <w:tc>
                <w:tcPr>
                  <w:tcW w:w="1815" w:type="dxa"/>
                  <w:vAlign w:val="center"/>
                </w:tcPr>
                <w:p w14:paraId="121ED4F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水性阴极电泳漆</w:t>
                  </w:r>
                </w:p>
              </w:tc>
              <w:tc>
                <w:tcPr>
                  <w:tcW w:w="1035" w:type="dxa"/>
                  <w:vAlign w:val="center"/>
                </w:tcPr>
                <w:p w14:paraId="1FEDB48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1.2t/a</w:t>
                  </w:r>
                </w:p>
              </w:tc>
              <w:tc>
                <w:tcPr>
                  <w:tcW w:w="1155" w:type="dxa"/>
                  <w:vAlign w:val="center"/>
                </w:tcPr>
                <w:p w14:paraId="43A0774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桶装，库房</w:t>
                  </w:r>
                </w:p>
              </w:tc>
              <w:tc>
                <w:tcPr>
                  <w:tcW w:w="2460" w:type="dxa"/>
                  <w:vAlign w:val="center"/>
                </w:tcPr>
                <w:p w14:paraId="7C8892A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水性树脂、颜料；VOC含量141g/L（华测检测报告，GB/T 23986-2009气相色谱法）</w:t>
                  </w:r>
                </w:p>
              </w:tc>
              <w:tc>
                <w:tcPr>
                  <w:tcW w:w="1185" w:type="dxa"/>
                  <w:vAlign w:val="center"/>
                </w:tcPr>
                <w:p w14:paraId="23A1B8B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远期预留</w:t>
                  </w:r>
                </w:p>
              </w:tc>
            </w:tr>
            <w:tr w14:paraId="603F72A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61" w:type="dxa"/>
                  <w:vAlign w:val="center"/>
                </w:tcPr>
                <w:p w14:paraId="00A4572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4</w:t>
                  </w:r>
                </w:p>
              </w:tc>
              <w:tc>
                <w:tcPr>
                  <w:tcW w:w="1815" w:type="dxa"/>
                  <w:vAlign w:val="center"/>
                </w:tcPr>
                <w:p w14:paraId="77CCE8E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碱性除油剂</w:t>
                  </w:r>
                </w:p>
              </w:tc>
              <w:tc>
                <w:tcPr>
                  <w:tcW w:w="1035" w:type="dxa"/>
                  <w:vAlign w:val="center"/>
                </w:tcPr>
                <w:p w14:paraId="6FE363C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6t/a</w:t>
                  </w:r>
                </w:p>
              </w:tc>
              <w:tc>
                <w:tcPr>
                  <w:tcW w:w="1155" w:type="dxa"/>
                  <w:vAlign w:val="center"/>
                </w:tcPr>
                <w:p w14:paraId="7F4E652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桶装，库房</w:t>
                  </w:r>
                </w:p>
              </w:tc>
              <w:tc>
                <w:tcPr>
                  <w:tcW w:w="2460" w:type="dxa"/>
                  <w:vAlign w:val="center"/>
                </w:tcPr>
                <w:p w14:paraId="312CB5D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硅酸盐、表面活性剂等</w:t>
                  </w:r>
                </w:p>
              </w:tc>
              <w:tc>
                <w:tcPr>
                  <w:tcW w:w="1185" w:type="dxa"/>
                  <w:vAlign w:val="center"/>
                </w:tcPr>
                <w:p w14:paraId="4FC5F2B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工件前处理</w:t>
                  </w:r>
                </w:p>
              </w:tc>
            </w:tr>
            <w:tr w14:paraId="1553F38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61" w:type="dxa"/>
                  <w:vAlign w:val="center"/>
                </w:tcPr>
                <w:p w14:paraId="7E669F9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5</w:t>
                  </w:r>
                </w:p>
              </w:tc>
              <w:tc>
                <w:tcPr>
                  <w:tcW w:w="1815" w:type="dxa"/>
                  <w:vAlign w:val="center"/>
                </w:tcPr>
                <w:p w14:paraId="4706299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四合一擦洗剂</w:t>
                  </w:r>
                </w:p>
              </w:tc>
              <w:tc>
                <w:tcPr>
                  <w:tcW w:w="1035" w:type="dxa"/>
                  <w:vAlign w:val="center"/>
                </w:tcPr>
                <w:p w14:paraId="72E4A1D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1t/a</w:t>
                  </w:r>
                </w:p>
              </w:tc>
              <w:tc>
                <w:tcPr>
                  <w:tcW w:w="1155" w:type="dxa"/>
                  <w:vAlign w:val="center"/>
                </w:tcPr>
                <w:p w14:paraId="4AA83EA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桶装，库房</w:t>
                  </w:r>
                </w:p>
              </w:tc>
              <w:tc>
                <w:tcPr>
                  <w:tcW w:w="2460" w:type="dxa"/>
                  <w:vAlign w:val="center"/>
                </w:tcPr>
                <w:p w14:paraId="02BAEBA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除油、除锈、磷化/陶化、钝化一体药剂</w:t>
                  </w:r>
                </w:p>
              </w:tc>
              <w:tc>
                <w:tcPr>
                  <w:tcW w:w="1185" w:type="dxa"/>
                  <w:vAlign w:val="center"/>
                </w:tcPr>
                <w:p w14:paraId="25FB113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工件前处理</w:t>
                  </w:r>
                </w:p>
              </w:tc>
            </w:tr>
            <w:tr w14:paraId="0678D7F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61" w:type="dxa"/>
                  <w:vAlign w:val="center"/>
                </w:tcPr>
                <w:p w14:paraId="1566B31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6</w:t>
                  </w:r>
                </w:p>
              </w:tc>
              <w:tc>
                <w:tcPr>
                  <w:tcW w:w="1815" w:type="dxa"/>
                  <w:vAlign w:val="center"/>
                </w:tcPr>
                <w:p w14:paraId="7EEF937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合金钢丸</w:t>
                  </w:r>
                </w:p>
              </w:tc>
              <w:tc>
                <w:tcPr>
                  <w:tcW w:w="1035" w:type="dxa"/>
                  <w:vAlign w:val="center"/>
                </w:tcPr>
                <w:p w14:paraId="76117AE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2.8t/a</w:t>
                  </w:r>
                </w:p>
              </w:tc>
              <w:tc>
                <w:tcPr>
                  <w:tcW w:w="1155" w:type="dxa"/>
                  <w:vAlign w:val="center"/>
                </w:tcPr>
                <w:p w14:paraId="2335CE5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袋装，库房</w:t>
                  </w:r>
                </w:p>
              </w:tc>
              <w:tc>
                <w:tcPr>
                  <w:tcW w:w="2460" w:type="dxa"/>
                  <w:vAlign w:val="center"/>
                </w:tcPr>
                <w:p w14:paraId="380B19B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钢丸，循环复用仅补充损耗</w:t>
                  </w:r>
                </w:p>
              </w:tc>
              <w:tc>
                <w:tcPr>
                  <w:tcW w:w="1185" w:type="dxa"/>
                  <w:vAlign w:val="center"/>
                </w:tcPr>
                <w:p w14:paraId="7954863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抛丸预处理</w:t>
                  </w:r>
                </w:p>
              </w:tc>
            </w:tr>
            <w:tr w14:paraId="5C3443E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61" w:type="dxa"/>
                  <w:vAlign w:val="center"/>
                </w:tcPr>
                <w:p w14:paraId="75F7827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7</w:t>
                  </w:r>
                </w:p>
              </w:tc>
              <w:tc>
                <w:tcPr>
                  <w:tcW w:w="1815" w:type="dxa"/>
                  <w:vAlign w:val="center"/>
                </w:tcPr>
                <w:p w14:paraId="2A14E72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污水处理药剂（PAC、PAM）</w:t>
                  </w:r>
                </w:p>
              </w:tc>
              <w:tc>
                <w:tcPr>
                  <w:tcW w:w="1035" w:type="dxa"/>
                  <w:vAlign w:val="center"/>
                </w:tcPr>
                <w:p w14:paraId="516DDB7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4t/a</w:t>
                  </w:r>
                </w:p>
              </w:tc>
              <w:tc>
                <w:tcPr>
                  <w:tcW w:w="1155" w:type="dxa"/>
                  <w:vAlign w:val="center"/>
                </w:tcPr>
                <w:p w14:paraId="084A253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袋装，库房</w:t>
                  </w:r>
                </w:p>
              </w:tc>
              <w:tc>
                <w:tcPr>
                  <w:tcW w:w="2460" w:type="dxa"/>
                  <w:vAlign w:val="center"/>
                </w:tcPr>
                <w:p w14:paraId="74949C6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聚合氯化铝、聚丙烯酰胺</w:t>
                  </w:r>
                </w:p>
              </w:tc>
              <w:tc>
                <w:tcPr>
                  <w:tcW w:w="1185" w:type="dxa"/>
                  <w:vAlign w:val="center"/>
                </w:tcPr>
                <w:p w14:paraId="3DEEE8B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废水处理</w:t>
                  </w:r>
                </w:p>
              </w:tc>
            </w:tr>
            <w:tr w14:paraId="1270348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61" w:type="dxa"/>
                  <w:vAlign w:val="center"/>
                </w:tcPr>
                <w:p w14:paraId="24E0ABE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8</w:t>
                  </w:r>
                </w:p>
              </w:tc>
              <w:tc>
                <w:tcPr>
                  <w:tcW w:w="1815" w:type="dxa"/>
                  <w:vAlign w:val="center"/>
                </w:tcPr>
                <w:p w14:paraId="7018B2F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蜂窝活性炭</w:t>
                  </w:r>
                </w:p>
              </w:tc>
              <w:tc>
                <w:tcPr>
                  <w:tcW w:w="1035" w:type="dxa"/>
                  <w:vAlign w:val="center"/>
                </w:tcPr>
                <w:p w14:paraId="03E2764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1.5t/a</w:t>
                  </w:r>
                </w:p>
              </w:tc>
              <w:tc>
                <w:tcPr>
                  <w:tcW w:w="1155" w:type="dxa"/>
                  <w:vAlign w:val="center"/>
                </w:tcPr>
                <w:p w14:paraId="5C99060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箱装，库房</w:t>
                  </w:r>
                </w:p>
              </w:tc>
              <w:tc>
                <w:tcPr>
                  <w:tcW w:w="2460" w:type="dxa"/>
                  <w:vAlign w:val="center"/>
                </w:tcPr>
                <w:p w14:paraId="1834EA2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活性炭（碘值≥</w:t>
                  </w:r>
                  <w:r>
                    <w:rPr>
                      <w:rFonts w:hint="default" w:ascii="Times New Roman" w:hAnsi="Times New Roman" w:cs="Times New Roman"/>
                      <w:b w:val="0"/>
                      <w:sz w:val="21"/>
                      <w:szCs w:val="21"/>
                      <w:highlight w:val="none"/>
                      <w:lang w:val="en-US" w:eastAsia="zh-CN"/>
                    </w:rPr>
                    <w:t>6</w:t>
                  </w:r>
                  <w:r>
                    <w:rPr>
                      <w:rFonts w:hint="default" w:ascii="Times New Roman" w:hAnsi="Times New Roman" w:eastAsia="宋体" w:cs="Times New Roman"/>
                      <w:b w:val="0"/>
                      <w:sz w:val="21"/>
                      <w:szCs w:val="21"/>
                      <w:highlight w:val="none"/>
                    </w:rPr>
                    <w:t>00mg/g）</w:t>
                  </w:r>
                </w:p>
              </w:tc>
              <w:tc>
                <w:tcPr>
                  <w:tcW w:w="1185" w:type="dxa"/>
                  <w:vAlign w:val="center"/>
                </w:tcPr>
                <w:p w14:paraId="29EC358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有机废气治理</w:t>
                  </w:r>
                </w:p>
              </w:tc>
            </w:tr>
            <w:tr w14:paraId="43897F6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61" w:type="dxa"/>
                  <w:vAlign w:val="center"/>
                </w:tcPr>
                <w:p w14:paraId="67A1911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9</w:t>
                  </w:r>
                </w:p>
              </w:tc>
              <w:tc>
                <w:tcPr>
                  <w:tcW w:w="1815" w:type="dxa"/>
                  <w:vAlign w:val="center"/>
                </w:tcPr>
                <w:p w14:paraId="5FC5757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纯水制备耗材（RO膜、树脂）</w:t>
                  </w:r>
                </w:p>
              </w:tc>
              <w:tc>
                <w:tcPr>
                  <w:tcW w:w="1035" w:type="dxa"/>
                  <w:vAlign w:val="center"/>
                </w:tcPr>
                <w:p w14:paraId="41B6CE8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0.5t/a</w:t>
                  </w:r>
                </w:p>
              </w:tc>
              <w:tc>
                <w:tcPr>
                  <w:tcW w:w="1155" w:type="dxa"/>
                  <w:vAlign w:val="center"/>
                </w:tcPr>
                <w:p w14:paraId="31C6BB7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箱装，库房</w:t>
                  </w:r>
                </w:p>
              </w:tc>
              <w:tc>
                <w:tcPr>
                  <w:tcW w:w="2460" w:type="dxa"/>
                  <w:vAlign w:val="center"/>
                </w:tcPr>
                <w:p w14:paraId="04BC0E5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RO膜、离子交换树脂</w:t>
                  </w:r>
                </w:p>
              </w:tc>
              <w:tc>
                <w:tcPr>
                  <w:tcW w:w="1185" w:type="dxa"/>
                  <w:vAlign w:val="center"/>
                </w:tcPr>
                <w:p w14:paraId="6E6D727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纯水制备</w:t>
                  </w:r>
                </w:p>
              </w:tc>
            </w:tr>
            <w:tr w14:paraId="3A85CFC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61" w:type="dxa"/>
                  <w:vAlign w:val="center"/>
                </w:tcPr>
                <w:p w14:paraId="6D8AD2B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10</w:t>
                  </w:r>
                </w:p>
              </w:tc>
              <w:tc>
                <w:tcPr>
                  <w:tcW w:w="1815" w:type="dxa"/>
                  <w:vAlign w:val="center"/>
                </w:tcPr>
                <w:p w14:paraId="4C3C0D9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水</w:t>
                  </w:r>
                </w:p>
              </w:tc>
              <w:tc>
                <w:tcPr>
                  <w:tcW w:w="1035" w:type="dxa"/>
                  <w:vAlign w:val="center"/>
                </w:tcPr>
                <w:p w14:paraId="4FF3203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lang w:val="en-US" w:eastAsia="zh-CN"/>
                    </w:rPr>
                    <w:t>2970</w:t>
                  </w:r>
                  <w:r>
                    <w:rPr>
                      <w:rFonts w:hint="default" w:ascii="Times New Roman" w:hAnsi="Times New Roman" w:eastAsia="宋体" w:cs="Times New Roman"/>
                      <w:b w:val="0"/>
                      <w:sz w:val="21"/>
                      <w:szCs w:val="21"/>
                      <w:highlight w:val="none"/>
                    </w:rPr>
                    <w:t>m³/a</w:t>
                  </w:r>
                </w:p>
              </w:tc>
              <w:tc>
                <w:tcPr>
                  <w:tcW w:w="1155" w:type="dxa"/>
                  <w:vAlign w:val="center"/>
                </w:tcPr>
                <w:p w14:paraId="29187C7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市政供水</w:t>
                  </w:r>
                </w:p>
              </w:tc>
              <w:tc>
                <w:tcPr>
                  <w:tcW w:w="2460" w:type="dxa"/>
                  <w:vAlign w:val="center"/>
                </w:tcPr>
                <w:p w14:paraId="768B167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w:t>
                  </w:r>
                </w:p>
              </w:tc>
              <w:tc>
                <w:tcPr>
                  <w:tcW w:w="1185" w:type="dxa"/>
                  <w:vAlign w:val="center"/>
                </w:tcPr>
                <w:p w14:paraId="5F6C757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生产及辅助</w:t>
                  </w:r>
                </w:p>
              </w:tc>
            </w:tr>
            <w:tr w14:paraId="2A47E40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61" w:type="dxa"/>
                  <w:vAlign w:val="center"/>
                </w:tcPr>
                <w:p w14:paraId="55CDC4F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11</w:t>
                  </w:r>
                </w:p>
              </w:tc>
              <w:tc>
                <w:tcPr>
                  <w:tcW w:w="1815" w:type="dxa"/>
                  <w:vAlign w:val="center"/>
                </w:tcPr>
                <w:p w14:paraId="2FC363E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电</w:t>
                  </w:r>
                </w:p>
              </w:tc>
              <w:tc>
                <w:tcPr>
                  <w:tcW w:w="1035" w:type="dxa"/>
                  <w:vAlign w:val="center"/>
                </w:tcPr>
                <w:p w14:paraId="7F0DC5F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30万kWh/a</w:t>
                  </w:r>
                </w:p>
              </w:tc>
              <w:tc>
                <w:tcPr>
                  <w:tcW w:w="1155" w:type="dxa"/>
                  <w:vAlign w:val="center"/>
                </w:tcPr>
                <w:p w14:paraId="459E69D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市政电网</w:t>
                  </w:r>
                </w:p>
              </w:tc>
              <w:tc>
                <w:tcPr>
                  <w:tcW w:w="2460" w:type="dxa"/>
                  <w:vAlign w:val="center"/>
                </w:tcPr>
                <w:p w14:paraId="78392F5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w:t>
                  </w:r>
                </w:p>
              </w:tc>
              <w:tc>
                <w:tcPr>
                  <w:tcW w:w="1185" w:type="dxa"/>
                  <w:vAlign w:val="center"/>
                </w:tcPr>
                <w:p w14:paraId="48058C3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生产及环保设备</w:t>
                  </w:r>
                </w:p>
              </w:tc>
            </w:tr>
            <w:tr w14:paraId="5C0A8A3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61" w:type="dxa"/>
                  <w:vAlign w:val="center"/>
                </w:tcPr>
                <w:p w14:paraId="2A10B43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12</w:t>
                  </w:r>
                </w:p>
              </w:tc>
              <w:tc>
                <w:tcPr>
                  <w:tcW w:w="1815" w:type="dxa"/>
                  <w:vAlign w:val="center"/>
                </w:tcPr>
                <w:p w14:paraId="05B2C0B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天然气</w:t>
                  </w:r>
                </w:p>
              </w:tc>
              <w:tc>
                <w:tcPr>
                  <w:tcW w:w="1035" w:type="dxa"/>
                  <w:vAlign w:val="center"/>
                </w:tcPr>
                <w:p w14:paraId="069F100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4万m³/a</w:t>
                  </w:r>
                </w:p>
              </w:tc>
              <w:tc>
                <w:tcPr>
                  <w:tcW w:w="1155" w:type="dxa"/>
                  <w:vAlign w:val="center"/>
                </w:tcPr>
                <w:p w14:paraId="1579BBD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管道天然气</w:t>
                  </w:r>
                </w:p>
              </w:tc>
              <w:tc>
                <w:tcPr>
                  <w:tcW w:w="2460" w:type="dxa"/>
                  <w:vAlign w:val="center"/>
                </w:tcPr>
                <w:p w14:paraId="4EC1703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甲烷为主，清洁能源</w:t>
                  </w:r>
                </w:p>
              </w:tc>
              <w:tc>
                <w:tcPr>
                  <w:tcW w:w="1185" w:type="dxa"/>
                  <w:vAlign w:val="center"/>
                </w:tcPr>
                <w:p w14:paraId="01DB928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固化烘干（低氮燃烧）</w:t>
                  </w:r>
                </w:p>
              </w:tc>
            </w:tr>
          </w:tbl>
          <w:p w14:paraId="06E0850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sz w:val="24"/>
                <w:highlight w:val="none"/>
              </w:rPr>
            </w:pPr>
          </w:p>
          <w:p w14:paraId="4DAAB0F6">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原辅材料的理化性质：</w:t>
            </w:r>
          </w:p>
          <w:p w14:paraId="127F8F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表2-</w:t>
            </w:r>
            <w:r>
              <w:rPr>
                <w:rFonts w:hint="default" w:ascii="Times New Roman" w:hAnsi="Times New Roman" w:cs="Times New Roman"/>
                <w:b/>
                <w:bCs/>
                <w:color w:val="auto"/>
                <w:sz w:val="24"/>
                <w:highlight w:val="none"/>
                <w:lang w:val="en-US" w:eastAsia="zh-CN"/>
              </w:rPr>
              <w:t>4</w:t>
            </w:r>
            <w:r>
              <w:rPr>
                <w:rFonts w:hint="default" w:ascii="Times New Roman" w:hAnsi="Times New Roman" w:cs="Times New Roman"/>
                <w:b/>
                <w:bCs/>
                <w:color w:val="auto"/>
                <w:sz w:val="24"/>
                <w:highlight w:val="none"/>
              </w:rPr>
              <w:t xml:space="preserve">  主要原辅材料及其主要成分的理化性质</w:t>
            </w:r>
          </w:p>
          <w:tbl>
            <w:tblPr>
              <w:tblStyle w:val="32"/>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37"/>
              <w:gridCol w:w="6726"/>
            </w:tblGrid>
            <w:tr w14:paraId="2D70E2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0" w:type="pct"/>
                  <w:tcBorders>
                    <w:tl2br w:val="nil"/>
                    <w:tr2bl w:val="nil"/>
                  </w:tcBorders>
                  <w:vAlign w:val="center"/>
                </w:tcPr>
                <w:p w14:paraId="42A405A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名称</w:t>
                  </w:r>
                </w:p>
              </w:tc>
              <w:tc>
                <w:tcPr>
                  <w:tcW w:w="4069" w:type="pct"/>
                  <w:tcBorders>
                    <w:tl2br w:val="nil"/>
                    <w:tr2bl w:val="nil"/>
                  </w:tcBorders>
                  <w:vAlign w:val="center"/>
                </w:tcPr>
                <w:p w14:paraId="5CAE2BA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理化性质</w:t>
                  </w:r>
                </w:p>
              </w:tc>
            </w:tr>
            <w:tr w14:paraId="7BADEC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0" w:type="pct"/>
                  <w:tcBorders>
                    <w:tl2br w:val="nil"/>
                    <w:tr2bl w:val="nil"/>
                  </w:tcBorders>
                  <w:vAlign w:val="center"/>
                </w:tcPr>
                <w:p w14:paraId="07F90CA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热固性聚酯粉末涂料</w:t>
                  </w:r>
                </w:p>
              </w:tc>
              <w:tc>
                <w:tcPr>
                  <w:tcW w:w="4069" w:type="pct"/>
                  <w:tcBorders>
                    <w:tl2br w:val="nil"/>
                    <w:tr2bl w:val="nil"/>
                  </w:tcBorders>
                  <w:vAlign w:val="center"/>
                </w:tcPr>
                <w:p w14:paraId="2B29CA92">
                  <w:pPr>
                    <w:keepNext w:val="0"/>
                    <w:keepLines w:val="0"/>
                    <w:widowControl/>
                    <w:suppressLineNumbers w:val="0"/>
                    <w:spacing w:before="0" w:beforeAutospacing="0" w:after="0" w:afterAutospacing="0"/>
                    <w:ind w:left="0" w:right="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shd w:val="clear" w:color="auto" w:fill="FFFFFF"/>
                    </w:rPr>
                    <w:t>粉末状固体，无溶剂；比重 1.2~1.8 g/cm³；静电喷涂平均粒径 30~60 μm；热固性，约 180~200℃熔融流平后交联固化成膜；不溶于水及一般有机溶剂；挥发性分 &lt; 0.5%</w:t>
                  </w:r>
                  <w:r>
                    <w:rPr>
                      <w:rFonts w:hint="default" w:ascii="Times New Roman" w:hAnsi="Times New Roman" w:cs="Times New Roman"/>
                      <w:color w:val="auto"/>
                      <w:sz w:val="21"/>
                      <w:szCs w:val="21"/>
                      <w:highlight w:val="none"/>
                      <w:shd w:val="clear" w:color="auto" w:fill="FFFFFF"/>
                      <w:lang w:eastAsia="zh-CN"/>
                    </w:rPr>
                    <w:t>。</w:t>
                  </w:r>
                </w:p>
              </w:tc>
            </w:tr>
            <w:tr w14:paraId="3AACAA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0" w:type="pct"/>
                  <w:tcBorders>
                    <w:tl2br w:val="nil"/>
                    <w:tr2bl w:val="nil"/>
                  </w:tcBorders>
                  <w:vAlign w:val="center"/>
                </w:tcPr>
                <w:p w14:paraId="1A76298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水性工业漆（水性丙烯酸漆）</w:t>
                  </w:r>
                </w:p>
              </w:tc>
              <w:tc>
                <w:tcPr>
                  <w:tcW w:w="4069" w:type="pct"/>
                  <w:tcBorders>
                    <w:tl2br w:val="nil"/>
                    <w:tr2bl w:val="nil"/>
                  </w:tcBorders>
                  <w:vAlign w:val="center"/>
                </w:tcPr>
                <w:p w14:paraId="4395C156">
                  <w:pPr>
                    <w:keepNext w:val="0"/>
                    <w:keepLines w:val="0"/>
                    <w:suppressLineNumbers w:val="0"/>
                    <w:adjustRightInd w:val="0"/>
                    <w:snapToGrid w:val="0"/>
                    <w:spacing w:before="0" w:beforeAutospacing="0" w:after="0" w:afterAutospacing="0"/>
                    <w:ind w:left="0" w:right="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乳白色至微透明液体；密度 1.05~1.15 g/cm³（25℃）；pH 7.5~9（弱碱性）；固体分约 40~50%；闪点 &gt; 100℃（闭杯）；以水为稀释剂；粘度 50~1500 mPa・s</w:t>
                  </w:r>
                  <w:r>
                    <w:rPr>
                      <w:rFonts w:hint="default" w:ascii="Times New Roman" w:hAnsi="Times New Roman" w:cs="Times New Roman"/>
                      <w:color w:val="auto"/>
                      <w:sz w:val="21"/>
                      <w:szCs w:val="21"/>
                      <w:highlight w:val="none"/>
                      <w:lang w:eastAsia="zh-CN"/>
                    </w:rPr>
                    <w:t>。</w:t>
                  </w:r>
                </w:p>
              </w:tc>
            </w:tr>
            <w:tr w14:paraId="3746D1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0" w:type="pct"/>
                  <w:tcBorders>
                    <w:tl2br w:val="nil"/>
                    <w:tr2bl w:val="nil"/>
                  </w:tcBorders>
                  <w:vAlign w:val="center"/>
                </w:tcPr>
                <w:p w14:paraId="62516C7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水性阴极电泳漆</w:t>
                  </w:r>
                </w:p>
              </w:tc>
              <w:tc>
                <w:tcPr>
                  <w:tcW w:w="4069" w:type="pct"/>
                  <w:tcBorders>
                    <w:tl2br w:val="nil"/>
                    <w:tr2bl w:val="nil"/>
                  </w:tcBorders>
                  <w:vAlign w:val="center"/>
                </w:tcPr>
                <w:p w14:paraId="2A67A33B">
                  <w:pPr>
                    <w:keepNext w:val="0"/>
                    <w:keepLines w:val="0"/>
                    <w:suppressLineNumbers w:val="0"/>
                    <w:adjustRightInd w:val="0"/>
                    <w:snapToGrid w:val="0"/>
                    <w:spacing w:before="0" w:beforeAutospacing="0" w:after="0" w:afterAutospacing="0"/>
                    <w:ind w:left="0" w:right="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乳白色水分散液；以水为介质；VOC含量141g/L（华测检测报告，GB/T 23986-2009）；固体分约 20~30%；pH 约 5.5~6.5；阳离子型树脂在工件表面阴极电沉积成膜，经 160~180℃烘烤固化</w:t>
                  </w:r>
                  <w:r>
                    <w:rPr>
                      <w:rFonts w:hint="default" w:ascii="Times New Roman" w:hAnsi="Times New Roman" w:cs="Times New Roman"/>
                      <w:color w:val="auto"/>
                      <w:sz w:val="21"/>
                      <w:szCs w:val="21"/>
                      <w:highlight w:val="none"/>
                      <w:lang w:eastAsia="zh-CN"/>
                    </w:rPr>
                    <w:t>。</w:t>
                  </w:r>
                </w:p>
              </w:tc>
            </w:tr>
            <w:tr w14:paraId="64C574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0" w:type="pct"/>
                  <w:tcBorders>
                    <w:tl2br w:val="nil"/>
                    <w:tr2bl w:val="nil"/>
                  </w:tcBorders>
                  <w:vAlign w:val="center"/>
                </w:tcPr>
                <w:p w14:paraId="0A69F3D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碱性除油剂</w:t>
                  </w:r>
                </w:p>
              </w:tc>
              <w:tc>
                <w:tcPr>
                  <w:tcW w:w="4069" w:type="pct"/>
                  <w:tcBorders>
                    <w:tl2br w:val="nil"/>
                    <w:tr2bl w:val="nil"/>
                  </w:tcBorders>
                  <w:vAlign w:val="center"/>
                </w:tcPr>
                <w:p w14:paraId="477DFE07">
                  <w:pPr>
                    <w:keepNext w:val="0"/>
                    <w:keepLines w:val="0"/>
                    <w:suppressLineNumbers w:val="0"/>
                    <w:adjustRightInd w:val="0"/>
                    <w:snapToGrid w:val="0"/>
                    <w:spacing w:before="0" w:beforeAutospacing="0" w:after="0" w:afterAutospacing="0"/>
                    <w:ind w:left="0" w:right="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白色至微黄色粉末或液体浓缩物；使用液 pH 11.5~13.0（强碱性）；活性物≥45%；常用工作浓度 20~60 g/L、温度 55~75℃；硅酸钠密度 1.35~1.65 g/cm³，易溶于水，水溶液呈碱性</w:t>
                  </w:r>
                  <w:r>
                    <w:rPr>
                      <w:rFonts w:hint="default" w:ascii="Times New Roman" w:hAnsi="Times New Roman" w:cs="Times New Roman"/>
                      <w:color w:val="auto"/>
                      <w:sz w:val="21"/>
                      <w:szCs w:val="21"/>
                      <w:highlight w:val="none"/>
                      <w:lang w:eastAsia="zh-CN"/>
                    </w:rPr>
                    <w:t>。</w:t>
                  </w:r>
                </w:p>
              </w:tc>
            </w:tr>
            <w:tr w14:paraId="6FF914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0" w:type="pct"/>
                  <w:tcBorders>
                    <w:tl2br w:val="nil"/>
                    <w:tr2bl w:val="nil"/>
                  </w:tcBorders>
                  <w:vAlign w:val="center"/>
                </w:tcPr>
                <w:p w14:paraId="7937F1A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四合一擦洗剂</w:t>
                  </w:r>
                </w:p>
              </w:tc>
              <w:tc>
                <w:tcPr>
                  <w:tcW w:w="4069" w:type="pct"/>
                  <w:tcBorders>
                    <w:tl2br w:val="nil"/>
                    <w:tr2bl w:val="nil"/>
                  </w:tcBorders>
                  <w:vAlign w:val="center"/>
                </w:tcPr>
                <w:p w14:paraId="2FF8A885">
                  <w:pPr>
                    <w:keepNext w:val="0"/>
                    <w:keepLines w:val="0"/>
                    <w:suppressLineNumbers w:val="0"/>
                    <w:adjustRightInd w:val="0"/>
                    <w:snapToGrid w:val="0"/>
                    <w:spacing w:before="0" w:beforeAutospacing="0" w:after="0" w:afterAutospacing="0"/>
                    <w:ind w:left="0" w:right="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highlight w:val="none"/>
                    </w:rPr>
                    <w:t>复配型液体；含酸性除锈组分（磷酸 / 植酸等）、表面活性剂及成膜促进剂；一般呈酸性（pH 约 2~4）至弱酸性；常温下擦洗即可同时完成脱脂、除锈与转化膜处理</w:t>
                  </w:r>
                  <w:r>
                    <w:rPr>
                      <w:rFonts w:hint="default" w:ascii="Times New Roman" w:hAnsi="Times New Roman" w:cs="Times New Roman"/>
                      <w:highlight w:val="none"/>
                      <w:lang w:eastAsia="zh-CN"/>
                    </w:rPr>
                    <w:t>。</w:t>
                  </w:r>
                </w:p>
              </w:tc>
            </w:tr>
            <w:tr w14:paraId="122233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0" w:type="pct"/>
                  <w:tcBorders>
                    <w:tl2br w:val="nil"/>
                    <w:tr2bl w:val="nil"/>
                  </w:tcBorders>
                  <w:vAlign w:val="center"/>
                </w:tcPr>
                <w:p w14:paraId="070BC95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污水处理药剂（PAC、PAM）</w:t>
                  </w:r>
                </w:p>
              </w:tc>
              <w:tc>
                <w:tcPr>
                  <w:tcW w:w="4069" w:type="pct"/>
                  <w:tcBorders>
                    <w:tl2br w:val="nil"/>
                    <w:tr2bl w:val="nil"/>
                  </w:tcBorders>
                  <w:vAlign w:val="center"/>
                </w:tcPr>
                <w:p w14:paraId="294EC48B">
                  <w:pPr>
                    <w:keepNext w:val="0"/>
                    <w:keepLines w:val="0"/>
                    <w:suppressLineNumbers w:val="0"/>
                    <w:adjustRightInd w:val="0"/>
                    <w:snapToGrid w:val="0"/>
                    <w:spacing w:before="0" w:beforeAutospacing="0" w:after="0" w:afterAutospacing="0"/>
                    <w:ind w:left="0" w:right="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PAC：黄色 / 褐色粉末，固体密度 2.20~2.80 g/cm³（液体 1.12~1.15 g/cm³），易溶于水，水溶液弱酸性，Al₂O₃含量约 28~30%。PAM：白色粉末 / 无色稠胶体，密度 1.302 g/cm³（23℃），玻璃化温度 153℃，易溶于水、几乎不溶于有机溶剂；100℃以下稳定，150℃以上分解；无毒、无腐蚀性</w:t>
                  </w:r>
                  <w:r>
                    <w:rPr>
                      <w:rFonts w:hint="default" w:ascii="Times New Roman" w:hAnsi="Times New Roman" w:cs="Times New Roman"/>
                      <w:color w:val="auto"/>
                      <w:sz w:val="21"/>
                      <w:szCs w:val="21"/>
                      <w:highlight w:val="none"/>
                      <w:lang w:eastAsia="zh-CN"/>
                    </w:rPr>
                    <w:t>。</w:t>
                  </w:r>
                </w:p>
              </w:tc>
            </w:tr>
          </w:tbl>
          <w:p w14:paraId="2039D90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6.</w:t>
            </w:r>
            <w:r>
              <w:rPr>
                <w:rFonts w:hint="default" w:ascii="Times New Roman" w:hAnsi="Times New Roman" w:eastAsia="宋体" w:cs="Times New Roman"/>
                <w:bCs/>
                <w:color w:val="auto"/>
                <w:sz w:val="24"/>
                <w:highlight w:val="none"/>
                <w:lang w:val="en-US" w:eastAsia="zh-CN"/>
              </w:rPr>
              <w:t>产品方案</w:t>
            </w:r>
          </w:p>
          <w:p w14:paraId="3B90DDAD">
            <w:pPr>
              <w:pStyle w:val="51"/>
              <w:keepNext w:val="0"/>
              <w:keepLines w:val="0"/>
              <w:suppressLineNumbers w:val="0"/>
              <w:spacing w:before="0" w:beforeAutospacing="0" w:after="0" w:afterAutospacing="0" w:line="360" w:lineRule="auto"/>
              <w:ind w:left="0" w:right="0" w:firstLine="476" w:firstLineChars="200"/>
              <w:rPr>
                <w:rFonts w:hint="default" w:ascii="Times New Roman" w:hAnsi="Times New Roman" w:cs="Times New Roman"/>
                <w:color w:val="auto"/>
                <w:spacing w:val="-1"/>
                <w:sz w:val="24"/>
                <w:szCs w:val="24"/>
                <w:highlight w:val="none"/>
              </w:rPr>
            </w:pPr>
            <w:r>
              <w:rPr>
                <w:rFonts w:hint="default" w:ascii="Times New Roman" w:hAnsi="Times New Roman" w:cs="Times New Roman"/>
                <w:color w:val="auto"/>
                <w:spacing w:val="-1"/>
                <w:sz w:val="24"/>
                <w:szCs w:val="24"/>
                <w:highlight w:val="none"/>
              </w:rPr>
              <w:t>项目产品方案具体见表2-</w:t>
            </w:r>
            <w:r>
              <w:rPr>
                <w:rFonts w:hint="default" w:ascii="Times New Roman" w:hAnsi="Times New Roman" w:cs="Times New Roman"/>
                <w:color w:val="auto"/>
                <w:spacing w:val="-1"/>
                <w:sz w:val="24"/>
                <w:szCs w:val="24"/>
                <w:highlight w:val="none"/>
                <w:lang w:val="en-US" w:eastAsia="zh-CN"/>
              </w:rPr>
              <w:t>5</w:t>
            </w:r>
            <w:r>
              <w:rPr>
                <w:rFonts w:hint="default" w:ascii="Times New Roman" w:hAnsi="Times New Roman" w:cs="Times New Roman"/>
                <w:color w:val="auto"/>
                <w:spacing w:val="-1"/>
                <w:sz w:val="24"/>
                <w:szCs w:val="24"/>
                <w:highlight w:val="none"/>
              </w:rPr>
              <w:t>。</w:t>
            </w:r>
          </w:p>
          <w:p w14:paraId="16C16E58">
            <w:pPr>
              <w:pStyle w:val="51"/>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4"/>
                <w:szCs w:val="24"/>
                <w:highlight w:val="none"/>
                <w:lang w:eastAsia="zh-CN"/>
              </w:rPr>
            </w:pPr>
            <w:r>
              <w:rPr>
                <w:rFonts w:hint="default" w:ascii="Times New Roman" w:hAnsi="Times New Roman" w:cs="Times New Roman"/>
                <w:b/>
                <w:bCs/>
                <w:color w:val="auto"/>
                <w:sz w:val="24"/>
                <w:szCs w:val="24"/>
                <w:highlight w:val="none"/>
                <w:lang w:eastAsia="zh-CN"/>
              </w:rPr>
              <w:t>表2-</w:t>
            </w:r>
            <w:r>
              <w:rPr>
                <w:rFonts w:hint="default" w:ascii="Times New Roman" w:hAnsi="Times New Roman" w:cs="Times New Roman"/>
                <w:b/>
                <w:bCs/>
                <w:color w:val="auto"/>
                <w:sz w:val="24"/>
                <w:szCs w:val="24"/>
                <w:highlight w:val="none"/>
                <w:lang w:val="en-US" w:eastAsia="zh-CN"/>
              </w:rPr>
              <w:t>5</w:t>
            </w:r>
            <w:r>
              <w:rPr>
                <w:rFonts w:hint="default" w:ascii="Times New Roman" w:hAnsi="Times New Roman" w:cs="Times New Roman"/>
                <w:b/>
                <w:bCs/>
                <w:color w:val="auto"/>
                <w:sz w:val="24"/>
                <w:szCs w:val="24"/>
                <w:highlight w:val="none"/>
                <w:lang w:eastAsia="zh-CN"/>
              </w:rPr>
              <w:t xml:space="preserve">  项目产品方案一览表</w:t>
            </w:r>
          </w:p>
          <w:tbl>
            <w:tblPr>
              <w:tblStyle w:val="32"/>
              <w:tblW w:w="8272"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815"/>
              <w:gridCol w:w="2040"/>
              <w:gridCol w:w="1734"/>
              <w:gridCol w:w="3683"/>
            </w:tblGrid>
            <w:tr w14:paraId="0D1FF5C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815" w:type="dxa"/>
                  <w:vAlign w:val="center"/>
                </w:tcPr>
                <w:p w14:paraId="00AC131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sz w:val="21"/>
                      <w:szCs w:val="21"/>
                      <w:highlight w:val="none"/>
                    </w:rPr>
                    <w:t>序号</w:t>
                  </w:r>
                </w:p>
              </w:tc>
              <w:tc>
                <w:tcPr>
                  <w:tcW w:w="2040" w:type="dxa"/>
                  <w:vAlign w:val="center"/>
                </w:tcPr>
                <w:p w14:paraId="5B764F3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sz w:val="21"/>
                      <w:szCs w:val="21"/>
                      <w:highlight w:val="none"/>
                    </w:rPr>
                    <w:t>产品/加工内容</w:t>
                  </w:r>
                </w:p>
              </w:tc>
              <w:tc>
                <w:tcPr>
                  <w:tcW w:w="1734" w:type="dxa"/>
                  <w:vAlign w:val="center"/>
                </w:tcPr>
                <w:p w14:paraId="173CEB8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sz w:val="21"/>
                      <w:szCs w:val="21"/>
                      <w:highlight w:val="none"/>
                    </w:rPr>
                    <w:t>年加工规模</w:t>
                  </w:r>
                </w:p>
              </w:tc>
              <w:tc>
                <w:tcPr>
                  <w:tcW w:w="3683" w:type="dxa"/>
                  <w:vAlign w:val="center"/>
                </w:tcPr>
                <w:p w14:paraId="4176AC5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sz w:val="21"/>
                      <w:szCs w:val="21"/>
                      <w:highlight w:val="none"/>
                    </w:rPr>
                    <w:t>备注</w:t>
                  </w:r>
                </w:p>
              </w:tc>
            </w:tr>
            <w:tr w14:paraId="6D32D6B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10" w:hRule="atLeast"/>
                <w:jc w:val="center"/>
              </w:trPr>
              <w:tc>
                <w:tcPr>
                  <w:tcW w:w="815" w:type="dxa"/>
                  <w:vAlign w:val="center"/>
                </w:tcPr>
                <w:p w14:paraId="6EB4DF7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1</w:t>
                  </w:r>
                </w:p>
              </w:tc>
              <w:tc>
                <w:tcPr>
                  <w:tcW w:w="2040" w:type="dxa"/>
                  <w:vAlign w:val="center"/>
                </w:tcPr>
                <w:p w14:paraId="1C09A22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静电粉末喷涂加工</w:t>
                  </w:r>
                </w:p>
              </w:tc>
              <w:tc>
                <w:tcPr>
                  <w:tcW w:w="1734" w:type="dxa"/>
                  <w:vAlign w:val="center"/>
                </w:tcPr>
                <w:p w14:paraId="14A189B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20万㎡/a</w:t>
                  </w:r>
                </w:p>
              </w:tc>
              <w:tc>
                <w:tcPr>
                  <w:tcW w:w="3683" w:type="dxa"/>
                  <w:vAlign w:val="center"/>
                </w:tcPr>
                <w:p w14:paraId="7159D0F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一期投产（主要产品：电气机柜、机箱、钢结构件、金属支架、五金小件等）</w:t>
                  </w:r>
                </w:p>
              </w:tc>
            </w:tr>
            <w:tr w14:paraId="373B15A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815" w:type="dxa"/>
                  <w:vAlign w:val="center"/>
                </w:tcPr>
                <w:p w14:paraId="782060C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2</w:t>
                  </w:r>
                </w:p>
              </w:tc>
              <w:tc>
                <w:tcPr>
                  <w:tcW w:w="2040" w:type="dxa"/>
                  <w:vAlign w:val="center"/>
                </w:tcPr>
                <w:p w14:paraId="77818C2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水性漆喷涂加工</w:t>
                  </w:r>
                </w:p>
              </w:tc>
              <w:tc>
                <w:tcPr>
                  <w:tcW w:w="1734" w:type="dxa"/>
                  <w:vAlign w:val="center"/>
                </w:tcPr>
                <w:p w14:paraId="22C00B5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0.5万㎡/a</w:t>
                  </w:r>
                </w:p>
              </w:tc>
              <w:tc>
                <w:tcPr>
                  <w:tcW w:w="3683" w:type="dxa"/>
                  <w:vAlign w:val="center"/>
                </w:tcPr>
                <w:p w14:paraId="4996975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一期投产，配套静电喷涂工件同步生产</w:t>
                  </w:r>
                </w:p>
              </w:tc>
            </w:tr>
            <w:tr w14:paraId="3407C8D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40" w:hRule="atLeast"/>
                <w:jc w:val="center"/>
              </w:trPr>
              <w:tc>
                <w:tcPr>
                  <w:tcW w:w="815" w:type="dxa"/>
                  <w:vAlign w:val="center"/>
                </w:tcPr>
                <w:p w14:paraId="42EF917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3</w:t>
                  </w:r>
                </w:p>
              </w:tc>
              <w:tc>
                <w:tcPr>
                  <w:tcW w:w="2040" w:type="dxa"/>
                  <w:vAlign w:val="center"/>
                </w:tcPr>
                <w:p w14:paraId="5F89A70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阴极电泳加工</w:t>
                  </w:r>
                </w:p>
              </w:tc>
              <w:tc>
                <w:tcPr>
                  <w:tcW w:w="1734" w:type="dxa"/>
                  <w:vAlign w:val="center"/>
                </w:tcPr>
                <w:p w14:paraId="368B95A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80t/a</w:t>
                  </w:r>
                </w:p>
              </w:tc>
              <w:tc>
                <w:tcPr>
                  <w:tcW w:w="3683" w:type="dxa"/>
                  <w:vAlign w:val="center"/>
                </w:tcPr>
                <w:p w14:paraId="7D53BCB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远期预留，整体环评批复、分期建设，后期根据订单投产</w:t>
                  </w:r>
                </w:p>
              </w:tc>
            </w:tr>
          </w:tbl>
          <w:p w14:paraId="25E86AD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7.</w:t>
            </w:r>
            <w:r>
              <w:rPr>
                <w:rFonts w:hint="default" w:ascii="Times New Roman" w:hAnsi="Times New Roman" w:eastAsia="宋体" w:cs="Times New Roman"/>
                <w:bCs/>
                <w:color w:val="auto"/>
                <w:sz w:val="24"/>
                <w:highlight w:val="none"/>
                <w:lang w:val="en-US" w:eastAsia="zh-CN"/>
              </w:rPr>
              <w:t>给排水</w:t>
            </w:r>
          </w:p>
          <w:p w14:paraId="1DAD3653">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lang w:val="en-US" w:eastAsia="zh-CN"/>
              </w:rPr>
              <w:t>（1）给水</w:t>
            </w:r>
          </w:p>
          <w:p w14:paraId="476CDFB4">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smallCaps w:val="0"/>
                <w:color w:val="auto"/>
                <w:spacing w:val="0"/>
                <w:position w:val="0"/>
                <w:sz w:val="24"/>
                <w:szCs w:val="24"/>
                <w:highlight w:val="none"/>
                <w:lang w:val="en-US" w:eastAsia="zh-CN"/>
              </w:rPr>
            </w:pPr>
            <w:r>
              <w:rPr>
                <w:rFonts w:hint="default" w:ascii="Times New Roman" w:hAnsi="Times New Roman" w:eastAsia="宋体" w:cs="Times New Roman"/>
                <w:smallCaps w:val="0"/>
                <w:color w:val="auto"/>
                <w:spacing w:val="0"/>
                <w:position w:val="0"/>
                <w:sz w:val="24"/>
                <w:szCs w:val="24"/>
                <w:highlight w:val="none"/>
                <w:lang w:val="en-US" w:eastAsia="zh-CN"/>
              </w:rPr>
              <w:t>给水：项目用水由市政供水管网供给，全厂新鲜用水量约2700m³/a（9.0m³/d）。其中生活用水、纯水制备用水、擦洗前处理及水洗补水、循环冷却补水、车间地面清洁用水取用新鲜水；厂区绿化洒扫用水全部采用废水处理站回用水及清净下水供给，不取用新鲜水。</w:t>
            </w:r>
          </w:p>
          <w:p w14:paraId="7709258B">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lang w:val="en-US" w:eastAsia="zh-CN"/>
              </w:rPr>
              <w:t>A.生活用水</w:t>
            </w:r>
          </w:p>
          <w:p w14:paraId="0797B080">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smallCaps w:val="0"/>
                <w:color w:val="auto"/>
                <w:spacing w:val="0"/>
                <w:position w:val="0"/>
                <w:sz w:val="24"/>
                <w:szCs w:val="24"/>
                <w:highlight w:val="none"/>
                <w:lang w:val="en-US" w:eastAsia="zh-CN"/>
              </w:rPr>
            </w:pPr>
            <w:r>
              <w:rPr>
                <w:rFonts w:hint="default" w:ascii="Times New Roman" w:hAnsi="Times New Roman" w:eastAsia="宋体" w:cs="Times New Roman"/>
                <w:smallCaps w:val="0"/>
                <w:color w:val="auto"/>
                <w:spacing w:val="0"/>
                <w:position w:val="0"/>
                <w:sz w:val="24"/>
                <w:szCs w:val="24"/>
                <w:highlight w:val="none"/>
                <w:lang w:val="en-US" w:eastAsia="zh-CN"/>
              </w:rPr>
              <w:t>本项目劳动定员10人，参照《陕西省行业用水定额》（DB61/T943-2020）关中地区农村居民生活用水定额70L/（人·d），生活用水量=10人×70L/（人·d）=0.7m³/d，按年工作300天计为210m³/a。</w:t>
            </w:r>
          </w:p>
          <w:p w14:paraId="42A29042">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lang w:val="en-US" w:eastAsia="zh-CN"/>
              </w:rPr>
              <w:t>B.生产用水</w:t>
            </w:r>
          </w:p>
          <w:p w14:paraId="3EB32048">
            <w:pPr>
              <w:pStyle w:val="57"/>
              <w:keepNext w:val="0"/>
              <w:keepLines w:val="0"/>
              <w:suppressLineNumbers w:val="0"/>
              <w:spacing w:before="0" w:beforeAutospacing="0" w:after="0" w:afterAutospacing="0" w:line="360" w:lineRule="auto"/>
              <w:ind w:left="719" w:leftChars="228" w:right="0" w:hanging="240" w:hangingChars="100"/>
              <w:rPr>
                <w:rFonts w:hint="default" w:ascii="Times New Roman" w:hAnsi="Times New Roman" w:cs="Times New Roman"/>
                <w:color w:val="auto"/>
                <w:sz w:val="24"/>
                <w:szCs w:val="24"/>
                <w:highlight w:val="none"/>
              </w:rPr>
            </w:pPr>
            <w:r>
              <w:rPr>
                <w:rFonts w:hint="default" w:ascii="Times New Roman" w:hAnsi="Times New Roman" w:eastAsia="宋体" w:cs="Times New Roman"/>
                <w:b w:val="0"/>
                <w:bCs w:val="0"/>
                <w:smallCaps w:val="0"/>
                <w:color w:val="auto"/>
                <w:spacing w:val="0"/>
                <w:position w:val="0"/>
                <w:sz w:val="24"/>
                <w:szCs w:val="24"/>
                <w:highlight w:val="none"/>
              </w:rPr>
              <w:t>①</w:t>
            </w:r>
            <w:r>
              <w:rPr>
                <w:rFonts w:hint="default" w:ascii="Times New Roman" w:hAnsi="Times New Roman" w:cs="Times New Roman"/>
                <w:color w:val="auto"/>
                <w:sz w:val="24"/>
                <w:szCs w:val="24"/>
                <w:highlight w:val="none"/>
              </w:rPr>
              <w:t>纯水制备用水</w:t>
            </w:r>
          </w:p>
          <w:p w14:paraId="36E03BF9">
            <w:pPr>
              <w:pStyle w:val="57"/>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全厂纯水用量450m³/a（擦洗后水洗300m³/a＋电泳纯水精洗150m³/a），纯水制备系统采用RO反渗透工艺、制水率约70%~75%（本项目按约71%计），纯水制备进水约630m³/a，产纯水约450m³/a，全部用于擦洗后水洗及电泳纯水精洗等工序</w:t>
            </w:r>
            <w:r>
              <w:rPr>
                <w:rFonts w:hint="default" w:ascii="Times New Roman" w:hAnsi="Times New Roman" w:cs="Times New Roman"/>
                <w:color w:val="auto"/>
                <w:sz w:val="24"/>
                <w:szCs w:val="24"/>
                <w:highlight w:val="none"/>
                <w:lang w:val="en-US" w:eastAsia="zh-CN"/>
              </w:rPr>
              <w:t>。</w:t>
            </w:r>
          </w:p>
          <w:p w14:paraId="34009F78">
            <w:pPr>
              <w:pStyle w:val="57"/>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val="0"/>
                <w:smallCaps w:val="0"/>
                <w:color w:val="auto"/>
                <w:spacing w:val="0"/>
                <w:position w:val="0"/>
                <w:sz w:val="24"/>
                <w:szCs w:val="24"/>
                <w:highlight w:val="none"/>
              </w:rPr>
              <w:t>②</w:t>
            </w:r>
            <w:r>
              <w:rPr>
                <w:rFonts w:hint="default" w:ascii="Times New Roman" w:hAnsi="Times New Roman" w:eastAsia="宋体" w:cs="Times New Roman"/>
                <w:color w:val="auto"/>
                <w:sz w:val="24"/>
                <w:szCs w:val="24"/>
                <w:highlight w:val="none"/>
                <w:lang w:val="en-US" w:eastAsia="zh-CN"/>
              </w:rPr>
              <w:t>擦洗前处理及水洗用水</w:t>
            </w:r>
          </w:p>
          <w:p w14:paraId="5A7A30E5">
            <w:pPr>
              <w:pStyle w:val="57"/>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项目擦洗后工件进入水洗槽逆流漂洗，类比同类金属前处理线，按水洗槽有效容积约1.0m³、每日补水约2.0m³/d核算，其中末级逆流漂洗使用纯水300m³/a（1.0m³/d）、新鲜水补充300m³/a（1.0m³/d）</w:t>
            </w:r>
            <w:r>
              <w:rPr>
                <w:rFonts w:hint="default" w:ascii="Times New Roman" w:hAnsi="Times New Roman" w:cs="Times New Roman"/>
                <w:color w:val="auto"/>
                <w:sz w:val="24"/>
                <w:szCs w:val="24"/>
                <w:highlight w:val="none"/>
                <w:lang w:eastAsia="zh-CN"/>
              </w:rPr>
              <w:t>。</w:t>
            </w:r>
          </w:p>
          <w:p w14:paraId="119DFC75">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eastAsia="宋体" w:cs="Times New Roman"/>
                <w:b w:val="0"/>
                <w:bCs w:val="0"/>
                <w:smallCaps w:val="0"/>
                <w:color w:val="auto"/>
                <w:spacing w:val="0"/>
                <w:kern w:val="0"/>
                <w:position w:val="0"/>
                <w:sz w:val="24"/>
                <w:szCs w:val="24"/>
                <w:highlight w:val="none"/>
                <w:lang w:val="en-US" w:eastAsia="zh-CN" w:bidi="ar-SA"/>
              </w:rPr>
              <w:t>③</w:t>
            </w:r>
            <w:r>
              <w:rPr>
                <w:rFonts w:hint="default" w:ascii="Times New Roman" w:hAnsi="Times New Roman" w:cs="Times New Roman"/>
                <w:b w:val="0"/>
                <w:bCs w:val="0"/>
                <w:smallCaps w:val="0"/>
                <w:color w:val="auto"/>
                <w:spacing w:val="0"/>
                <w:kern w:val="0"/>
                <w:position w:val="0"/>
                <w:sz w:val="24"/>
                <w:szCs w:val="24"/>
                <w:highlight w:val="none"/>
                <w:lang w:val="en-US" w:eastAsia="zh-CN" w:bidi="ar-SA"/>
              </w:rPr>
              <w:t>电泳前处理及纯水精洗用水</w:t>
            </w:r>
          </w:p>
          <w:p w14:paraId="34904C3C">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w:t>
            </w:r>
            <w:r>
              <w:rPr>
                <w:rFonts w:hint="default" w:ascii="Times New Roman" w:hAnsi="Times New Roman" w:eastAsia="宋体" w:cs="Times New Roman"/>
                <w:b w:val="0"/>
                <w:bCs w:val="0"/>
                <w:color w:val="auto"/>
                <w:sz w:val="24"/>
                <w:szCs w:val="24"/>
                <w:highlight w:val="none"/>
              </w:rPr>
              <w:t>类比同类阴极电泳生产线，上件前纯水预洗及出槽纯水精洗喷淋用水按0.5m³/d核算（150m³/a）</w:t>
            </w:r>
            <w:r>
              <w:rPr>
                <w:rFonts w:hint="default" w:ascii="Times New Roman" w:hAnsi="Times New Roman" w:cs="Times New Roman"/>
                <w:color w:val="auto"/>
                <w:sz w:val="24"/>
                <w:szCs w:val="24"/>
                <w:highlight w:val="none"/>
                <w:lang w:val="en-US" w:eastAsia="zh-CN"/>
              </w:rPr>
              <w:t>。</w:t>
            </w:r>
          </w:p>
          <w:p w14:paraId="6B964BB2">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cs="Times New Roman"/>
                <w:b w:val="0"/>
                <w:bCs w:val="0"/>
                <w:smallCaps w:val="0"/>
                <w:color w:val="auto"/>
                <w:spacing w:val="0"/>
                <w:kern w:val="0"/>
                <w:position w:val="0"/>
                <w:sz w:val="24"/>
                <w:szCs w:val="24"/>
                <w:highlight w:val="none"/>
                <w:lang w:val="en-US" w:eastAsia="zh-CN" w:bidi="ar-SA"/>
              </w:rPr>
            </w:pPr>
            <w:r>
              <w:rPr>
                <w:rFonts w:hint="default" w:ascii="Times New Roman" w:hAnsi="Times New Roman" w:eastAsia="微软雅黑" w:cs="Times New Roman"/>
                <w:b w:val="0"/>
                <w:bCs w:val="0"/>
                <w:smallCaps w:val="0"/>
                <w:color w:val="auto"/>
                <w:spacing w:val="0"/>
                <w:kern w:val="0"/>
                <w:position w:val="0"/>
                <w:sz w:val="24"/>
                <w:szCs w:val="24"/>
                <w:highlight w:val="none"/>
                <w:lang w:val="en-US" w:eastAsia="zh-CN" w:bidi="ar-SA"/>
              </w:rPr>
              <w:t>④</w:t>
            </w:r>
            <w:r>
              <w:rPr>
                <w:rFonts w:hint="default" w:ascii="Times New Roman" w:hAnsi="Times New Roman" w:cs="Times New Roman"/>
                <w:b w:val="0"/>
                <w:bCs w:val="0"/>
                <w:smallCaps w:val="0"/>
                <w:color w:val="auto"/>
                <w:spacing w:val="0"/>
                <w:kern w:val="0"/>
                <w:position w:val="0"/>
                <w:sz w:val="24"/>
                <w:szCs w:val="24"/>
                <w:highlight w:val="none"/>
                <w:lang w:val="en-US" w:eastAsia="zh-CN" w:bidi="ar-SA"/>
              </w:rPr>
              <w:t>其他生产辅助用水</w:t>
            </w:r>
          </w:p>
          <w:p w14:paraId="4C567607">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cs="Times New Roman"/>
                <w:b w:val="0"/>
                <w:bCs w:val="0"/>
                <w:smallCaps w:val="0"/>
                <w:color w:val="auto"/>
                <w:spacing w:val="0"/>
                <w:kern w:val="0"/>
                <w:position w:val="0"/>
                <w:sz w:val="24"/>
                <w:szCs w:val="24"/>
                <w:highlight w:val="none"/>
                <w:lang w:val="en-US" w:eastAsia="zh-CN" w:bidi="ar-SA"/>
              </w:rPr>
            </w:pPr>
            <w:r>
              <w:rPr>
                <w:rFonts w:hint="default" w:ascii="Times New Roman" w:hAnsi="Times New Roman" w:cs="Times New Roman"/>
                <w:b w:val="0"/>
                <w:bCs w:val="0"/>
                <w:smallCaps w:val="0"/>
                <w:color w:val="auto"/>
                <w:spacing w:val="0"/>
                <w:kern w:val="0"/>
                <w:position w:val="0"/>
                <w:sz w:val="24"/>
                <w:szCs w:val="24"/>
                <w:highlight w:val="none"/>
                <w:lang w:val="en-US" w:eastAsia="zh-CN" w:bidi="ar-SA"/>
              </w:rPr>
              <w:t>循环冷却系统补水（循环水量约100m³/d、补水率约5%，约5.0m³/d）及车间地面清洁用水（约0.2m³/d）。循环冷却水在循环使用过程中因蒸发、风吹损耗约4.5m³/d，系统定期排污约0.5m³/d（150m³/a），为低浓度清净下水，回用于厂区洒扫；车间地面清洁水（0.2m³/d、60m³/a）经收集后排入废水处理站处理。</w:t>
            </w:r>
          </w:p>
          <w:p w14:paraId="6543C025">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eastAsia="微软雅黑" w:cs="Times New Roman"/>
                <w:b w:val="0"/>
                <w:bCs w:val="0"/>
                <w:smallCaps w:val="0"/>
                <w:color w:val="auto"/>
                <w:spacing w:val="0"/>
                <w:kern w:val="0"/>
                <w:position w:val="0"/>
                <w:sz w:val="24"/>
                <w:szCs w:val="24"/>
                <w:highlight w:val="none"/>
                <w:lang w:val="en-US" w:eastAsia="zh-CN" w:bidi="ar-SA"/>
              </w:rPr>
            </w:pPr>
            <w:r>
              <w:rPr>
                <w:rFonts w:hint="default" w:ascii="Times New Roman" w:hAnsi="Times New Roman" w:eastAsia="微软雅黑" w:cs="Times New Roman"/>
                <w:b w:val="0"/>
                <w:bCs w:val="0"/>
                <w:smallCaps w:val="0"/>
                <w:color w:val="auto"/>
                <w:spacing w:val="0"/>
                <w:kern w:val="0"/>
                <w:position w:val="0"/>
                <w:sz w:val="24"/>
                <w:szCs w:val="24"/>
                <w:highlight w:val="none"/>
                <w:lang w:val="en-US" w:eastAsia="zh-CN" w:bidi="ar-SA"/>
              </w:rPr>
              <w:t>⑤</w:t>
            </w:r>
            <w:r>
              <w:rPr>
                <w:rFonts w:hint="default" w:ascii="Times New Roman" w:hAnsi="Times New Roman" w:eastAsia="宋体" w:cs="Times New Roman"/>
                <w:b w:val="0"/>
                <w:bCs w:val="0"/>
                <w:smallCaps w:val="0"/>
                <w:color w:val="auto"/>
                <w:spacing w:val="0"/>
                <w:kern w:val="0"/>
                <w:position w:val="0"/>
                <w:sz w:val="24"/>
                <w:szCs w:val="24"/>
                <w:highlight w:val="none"/>
                <w:lang w:val="en-US" w:eastAsia="zh-CN" w:bidi="ar-SA"/>
              </w:rPr>
              <w:t>绿化洒扫用水</w:t>
            </w:r>
          </w:p>
          <w:p w14:paraId="6C7B57D6">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smallCaps w:val="0"/>
                <w:color w:val="auto"/>
                <w:spacing w:val="0"/>
                <w:kern w:val="0"/>
                <w:position w:val="0"/>
                <w:sz w:val="24"/>
                <w:szCs w:val="24"/>
                <w:highlight w:val="none"/>
                <w:lang w:val="en-US" w:eastAsia="zh-CN" w:bidi="ar-SA"/>
              </w:rPr>
            </w:pPr>
            <w:r>
              <w:rPr>
                <w:rFonts w:hint="default" w:ascii="Times New Roman" w:hAnsi="Times New Roman" w:eastAsia="宋体" w:cs="Times New Roman"/>
                <w:b w:val="0"/>
                <w:bCs w:val="0"/>
                <w:smallCaps w:val="0"/>
                <w:color w:val="auto"/>
                <w:spacing w:val="0"/>
                <w:kern w:val="0"/>
                <w:position w:val="0"/>
                <w:sz w:val="24"/>
                <w:szCs w:val="24"/>
                <w:highlight w:val="none"/>
                <w:lang w:val="en-US" w:eastAsia="zh-CN" w:bidi="ar-SA"/>
              </w:rPr>
              <w:t>厂区绿化面积约</w:t>
            </w:r>
            <w:r>
              <w:rPr>
                <w:rFonts w:hint="eastAsia" w:cs="Times New Roman"/>
                <w:b w:val="0"/>
                <w:bCs w:val="0"/>
                <w:smallCaps w:val="0"/>
                <w:color w:val="auto"/>
                <w:spacing w:val="0"/>
                <w:kern w:val="0"/>
                <w:position w:val="0"/>
                <w:sz w:val="24"/>
                <w:szCs w:val="24"/>
                <w:highlight w:val="none"/>
                <w:lang w:val="en-US" w:eastAsia="zh-CN" w:bidi="ar-SA"/>
              </w:rPr>
              <w:t>625</w:t>
            </w:r>
            <w:r>
              <w:rPr>
                <w:rFonts w:hint="default" w:ascii="Times New Roman" w:hAnsi="Times New Roman" w:eastAsia="宋体" w:cs="Times New Roman"/>
                <w:b w:val="0"/>
                <w:bCs w:val="0"/>
                <w:smallCaps w:val="0"/>
                <w:color w:val="auto"/>
                <w:spacing w:val="0"/>
                <w:kern w:val="0"/>
                <w:position w:val="0"/>
                <w:sz w:val="24"/>
                <w:szCs w:val="24"/>
                <w:highlight w:val="none"/>
                <w:lang w:val="en-US" w:eastAsia="zh-CN" w:bidi="ar-SA"/>
              </w:rPr>
              <w:t>m²（参照《陕西省行业用水定额》（DB61/T943-2020）绿化用水定额2.0L/（m²·d））及道路、硬化场地洒扫面积约</w:t>
            </w:r>
            <w:r>
              <w:rPr>
                <w:rFonts w:hint="eastAsia" w:cs="Times New Roman"/>
                <w:b w:val="0"/>
                <w:bCs w:val="0"/>
                <w:smallCaps w:val="0"/>
                <w:color w:val="auto"/>
                <w:spacing w:val="0"/>
                <w:kern w:val="0"/>
                <w:position w:val="0"/>
                <w:sz w:val="24"/>
                <w:szCs w:val="24"/>
                <w:highlight w:val="none"/>
                <w:lang w:val="en-US" w:eastAsia="zh-CN" w:bidi="ar-SA"/>
              </w:rPr>
              <w:t>37</w:t>
            </w:r>
            <w:r>
              <w:rPr>
                <w:rFonts w:hint="default" w:ascii="Times New Roman" w:hAnsi="Times New Roman" w:eastAsia="宋体" w:cs="Times New Roman"/>
                <w:b w:val="0"/>
                <w:bCs w:val="0"/>
                <w:smallCaps w:val="0"/>
                <w:color w:val="auto"/>
                <w:spacing w:val="0"/>
                <w:kern w:val="0"/>
                <w:position w:val="0"/>
                <w:sz w:val="24"/>
                <w:szCs w:val="24"/>
                <w:highlight w:val="none"/>
                <w:lang w:val="en-US" w:eastAsia="zh-CN" w:bidi="ar-SA"/>
              </w:rPr>
              <w:t>00m²（道路洒扫用水定额0.5L/（m²·d）），绿化洒扫基础用水合计约</w:t>
            </w:r>
            <w:r>
              <w:rPr>
                <w:rFonts w:hint="eastAsia" w:cs="Times New Roman"/>
                <w:b w:val="0"/>
                <w:bCs w:val="0"/>
                <w:smallCaps w:val="0"/>
                <w:color w:val="auto"/>
                <w:spacing w:val="0"/>
                <w:kern w:val="0"/>
                <w:position w:val="0"/>
                <w:sz w:val="24"/>
                <w:szCs w:val="24"/>
                <w:highlight w:val="none"/>
                <w:lang w:val="en-US" w:eastAsia="zh-CN" w:bidi="ar-SA"/>
              </w:rPr>
              <w:t>3.1</w:t>
            </w:r>
            <w:r>
              <w:rPr>
                <w:rFonts w:hint="default" w:ascii="Times New Roman" w:hAnsi="Times New Roman" w:eastAsia="宋体" w:cs="Times New Roman"/>
                <w:b w:val="0"/>
                <w:bCs w:val="0"/>
                <w:smallCaps w:val="0"/>
                <w:color w:val="auto"/>
                <w:spacing w:val="0"/>
                <w:kern w:val="0"/>
                <w:position w:val="0"/>
                <w:sz w:val="24"/>
                <w:szCs w:val="24"/>
                <w:highlight w:val="none"/>
                <w:lang w:val="en-US" w:eastAsia="zh-CN" w:bidi="ar-SA"/>
              </w:rPr>
              <w:t>m³/d，全部采用废水处理站回用水及清净下水供给，不取用新鲜水；回用水量大于厂区基础洒扫需求，多余部分经回用水池调蓄，用于厂区绿化浇灌、道路及场地抑尘洒水等，全部在厂区内消纳，不外排。</w:t>
            </w:r>
          </w:p>
          <w:p w14:paraId="757BC08B">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lang w:val="en-US" w:eastAsia="zh-CN"/>
              </w:rPr>
              <w:t>（2）排水</w:t>
            </w:r>
          </w:p>
          <w:p w14:paraId="6174964E">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smallCaps w:val="0"/>
                <w:color w:val="auto"/>
                <w:spacing w:val="0"/>
                <w:position w:val="0"/>
                <w:sz w:val="24"/>
                <w:szCs w:val="24"/>
                <w:highlight w:val="none"/>
              </w:rPr>
            </w:pPr>
            <w:r>
              <w:rPr>
                <w:rFonts w:hint="default" w:ascii="Times New Roman" w:hAnsi="Times New Roman" w:eastAsia="宋体" w:cs="Times New Roman"/>
                <w:b w:val="0"/>
                <w:bCs w:val="0"/>
                <w:smallCaps w:val="0"/>
                <w:color w:val="auto"/>
                <w:spacing w:val="0"/>
                <w:position w:val="0"/>
                <w:sz w:val="24"/>
                <w:szCs w:val="24"/>
                <w:highlight w:val="none"/>
              </w:rPr>
              <w:t>①</w:t>
            </w:r>
            <w:r>
              <w:rPr>
                <w:rFonts w:hint="default" w:ascii="Times New Roman" w:hAnsi="Times New Roman" w:eastAsia="宋体" w:cs="Times New Roman"/>
                <w:b w:val="0"/>
                <w:bCs w:val="0"/>
                <w:smallCaps w:val="0"/>
                <w:color w:val="auto"/>
                <w:spacing w:val="0"/>
                <w:position w:val="0"/>
                <w:sz w:val="24"/>
                <w:szCs w:val="24"/>
                <w:highlight w:val="none"/>
                <w:lang w:eastAsia="zh-CN"/>
              </w:rPr>
              <w:t>生活污水</w:t>
            </w:r>
          </w:p>
          <w:p w14:paraId="3164DC33">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smallCaps w:val="0"/>
                <w:color w:val="auto"/>
                <w:spacing w:val="0"/>
                <w:position w:val="0"/>
                <w:sz w:val="24"/>
                <w:szCs w:val="24"/>
                <w:highlight w:val="none"/>
              </w:rPr>
            </w:pPr>
            <w:r>
              <w:rPr>
                <w:rFonts w:hint="default" w:ascii="Times New Roman" w:hAnsi="Times New Roman" w:eastAsia="宋体" w:cs="Times New Roman"/>
                <w:b w:val="0"/>
                <w:bCs w:val="0"/>
                <w:smallCaps w:val="0"/>
                <w:color w:val="auto"/>
                <w:spacing w:val="0"/>
                <w:position w:val="0"/>
                <w:sz w:val="24"/>
                <w:szCs w:val="24"/>
                <w:highlight w:val="none"/>
              </w:rPr>
              <w:t>生活用水0.7m³/d，产污系数按0.8计（类比同类项目生活源产污系数），生活污水量0.56m³/d，经厂区化粪池（依托厂房已建）处理后定期清掏外运，不外排。</w:t>
            </w:r>
          </w:p>
          <w:p w14:paraId="7BF4863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rPr>
              <w:t>②</w:t>
            </w:r>
            <w:r>
              <w:rPr>
                <w:rFonts w:hint="default" w:ascii="Times New Roman" w:hAnsi="Times New Roman" w:cs="Times New Roman"/>
                <w:color w:val="auto"/>
                <w:sz w:val="24"/>
                <w:szCs w:val="24"/>
                <w:highlight w:val="none"/>
              </w:rPr>
              <w:t>清洗废水</w:t>
            </w:r>
          </w:p>
          <w:p w14:paraId="0DF4A4A6">
            <w:pPr>
              <w:pStyle w:val="57"/>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lang w:val="en-US" w:eastAsia="zh-CN"/>
              </w:rPr>
              <w:t>本项目水洗用水600m³/a中约25%（150m³/a）为蒸发、工件带出等损耗，约75%形成废水450m³/a，经厂区自建废水处理站处理后全部回用于厂区洒扫（车间地面清洗、道路洒扫、绿化浇灌等），不外排。</w:t>
            </w:r>
          </w:p>
          <w:p w14:paraId="65A14DD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lang w:val="en-US" w:eastAsia="zh-CN"/>
              </w:rPr>
              <w:t>③</w:t>
            </w:r>
            <w:r>
              <w:rPr>
                <w:rFonts w:hint="default" w:ascii="Times New Roman" w:hAnsi="Times New Roman" w:eastAsia="宋体" w:cs="Times New Roman"/>
                <w:color w:val="auto"/>
                <w:sz w:val="24"/>
                <w:szCs w:val="24"/>
                <w:highlight w:val="none"/>
                <w:lang w:val="en-US" w:eastAsia="zh-CN"/>
              </w:rPr>
              <w:t>电泳废水（电泳前处理及纯水精洗废水）</w:t>
            </w:r>
          </w:p>
          <w:p w14:paraId="1256BA7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lang w:val="en-US" w:eastAsia="zh-CN"/>
              </w:rPr>
              <w:t>电泳纯水精洗用水150m³/a中约40%（60m³/a）为蒸发、带出损耗，约60%形成废水90m³/a，经废水处理站处理后全部回用于厂区洒扫，不外排。</w:t>
            </w:r>
          </w:p>
          <w:p w14:paraId="2F886CB7">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smallCaps w:val="0"/>
                <w:color w:val="auto"/>
                <w:spacing w:val="0"/>
                <w:position w:val="0"/>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lang w:val="en-US" w:eastAsia="zh-CN"/>
              </w:rPr>
              <w:t>④</w:t>
            </w:r>
            <w:r>
              <w:rPr>
                <w:rFonts w:hint="default" w:ascii="Times New Roman" w:hAnsi="Times New Roman" w:cs="Times New Roman"/>
                <w:smallCaps w:val="0"/>
                <w:color w:val="auto"/>
                <w:spacing w:val="0"/>
                <w:position w:val="0"/>
                <w:sz w:val="24"/>
                <w:szCs w:val="24"/>
                <w:highlight w:val="none"/>
                <w:lang w:val="en-US" w:eastAsia="zh-CN"/>
              </w:rPr>
              <w:t>纯水制备浓水</w:t>
            </w:r>
          </w:p>
          <w:p w14:paraId="6ACF2BD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纯水制备进水630m³/a、产纯水450m³/a，浓水180m³/a，为低浓度清净下水，回用于厂区绿化洒扫，不外排。</w:t>
            </w:r>
          </w:p>
          <w:p w14:paraId="36E6444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position w:val="0"/>
                <w:sz w:val="24"/>
                <w:szCs w:val="24"/>
                <w:highlight w:val="none"/>
                <w:lang w:val="en-US" w:eastAsia="zh-CN"/>
              </w:rPr>
            </w:pPr>
            <w:r>
              <w:rPr>
                <w:rFonts w:hint="default" w:ascii="Times New Roman" w:hAnsi="Times New Roman" w:eastAsia="宋体" w:cs="Times New Roman"/>
                <w:smallCaps w:val="0"/>
                <w:color w:val="auto"/>
                <w:spacing w:val="0"/>
                <w:position w:val="0"/>
                <w:sz w:val="24"/>
                <w:szCs w:val="24"/>
                <w:highlight w:val="none"/>
                <w:lang w:val="en-US" w:eastAsia="zh-CN"/>
              </w:rPr>
              <w:t>本项目给排水量估算见表2-6，水平衡图见图2-1。</w:t>
            </w:r>
          </w:p>
          <w:p w14:paraId="5EF90B9E">
            <w:pPr>
              <w:keepNext w:val="0"/>
              <w:keepLines w:val="0"/>
              <w:suppressLineNumbers w:val="0"/>
              <w:spacing w:before="120" w:beforeAutospacing="0" w:after="80" w:afterAutospacing="0" w:line="240" w:lineRule="auto"/>
              <w:ind w:left="0" w:right="0"/>
              <w:jc w:val="center"/>
              <w:rPr>
                <w:rFonts w:hint="default" w:ascii="Times New Roman" w:hAnsi="Times New Roman" w:eastAsia="宋体" w:cs="Times New Roman"/>
                <w:b/>
                <w:bCs/>
                <w:smallCaps w:val="0"/>
                <w:color w:val="auto"/>
                <w:spacing w:val="0"/>
                <w:position w:val="0"/>
                <w:sz w:val="22"/>
                <w:szCs w:val="22"/>
                <w:highlight w:val="none"/>
                <w:lang w:val="en-US" w:eastAsia="zh-CN"/>
              </w:rPr>
            </w:pPr>
            <w:r>
              <w:rPr>
                <w:rFonts w:hint="default" w:ascii="Times New Roman" w:hAnsi="Times New Roman" w:eastAsia="宋体" w:cs="Times New Roman"/>
                <w:b/>
                <w:bCs/>
                <w:smallCaps w:val="0"/>
                <w:color w:val="auto"/>
                <w:spacing w:val="0"/>
                <w:position w:val="0"/>
                <w:sz w:val="22"/>
                <w:szCs w:val="22"/>
                <w:highlight w:val="none"/>
                <w:lang w:val="en-US" w:eastAsia="zh-CN"/>
              </w:rPr>
              <w:t>表2-6  本项目给排水量情况表</w:t>
            </w:r>
            <w:r>
              <w:rPr>
                <w:rFonts w:hint="default" w:ascii="Times New Roman" w:hAnsi="Times New Roman" w:eastAsia="宋体" w:cs="Times New Roman"/>
                <w:b/>
                <w:sz w:val="21"/>
                <w:highlight w:val="none"/>
              </w:rPr>
              <w:t>（单位：m³/</w:t>
            </w:r>
            <w:r>
              <w:rPr>
                <w:rFonts w:hint="eastAsia" w:ascii="Times New Roman" w:hAnsi="Times New Roman" w:cs="Times New Roman"/>
                <w:b/>
                <w:sz w:val="21"/>
                <w:highlight w:val="none"/>
                <w:lang w:val="en-US" w:eastAsia="zh-CN"/>
              </w:rPr>
              <w:t>d</w:t>
            </w:r>
            <w:r>
              <w:rPr>
                <w:rFonts w:hint="default" w:ascii="Times New Roman" w:hAnsi="Times New Roman" w:eastAsia="宋体" w:cs="Times New Roman"/>
                <w:b/>
                <w:sz w:val="21"/>
                <w:highlight w:val="none"/>
              </w:rPr>
              <w:t>）</w:t>
            </w:r>
          </w:p>
          <w:tbl>
            <w:tblPr>
              <w:tblStyle w:val="33"/>
              <w:tblW w:w="8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5"/>
              <w:gridCol w:w="738"/>
              <w:gridCol w:w="952"/>
              <w:gridCol w:w="1145"/>
              <w:gridCol w:w="1365"/>
              <w:gridCol w:w="1275"/>
              <w:gridCol w:w="1035"/>
            </w:tblGrid>
            <w:tr w14:paraId="337C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845" w:type="dxa"/>
                  <w:noWrap w:val="0"/>
                  <w:vAlign w:val="center"/>
                </w:tcPr>
                <w:p w14:paraId="26247F82">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smallCaps w:val="0"/>
                      <w:color w:val="auto"/>
                      <w:spacing w:val="0"/>
                      <w:kern w:val="2"/>
                      <w:position w:val="0"/>
                      <w:sz w:val="21"/>
                      <w:szCs w:val="21"/>
                      <w:highlight w:val="none"/>
                      <w:vertAlign w:val="baseline"/>
                      <w:lang w:val="en-US" w:eastAsia="zh-CN"/>
                    </w:rPr>
                  </w:pPr>
                  <w:r>
                    <w:rPr>
                      <w:rFonts w:hint="default" w:ascii="Times New Roman" w:hAnsi="Times New Roman" w:eastAsia="宋体" w:cs="Times New Roman"/>
                      <w:b/>
                      <w:bCs/>
                      <w:smallCaps w:val="0"/>
                      <w:color w:val="auto"/>
                      <w:spacing w:val="0"/>
                      <w:position w:val="0"/>
                      <w:sz w:val="21"/>
                      <w:szCs w:val="21"/>
                      <w:highlight w:val="none"/>
                      <w:u w:val="none"/>
                      <w:lang w:val="en-US" w:eastAsia="zh-CN"/>
                    </w:rPr>
                    <w:t>工序</w:t>
                  </w:r>
                </w:p>
              </w:tc>
              <w:tc>
                <w:tcPr>
                  <w:tcW w:w="738" w:type="dxa"/>
                  <w:noWrap w:val="0"/>
                  <w:vAlign w:val="center"/>
                </w:tcPr>
                <w:p w14:paraId="226C8773">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smallCaps w:val="0"/>
                      <w:color w:val="auto"/>
                      <w:spacing w:val="0"/>
                      <w:position w:val="0"/>
                      <w:sz w:val="21"/>
                      <w:szCs w:val="21"/>
                      <w:highlight w:val="none"/>
                      <w:u w:val="none"/>
                      <w:lang w:val="en-US" w:eastAsia="zh-CN"/>
                    </w:rPr>
                  </w:pPr>
                  <w:r>
                    <w:rPr>
                      <w:rFonts w:hint="default" w:ascii="Times New Roman" w:hAnsi="Times New Roman" w:eastAsia="宋体" w:cs="Times New Roman"/>
                      <w:b/>
                      <w:bCs/>
                      <w:smallCaps w:val="0"/>
                      <w:color w:val="auto"/>
                      <w:spacing w:val="0"/>
                      <w:position w:val="0"/>
                      <w:sz w:val="21"/>
                      <w:szCs w:val="21"/>
                      <w:highlight w:val="none"/>
                      <w:u w:val="none"/>
                      <w:lang w:val="en-US" w:eastAsia="zh-CN"/>
                    </w:rPr>
                    <w:t>用水量</w:t>
                  </w:r>
                </w:p>
              </w:tc>
              <w:tc>
                <w:tcPr>
                  <w:tcW w:w="952" w:type="dxa"/>
                  <w:noWrap w:val="0"/>
                  <w:vAlign w:val="center"/>
                </w:tcPr>
                <w:p w14:paraId="0ABB6C85">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smallCaps w:val="0"/>
                      <w:color w:val="auto"/>
                      <w:spacing w:val="0"/>
                      <w:position w:val="0"/>
                      <w:sz w:val="21"/>
                      <w:szCs w:val="21"/>
                      <w:highlight w:val="none"/>
                      <w:u w:val="none"/>
                      <w:lang w:val="en-US" w:eastAsia="zh-CN"/>
                    </w:rPr>
                  </w:pPr>
                  <w:r>
                    <w:rPr>
                      <w:rFonts w:hint="default" w:ascii="Times New Roman" w:hAnsi="Times New Roman" w:eastAsia="宋体" w:cs="Times New Roman"/>
                      <w:b/>
                      <w:bCs/>
                      <w:smallCaps w:val="0"/>
                      <w:color w:val="auto"/>
                      <w:spacing w:val="0"/>
                      <w:position w:val="0"/>
                      <w:sz w:val="21"/>
                      <w:szCs w:val="21"/>
                      <w:highlight w:val="none"/>
                      <w:u w:val="none"/>
                      <w:lang w:val="en-US" w:eastAsia="zh-CN"/>
                    </w:rPr>
                    <w:t>新鲜用水量</w:t>
                  </w:r>
                </w:p>
              </w:tc>
              <w:tc>
                <w:tcPr>
                  <w:tcW w:w="1145" w:type="dxa"/>
                  <w:noWrap w:val="0"/>
                  <w:vAlign w:val="center"/>
                </w:tcPr>
                <w:p w14:paraId="4B3BA66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smallCaps w:val="0"/>
                      <w:color w:val="auto"/>
                      <w:spacing w:val="0"/>
                      <w:position w:val="0"/>
                      <w:sz w:val="21"/>
                      <w:szCs w:val="21"/>
                      <w:highlight w:val="none"/>
                      <w:u w:val="none"/>
                      <w:lang w:val="en-US" w:eastAsia="zh-CN"/>
                    </w:rPr>
                  </w:pPr>
                  <w:r>
                    <w:rPr>
                      <w:rFonts w:hint="default" w:ascii="Times New Roman" w:hAnsi="Times New Roman" w:cs="Times New Roman"/>
                      <w:b/>
                      <w:bCs/>
                      <w:color w:val="auto"/>
                      <w:highlight w:val="none"/>
                    </w:rPr>
                    <w:t>纯水用量</w:t>
                  </w:r>
                </w:p>
              </w:tc>
              <w:tc>
                <w:tcPr>
                  <w:tcW w:w="1365" w:type="dxa"/>
                  <w:noWrap w:val="0"/>
                  <w:vAlign w:val="center"/>
                </w:tcPr>
                <w:p w14:paraId="64073001">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smallCaps w:val="0"/>
                      <w:color w:val="auto"/>
                      <w:spacing w:val="0"/>
                      <w:position w:val="0"/>
                      <w:sz w:val="21"/>
                      <w:szCs w:val="21"/>
                      <w:highlight w:val="none"/>
                      <w:u w:val="none"/>
                      <w:lang w:val="en-US" w:eastAsia="zh-CN"/>
                    </w:rPr>
                  </w:pPr>
                  <w:r>
                    <w:rPr>
                      <w:rFonts w:hint="default" w:ascii="Times New Roman" w:hAnsi="Times New Roman" w:eastAsia="宋体" w:cs="Times New Roman"/>
                      <w:b/>
                      <w:bCs/>
                      <w:smallCaps w:val="0"/>
                      <w:color w:val="auto"/>
                      <w:spacing w:val="0"/>
                      <w:position w:val="0"/>
                      <w:sz w:val="21"/>
                      <w:szCs w:val="21"/>
                      <w:highlight w:val="none"/>
                      <w:u w:val="none"/>
                      <w:lang w:val="en-US" w:eastAsia="zh-CN"/>
                    </w:rPr>
                    <w:t>损耗量</w:t>
                  </w:r>
                </w:p>
              </w:tc>
              <w:tc>
                <w:tcPr>
                  <w:tcW w:w="1275" w:type="dxa"/>
                  <w:shd w:val="clear" w:color="auto" w:fill="auto"/>
                  <w:noWrap w:val="0"/>
                  <w:vAlign w:val="center"/>
                </w:tcPr>
                <w:p w14:paraId="1DD0B41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smallCaps w:val="0"/>
                      <w:color w:val="auto"/>
                      <w:spacing w:val="0"/>
                      <w:position w:val="0"/>
                      <w:sz w:val="21"/>
                      <w:szCs w:val="21"/>
                      <w:highlight w:val="none"/>
                      <w:u w:val="none"/>
                      <w:lang w:val="en-US" w:eastAsia="zh-CN"/>
                    </w:rPr>
                  </w:pPr>
                  <w:r>
                    <w:rPr>
                      <w:rFonts w:hint="default" w:ascii="Times New Roman" w:hAnsi="Times New Roman" w:eastAsia="宋体" w:cs="Times New Roman"/>
                      <w:b/>
                      <w:bCs/>
                      <w:smallCaps w:val="0"/>
                      <w:color w:val="auto"/>
                      <w:spacing w:val="0"/>
                      <w:position w:val="0"/>
                      <w:sz w:val="21"/>
                      <w:szCs w:val="21"/>
                      <w:highlight w:val="none"/>
                      <w:u w:val="none"/>
                      <w:lang w:val="en-US" w:eastAsia="zh-CN"/>
                    </w:rPr>
                    <w:t>废水产生量</w:t>
                  </w:r>
                </w:p>
              </w:tc>
              <w:tc>
                <w:tcPr>
                  <w:tcW w:w="1035" w:type="dxa"/>
                  <w:shd w:val="clear" w:color="auto" w:fill="auto"/>
                  <w:noWrap w:val="0"/>
                  <w:vAlign w:val="center"/>
                </w:tcPr>
                <w:p w14:paraId="2DFB4273">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smallCaps w:val="0"/>
                      <w:color w:val="auto"/>
                      <w:spacing w:val="0"/>
                      <w:position w:val="0"/>
                      <w:sz w:val="21"/>
                      <w:szCs w:val="21"/>
                      <w:highlight w:val="none"/>
                      <w:u w:val="none"/>
                      <w:lang w:val="en-US" w:eastAsia="zh-CN"/>
                    </w:rPr>
                  </w:pPr>
                  <w:r>
                    <w:rPr>
                      <w:rFonts w:hint="default" w:ascii="Times New Roman" w:hAnsi="Times New Roman" w:eastAsia="宋体" w:cs="Times New Roman"/>
                      <w:b/>
                      <w:bCs/>
                      <w:smallCaps w:val="0"/>
                      <w:color w:val="auto"/>
                      <w:spacing w:val="0"/>
                      <w:position w:val="0"/>
                      <w:sz w:val="21"/>
                      <w:szCs w:val="21"/>
                      <w:highlight w:val="none"/>
                      <w:u w:val="none"/>
                      <w:lang w:val="en-US" w:eastAsia="zh-CN"/>
                    </w:rPr>
                    <w:t>污水排放量</w:t>
                  </w:r>
                </w:p>
              </w:tc>
            </w:tr>
            <w:tr w14:paraId="2498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845" w:type="dxa"/>
                  <w:noWrap w:val="0"/>
                  <w:vAlign w:val="center"/>
                </w:tcPr>
                <w:p w14:paraId="57A7877B">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smallCaps w:val="0"/>
                      <w:color w:val="auto"/>
                      <w:spacing w:val="0"/>
                      <w:position w:val="0"/>
                      <w:sz w:val="21"/>
                      <w:szCs w:val="21"/>
                      <w:highlight w:val="none"/>
                      <w:u w:val="none"/>
                      <w:lang w:val="en-US" w:eastAsia="zh-CN"/>
                    </w:rPr>
                    <w:t>生活用水</w:t>
                  </w:r>
                </w:p>
              </w:tc>
              <w:tc>
                <w:tcPr>
                  <w:tcW w:w="738" w:type="dxa"/>
                  <w:noWrap w:val="0"/>
                  <w:vAlign w:val="center"/>
                </w:tcPr>
                <w:p w14:paraId="68A4EC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0.7</w:t>
                  </w:r>
                </w:p>
              </w:tc>
              <w:tc>
                <w:tcPr>
                  <w:tcW w:w="952" w:type="dxa"/>
                  <w:noWrap w:val="0"/>
                  <w:vAlign w:val="center"/>
                </w:tcPr>
                <w:p w14:paraId="16CCB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0.7</w:t>
                  </w:r>
                </w:p>
              </w:tc>
              <w:tc>
                <w:tcPr>
                  <w:tcW w:w="1145" w:type="dxa"/>
                  <w:noWrap w:val="0"/>
                  <w:vAlign w:val="center"/>
                </w:tcPr>
                <w:p w14:paraId="360499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c>
                <w:tcPr>
                  <w:tcW w:w="1365" w:type="dxa"/>
                  <w:noWrap w:val="0"/>
                  <w:vAlign w:val="center"/>
                </w:tcPr>
                <w:p w14:paraId="01D697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0.14</w:t>
                  </w:r>
                </w:p>
              </w:tc>
              <w:tc>
                <w:tcPr>
                  <w:tcW w:w="1275" w:type="dxa"/>
                  <w:shd w:val="clear" w:color="auto" w:fill="auto"/>
                  <w:noWrap w:val="0"/>
                  <w:vAlign w:val="center"/>
                </w:tcPr>
                <w:p w14:paraId="6C25FA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0.56</w:t>
                  </w:r>
                </w:p>
              </w:tc>
              <w:tc>
                <w:tcPr>
                  <w:tcW w:w="1035" w:type="dxa"/>
                  <w:shd w:val="clear" w:color="auto" w:fill="auto"/>
                  <w:noWrap w:val="0"/>
                  <w:vAlign w:val="center"/>
                </w:tcPr>
                <w:p w14:paraId="582E5F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r>
            <w:tr w14:paraId="37AB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845" w:type="dxa"/>
                  <w:noWrap w:val="0"/>
                  <w:vAlign w:val="center"/>
                </w:tcPr>
                <w:p w14:paraId="6B9CA3B6">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b w:val="0"/>
                      <w:sz w:val="21"/>
                      <w:szCs w:val="21"/>
                      <w:highlight w:val="none"/>
                    </w:rPr>
                    <w:t>纯水制备</w:t>
                  </w:r>
                </w:p>
              </w:tc>
              <w:tc>
                <w:tcPr>
                  <w:tcW w:w="738" w:type="dxa"/>
                  <w:noWrap w:val="0"/>
                  <w:vAlign w:val="center"/>
                </w:tcPr>
                <w:p w14:paraId="3EA1290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2.1</w:t>
                  </w:r>
                </w:p>
              </w:tc>
              <w:tc>
                <w:tcPr>
                  <w:tcW w:w="952" w:type="dxa"/>
                  <w:noWrap w:val="0"/>
                  <w:vAlign w:val="center"/>
                </w:tcPr>
                <w:p w14:paraId="2357E4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2.1</w:t>
                  </w:r>
                </w:p>
              </w:tc>
              <w:tc>
                <w:tcPr>
                  <w:tcW w:w="1145" w:type="dxa"/>
                  <w:noWrap w:val="0"/>
                  <w:vAlign w:val="center"/>
                </w:tcPr>
                <w:p w14:paraId="7DB878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1.5</w:t>
                  </w:r>
                </w:p>
              </w:tc>
              <w:tc>
                <w:tcPr>
                  <w:tcW w:w="1365" w:type="dxa"/>
                  <w:noWrap w:val="0"/>
                  <w:vAlign w:val="center"/>
                </w:tcPr>
                <w:p w14:paraId="795E64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eastAsia" w:ascii="Times New Roman" w:hAnsi="Times New Roman" w:cs="Times New Roman"/>
                      <w:i w:val="0"/>
                      <w:iCs w:val="0"/>
                      <w:color w:val="000000"/>
                      <w:kern w:val="0"/>
                      <w:sz w:val="22"/>
                      <w:szCs w:val="22"/>
                      <w:highlight w:val="none"/>
                      <w:u w:val="none"/>
                      <w:lang w:val="en-US" w:eastAsia="zh-CN" w:bidi="ar"/>
                    </w:rPr>
                    <w:t>0</w:t>
                  </w:r>
                </w:p>
              </w:tc>
              <w:tc>
                <w:tcPr>
                  <w:tcW w:w="1275" w:type="dxa"/>
                  <w:shd w:val="clear" w:color="auto" w:fill="auto"/>
                  <w:noWrap w:val="0"/>
                  <w:vAlign w:val="center"/>
                </w:tcPr>
                <w:p w14:paraId="5BC09B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0.6</w:t>
                  </w:r>
                </w:p>
              </w:tc>
              <w:tc>
                <w:tcPr>
                  <w:tcW w:w="1035" w:type="dxa"/>
                  <w:shd w:val="clear" w:color="auto" w:fill="auto"/>
                  <w:noWrap w:val="0"/>
                  <w:vAlign w:val="center"/>
                </w:tcPr>
                <w:p w14:paraId="2D6612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r>
            <w:tr w14:paraId="398B3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845" w:type="dxa"/>
                  <w:noWrap w:val="0"/>
                  <w:vAlign w:val="center"/>
                </w:tcPr>
                <w:p w14:paraId="0A3C4CA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b w:val="0"/>
                      <w:sz w:val="21"/>
                      <w:szCs w:val="21"/>
                      <w:highlight w:val="none"/>
                    </w:rPr>
                    <w:t>擦洗前处理及水洗</w:t>
                  </w:r>
                </w:p>
              </w:tc>
              <w:tc>
                <w:tcPr>
                  <w:tcW w:w="738" w:type="dxa"/>
                  <w:noWrap w:val="0"/>
                  <w:vAlign w:val="center"/>
                </w:tcPr>
                <w:p w14:paraId="49D2A6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2</w:t>
                  </w:r>
                </w:p>
              </w:tc>
              <w:tc>
                <w:tcPr>
                  <w:tcW w:w="952" w:type="dxa"/>
                  <w:noWrap w:val="0"/>
                  <w:vAlign w:val="center"/>
                </w:tcPr>
                <w:p w14:paraId="3FE0DB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1145" w:type="dxa"/>
                  <w:noWrap w:val="0"/>
                  <w:vAlign w:val="center"/>
                </w:tcPr>
                <w:p w14:paraId="3AAF66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1365" w:type="dxa"/>
                  <w:noWrap w:val="0"/>
                  <w:vAlign w:val="center"/>
                </w:tcPr>
                <w:p w14:paraId="749C0B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0.5</w:t>
                  </w:r>
                </w:p>
              </w:tc>
              <w:tc>
                <w:tcPr>
                  <w:tcW w:w="1275" w:type="dxa"/>
                  <w:shd w:val="clear" w:color="auto" w:fill="auto"/>
                  <w:noWrap w:val="0"/>
                  <w:vAlign w:val="center"/>
                </w:tcPr>
                <w:p w14:paraId="791DF6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1.5</w:t>
                  </w:r>
                </w:p>
              </w:tc>
              <w:tc>
                <w:tcPr>
                  <w:tcW w:w="1035" w:type="dxa"/>
                  <w:shd w:val="clear" w:color="auto" w:fill="auto"/>
                  <w:noWrap w:val="0"/>
                  <w:vAlign w:val="center"/>
                </w:tcPr>
                <w:p w14:paraId="4434C5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r>
            <w:tr w14:paraId="3329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845" w:type="dxa"/>
                  <w:noWrap w:val="0"/>
                  <w:vAlign w:val="center"/>
                </w:tcPr>
                <w:p w14:paraId="69CB7892">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sz w:val="21"/>
                      <w:szCs w:val="21"/>
                      <w:highlight w:val="none"/>
                    </w:rPr>
                    <w:t>电泳前处理及纯水精洗</w:t>
                  </w:r>
                </w:p>
              </w:tc>
              <w:tc>
                <w:tcPr>
                  <w:tcW w:w="738" w:type="dxa"/>
                  <w:noWrap w:val="0"/>
                  <w:vAlign w:val="center"/>
                </w:tcPr>
                <w:p w14:paraId="52E384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0.5</w:t>
                  </w:r>
                </w:p>
              </w:tc>
              <w:tc>
                <w:tcPr>
                  <w:tcW w:w="952" w:type="dxa"/>
                  <w:noWrap w:val="0"/>
                  <w:vAlign w:val="center"/>
                </w:tcPr>
                <w:p w14:paraId="2CDB61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c>
                <w:tcPr>
                  <w:tcW w:w="1145" w:type="dxa"/>
                  <w:noWrap w:val="0"/>
                  <w:vAlign w:val="center"/>
                </w:tcPr>
                <w:p w14:paraId="2A4B0A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0.5</w:t>
                  </w:r>
                </w:p>
              </w:tc>
              <w:tc>
                <w:tcPr>
                  <w:tcW w:w="1365" w:type="dxa"/>
                  <w:noWrap w:val="0"/>
                  <w:vAlign w:val="center"/>
                </w:tcPr>
                <w:p w14:paraId="3102BB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0.2</w:t>
                  </w:r>
                </w:p>
              </w:tc>
              <w:tc>
                <w:tcPr>
                  <w:tcW w:w="1275" w:type="dxa"/>
                  <w:shd w:val="clear" w:color="auto" w:fill="auto"/>
                  <w:noWrap w:val="0"/>
                  <w:vAlign w:val="center"/>
                </w:tcPr>
                <w:p w14:paraId="41D0CE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0.3</w:t>
                  </w:r>
                </w:p>
              </w:tc>
              <w:tc>
                <w:tcPr>
                  <w:tcW w:w="1035" w:type="dxa"/>
                  <w:shd w:val="clear" w:color="auto" w:fill="auto"/>
                  <w:noWrap w:val="0"/>
                  <w:vAlign w:val="center"/>
                </w:tcPr>
                <w:p w14:paraId="1D370C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r>
            <w:tr w14:paraId="02F8C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845" w:type="dxa"/>
                  <w:noWrap w:val="0"/>
                  <w:vAlign w:val="center"/>
                </w:tcPr>
                <w:p w14:paraId="5E0D6B62">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b w:val="0"/>
                      <w:sz w:val="21"/>
                      <w:szCs w:val="21"/>
                      <w:highlight w:val="none"/>
                    </w:rPr>
                    <w:t>其他生产辅助（冷却、清洁等）</w:t>
                  </w:r>
                </w:p>
              </w:tc>
              <w:tc>
                <w:tcPr>
                  <w:tcW w:w="738" w:type="dxa"/>
                  <w:noWrap w:val="0"/>
                  <w:vAlign w:val="center"/>
                </w:tcPr>
                <w:p w14:paraId="6F86F3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5.2</w:t>
                  </w:r>
                </w:p>
              </w:tc>
              <w:tc>
                <w:tcPr>
                  <w:tcW w:w="952" w:type="dxa"/>
                  <w:noWrap w:val="0"/>
                  <w:vAlign w:val="center"/>
                </w:tcPr>
                <w:p w14:paraId="6472A9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5.2</w:t>
                  </w:r>
                </w:p>
              </w:tc>
              <w:tc>
                <w:tcPr>
                  <w:tcW w:w="1145" w:type="dxa"/>
                  <w:noWrap w:val="0"/>
                  <w:vAlign w:val="center"/>
                </w:tcPr>
                <w:p w14:paraId="1F642C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c>
                <w:tcPr>
                  <w:tcW w:w="1365" w:type="dxa"/>
                  <w:noWrap w:val="0"/>
                  <w:vAlign w:val="center"/>
                </w:tcPr>
                <w:p w14:paraId="1B9C50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4.5</w:t>
                  </w:r>
                </w:p>
              </w:tc>
              <w:tc>
                <w:tcPr>
                  <w:tcW w:w="1275" w:type="dxa"/>
                  <w:shd w:val="clear" w:color="auto" w:fill="auto"/>
                  <w:noWrap w:val="0"/>
                  <w:vAlign w:val="center"/>
                </w:tcPr>
                <w:p w14:paraId="25FCE3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0.7</w:t>
                  </w:r>
                </w:p>
              </w:tc>
              <w:tc>
                <w:tcPr>
                  <w:tcW w:w="1035" w:type="dxa"/>
                  <w:shd w:val="clear" w:color="auto" w:fill="auto"/>
                  <w:noWrap w:val="0"/>
                  <w:vAlign w:val="center"/>
                </w:tcPr>
                <w:p w14:paraId="08467E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r>
            <w:tr w14:paraId="1149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845" w:type="dxa"/>
                  <w:noWrap w:val="0"/>
                  <w:vAlign w:val="center"/>
                </w:tcPr>
                <w:p w14:paraId="5BC32E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绿化洒扫</w:t>
                  </w:r>
                </w:p>
              </w:tc>
              <w:tc>
                <w:tcPr>
                  <w:tcW w:w="738" w:type="dxa"/>
                  <w:noWrap w:val="0"/>
                  <w:vAlign w:val="center"/>
                </w:tcPr>
                <w:p w14:paraId="2E0FAA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3.1</w:t>
                  </w:r>
                </w:p>
              </w:tc>
              <w:tc>
                <w:tcPr>
                  <w:tcW w:w="952" w:type="dxa"/>
                  <w:noWrap w:val="0"/>
                  <w:vAlign w:val="center"/>
                </w:tcPr>
                <w:p w14:paraId="701E07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c>
                <w:tcPr>
                  <w:tcW w:w="1145" w:type="dxa"/>
                  <w:noWrap w:val="0"/>
                  <w:vAlign w:val="center"/>
                </w:tcPr>
                <w:p w14:paraId="294FB1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c>
                <w:tcPr>
                  <w:tcW w:w="1365" w:type="dxa"/>
                  <w:noWrap w:val="0"/>
                  <w:vAlign w:val="center"/>
                </w:tcPr>
                <w:p w14:paraId="5E72ED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3.1</w:t>
                  </w:r>
                </w:p>
              </w:tc>
              <w:tc>
                <w:tcPr>
                  <w:tcW w:w="1275" w:type="dxa"/>
                  <w:shd w:val="clear" w:color="auto" w:fill="auto"/>
                  <w:noWrap w:val="0"/>
                  <w:vAlign w:val="center"/>
                </w:tcPr>
                <w:p w14:paraId="7F7628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c>
                <w:tcPr>
                  <w:tcW w:w="1035" w:type="dxa"/>
                  <w:shd w:val="clear" w:color="auto" w:fill="auto"/>
                  <w:noWrap w:val="0"/>
                  <w:vAlign w:val="center"/>
                </w:tcPr>
                <w:p w14:paraId="616213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r>
            <w:tr w14:paraId="464E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845" w:type="dxa"/>
                  <w:noWrap w:val="0"/>
                  <w:vAlign w:val="center"/>
                </w:tcPr>
                <w:p w14:paraId="10EE25BE">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smallCaps w:val="0"/>
                      <w:color w:val="auto"/>
                      <w:spacing w:val="0"/>
                      <w:position w:val="0"/>
                      <w:sz w:val="21"/>
                      <w:szCs w:val="21"/>
                      <w:highlight w:val="none"/>
                      <w:u w:val="none"/>
                      <w:lang w:val="en-US" w:eastAsia="zh-CN"/>
                    </w:rPr>
                    <w:t>合计</w:t>
                  </w:r>
                </w:p>
              </w:tc>
              <w:tc>
                <w:tcPr>
                  <w:tcW w:w="738" w:type="dxa"/>
                  <w:noWrap w:val="0"/>
                  <w:vAlign w:val="center"/>
                </w:tcPr>
                <w:p w14:paraId="1DD655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13.6</w:t>
                  </w:r>
                </w:p>
              </w:tc>
              <w:tc>
                <w:tcPr>
                  <w:tcW w:w="952" w:type="dxa"/>
                  <w:noWrap w:val="0"/>
                  <w:vAlign w:val="center"/>
                </w:tcPr>
                <w:p w14:paraId="7749E3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9.0</w:t>
                  </w:r>
                </w:p>
              </w:tc>
              <w:tc>
                <w:tcPr>
                  <w:tcW w:w="1145" w:type="dxa"/>
                  <w:noWrap w:val="0"/>
                  <w:vAlign w:val="center"/>
                </w:tcPr>
                <w:p w14:paraId="2542E0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1.5</w:t>
                  </w:r>
                </w:p>
              </w:tc>
              <w:tc>
                <w:tcPr>
                  <w:tcW w:w="1365" w:type="dxa"/>
                  <w:noWrap w:val="0"/>
                  <w:vAlign w:val="center"/>
                </w:tcPr>
                <w:p w14:paraId="11D704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8.44</w:t>
                  </w:r>
                </w:p>
              </w:tc>
              <w:tc>
                <w:tcPr>
                  <w:tcW w:w="1275" w:type="dxa"/>
                  <w:noWrap w:val="0"/>
                  <w:vAlign w:val="center"/>
                </w:tcPr>
                <w:p w14:paraId="54D20E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3.66</w:t>
                  </w:r>
                </w:p>
              </w:tc>
              <w:tc>
                <w:tcPr>
                  <w:tcW w:w="1035" w:type="dxa"/>
                  <w:noWrap w:val="0"/>
                  <w:vAlign w:val="center"/>
                </w:tcPr>
                <w:p w14:paraId="08525F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sz w:val="21"/>
                      <w:szCs w:val="21"/>
                      <w:highlight w:val="none"/>
                      <w:u w:val="none"/>
                      <w:lang w:val="en-US" w:eastAsia="zh-CN"/>
                    </w:rPr>
                  </w:pPr>
                  <w:r>
                    <w:rPr>
                      <w:rFonts w:hint="default" w:ascii="Times New Roman" w:hAnsi="Times New Roman" w:eastAsia="宋体" w:cs="Times New Roman"/>
                      <w:i w:val="0"/>
                      <w:iCs w:val="0"/>
                      <w:color w:val="000000"/>
                      <w:kern w:val="0"/>
                      <w:sz w:val="22"/>
                      <w:szCs w:val="22"/>
                      <w:highlight w:val="none"/>
                      <w:u w:val="none"/>
                      <w:lang w:val="en-US" w:eastAsia="zh-CN" w:bidi="ar"/>
                    </w:rPr>
                    <w:t>0</w:t>
                  </w:r>
                </w:p>
              </w:tc>
            </w:tr>
          </w:tbl>
          <w:p w14:paraId="60238CCF">
            <w:pPr>
              <w:keepNext w:val="0"/>
              <w:keepLines w:val="0"/>
              <w:pageBreakBefore w:val="0"/>
              <w:widowControl w:val="0"/>
              <w:suppressLineNumbers w:val="0"/>
              <w:tabs>
                <w:tab w:val="left" w:pos="3465"/>
              </w:tabs>
              <w:kinsoku/>
              <w:wordWrap/>
              <w:overflowPunct/>
              <w:topLinePunct w:val="0"/>
              <w:autoSpaceDE/>
              <w:autoSpaceDN/>
              <w:bidi w:val="0"/>
              <w:adjustRightInd w:val="0"/>
              <w:snapToGrid w:val="0"/>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b w:val="0"/>
                <w:bCs w:val="0"/>
                <w:smallCaps w:val="0"/>
                <w:color w:val="auto"/>
                <w:spacing w:val="0"/>
                <w:position w:val="0"/>
                <w:sz w:val="21"/>
                <w:szCs w:val="18"/>
                <w:highlight w:val="none"/>
                <w:lang w:val="en-US" w:eastAsia="zh-CN"/>
              </w:rPr>
            </w:pPr>
            <w:r>
              <w:rPr>
                <w:rFonts w:hint="default" w:ascii="Times New Roman" w:hAnsi="Times New Roman" w:eastAsia="宋体" w:cs="Times New Roman"/>
                <w:b w:val="0"/>
                <w:bCs w:val="0"/>
                <w:smallCaps w:val="0"/>
                <w:color w:val="auto"/>
                <w:spacing w:val="0"/>
                <w:position w:val="0"/>
                <w:sz w:val="21"/>
                <w:szCs w:val="18"/>
                <w:highlight w:val="none"/>
                <w:lang w:val="en-US" w:eastAsia="zh-CN"/>
              </w:rPr>
              <w:t>注：全厂新鲜水取用量9.0m³/d；绿化洒扫用水（3.1m³/d）全部采用废水处理站回用水及清净下水供给，不取用新鲜水。全厂废水产生量3.66m³/d，污水排放量为0，均不外排</w:t>
            </w:r>
            <w:r>
              <w:rPr>
                <w:rFonts w:hint="eastAsia" w:cs="Times New Roman"/>
                <w:b w:val="0"/>
                <w:bCs w:val="0"/>
                <w:smallCaps w:val="0"/>
                <w:color w:val="auto"/>
                <w:spacing w:val="0"/>
                <w:position w:val="0"/>
                <w:sz w:val="21"/>
                <w:szCs w:val="18"/>
                <w:highlight w:val="none"/>
                <w:lang w:val="en-US" w:eastAsia="zh-CN"/>
              </w:rPr>
              <w:t>。</w:t>
            </w:r>
            <w:r>
              <w:rPr>
                <w:rFonts w:hint="default" w:ascii="Times New Roman" w:hAnsi="Times New Roman" w:eastAsia="宋体" w:cs="Times New Roman"/>
                <w:b w:val="0"/>
                <w:bCs w:val="0"/>
                <w:smallCaps w:val="0"/>
                <w:color w:val="auto"/>
                <w:spacing w:val="0"/>
                <w:position w:val="0"/>
                <w:sz w:val="21"/>
                <w:szCs w:val="18"/>
                <w:highlight w:val="none"/>
                <w:lang w:val="en-US" w:eastAsia="zh-CN"/>
              </w:rPr>
              <w:t>生活污水经化粪池处理后定期清掏外运（不计入污水排放量），其余废水经处理后全部回用于厂区洒扫。</w:t>
            </w:r>
          </w:p>
          <w:p w14:paraId="224F9D6A">
            <w:pPr>
              <w:keepNext w:val="0"/>
              <w:keepLines w:val="0"/>
              <w:pageBreakBefore w:val="0"/>
              <w:widowControl w:val="0"/>
              <w:suppressLineNumbers w:val="0"/>
              <w:tabs>
                <w:tab w:val="left" w:pos="3465"/>
              </w:tabs>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Times New Roman" w:hAnsi="Times New Roman" w:eastAsia="宋体" w:cs="Times New Roman"/>
                <w:b w:val="0"/>
                <w:bCs w:val="0"/>
                <w:smallCaps w:val="0"/>
                <w:color w:val="auto"/>
                <w:spacing w:val="0"/>
                <w:position w:val="0"/>
                <w:sz w:val="21"/>
                <w:szCs w:val="18"/>
                <w:highlight w:val="none"/>
                <w:lang w:val="en-US" w:eastAsia="zh-CN"/>
              </w:rPr>
            </w:pPr>
            <w:r>
              <w:rPr>
                <w:rFonts w:hint="eastAsia" w:ascii="Times New Roman" w:hAnsi="Times New Roman" w:eastAsia="宋体" w:cs="Times New Roman"/>
                <w:b w:val="0"/>
                <w:bCs w:val="0"/>
                <w:smallCaps w:val="0"/>
                <w:color w:val="auto"/>
                <w:spacing w:val="0"/>
                <w:position w:val="0"/>
                <w:sz w:val="21"/>
                <w:szCs w:val="18"/>
                <w:highlight w:val="none"/>
                <w:lang w:val="en-US" w:eastAsia="zh-CN"/>
              </w:rPr>
              <w:object>
                <v:shape id="_x0000_i1025" o:spt="75" type="#_x0000_t75" style="height:270.45pt;width:421.45pt;" o:ole="t" filled="f" o:preferrelative="t" stroked="f" coordsize="21600,21600">
                  <v:path/>
                  <v:fill on="f" focussize="0,0"/>
                  <v:stroke on="f"/>
                  <v:imagedata r:id="rId8" o:title=""/>
                  <o:lock v:ext="edit" aspectratio="f"/>
                  <w10:wrap type="none"/>
                  <w10:anchorlock/>
                </v:shape>
                <o:OLEObject Type="Embed" ProgID="Visio.Drawing.15" ShapeID="_x0000_i1025" DrawAspect="Content" ObjectID="_1468075725" r:id="rId7">
                  <o:LockedField>false</o:LockedField>
                </o:OLEObject>
              </w:object>
            </w:r>
          </w:p>
          <w:p w14:paraId="2D85FDEA">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smallCaps w:val="0"/>
                <w:color w:val="auto"/>
                <w:spacing w:val="0"/>
                <w:position w:val="0"/>
                <w:sz w:val="22"/>
                <w:szCs w:val="22"/>
                <w:highlight w:val="none"/>
                <w:lang w:val="en-US" w:eastAsia="zh-CN"/>
              </w:rPr>
            </w:pPr>
            <w:r>
              <w:rPr>
                <w:rFonts w:hint="default" w:ascii="Times New Roman" w:hAnsi="Times New Roman" w:eastAsia="宋体" w:cs="Times New Roman"/>
                <w:b/>
                <w:bCs/>
                <w:smallCaps w:val="0"/>
                <w:color w:val="auto"/>
                <w:spacing w:val="0"/>
                <w:position w:val="0"/>
                <w:sz w:val="22"/>
                <w:szCs w:val="22"/>
                <w:highlight w:val="none"/>
                <w:lang w:val="en-US" w:eastAsia="zh-CN"/>
              </w:rPr>
              <w:t>图2-1  项目水平衡图（单位：t/d）</w:t>
            </w:r>
          </w:p>
          <w:p w14:paraId="2247C59D">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cs="Times New Roman"/>
                <w:b w:val="0"/>
                <w:bCs w:val="0"/>
                <w:smallCaps w:val="0"/>
                <w:color w:val="auto"/>
                <w:spacing w:val="0"/>
                <w:position w:val="0"/>
                <w:sz w:val="24"/>
                <w:szCs w:val="24"/>
                <w:highlight w:val="none"/>
                <w:lang w:val="en-US" w:eastAsia="zh-CN"/>
              </w:rPr>
              <w:t>8.</w:t>
            </w:r>
            <w:r>
              <w:rPr>
                <w:rFonts w:hint="default" w:ascii="Times New Roman" w:hAnsi="Times New Roman" w:eastAsia="宋体" w:cs="Times New Roman"/>
                <w:b w:val="0"/>
                <w:bCs w:val="0"/>
                <w:smallCaps w:val="0"/>
                <w:color w:val="auto"/>
                <w:spacing w:val="0"/>
                <w:position w:val="0"/>
                <w:sz w:val="24"/>
                <w:szCs w:val="24"/>
                <w:highlight w:val="none"/>
                <w:lang w:val="en-US" w:eastAsia="zh-CN"/>
              </w:rPr>
              <w:t>供电</w:t>
            </w:r>
          </w:p>
          <w:p w14:paraId="519302F4">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smallCaps w:val="0"/>
                <w:color w:val="auto"/>
                <w:spacing w:val="0"/>
                <w:position w:val="0"/>
                <w:sz w:val="24"/>
                <w:szCs w:val="24"/>
                <w:highlight w:val="none"/>
                <w:lang w:val="en-US" w:eastAsia="zh-CN"/>
              </w:rPr>
            </w:pPr>
            <w:r>
              <w:rPr>
                <w:rFonts w:hint="default" w:ascii="Times New Roman" w:hAnsi="Times New Roman" w:eastAsia="宋体" w:cs="Times New Roman"/>
                <w:b w:val="0"/>
                <w:sz w:val="24"/>
                <w:highlight w:val="none"/>
              </w:rPr>
              <w:t>由市政电网供电，年耗电量约30万kWh/a</w:t>
            </w:r>
            <w:r>
              <w:rPr>
                <w:rFonts w:hint="default" w:ascii="Times New Roman" w:hAnsi="Times New Roman" w:eastAsia="宋体" w:cs="Times New Roman"/>
                <w:smallCaps w:val="0"/>
                <w:color w:val="auto"/>
                <w:spacing w:val="0"/>
                <w:position w:val="0"/>
                <w:sz w:val="24"/>
                <w:szCs w:val="24"/>
                <w:highlight w:val="none"/>
                <w:lang w:val="en-US" w:eastAsia="zh-CN"/>
              </w:rPr>
              <w:t>，可满足项目用电要求。</w:t>
            </w:r>
          </w:p>
          <w:p w14:paraId="407F313C">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cs="Times New Roman"/>
                <w:b w:val="0"/>
                <w:bCs w:val="0"/>
                <w:smallCaps w:val="0"/>
                <w:color w:val="auto"/>
                <w:spacing w:val="0"/>
                <w:position w:val="0"/>
                <w:sz w:val="24"/>
                <w:szCs w:val="24"/>
                <w:highlight w:val="none"/>
                <w:lang w:val="en-US" w:eastAsia="zh-CN"/>
              </w:rPr>
              <w:t>9.</w:t>
            </w:r>
            <w:r>
              <w:rPr>
                <w:rFonts w:hint="default" w:ascii="Times New Roman" w:hAnsi="Times New Roman" w:eastAsia="宋体" w:cs="Times New Roman"/>
                <w:b w:val="0"/>
                <w:bCs w:val="0"/>
                <w:smallCaps w:val="0"/>
                <w:color w:val="auto"/>
                <w:spacing w:val="0"/>
                <w:position w:val="0"/>
                <w:sz w:val="24"/>
                <w:szCs w:val="24"/>
                <w:highlight w:val="none"/>
                <w:lang w:val="en-US" w:eastAsia="zh-CN"/>
              </w:rPr>
              <w:t>采暖、制冷</w:t>
            </w:r>
          </w:p>
          <w:p w14:paraId="3D3E17BC">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smallCaps w:val="0"/>
                <w:color w:val="auto"/>
                <w:spacing w:val="0"/>
                <w:position w:val="0"/>
                <w:sz w:val="24"/>
                <w:szCs w:val="24"/>
                <w:highlight w:val="none"/>
                <w:lang w:val="en-US" w:eastAsia="zh-CN"/>
              </w:rPr>
            </w:pPr>
            <w:r>
              <w:rPr>
                <w:rFonts w:hint="default" w:ascii="Times New Roman" w:hAnsi="Times New Roman" w:eastAsia="宋体" w:cs="Times New Roman"/>
                <w:smallCaps w:val="0"/>
                <w:color w:val="auto"/>
                <w:spacing w:val="0"/>
                <w:position w:val="0"/>
                <w:sz w:val="24"/>
                <w:szCs w:val="24"/>
                <w:highlight w:val="none"/>
                <w:lang w:val="en-US" w:eastAsia="zh-CN"/>
              </w:rPr>
              <w:t>办公区采用空调，生产车间不设集中供暖。</w:t>
            </w:r>
          </w:p>
          <w:p w14:paraId="1BD05237">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cs="Times New Roman"/>
                <w:b w:val="0"/>
                <w:bCs w:val="0"/>
                <w:smallCaps w:val="0"/>
                <w:color w:val="auto"/>
                <w:spacing w:val="0"/>
                <w:position w:val="0"/>
                <w:sz w:val="24"/>
                <w:szCs w:val="24"/>
                <w:highlight w:val="none"/>
                <w:lang w:val="en-US" w:eastAsia="zh-CN"/>
              </w:rPr>
              <w:t>10.</w:t>
            </w:r>
            <w:r>
              <w:rPr>
                <w:rFonts w:hint="default" w:ascii="Times New Roman" w:hAnsi="Times New Roman" w:eastAsia="宋体" w:cs="Times New Roman"/>
                <w:b w:val="0"/>
                <w:bCs w:val="0"/>
                <w:smallCaps w:val="0"/>
                <w:color w:val="auto"/>
                <w:spacing w:val="0"/>
                <w:position w:val="0"/>
                <w:sz w:val="24"/>
                <w:szCs w:val="24"/>
                <w:highlight w:val="none"/>
                <w:lang w:val="en-US" w:eastAsia="zh-CN"/>
              </w:rPr>
              <w:t>总平面布置</w:t>
            </w:r>
          </w:p>
          <w:p w14:paraId="51E1D593">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smallCaps w:val="0"/>
                <w:color w:val="auto"/>
                <w:spacing w:val="0"/>
                <w:position w:val="0"/>
                <w:sz w:val="24"/>
                <w:szCs w:val="24"/>
                <w:highlight w:val="none"/>
                <w:lang w:val="en-US" w:eastAsia="zh-CN"/>
              </w:rPr>
            </w:pPr>
            <w:r>
              <w:rPr>
                <w:rFonts w:hint="default" w:ascii="Times New Roman" w:hAnsi="Times New Roman" w:eastAsia="宋体" w:cs="Times New Roman"/>
                <w:smallCaps w:val="0"/>
                <w:color w:val="auto"/>
                <w:spacing w:val="0"/>
                <w:position w:val="0"/>
                <w:sz w:val="24"/>
                <w:szCs w:val="24"/>
                <w:highlight w:val="none"/>
                <w:lang w:val="en-US" w:eastAsia="zh-CN"/>
              </w:rPr>
              <w:t>本项目租赁厂房总建筑面积3700</w:t>
            </w:r>
            <w:r>
              <w:rPr>
                <w:rFonts w:hint="default" w:ascii="Times New Roman" w:hAnsi="Times New Roman" w:cs="Times New Roman"/>
                <w:smallCaps w:val="0"/>
                <w:color w:val="auto"/>
                <w:spacing w:val="0"/>
                <w:position w:val="0"/>
                <w:sz w:val="24"/>
                <w:szCs w:val="24"/>
                <w:highlight w:val="none"/>
                <w:lang w:val="en-US" w:eastAsia="zh-CN"/>
              </w:rPr>
              <w:t>m</w:t>
            </w:r>
            <w:r>
              <w:rPr>
                <w:rFonts w:hint="default" w:ascii="Times New Roman" w:hAnsi="Times New Roman" w:cs="Times New Roman"/>
                <w:smallCaps w:val="0"/>
                <w:color w:val="auto"/>
                <w:spacing w:val="0"/>
                <w:position w:val="0"/>
                <w:sz w:val="24"/>
                <w:szCs w:val="24"/>
                <w:highlight w:val="none"/>
                <w:vertAlign w:val="superscript"/>
                <w:lang w:val="en-US" w:eastAsia="zh-CN"/>
              </w:rPr>
              <w:t>2</w:t>
            </w:r>
            <w:r>
              <w:rPr>
                <w:rFonts w:hint="default" w:ascii="Times New Roman" w:hAnsi="Times New Roman" w:eastAsia="宋体" w:cs="Times New Roman"/>
                <w:smallCaps w:val="0"/>
                <w:color w:val="auto"/>
                <w:spacing w:val="0"/>
                <w:position w:val="0"/>
                <w:sz w:val="24"/>
                <w:szCs w:val="24"/>
                <w:highlight w:val="none"/>
                <w:lang w:val="en-US" w:eastAsia="zh-CN"/>
              </w:rPr>
              <w:t>，厂区平面尺寸约66m×</w:t>
            </w:r>
            <w:r>
              <w:rPr>
                <w:rFonts w:hint="default" w:ascii="Times New Roman" w:hAnsi="Times New Roman" w:cs="Times New Roman"/>
                <w:smallCaps w:val="0"/>
                <w:color w:val="auto"/>
                <w:spacing w:val="0"/>
                <w:position w:val="0"/>
                <w:sz w:val="24"/>
                <w:szCs w:val="24"/>
                <w:highlight w:val="none"/>
                <w:lang w:val="en-US" w:eastAsia="zh-CN"/>
              </w:rPr>
              <w:t>55</w:t>
            </w:r>
            <w:r>
              <w:rPr>
                <w:rFonts w:hint="default" w:ascii="Times New Roman" w:hAnsi="Times New Roman" w:eastAsia="宋体" w:cs="Times New Roman"/>
                <w:smallCaps w:val="0"/>
                <w:color w:val="auto"/>
                <w:spacing w:val="0"/>
                <w:position w:val="0"/>
                <w:sz w:val="24"/>
                <w:szCs w:val="24"/>
                <w:highlight w:val="none"/>
                <w:lang w:val="en-US" w:eastAsia="zh-CN"/>
              </w:rPr>
              <w:t>m，</w:t>
            </w:r>
            <w:r>
              <w:rPr>
                <w:rFonts w:hint="default" w:ascii="Times New Roman" w:hAnsi="Times New Roman" w:cs="Times New Roman"/>
                <w:smallCaps w:val="0"/>
                <w:color w:val="auto"/>
                <w:spacing w:val="0"/>
                <w:position w:val="0"/>
                <w:sz w:val="24"/>
                <w:szCs w:val="24"/>
                <w:highlight w:val="none"/>
                <w:lang w:val="en-US" w:eastAsia="zh-CN"/>
              </w:rPr>
              <w:t>呈L型，</w:t>
            </w:r>
            <w:r>
              <w:rPr>
                <w:rFonts w:hint="default" w:ascii="Times New Roman" w:hAnsi="Times New Roman" w:eastAsia="宋体" w:cs="Times New Roman"/>
                <w:smallCaps w:val="0"/>
                <w:color w:val="auto"/>
                <w:spacing w:val="0"/>
                <w:position w:val="0"/>
                <w:sz w:val="24"/>
                <w:szCs w:val="24"/>
                <w:highlight w:val="none"/>
                <w:lang w:val="en-US" w:eastAsia="zh-CN"/>
              </w:rPr>
              <w:t>按功能划分为A区（1900</w:t>
            </w:r>
            <w:r>
              <w:rPr>
                <w:rFonts w:hint="default" w:ascii="Times New Roman" w:hAnsi="Times New Roman" w:cs="Times New Roman"/>
                <w:smallCaps w:val="0"/>
                <w:color w:val="auto"/>
                <w:spacing w:val="0"/>
                <w:position w:val="0"/>
                <w:sz w:val="24"/>
                <w:szCs w:val="24"/>
                <w:highlight w:val="none"/>
                <w:lang w:val="en-US" w:eastAsia="zh-CN"/>
              </w:rPr>
              <w:t>m</w:t>
            </w:r>
            <w:r>
              <w:rPr>
                <w:rFonts w:hint="default" w:ascii="Times New Roman" w:hAnsi="Times New Roman" w:cs="Times New Roman"/>
                <w:smallCaps w:val="0"/>
                <w:color w:val="auto"/>
                <w:spacing w:val="0"/>
                <w:position w:val="0"/>
                <w:sz w:val="24"/>
                <w:szCs w:val="24"/>
                <w:highlight w:val="none"/>
                <w:vertAlign w:val="superscript"/>
                <w:lang w:val="en-US" w:eastAsia="zh-CN"/>
              </w:rPr>
              <w:t>2</w:t>
            </w:r>
            <w:r>
              <w:rPr>
                <w:rFonts w:hint="default" w:ascii="Times New Roman" w:hAnsi="Times New Roman" w:eastAsia="宋体" w:cs="Times New Roman"/>
                <w:smallCaps w:val="0"/>
                <w:color w:val="auto"/>
                <w:spacing w:val="0"/>
                <w:position w:val="0"/>
                <w:sz w:val="24"/>
                <w:szCs w:val="24"/>
                <w:highlight w:val="none"/>
                <w:lang w:val="en-US" w:eastAsia="zh-CN"/>
              </w:rPr>
              <w:t>，喷涂、固化、抛丸、喷砂等主要生产区域）、B区（1600</w:t>
            </w:r>
            <w:r>
              <w:rPr>
                <w:rFonts w:hint="default" w:ascii="Times New Roman" w:hAnsi="Times New Roman" w:cs="Times New Roman"/>
                <w:smallCaps w:val="0"/>
                <w:color w:val="auto"/>
                <w:spacing w:val="0"/>
                <w:position w:val="0"/>
                <w:sz w:val="24"/>
                <w:szCs w:val="24"/>
                <w:highlight w:val="none"/>
                <w:lang w:val="en-US" w:eastAsia="zh-CN"/>
              </w:rPr>
              <w:t>m</w:t>
            </w:r>
            <w:r>
              <w:rPr>
                <w:rFonts w:hint="default" w:ascii="Times New Roman" w:hAnsi="Times New Roman" w:cs="Times New Roman"/>
                <w:smallCaps w:val="0"/>
                <w:color w:val="auto"/>
                <w:spacing w:val="0"/>
                <w:position w:val="0"/>
                <w:sz w:val="24"/>
                <w:szCs w:val="24"/>
                <w:highlight w:val="none"/>
                <w:vertAlign w:val="superscript"/>
                <w:lang w:val="en-US" w:eastAsia="zh-CN"/>
              </w:rPr>
              <w:t>2</w:t>
            </w:r>
            <w:r>
              <w:rPr>
                <w:rFonts w:hint="default" w:ascii="Times New Roman" w:hAnsi="Times New Roman" w:eastAsia="宋体" w:cs="Times New Roman"/>
                <w:smallCaps w:val="0"/>
                <w:color w:val="auto"/>
                <w:spacing w:val="0"/>
                <w:position w:val="0"/>
                <w:sz w:val="24"/>
                <w:szCs w:val="24"/>
                <w:highlight w:val="none"/>
                <w:lang w:val="en-US" w:eastAsia="zh-CN"/>
              </w:rPr>
              <w:t>，流水线辊道、上件下件、立式抛丸机</w:t>
            </w:r>
            <w:r>
              <w:rPr>
                <w:rFonts w:hint="default" w:ascii="Times New Roman" w:hAnsi="Times New Roman" w:cs="Times New Roman"/>
                <w:smallCaps w:val="0"/>
                <w:color w:val="auto"/>
                <w:spacing w:val="0"/>
                <w:position w:val="0"/>
                <w:sz w:val="24"/>
                <w:szCs w:val="24"/>
                <w:highlight w:val="none"/>
                <w:lang w:val="en-US" w:eastAsia="zh-CN"/>
              </w:rPr>
              <w:t>、电泳线</w:t>
            </w:r>
            <w:r>
              <w:rPr>
                <w:rFonts w:hint="default" w:ascii="Times New Roman" w:hAnsi="Times New Roman" w:eastAsia="宋体" w:cs="Times New Roman"/>
                <w:smallCaps w:val="0"/>
                <w:color w:val="auto"/>
                <w:spacing w:val="0"/>
                <w:position w:val="0"/>
                <w:sz w:val="24"/>
                <w:szCs w:val="24"/>
                <w:highlight w:val="none"/>
                <w:lang w:val="en-US" w:eastAsia="zh-CN"/>
              </w:rPr>
              <w:t>）、C区（400</w:t>
            </w:r>
            <w:r>
              <w:rPr>
                <w:rFonts w:hint="default" w:ascii="Times New Roman" w:hAnsi="Times New Roman" w:cs="Times New Roman"/>
                <w:smallCaps w:val="0"/>
                <w:color w:val="auto"/>
                <w:spacing w:val="0"/>
                <w:position w:val="0"/>
                <w:sz w:val="24"/>
                <w:szCs w:val="24"/>
                <w:highlight w:val="none"/>
                <w:lang w:val="en-US" w:eastAsia="zh-CN"/>
              </w:rPr>
              <w:t>m</w:t>
            </w:r>
            <w:r>
              <w:rPr>
                <w:rFonts w:hint="default" w:ascii="Times New Roman" w:hAnsi="Times New Roman" w:cs="Times New Roman"/>
                <w:smallCaps w:val="0"/>
                <w:color w:val="auto"/>
                <w:spacing w:val="0"/>
                <w:position w:val="0"/>
                <w:sz w:val="24"/>
                <w:szCs w:val="24"/>
                <w:highlight w:val="none"/>
                <w:vertAlign w:val="superscript"/>
                <w:lang w:val="en-US" w:eastAsia="zh-CN"/>
              </w:rPr>
              <w:t>2</w:t>
            </w:r>
            <w:r>
              <w:rPr>
                <w:rFonts w:hint="default" w:ascii="Times New Roman" w:hAnsi="Times New Roman" w:eastAsia="宋体" w:cs="Times New Roman"/>
                <w:smallCaps w:val="0"/>
                <w:color w:val="auto"/>
                <w:spacing w:val="0"/>
                <w:position w:val="0"/>
                <w:sz w:val="24"/>
                <w:szCs w:val="24"/>
                <w:highlight w:val="none"/>
                <w:lang w:val="en-US" w:eastAsia="zh-CN"/>
              </w:rPr>
              <w:t>，危废间、库房、打磨室）。生产车间按工艺流程顺序布置，原料区、成品区紧邻生产区，危废间独立设置于C区，废气治理设施（布袋除尘器、</w:t>
            </w:r>
            <w:r>
              <w:rPr>
                <w:rFonts w:hint="default" w:ascii="Times New Roman" w:hAnsi="Times New Roman" w:cs="Times New Roman"/>
                <w:smallCaps w:val="0"/>
                <w:color w:val="auto"/>
                <w:spacing w:val="0"/>
                <w:position w:val="0"/>
                <w:sz w:val="24"/>
                <w:szCs w:val="24"/>
                <w:highlight w:val="none"/>
                <w:lang w:val="en-US" w:eastAsia="zh-CN"/>
              </w:rPr>
              <w:t>旋风除尘</w:t>
            </w:r>
            <w:r>
              <w:rPr>
                <w:rFonts w:hint="default" w:ascii="Times New Roman" w:hAnsi="Times New Roman" w:eastAsia="宋体" w:cs="Times New Roman"/>
                <w:smallCaps w:val="0"/>
                <w:color w:val="auto"/>
                <w:spacing w:val="0"/>
                <w:position w:val="0"/>
                <w:sz w:val="24"/>
                <w:szCs w:val="24"/>
                <w:highlight w:val="none"/>
                <w:lang w:val="en-US" w:eastAsia="zh-CN"/>
              </w:rPr>
              <w:t>+</w:t>
            </w:r>
            <w:r>
              <w:rPr>
                <w:rFonts w:hint="default" w:ascii="Times New Roman" w:hAnsi="Times New Roman" w:cs="Times New Roman"/>
                <w:smallCaps w:val="0"/>
                <w:color w:val="auto"/>
                <w:spacing w:val="0"/>
                <w:position w:val="0"/>
                <w:sz w:val="24"/>
                <w:szCs w:val="24"/>
                <w:highlight w:val="none"/>
                <w:lang w:val="en-US" w:eastAsia="zh-CN"/>
              </w:rPr>
              <w:t>滤筒除尘</w:t>
            </w:r>
            <w:r>
              <w:rPr>
                <w:rFonts w:hint="default" w:ascii="Times New Roman" w:hAnsi="Times New Roman" w:eastAsia="宋体" w:cs="Times New Roman"/>
                <w:smallCaps w:val="0"/>
                <w:color w:val="auto"/>
                <w:spacing w:val="0"/>
                <w:position w:val="0"/>
                <w:sz w:val="24"/>
                <w:szCs w:val="24"/>
                <w:highlight w:val="none"/>
                <w:lang w:val="en-US" w:eastAsia="zh-CN"/>
              </w:rPr>
              <w:t>回收系统、</w:t>
            </w:r>
            <w:r>
              <w:rPr>
                <w:rFonts w:hint="default" w:ascii="Times New Roman" w:hAnsi="Times New Roman" w:cs="Times New Roman"/>
                <w:smallCaps w:val="0"/>
                <w:color w:val="auto"/>
                <w:spacing w:val="0"/>
                <w:position w:val="0"/>
                <w:sz w:val="24"/>
                <w:szCs w:val="24"/>
                <w:highlight w:val="none"/>
                <w:lang w:val="en-US" w:eastAsia="zh-CN"/>
              </w:rPr>
              <w:t>二级</w:t>
            </w:r>
            <w:r>
              <w:rPr>
                <w:rFonts w:hint="default" w:ascii="Times New Roman" w:hAnsi="Times New Roman" w:eastAsia="宋体" w:cs="Times New Roman"/>
                <w:smallCaps w:val="0"/>
                <w:color w:val="auto"/>
                <w:spacing w:val="0"/>
                <w:position w:val="0"/>
                <w:sz w:val="24"/>
                <w:szCs w:val="24"/>
                <w:highlight w:val="none"/>
                <w:lang w:val="en-US" w:eastAsia="zh-CN"/>
              </w:rPr>
              <w:t>活性炭吸附装置）就近布置于产污工序旁，</w:t>
            </w:r>
            <w:r>
              <w:rPr>
                <w:rFonts w:hint="default" w:ascii="Times New Roman" w:hAnsi="Times New Roman" w:eastAsia="宋体" w:cs="Times New Roman"/>
                <w:smallCaps w:val="0"/>
                <w:color w:val="auto"/>
                <w:spacing w:val="0"/>
                <w:position w:val="0"/>
                <w:sz w:val="24"/>
                <w:szCs w:val="24"/>
                <w:highlight w:val="none"/>
                <w:lang w:val="en-US" w:eastAsia="zh-CN"/>
              </w:rPr>
              <w:t>废水处理站</w:t>
            </w:r>
            <w:r>
              <w:rPr>
                <w:rFonts w:hint="eastAsia" w:ascii="Times New Roman" w:hAnsi="Times New Roman" w:cs="Times New Roman"/>
                <w:smallCaps w:val="0"/>
                <w:color w:val="auto"/>
                <w:spacing w:val="0"/>
                <w:position w:val="0"/>
                <w:sz w:val="24"/>
                <w:szCs w:val="24"/>
                <w:highlight w:val="none"/>
                <w:lang w:val="en-US" w:eastAsia="zh-CN"/>
              </w:rPr>
              <w:t>位于</w:t>
            </w:r>
            <w:r>
              <w:rPr>
                <w:rFonts w:hint="default" w:ascii="Times New Roman" w:hAnsi="Times New Roman" w:cs="Times New Roman"/>
                <w:smallCaps w:val="0"/>
                <w:color w:val="auto"/>
                <w:spacing w:val="0"/>
                <w:position w:val="0"/>
                <w:sz w:val="24"/>
                <w:szCs w:val="24"/>
                <w:highlight w:val="none"/>
                <w:lang w:val="en-US" w:eastAsia="zh-CN"/>
              </w:rPr>
              <w:t>B区北侧</w:t>
            </w:r>
            <w:r>
              <w:rPr>
                <w:rFonts w:hint="default" w:ascii="Times New Roman" w:hAnsi="Times New Roman" w:cs="Times New Roman"/>
                <w:smallCaps w:val="0"/>
                <w:color w:val="auto"/>
                <w:spacing w:val="0"/>
                <w:position w:val="0"/>
                <w:sz w:val="24"/>
                <w:szCs w:val="24"/>
                <w:highlight w:val="none"/>
                <w:lang w:val="en-US" w:eastAsia="zh-CN"/>
              </w:rPr>
              <w:t>，</w:t>
            </w:r>
            <w:r>
              <w:rPr>
                <w:rFonts w:hint="default" w:ascii="Times New Roman" w:hAnsi="Times New Roman" w:eastAsia="宋体" w:cs="Times New Roman"/>
                <w:smallCaps w:val="0"/>
                <w:color w:val="auto"/>
                <w:spacing w:val="0"/>
                <w:position w:val="0"/>
                <w:sz w:val="24"/>
                <w:szCs w:val="24"/>
                <w:highlight w:val="none"/>
                <w:lang w:val="en-US" w:eastAsia="zh-CN"/>
              </w:rPr>
              <w:t>化粪池布设于</w:t>
            </w:r>
            <w:r>
              <w:rPr>
                <w:rFonts w:hint="default" w:ascii="Times New Roman" w:hAnsi="Times New Roman" w:cs="Times New Roman"/>
                <w:smallCaps w:val="0"/>
                <w:color w:val="auto"/>
                <w:spacing w:val="0"/>
                <w:position w:val="0"/>
                <w:sz w:val="24"/>
                <w:szCs w:val="24"/>
                <w:highlight w:val="none"/>
                <w:lang w:val="en-US" w:eastAsia="zh-CN"/>
              </w:rPr>
              <w:t>办公楼北侧</w:t>
            </w:r>
            <w:r>
              <w:rPr>
                <w:rFonts w:hint="default" w:ascii="Times New Roman" w:hAnsi="Times New Roman" w:eastAsia="宋体" w:cs="Times New Roman"/>
                <w:smallCaps w:val="0"/>
                <w:color w:val="auto"/>
                <w:spacing w:val="0"/>
                <w:position w:val="0"/>
                <w:sz w:val="24"/>
                <w:szCs w:val="24"/>
                <w:highlight w:val="none"/>
                <w:lang w:val="en-US" w:eastAsia="zh-CN"/>
              </w:rPr>
              <w:t>，总平面布置功能分区明确、物流顺畅，平面布置合理。厂区总平面布置见</w:t>
            </w:r>
            <w:r>
              <w:rPr>
                <w:rFonts w:hint="default" w:ascii="Times New Roman" w:hAnsi="Times New Roman" w:eastAsia="宋体" w:cs="Times New Roman"/>
                <w:smallCaps w:val="0"/>
                <w:color w:val="auto"/>
                <w:spacing w:val="0"/>
                <w:position w:val="0"/>
                <w:sz w:val="24"/>
                <w:szCs w:val="24"/>
                <w:highlight w:val="none"/>
                <w:lang w:val="en-US" w:eastAsia="zh-CN"/>
              </w:rPr>
              <w:t>附图</w:t>
            </w:r>
            <w:r>
              <w:rPr>
                <w:rFonts w:hint="eastAsia" w:ascii="Times New Roman" w:hAnsi="Times New Roman" w:cs="Times New Roman"/>
                <w:smallCaps w:val="0"/>
                <w:color w:val="auto"/>
                <w:spacing w:val="0"/>
                <w:position w:val="0"/>
                <w:sz w:val="24"/>
                <w:szCs w:val="24"/>
                <w:highlight w:val="none"/>
                <w:lang w:val="en-US" w:eastAsia="zh-CN"/>
              </w:rPr>
              <w:t>四</w:t>
            </w:r>
            <w:r>
              <w:rPr>
                <w:rFonts w:hint="default" w:ascii="Times New Roman" w:hAnsi="Times New Roman" w:eastAsia="宋体" w:cs="Times New Roman"/>
                <w:smallCaps w:val="0"/>
                <w:color w:val="auto"/>
                <w:spacing w:val="0"/>
                <w:position w:val="0"/>
                <w:sz w:val="24"/>
                <w:szCs w:val="24"/>
                <w:highlight w:val="none"/>
                <w:lang w:val="en-US" w:eastAsia="zh-CN"/>
              </w:rPr>
              <w:t>。</w:t>
            </w:r>
          </w:p>
          <w:p w14:paraId="7D98716F">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smallCaps w:val="0"/>
                <w:color w:val="auto"/>
                <w:spacing w:val="0"/>
                <w:position w:val="0"/>
                <w:sz w:val="24"/>
                <w:szCs w:val="24"/>
                <w:highlight w:val="none"/>
                <w:lang w:val="en-US" w:eastAsia="zh-CN"/>
              </w:rPr>
            </w:pPr>
            <w:r>
              <w:rPr>
                <w:rFonts w:hint="default" w:ascii="Times New Roman" w:hAnsi="Times New Roman" w:eastAsia="宋体" w:cs="Times New Roman"/>
                <w:smallCaps w:val="0"/>
                <w:color w:val="auto"/>
                <w:spacing w:val="0"/>
                <w:position w:val="0"/>
                <w:sz w:val="24"/>
                <w:szCs w:val="24"/>
                <w:highlight w:val="none"/>
                <w:lang w:val="en-US" w:eastAsia="zh-CN"/>
              </w:rPr>
              <w:t>综上，项目总体布置合理，满足生产要求。</w:t>
            </w:r>
          </w:p>
          <w:p w14:paraId="6A8C8CCF">
            <w:pPr>
              <w:keepNext w:val="0"/>
              <w:keepLines w:val="0"/>
              <w:suppressLineNumbers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cs="Times New Roman"/>
                <w:b w:val="0"/>
                <w:bCs w:val="0"/>
                <w:smallCaps w:val="0"/>
                <w:color w:val="auto"/>
                <w:spacing w:val="0"/>
                <w:position w:val="0"/>
                <w:sz w:val="24"/>
                <w:szCs w:val="24"/>
                <w:highlight w:val="none"/>
                <w:lang w:val="en-US" w:eastAsia="zh-CN"/>
              </w:rPr>
              <w:t>11.</w:t>
            </w:r>
            <w:r>
              <w:rPr>
                <w:rFonts w:hint="default" w:ascii="Times New Roman" w:hAnsi="Times New Roman" w:eastAsia="宋体" w:cs="Times New Roman"/>
                <w:b w:val="0"/>
                <w:bCs w:val="0"/>
                <w:smallCaps w:val="0"/>
                <w:color w:val="auto"/>
                <w:spacing w:val="0"/>
                <w:position w:val="0"/>
                <w:sz w:val="24"/>
                <w:szCs w:val="24"/>
                <w:highlight w:val="none"/>
                <w:lang w:val="en-US" w:eastAsia="zh-CN"/>
              </w:rPr>
              <w:t>工作制度、劳动定员</w:t>
            </w:r>
          </w:p>
          <w:p w14:paraId="0FF984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highlight w:val="none"/>
              </w:rPr>
            </w:pPr>
            <w:r>
              <w:rPr>
                <w:rFonts w:hint="default" w:ascii="Times New Roman" w:hAnsi="Times New Roman" w:eastAsia="宋体" w:cs="Times New Roman"/>
                <w:smallCaps w:val="0"/>
                <w:color w:val="auto"/>
                <w:spacing w:val="0"/>
                <w:position w:val="0"/>
                <w:sz w:val="24"/>
                <w:szCs w:val="24"/>
                <w:highlight w:val="none"/>
                <w:lang w:val="en-US" w:eastAsia="zh-CN"/>
              </w:rPr>
              <w:t>本项目劳动定员10人，平均年工作300天，单班制，每班工作8小时，</w:t>
            </w:r>
            <w:r>
              <w:rPr>
                <w:rFonts w:hint="default" w:ascii="Times New Roman" w:hAnsi="Times New Roman" w:cs="Times New Roman"/>
                <w:smallCaps w:val="0"/>
                <w:color w:val="auto"/>
                <w:spacing w:val="0"/>
                <w:position w:val="0"/>
                <w:sz w:val="24"/>
                <w:szCs w:val="24"/>
                <w:highlight w:val="none"/>
                <w:lang w:val="en-US" w:eastAsia="zh-CN"/>
              </w:rPr>
              <w:t>办公</w:t>
            </w:r>
            <w:r>
              <w:rPr>
                <w:rFonts w:hint="default" w:ascii="Times New Roman" w:hAnsi="Times New Roman" w:eastAsia="宋体" w:cs="Times New Roman"/>
                <w:smallCaps w:val="0"/>
                <w:color w:val="auto"/>
                <w:spacing w:val="0"/>
                <w:position w:val="0"/>
                <w:sz w:val="24"/>
                <w:szCs w:val="24"/>
                <w:highlight w:val="none"/>
                <w:lang w:val="en-US" w:eastAsia="zh-CN"/>
              </w:rPr>
              <w:t>依托租赁场地内现有</w:t>
            </w:r>
            <w:r>
              <w:rPr>
                <w:rFonts w:hint="default" w:ascii="Times New Roman" w:hAnsi="Times New Roman" w:cs="Times New Roman"/>
                <w:smallCaps w:val="0"/>
                <w:color w:val="auto"/>
                <w:spacing w:val="0"/>
                <w:position w:val="0"/>
                <w:sz w:val="24"/>
                <w:szCs w:val="24"/>
                <w:highlight w:val="none"/>
                <w:lang w:val="en-US" w:eastAsia="zh-CN"/>
              </w:rPr>
              <w:t>办公用房</w:t>
            </w:r>
            <w:r>
              <w:rPr>
                <w:rFonts w:hint="default" w:ascii="Times New Roman" w:hAnsi="Times New Roman" w:eastAsia="宋体" w:cs="Times New Roman"/>
                <w:smallCaps w:val="0"/>
                <w:color w:val="auto"/>
                <w:spacing w:val="0"/>
                <w:position w:val="0"/>
                <w:sz w:val="24"/>
                <w:szCs w:val="24"/>
                <w:highlight w:val="none"/>
                <w:lang w:val="en-US" w:eastAsia="zh-CN"/>
              </w:rPr>
              <w:t>。</w:t>
            </w:r>
          </w:p>
        </w:tc>
      </w:tr>
      <w:tr w14:paraId="729351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55" w:hRule="atLeast"/>
          <w:jc w:val="center"/>
        </w:trPr>
        <w:tc>
          <w:tcPr>
            <w:tcW w:w="946" w:type="dxa"/>
            <w:vAlign w:val="center"/>
          </w:tcPr>
          <w:p w14:paraId="43EAE717">
            <w:pPr>
              <w:pStyle w:val="29"/>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工艺流程和产排污环节</w:t>
            </w:r>
          </w:p>
        </w:tc>
        <w:tc>
          <w:tcPr>
            <w:tcW w:w="8512" w:type="dxa"/>
          </w:tcPr>
          <w:p w14:paraId="176DFEB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cs="Times New Roman"/>
                <w:b w:val="0"/>
                <w:bCs w:val="0"/>
                <w:smallCaps w:val="0"/>
                <w:color w:val="auto"/>
                <w:spacing w:val="0"/>
                <w:position w:val="0"/>
                <w:sz w:val="24"/>
                <w:szCs w:val="24"/>
                <w:highlight w:val="none"/>
                <w:lang w:val="en-US" w:eastAsia="zh-CN"/>
              </w:rPr>
              <w:t>1.</w:t>
            </w:r>
            <w:r>
              <w:rPr>
                <w:rFonts w:hint="default" w:ascii="Times New Roman" w:hAnsi="Times New Roman" w:eastAsia="宋体" w:cs="Times New Roman"/>
                <w:b w:val="0"/>
                <w:bCs w:val="0"/>
                <w:smallCaps w:val="0"/>
                <w:color w:val="auto"/>
                <w:spacing w:val="0"/>
                <w:position w:val="0"/>
                <w:sz w:val="24"/>
                <w:szCs w:val="24"/>
                <w:highlight w:val="none"/>
                <w:lang w:val="en-US" w:eastAsia="zh-CN"/>
              </w:rPr>
              <w:t>施工期</w:t>
            </w:r>
          </w:p>
          <w:p w14:paraId="23F7BC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smallCaps w:val="0"/>
                <w:color w:val="auto"/>
                <w:spacing w:val="0"/>
                <w:kern w:val="28"/>
                <w:position w:val="0"/>
                <w:sz w:val="24"/>
                <w:szCs w:val="24"/>
                <w:highlight w:val="none"/>
                <w:lang w:val="en-US" w:eastAsia="zh-CN"/>
              </w:rPr>
            </w:pPr>
            <w:r>
              <w:rPr>
                <w:rFonts w:hint="default" w:ascii="Times New Roman" w:hAnsi="Times New Roman" w:eastAsia="宋体" w:cs="Times New Roman"/>
                <w:smallCaps w:val="0"/>
                <w:color w:val="auto"/>
                <w:spacing w:val="0"/>
                <w:kern w:val="28"/>
                <w:position w:val="0"/>
                <w:sz w:val="24"/>
                <w:szCs w:val="24"/>
                <w:highlight w:val="none"/>
                <w:lang w:val="en-US" w:eastAsia="zh-CN"/>
              </w:rPr>
              <w:t>本项目租赁已建成厂房，根据现场勘查，施工期主要为装修以及生产设备和环保设备的安装，产生</w:t>
            </w:r>
            <w:r>
              <w:rPr>
                <w:rFonts w:hint="eastAsia" w:cs="Times New Roman"/>
                <w:smallCaps w:val="0"/>
                <w:color w:val="auto"/>
                <w:spacing w:val="0"/>
                <w:kern w:val="28"/>
                <w:position w:val="0"/>
                <w:sz w:val="24"/>
                <w:szCs w:val="24"/>
                <w:highlight w:val="none"/>
                <w:lang w:val="en-US" w:eastAsia="zh-CN"/>
              </w:rPr>
              <w:t>的污染</w:t>
            </w:r>
            <w:r>
              <w:rPr>
                <w:rFonts w:hint="default" w:ascii="Times New Roman" w:hAnsi="Times New Roman" w:eastAsia="宋体" w:cs="Times New Roman"/>
                <w:smallCaps w:val="0"/>
                <w:color w:val="auto"/>
                <w:spacing w:val="0"/>
                <w:kern w:val="28"/>
                <w:position w:val="0"/>
                <w:sz w:val="24"/>
                <w:szCs w:val="24"/>
                <w:highlight w:val="none"/>
                <w:lang w:val="en-US" w:eastAsia="zh-CN"/>
              </w:rPr>
              <w:t>主要为装修产生的扬尘、固废、噪声，设备安装噪声及废包装等。</w:t>
            </w:r>
          </w:p>
          <w:p w14:paraId="1615CA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smallCaps w:val="0"/>
                <w:color w:val="auto"/>
                <w:spacing w:val="0"/>
                <w:kern w:val="28"/>
                <w:position w:val="0"/>
                <w:sz w:val="24"/>
                <w:szCs w:val="24"/>
                <w:highlight w:val="none"/>
                <w:lang w:val="en-US" w:eastAsia="zh-CN"/>
              </w:rPr>
            </w:pPr>
          </w:p>
          <w:p w14:paraId="6F6381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smallCaps w:val="0"/>
                <w:color w:val="auto"/>
                <w:spacing w:val="0"/>
                <w:kern w:val="28"/>
                <w:position w:val="0"/>
                <w:sz w:val="24"/>
                <w:szCs w:val="24"/>
                <w:highlight w:val="none"/>
                <w:lang w:val="en-US" w:eastAsia="zh-CN"/>
              </w:rPr>
            </w:pPr>
          </w:p>
          <w:p w14:paraId="509919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smallCaps w:val="0"/>
                <w:color w:val="auto"/>
                <w:spacing w:val="0"/>
                <w:kern w:val="28"/>
                <w:position w:val="0"/>
                <w:sz w:val="24"/>
                <w:szCs w:val="24"/>
                <w:highlight w:val="none"/>
                <w:lang w:val="en-US" w:eastAsia="zh-CN"/>
              </w:rPr>
            </w:pPr>
          </w:p>
          <w:p w14:paraId="5C5433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smallCaps w:val="0"/>
                <w:color w:val="auto"/>
                <w:spacing w:val="0"/>
                <w:kern w:val="28"/>
                <w:position w:val="0"/>
                <w:sz w:val="24"/>
                <w:szCs w:val="24"/>
                <w:highlight w:val="none"/>
                <w:lang w:val="en-US" w:eastAsia="zh-CN"/>
              </w:rPr>
            </w:pPr>
          </w:p>
          <w:p w14:paraId="7B7DBD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smallCaps w:val="0"/>
                <w:color w:val="auto"/>
                <w:spacing w:val="0"/>
                <w:kern w:val="28"/>
                <w:position w:val="0"/>
                <w:sz w:val="24"/>
                <w:szCs w:val="24"/>
                <w:highlight w:val="none"/>
                <w:lang w:val="en-US" w:eastAsia="zh-CN"/>
              </w:rPr>
            </w:pPr>
          </w:p>
          <w:p w14:paraId="370E29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smallCaps w:val="0"/>
                <w:color w:val="auto"/>
                <w:spacing w:val="0"/>
                <w:kern w:val="28"/>
                <w:position w:val="0"/>
                <w:sz w:val="24"/>
                <w:szCs w:val="24"/>
                <w:highlight w:val="none"/>
                <w:lang w:val="en-US" w:eastAsia="zh-CN"/>
              </w:rPr>
            </w:pPr>
          </w:p>
          <w:p w14:paraId="1C979B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smallCaps w:val="0"/>
                <w:color w:val="auto"/>
                <w:spacing w:val="0"/>
                <w:kern w:val="28"/>
                <w:position w:val="0"/>
                <w:sz w:val="24"/>
                <w:szCs w:val="24"/>
                <w:highlight w:val="none"/>
                <w:lang w:val="en-US" w:eastAsia="zh-CN"/>
              </w:rPr>
            </w:pPr>
          </w:p>
          <w:p w14:paraId="016B0B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smallCaps w:val="0"/>
                <w:color w:val="auto"/>
                <w:spacing w:val="0"/>
                <w:kern w:val="28"/>
                <w:position w:val="0"/>
                <w:sz w:val="24"/>
                <w:szCs w:val="24"/>
                <w:highlight w:val="none"/>
                <w:lang w:val="en-US" w:eastAsia="zh-CN"/>
              </w:rPr>
            </w:pPr>
          </w:p>
          <w:p w14:paraId="32D5F3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mallCaps w:val="0"/>
                <w:color w:val="auto"/>
                <w:spacing w:val="0"/>
                <w:position w:val="0"/>
                <w:sz w:val="24"/>
                <w:szCs w:val="24"/>
                <w:highlight w:val="none"/>
                <w:lang w:val="en-US" w:eastAsia="zh-CN"/>
              </w:rPr>
            </w:pPr>
            <w:r>
              <w:rPr>
                <w:rFonts w:hint="default" w:ascii="Times New Roman" w:hAnsi="Times New Roman" w:cs="Times New Roman"/>
                <w:b/>
                <w:bCs/>
                <w:smallCaps w:val="0"/>
                <w:color w:val="auto"/>
                <w:spacing w:val="0"/>
                <w:position w:val="0"/>
                <w:szCs w:val="22"/>
                <w:highlight w:val="none"/>
                <w:lang w:val="en-US" w:eastAsia="zh-CN"/>
              </w:rPr>
              <w:object>
                <v:shape id="_x0000_i1026" o:spt="75" type="#_x0000_t75" style="height:287.35pt;width:171.4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14:paraId="539A3972">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smallCaps w:val="0"/>
                <w:color w:val="auto"/>
                <w:spacing w:val="0"/>
                <w:position w:val="0"/>
                <w:sz w:val="22"/>
                <w:szCs w:val="22"/>
                <w:highlight w:val="none"/>
                <w:lang w:val="en-US" w:eastAsia="zh-CN"/>
              </w:rPr>
            </w:pPr>
            <w:r>
              <w:rPr>
                <w:rFonts w:hint="default" w:ascii="Times New Roman" w:hAnsi="Times New Roman" w:eastAsia="宋体" w:cs="Times New Roman"/>
                <w:b/>
                <w:bCs/>
                <w:smallCaps w:val="0"/>
                <w:color w:val="auto"/>
                <w:spacing w:val="0"/>
                <w:position w:val="0"/>
                <w:sz w:val="22"/>
                <w:szCs w:val="22"/>
                <w:highlight w:val="none"/>
                <w:lang w:val="en-US" w:eastAsia="zh-CN"/>
              </w:rPr>
              <w:t>图2-2  施工期产排污环节</w:t>
            </w:r>
          </w:p>
          <w:p w14:paraId="47F57B8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lang w:val="en-US" w:eastAsia="zh-CN"/>
              </w:rPr>
              <w:t>2.运营期</w:t>
            </w:r>
          </w:p>
          <w:p w14:paraId="43C4F5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7" w:afterLines="50" w:afterAutospacing="0" w:line="360" w:lineRule="auto"/>
              <w:ind w:left="0" w:right="0" w:firstLine="480" w:firstLineChars="200"/>
              <w:jc w:val="both"/>
              <w:textAlignment w:val="auto"/>
              <w:rPr>
                <w:rFonts w:hint="default" w:ascii="Times New Roman" w:hAnsi="Times New Roman" w:eastAsia="宋体" w:cs="Times New Roman"/>
                <w:b w:val="0"/>
                <w:bCs w:val="0"/>
                <w:smallCaps w:val="0"/>
                <w:color w:val="auto"/>
                <w:spacing w:val="0"/>
                <w:position w:val="0"/>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lang w:val="en-US" w:eastAsia="zh-CN"/>
              </w:rPr>
              <w:t>本项目工艺流程及产污环节见下图。</w:t>
            </w:r>
          </w:p>
          <w:p w14:paraId="2B9B07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7" w:afterLines="50" w:afterAutospacing="0" w:line="360" w:lineRule="auto"/>
              <w:ind w:left="0" w:right="0" w:firstLine="482" w:firstLineChars="200"/>
              <w:jc w:val="both"/>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r>
              <w:rPr>
                <w:rFonts w:hint="default" w:ascii="Times New Roman" w:hAnsi="Times New Roman" w:eastAsia="宋体" w:cs="Times New Roman"/>
                <w:b/>
                <w:bCs/>
                <w:smallCaps w:val="0"/>
                <w:color w:val="auto"/>
                <w:spacing w:val="0"/>
                <w:position w:val="0"/>
                <w:sz w:val="24"/>
                <w:szCs w:val="24"/>
                <w:highlight w:val="none"/>
                <w:lang w:val="en-US" w:eastAsia="zh-CN"/>
              </w:rPr>
              <w:t>①</w:t>
            </w:r>
            <w:r>
              <w:rPr>
                <w:rFonts w:hint="default" w:ascii="Times New Roman" w:hAnsi="Times New Roman" w:eastAsia="宋体" w:cs="Times New Roman"/>
                <w:b/>
                <w:bCs/>
                <w:sz w:val="24"/>
                <w:highlight w:val="none"/>
              </w:rPr>
              <w:t>静电粉末喷涂生产线</w:t>
            </w:r>
            <w:r>
              <w:rPr>
                <w:rFonts w:hint="default" w:ascii="Times New Roman" w:hAnsi="Times New Roman" w:eastAsia="宋体" w:cs="Times New Roman"/>
                <w:b/>
                <w:bCs/>
                <w:smallCaps w:val="0"/>
                <w:color w:val="auto"/>
                <w:spacing w:val="0"/>
                <w:position w:val="0"/>
                <w:sz w:val="24"/>
                <w:szCs w:val="24"/>
                <w:highlight w:val="none"/>
                <w:lang w:val="en-US" w:eastAsia="zh-CN"/>
              </w:rPr>
              <w:t>工艺流程及产污环节</w:t>
            </w:r>
          </w:p>
          <w:p w14:paraId="3701A5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7" w:afterLines="50" w:afterAutospacing="0" w:line="360" w:lineRule="auto"/>
              <w:ind w:left="0" w:right="0" w:firstLine="482" w:firstLineChars="200"/>
              <w:jc w:val="both"/>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p>
          <w:p w14:paraId="75776F9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7" w:afterLines="50" w:afterAutospacing="0" w:line="360" w:lineRule="auto"/>
              <w:ind w:left="0" w:right="0" w:firstLine="482" w:firstLineChars="200"/>
              <w:jc w:val="both"/>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p>
          <w:p w14:paraId="596A3A1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7" w:afterLines="50" w:afterAutospacing="0" w:line="360" w:lineRule="auto"/>
              <w:ind w:left="0" w:right="0" w:firstLine="482" w:firstLineChars="200"/>
              <w:jc w:val="both"/>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p>
          <w:p w14:paraId="58EC59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7" w:afterLines="50" w:afterAutospacing="0" w:line="360" w:lineRule="auto"/>
              <w:ind w:left="0" w:right="0" w:firstLine="482" w:firstLineChars="200"/>
              <w:jc w:val="both"/>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p>
          <w:p w14:paraId="53E4760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7" w:afterLines="50" w:afterAutospacing="0" w:line="360" w:lineRule="auto"/>
              <w:ind w:left="0" w:right="0" w:firstLine="482" w:firstLineChars="200"/>
              <w:jc w:val="both"/>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p>
          <w:p w14:paraId="65737FE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7" w:afterLines="50" w:afterAutospacing="0" w:line="360" w:lineRule="auto"/>
              <w:ind w:left="0" w:right="0" w:firstLine="482" w:firstLineChars="200"/>
              <w:jc w:val="both"/>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p>
          <w:p w14:paraId="6DC6FAC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7" w:afterLines="50" w:afterAutospacing="0" w:line="360" w:lineRule="auto"/>
              <w:ind w:left="0" w:right="0" w:firstLine="482" w:firstLineChars="200"/>
              <w:jc w:val="both"/>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p>
          <w:p w14:paraId="25C5AA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7" w:afterLines="50" w:afterAutospacing="0" w:line="360" w:lineRule="auto"/>
              <w:ind w:left="0" w:right="0" w:firstLine="482" w:firstLineChars="200"/>
              <w:jc w:val="both"/>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p>
          <w:p w14:paraId="4BB5D08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7" w:afterLines="50" w:afterAutospacing="0" w:line="360" w:lineRule="auto"/>
              <w:ind w:left="0" w:right="0" w:firstLine="482" w:firstLineChars="200"/>
              <w:jc w:val="both"/>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p>
          <w:p w14:paraId="0DDB059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object>
                <v:shape id="_x0000_i1027" o:spt="75" type="#_x0000_t75" style="height:450.75pt;width:249.8pt;" o:ole="t" filled="f" o:preferrelative="t" stroked="f" coordsize="21600,21600">
                  <v:path/>
                  <v:fill on="f" focussize="0,0"/>
                  <v:stroke on="f"/>
                  <v:imagedata r:id="rId12" o:title=""/>
                  <o:lock v:ext="edit" aspectratio="f"/>
                  <w10:wrap type="none"/>
                  <w10:anchorlock/>
                </v:shape>
                <o:OLEObject Type="Embed" ProgID="Visio.Drawing.15" ShapeID="_x0000_i1027" DrawAspect="Content" ObjectID="_1468075727" r:id="rId11">
                  <o:LockedField>false</o:LockedField>
                </o:OLEObject>
              </w:object>
            </w:r>
          </w:p>
          <w:p w14:paraId="0481B38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图2-</w:t>
            </w:r>
            <w:r>
              <w:rPr>
                <w:rFonts w:hint="default"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rPr>
              <w:t xml:space="preserve">  </w:t>
            </w:r>
            <w:r>
              <w:rPr>
                <w:rFonts w:hint="default" w:ascii="Times New Roman" w:hAnsi="Times New Roman" w:eastAsia="宋体" w:cs="Times New Roman"/>
                <w:b/>
                <w:bCs/>
                <w:sz w:val="24"/>
                <w:highlight w:val="none"/>
              </w:rPr>
              <w:t>静电粉末喷涂生产线</w:t>
            </w:r>
            <w:r>
              <w:rPr>
                <w:rFonts w:hint="default" w:ascii="Times New Roman" w:hAnsi="Times New Roman" w:eastAsia="宋体" w:cs="Times New Roman"/>
                <w:b/>
                <w:bCs/>
                <w:color w:val="auto"/>
                <w:sz w:val="24"/>
                <w:highlight w:val="none"/>
              </w:rPr>
              <w:t>工艺流程及产污节点图</w:t>
            </w:r>
          </w:p>
          <w:p w14:paraId="2F69E2E6">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360" w:lineRule="auto"/>
              <w:ind w:left="420" w:leftChars="200" w:right="0" w:rightChars="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主要</w:t>
            </w:r>
            <w:r>
              <w:rPr>
                <w:rFonts w:hint="default" w:ascii="Times New Roman" w:hAnsi="Times New Roman" w:eastAsia="宋体" w:cs="Times New Roman"/>
                <w:color w:val="auto"/>
                <w:sz w:val="24"/>
                <w:highlight w:val="none"/>
              </w:rPr>
              <w:t>工艺流程简述：</w:t>
            </w:r>
          </w:p>
          <w:p w14:paraId="0C071055">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工件来料及检验</w:t>
            </w:r>
            <w:r>
              <w:rPr>
                <w:rStyle w:val="35"/>
                <w:rFonts w:hint="default" w:ascii="Times New Roman" w:hAnsi="Times New Roman" w:cs="Times New Roman"/>
                <w:highlight w:val="none"/>
                <w:lang w:eastAsia="zh-CN"/>
              </w:rPr>
              <w:t>：</w:t>
            </w:r>
            <w:r>
              <w:rPr>
                <w:rFonts w:hint="default" w:ascii="Times New Roman" w:hAnsi="Times New Roman" w:cs="Times New Roman"/>
                <w:highlight w:val="none"/>
              </w:rPr>
              <w:t>外购金属工件经进厂检验合格后转入涂装车间，经悬链或辊道输送进入各工序。该工序为物料暂存与转运过程，基本不产生生产性污染物，仅产生设备运转噪声及少量不合格工件。</w:t>
            </w:r>
          </w:p>
          <w:p w14:paraId="29261DBE">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抛丸预处理</w:t>
            </w:r>
            <w:r>
              <w:rPr>
                <w:rStyle w:val="35"/>
                <w:rFonts w:hint="default" w:ascii="Times New Roman" w:hAnsi="Times New Roman" w:cs="Times New Roman"/>
                <w:highlight w:val="none"/>
                <w:lang w:eastAsia="zh-CN"/>
              </w:rPr>
              <w:t>：</w:t>
            </w:r>
            <w:r>
              <w:rPr>
                <w:rFonts w:hint="default" w:ascii="Times New Roman" w:hAnsi="Times New Roman" w:cs="Times New Roman"/>
                <w:highlight w:val="none"/>
              </w:rPr>
              <w:t>工件送入密闭回转式抛丸机，依靠高速抛射的合金钢丸冲击工件表面，去除铁锈、氧化皮及焊渣。抛丸室为密闭结构，配套钢丸循环回收及粉尘收集系统。抛丸过程中产生金属粉尘及铁锈氧化皮碎屑（颗粒物），经抛丸机自带布袋除尘装置收集后排放；除尘器收集的灰渣为一般工业固体废物；抛丸机、提升机、分离器运行产生机械噪声。</w:t>
            </w:r>
          </w:p>
          <w:p w14:paraId="5FFE733A">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四合一擦洗</w:t>
            </w:r>
            <w:r>
              <w:rPr>
                <w:rFonts w:hint="default" w:ascii="Times New Roman" w:hAnsi="Times New Roman" w:cs="Times New Roman"/>
                <w:highlight w:val="none"/>
                <w:lang w:eastAsia="zh-CN"/>
              </w:rPr>
              <w:t>：</w:t>
            </w:r>
            <w:r>
              <w:rPr>
                <w:rFonts w:hint="default" w:ascii="Times New Roman" w:hAnsi="Times New Roman" w:cs="Times New Roman"/>
                <w:highlight w:val="none"/>
              </w:rPr>
              <w:t>抛丸后的工件采用四合一擦洗剂进行擦洗，在常温下一次性完成除油、除锈及磷化/陶化钝化，使工件表面形成均匀转化膜，满足粉末喷涂前处理要求。擦洗产生少量清洗废液及槽底沉渣；擦洗工序间歇进行，废擦洗剂及沉渣属危险废物（HW06/HW17类，按实际成分判定），暂存于危废间。</w:t>
            </w:r>
          </w:p>
          <w:p w14:paraId="766121B5">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工件上件</w:t>
            </w:r>
            <w:r>
              <w:rPr>
                <w:rStyle w:val="35"/>
                <w:rFonts w:hint="default" w:ascii="Times New Roman" w:hAnsi="Times New Roman" w:cs="Times New Roman"/>
                <w:highlight w:val="none"/>
                <w:lang w:eastAsia="zh-CN"/>
              </w:rPr>
              <w:t>：</w:t>
            </w:r>
            <w:r>
              <w:rPr>
                <w:rFonts w:hint="default" w:ascii="Times New Roman" w:hAnsi="Times New Roman" w:cs="Times New Roman"/>
                <w:highlight w:val="none"/>
              </w:rPr>
              <w:t>经前处理合格的工件由人工挂装至喷涂线悬挂输送链上，定位后送入喷粉室。</w:t>
            </w:r>
            <w:r>
              <w:rPr>
                <w:rFonts w:hint="default" w:ascii="Times New Roman" w:hAnsi="Times New Roman" w:cs="Times New Roman"/>
                <w:highlight w:val="none"/>
                <w:lang w:val="en-US" w:eastAsia="zh-CN"/>
              </w:rPr>
              <w:t>该过程</w:t>
            </w:r>
            <w:r>
              <w:rPr>
                <w:rFonts w:hint="default" w:ascii="Times New Roman" w:hAnsi="Times New Roman" w:cs="Times New Roman"/>
                <w:highlight w:val="none"/>
              </w:rPr>
              <w:t>主要为人工操作噪声及少量废包装（工件防护材料）。</w:t>
            </w:r>
          </w:p>
          <w:p w14:paraId="3333DC1D">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highlight w:val="none"/>
                <w:lang w:eastAsia="zh-CN"/>
              </w:rPr>
            </w:pPr>
            <w:r>
              <w:rPr>
                <w:rStyle w:val="35"/>
                <w:rFonts w:hint="default" w:ascii="Times New Roman" w:hAnsi="Times New Roman" w:cs="Times New Roman"/>
                <w:highlight w:val="none"/>
              </w:rPr>
              <w:t>静电粉末喷涂</w:t>
            </w:r>
            <w:r>
              <w:rPr>
                <w:rFonts w:hint="default" w:ascii="Times New Roman" w:hAnsi="Times New Roman" w:cs="Times New Roman"/>
                <w:highlight w:val="none"/>
                <w:lang w:eastAsia="zh-CN"/>
              </w:rPr>
              <w:t>：</w:t>
            </w:r>
            <w:r>
              <w:rPr>
                <w:rFonts w:hint="default" w:ascii="Times New Roman" w:hAnsi="Times New Roman" w:cs="Times New Roman"/>
                <w:color w:val="auto"/>
                <w:highlight w:val="none"/>
              </w:rPr>
              <w:t>工件进入封闭喷粉室，采用自动往复喷涂机为主、人工手动补喷为辅的作业方式；利用静电吸附原理使带负电的粉末涂料均匀附着于接地工件表面。喷粉室保持微负压，防止粉末外逸。喷涂过程中未附着的过喷粉末经喷粉室底部旋风</w:t>
            </w:r>
            <w:r>
              <w:rPr>
                <w:rFonts w:hint="default" w:ascii="Times New Roman" w:hAnsi="Times New Roman" w:cs="Times New Roman"/>
                <w:color w:val="auto"/>
                <w:highlight w:val="none"/>
                <w:lang w:val="en-US" w:eastAsia="zh-CN"/>
              </w:rPr>
              <w:t>除尘</w:t>
            </w:r>
            <w:r>
              <w:rPr>
                <w:rFonts w:hint="default" w:ascii="Times New Roman" w:hAnsi="Times New Roman" w:cs="Times New Roman"/>
                <w:color w:val="auto"/>
                <w:highlight w:val="none"/>
              </w:rPr>
              <w:t>器进行一级分离，分离出的粗粉返回供粉系统；尾气再经</w:t>
            </w:r>
            <w:r>
              <w:rPr>
                <w:rFonts w:hint="default" w:ascii="Times New Roman" w:hAnsi="Times New Roman" w:cs="Times New Roman"/>
                <w:color w:val="auto"/>
                <w:highlight w:val="none"/>
                <w:lang w:val="en-US" w:eastAsia="zh-CN"/>
              </w:rPr>
              <w:t>滤筒除尘器</w:t>
            </w:r>
            <w:r>
              <w:rPr>
                <w:rFonts w:hint="default" w:ascii="Times New Roman" w:hAnsi="Times New Roman" w:cs="Times New Roman"/>
                <w:color w:val="auto"/>
                <w:highlight w:val="none"/>
              </w:rPr>
              <w:t>二级过滤，截留的细粉经清灰后回用，过滤后尾气经排气筒排放。回收粉末经筛分后循环利用。滤芯定期清灰及更换时产生废滤芯</w:t>
            </w:r>
            <w:r>
              <w:rPr>
                <w:rFonts w:hint="default" w:ascii="Times New Roman" w:hAnsi="Times New Roman" w:cs="Times New Roman"/>
                <w:color w:val="auto"/>
                <w:highlight w:val="none"/>
                <w:lang w:eastAsia="zh-CN"/>
              </w:rPr>
              <w:t>。</w:t>
            </w:r>
          </w:p>
          <w:p w14:paraId="7F39F25D">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天然气高温固化</w:t>
            </w:r>
            <w:r>
              <w:rPr>
                <w:rFonts w:hint="default" w:ascii="Times New Roman" w:hAnsi="Times New Roman" w:cs="Times New Roman"/>
                <w:highlight w:val="none"/>
                <w:lang w:eastAsia="zh-CN"/>
              </w:rPr>
              <w:t>：</w:t>
            </w:r>
            <w:r>
              <w:rPr>
                <w:rFonts w:hint="default" w:ascii="Times New Roman" w:hAnsi="Times New Roman" w:cs="Times New Roman"/>
                <w:color w:val="auto"/>
                <w:highlight w:val="none"/>
              </w:rPr>
              <w:t>喷粉后的工件随悬链进入固化烘道，以天然气（低氮燃烧）为燃料直接加热，使粉末涂层在高温下熔融流平并交联固化成膜。烘道出口设排气口。  固化过程中少量有机组分及树脂分解物以 VOCs 形式随烘道废气排出；天然气燃烧</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采用低氮燃烧技术</w:t>
            </w:r>
            <w:r>
              <w:rPr>
                <w:rFonts w:hint="default" w:ascii="Times New Roman" w:hAnsi="Times New Roman" w:cs="Times New Roman"/>
                <w:highlight w:val="none"/>
                <w:lang w:eastAsia="zh-CN"/>
              </w:rPr>
              <w:t>）</w:t>
            </w:r>
            <w:r>
              <w:rPr>
                <w:rFonts w:hint="default" w:ascii="Times New Roman" w:hAnsi="Times New Roman" w:cs="Times New Roman"/>
                <w:color w:val="auto"/>
                <w:highlight w:val="none"/>
              </w:rPr>
              <w:t>产生燃烧烟气（含 NOx、SO₂及颗粒物），经DA003排气筒（与固化/烘干有机废气合并）排放；烘道风机及燃烧机产生设备噪声。</w:t>
            </w:r>
          </w:p>
          <w:p w14:paraId="4E29CFB8">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风冷降温</w:t>
            </w:r>
            <w:r>
              <w:rPr>
                <w:rFonts w:hint="default" w:ascii="Times New Roman" w:hAnsi="Times New Roman" w:cs="Times New Roman"/>
                <w:highlight w:val="none"/>
                <w:lang w:eastAsia="zh-CN"/>
              </w:rPr>
              <w:t>：</w:t>
            </w:r>
            <w:r>
              <w:rPr>
                <w:rFonts w:hint="default" w:ascii="Times New Roman" w:hAnsi="Times New Roman" w:cs="Times New Roman"/>
                <w:highlight w:val="none"/>
              </w:rPr>
              <w:t>固化后的工件从烘道出口送出，经强制风冷段（轴流风机风冷）快速冷却至室温。</w:t>
            </w:r>
            <w:r>
              <w:rPr>
                <w:rFonts w:hint="default" w:ascii="Times New Roman" w:hAnsi="Times New Roman" w:cs="Times New Roman"/>
                <w:highlight w:val="none"/>
                <w:lang w:val="en-US" w:eastAsia="zh-CN"/>
              </w:rPr>
              <w:t>该过程</w:t>
            </w:r>
            <w:r>
              <w:rPr>
                <w:rFonts w:hint="default" w:ascii="Times New Roman" w:hAnsi="Times New Roman" w:cs="Times New Roman"/>
                <w:highlight w:val="none"/>
              </w:rPr>
              <w:t>主要为轴流风机运行噪声，基本不产生其他污染物。</w:t>
            </w:r>
          </w:p>
          <w:p w14:paraId="7D42E054">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检验、下件</w:t>
            </w:r>
            <w:r>
              <w:rPr>
                <w:rFonts w:hint="default" w:ascii="Times New Roman" w:hAnsi="Times New Roman" w:cs="Times New Roman"/>
                <w:highlight w:val="none"/>
                <w:lang w:eastAsia="zh-CN"/>
              </w:rPr>
              <w:t>：</w:t>
            </w:r>
            <w:r>
              <w:rPr>
                <w:rFonts w:hint="default" w:ascii="Times New Roman" w:hAnsi="Times New Roman" w:cs="Times New Roman"/>
                <w:highlight w:val="none"/>
              </w:rPr>
              <w:t>冷却后的工件进行外观及膜厚检验，合格品下件入库，不合格品返工处理。</w:t>
            </w:r>
            <w:r>
              <w:rPr>
                <w:rFonts w:hint="default" w:ascii="Times New Roman" w:hAnsi="Times New Roman" w:cs="Times New Roman"/>
                <w:highlight w:val="none"/>
                <w:lang w:val="en-US" w:eastAsia="zh-CN"/>
              </w:rPr>
              <w:t>该过程</w:t>
            </w:r>
            <w:r>
              <w:rPr>
                <w:rFonts w:hint="default" w:ascii="Times New Roman" w:hAnsi="Times New Roman" w:cs="Times New Roman"/>
                <w:highlight w:val="none"/>
              </w:rPr>
              <w:t>产生少量不合格品及检验废样；不合格件返回前处理或返工，基本不新增污染物。</w:t>
            </w:r>
          </w:p>
          <w:p w14:paraId="1D53701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7" w:afterLines="50" w:afterAutospacing="0" w:line="360" w:lineRule="auto"/>
              <w:ind w:left="0" w:right="0" w:firstLine="482" w:firstLineChars="200"/>
              <w:jc w:val="both"/>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r>
              <w:rPr>
                <w:rFonts w:hint="default" w:ascii="Times New Roman" w:hAnsi="Times New Roman" w:eastAsia="宋体" w:cs="Times New Roman"/>
                <w:b/>
                <w:bCs/>
                <w:smallCaps w:val="0"/>
                <w:color w:val="auto"/>
                <w:spacing w:val="0"/>
                <w:position w:val="0"/>
                <w:sz w:val="24"/>
                <w:szCs w:val="24"/>
                <w:highlight w:val="none"/>
                <w:lang w:val="en-US" w:eastAsia="zh-CN"/>
              </w:rPr>
              <w:t>②</w:t>
            </w:r>
            <w:r>
              <w:rPr>
                <w:rFonts w:hint="default" w:ascii="Times New Roman" w:hAnsi="Times New Roman" w:eastAsia="宋体" w:cs="Times New Roman"/>
                <w:b/>
                <w:bCs/>
                <w:sz w:val="24"/>
                <w:highlight w:val="none"/>
              </w:rPr>
              <w:t>水性漆喷涂生产线</w:t>
            </w:r>
            <w:r>
              <w:rPr>
                <w:rFonts w:hint="default" w:ascii="Times New Roman" w:hAnsi="Times New Roman" w:eastAsia="宋体" w:cs="Times New Roman"/>
                <w:b/>
                <w:bCs/>
                <w:smallCaps w:val="0"/>
                <w:color w:val="auto"/>
                <w:spacing w:val="0"/>
                <w:position w:val="0"/>
                <w:sz w:val="24"/>
                <w:szCs w:val="24"/>
                <w:highlight w:val="none"/>
                <w:lang w:val="en-US" w:eastAsia="zh-CN"/>
              </w:rPr>
              <w:t>工艺流程及产污环节</w:t>
            </w:r>
          </w:p>
          <w:p w14:paraId="519B4F2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Times New Roman" w:hAnsi="Times New Roman" w:cs="Times New Roman"/>
                <w:b/>
                <w:bCs/>
                <w:color w:val="auto"/>
                <w:sz w:val="24"/>
                <w:highlight w:val="none"/>
              </w:rPr>
            </w:pPr>
          </w:p>
          <w:p w14:paraId="37B6E37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object>
                <v:shape id="_x0000_i1028" o:spt="75" type="#_x0000_t75" style="height:467.25pt;width:268.5pt;" o:ole="t" filled="f" o:preferrelative="t" stroked="f" coordsize="21600,21600">
                  <v:path/>
                  <v:fill on="f" focussize="0,0"/>
                  <v:stroke on="f"/>
                  <v:imagedata r:id="rId14" o:title=""/>
                  <o:lock v:ext="edit" aspectratio="f"/>
                  <w10:wrap type="none"/>
                  <w10:anchorlock/>
                </v:shape>
                <o:OLEObject Type="Embed" ProgID="Visio.Drawing.15" ShapeID="_x0000_i1028" DrawAspect="Content" ObjectID="_1468075728" r:id="rId13">
                  <o:LockedField>false</o:LockedField>
                </o:OLEObject>
              </w:object>
            </w:r>
          </w:p>
          <w:p w14:paraId="04FB05D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图2-</w:t>
            </w:r>
            <w:r>
              <w:rPr>
                <w:rFonts w:hint="default" w:ascii="Times New Roman" w:hAnsi="Times New Roman" w:cs="Times New Roman"/>
                <w:b/>
                <w:bCs/>
                <w:color w:val="auto"/>
                <w:sz w:val="24"/>
                <w:highlight w:val="none"/>
                <w:lang w:val="en-US" w:eastAsia="zh-CN"/>
              </w:rPr>
              <w:t>4</w:t>
            </w:r>
            <w:r>
              <w:rPr>
                <w:rFonts w:hint="default" w:ascii="Times New Roman" w:hAnsi="Times New Roman" w:cs="Times New Roman"/>
                <w:b/>
                <w:bCs/>
                <w:color w:val="auto"/>
                <w:sz w:val="24"/>
                <w:highlight w:val="none"/>
              </w:rPr>
              <w:t xml:space="preserve"> </w:t>
            </w:r>
            <w:r>
              <w:rPr>
                <w:rFonts w:hint="default" w:ascii="Times New Roman" w:hAnsi="Times New Roman" w:eastAsia="宋体" w:cs="Times New Roman"/>
                <w:b/>
                <w:bCs/>
                <w:sz w:val="24"/>
                <w:highlight w:val="none"/>
              </w:rPr>
              <w:t>水性漆喷涂生产线</w:t>
            </w:r>
            <w:r>
              <w:rPr>
                <w:rFonts w:hint="default" w:ascii="Times New Roman" w:hAnsi="Times New Roman" w:cs="Times New Roman"/>
                <w:b/>
                <w:bCs/>
                <w:color w:val="auto"/>
                <w:sz w:val="24"/>
                <w:highlight w:val="none"/>
              </w:rPr>
              <w:t>工艺流程及产污节点图</w:t>
            </w:r>
          </w:p>
          <w:p w14:paraId="348C3E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主要</w:t>
            </w:r>
            <w:r>
              <w:rPr>
                <w:rFonts w:hint="default" w:ascii="Times New Roman" w:hAnsi="Times New Roman" w:cs="Times New Roman"/>
                <w:color w:val="auto"/>
                <w:sz w:val="24"/>
                <w:highlight w:val="none"/>
              </w:rPr>
              <w:t>工艺流程简述：</w:t>
            </w:r>
          </w:p>
          <w:p w14:paraId="1FD01FF4">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工件上件</w:t>
            </w:r>
            <w:r>
              <w:rPr>
                <w:rFonts w:hint="default" w:ascii="Times New Roman" w:hAnsi="Times New Roman" w:cs="Times New Roman"/>
                <w:highlight w:val="none"/>
                <w:lang w:eastAsia="zh-CN"/>
              </w:rPr>
              <w:t>：</w:t>
            </w:r>
            <w:r>
              <w:rPr>
                <w:rFonts w:hint="default" w:ascii="Times New Roman" w:hAnsi="Times New Roman" w:cs="Times New Roman"/>
                <w:highlight w:val="none"/>
              </w:rPr>
              <w:t>工件经检验合格后由人工挂装至水性漆线输送悬链，随链依次进入各工序。主要为人工操作噪声及少量废包装材料。</w:t>
            </w:r>
          </w:p>
          <w:p w14:paraId="6980B7BA">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抛丸预处理</w:t>
            </w:r>
            <w:r>
              <w:rPr>
                <w:rStyle w:val="35"/>
                <w:rFonts w:hint="default" w:ascii="Times New Roman" w:hAnsi="Times New Roman" w:cs="Times New Roman"/>
                <w:highlight w:val="none"/>
                <w:lang w:eastAsia="zh-CN"/>
              </w:rPr>
              <w:t>：</w:t>
            </w:r>
            <w:r>
              <w:rPr>
                <w:rFonts w:hint="default" w:ascii="Times New Roman" w:hAnsi="Times New Roman" w:cs="Times New Roman"/>
                <w:highlight w:val="none"/>
              </w:rPr>
              <w:t xml:space="preserve"> 工件送入密闭回转式抛丸机，依靠高速抛射的合金钢丸冲击工件表面，去除铁锈、氧化皮及焊渣。抛丸室为密闭结构，配套钢丸循环回收及粉尘收集系统。抛丸过程中产生金属粉尘及铁锈氧化皮碎屑（颗粒物），经抛丸机自带布袋除尘装置收集后排放；除尘器收集的</w:t>
            </w:r>
            <w:r>
              <w:rPr>
                <w:rFonts w:hint="eastAsia" w:ascii="Times New Roman" w:hAnsi="Times New Roman" w:cs="Times New Roman"/>
                <w:highlight w:val="none"/>
                <w:lang w:eastAsia="zh-CN"/>
              </w:rPr>
              <w:t>灰渣</w:t>
            </w:r>
            <w:r>
              <w:rPr>
                <w:rFonts w:hint="default" w:ascii="Times New Roman" w:hAnsi="Times New Roman" w:cs="Times New Roman"/>
                <w:highlight w:val="none"/>
              </w:rPr>
              <w:t>为一般工业固体废物；抛丸机、提升机、分离器运行产生机械噪声。</w:t>
            </w:r>
          </w:p>
          <w:p w14:paraId="554F7BE4">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四合一擦洗</w:t>
            </w:r>
            <w:r>
              <w:rPr>
                <w:rFonts w:hint="default" w:ascii="Times New Roman" w:hAnsi="Times New Roman" w:cs="Times New Roman"/>
                <w:highlight w:val="none"/>
                <w:lang w:eastAsia="zh-CN"/>
              </w:rPr>
              <w:t>：</w:t>
            </w:r>
            <w:r>
              <w:rPr>
                <w:rFonts w:hint="default" w:ascii="Times New Roman" w:hAnsi="Times New Roman" w:cs="Times New Roman"/>
                <w:highlight w:val="none"/>
              </w:rPr>
              <w:t>抛丸后的工件采用四合一擦洗剂进行擦洗，在常温下一次性完成除油、除锈及磷化/陶化钝化，使工件表面形成均匀转化膜，满足</w:t>
            </w:r>
            <w:r>
              <w:rPr>
                <w:rFonts w:hint="eastAsia" w:ascii="Times New Roman" w:hAnsi="Times New Roman" w:cs="Times New Roman"/>
                <w:highlight w:val="none"/>
                <w:lang w:val="en-US" w:eastAsia="zh-CN"/>
              </w:rPr>
              <w:t>水性漆</w:t>
            </w:r>
            <w:r>
              <w:rPr>
                <w:rFonts w:hint="default" w:ascii="Times New Roman" w:hAnsi="Times New Roman" w:cs="Times New Roman"/>
                <w:highlight w:val="none"/>
              </w:rPr>
              <w:t>喷涂</w:t>
            </w:r>
            <w:r>
              <w:rPr>
                <w:rFonts w:hint="default" w:ascii="Times New Roman" w:hAnsi="Times New Roman" w:cs="Times New Roman"/>
                <w:highlight w:val="none"/>
              </w:rPr>
              <w:t>前处理要求。擦洗产生少量清洗废液及槽底沉渣；擦洗工序间歇进行，废擦洗剂及沉渣属危险废物，暂存于危废间。</w:t>
            </w:r>
          </w:p>
          <w:p w14:paraId="7378E164">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水分烘干</w:t>
            </w:r>
            <w:r>
              <w:rPr>
                <w:rFonts w:hint="default" w:ascii="Times New Roman" w:hAnsi="Times New Roman" w:cs="Times New Roman"/>
                <w:highlight w:val="none"/>
                <w:lang w:val="en-US" w:eastAsia="zh-CN"/>
              </w:rPr>
              <w:t>：</w:t>
            </w:r>
            <w:r>
              <w:rPr>
                <w:rFonts w:hint="default" w:ascii="Times New Roman" w:hAnsi="Times New Roman" w:cs="Times New Roman"/>
                <w:highlight w:val="none"/>
              </w:rPr>
              <w:t>前处理后的工件先进入水分烘道，以天然气（低氮燃烧）加热蒸发工件表面及缝隙中的水分，避免残留水分影响漆膜质量。烘干废气主要为水蒸气，基本不含特征污染物；天然气炉采用直接加热，天然气燃烧（采用低氮燃烧技术）产生NOₓ、SO₂及颗粒物，经DA003排气筒（与固化/烘干有机废气合并）排放；风机噪声。</w:t>
            </w:r>
          </w:p>
          <w:p w14:paraId="3F90B0E6">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eastAsia" w:ascii="Times New Roman" w:hAnsi="Times New Roman" w:cs="Times New Roman"/>
                <w:highlight w:val="none"/>
                <w:lang w:eastAsia="zh-CN"/>
              </w:rPr>
              <w:t>工件</w:t>
            </w:r>
            <w:r>
              <w:rPr>
                <w:rFonts w:hint="default" w:ascii="Times New Roman" w:hAnsi="Times New Roman" w:cs="Times New Roman"/>
                <w:highlight w:val="none"/>
                <w:lang w:eastAsia="zh-CN"/>
              </w:rPr>
              <w:t>进入封闭喷漆室，采用混气喷涂高效涂装技术涂布水性丙烯酸漆；喷漆室采用干式</w:t>
            </w:r>
            <w:r>
              <w:rPr>
                <w:rFonts w:hint="default" w:ascii="Times New Roman" w:hAnsi="Times New Roman" w:cs="Times New Roman"/>
                <w:highlight w:val="none"/>
                <w:lang w:val="en-US" w:eastAsia="zh-CN"/>
              </w:rPr>
              <w:t>纸盒</w:t>
            </w:r>
            <w:r>
              <w:rPr>
                <w:rFonts w:hint="default" w:ascii="Times New Roman" w:hAnsi="Times New Roman" w:cs="Times New Roman"/>
                <w:highlight w:val="none"/>
                <w:lang w:eastAsia="zh-CN"/>
              </w:rPr>
              <w:t>过滤方式捕集过喷漆雾，室内保持微负压。喷涂产生含漆雾及VOCs的有机废气，经干式纸盒过滤漆雾后进入</w:t>
            </w:r>
            <w:r>
              <w:rPr>
                <w:rFonts w:hint="eastAsia" w:ascii="Times New Roman" w:hAnsi="Times New Roman" w:cs="Times New Roman"/>
                <w:highlight w:val="none"/>
                <w:lang w:eastAsia="zh-CN"/>
              </w:rPr>
              <w:t>“</w:t>
            </w:r>
            <w:r>
              <w:rPr>
                <w:rFonts w:hint="default" w:ascii="Times New Roman" w:hAnsi="Times New Roman" w:cs="Times New Roman"/>
                <w:highlight w:val="none"/>
                <w:lang w:eastAsia="zh-CN"/>
              </w:rPr>
              <w:t>干式过滤+二级活性炭吸附</w:t>
            </w:r>
            <w:r>
              <w:rPr>
                <w:rFonts w:hint="eastAsia" w:ascii="Times New Roman" w:hAnsi="Times New Roman" w:cs="Times New Roman"/>
                <w:highlight w:val="none"/>
                <w:lang w:eastAsia="zh-CN"/>
              </w:rPr>
              <w:t>”</w:t>
            </w:r>
            <w:r>
              <w:rPr>
                <w:rFonts w:hint="default" w:ascii="Times New Roman" w:hAnsi="Times New Roman" w:cs="Times New Roman"/>
                <w:highlight w:val="none"/>
                <w:lang w:eastAsia="zh-CN"/>
              </w:rPr>
              <w:t>装置处理；干式纸盒定期更换产生废纸盒（危险废物）；喷漆室排风机噪声。</w:t>
            </w:r>
          </w:p>
          <w:p w14:paraId="60EBBF01">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流平</w:t>
            </w:r>
            <w:r>
              <w:rPr>
                <w:rFonts w:hint="default" w:ascii="Times New Roman" w:hAnsi="Times New Roman" w:cs="Times New Roman"/>
                <w:highlight w:val="none"/>
                <w:lang w:eastAsia="zh-CN"/>
              </w:rPr>
              <w:t>：</w:t>
            </w:r>
            <w:r>
              <w:rPr>
                <w:rFonts w:hint="default" w:ascii="Times New Roman" w:hAnsi="Times New Roman" w:cs="Times New Roman"/>
                <w:highlight w:val="none"/>
              </w:rPr>
              <w:t>喷涂后的工件进入流平段静置，使湿漆膜在重力及流平作用下均匀展平，消除喷涂痕迹，同时使部分水分及低沸点助剂挥发。流平过程中挥发少量 VOCs 及水蒸气，并入喷漆室/流平段废气收集系统处理。</w:t>
            </w:r>
          </w:p>
          <w:p w14:paraId="745C6553">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天然气烘干固化</w:t>
            </w:r>
            <w:r>
              <w:rPr>
                <w:rFonts w:hint="default" w:ascii="Times New Roman" w:hAnsi="Times New Roman" w:cs="Times New Roman"/>
                <w:highlight w:val="none"/>
                <w:lang w:eastAsia="zh-CN"/>
              </w:rPr>
              <w:t>：</w:t>
            </w:r>
            <w:r>
              <w:rPr>
                <w:rFonts w:hint="default" w:ascii="Times New Roman" w:hAnsi="Times New Roman" w:cs="Times New Roman"/>
                <w:highlight w:val="none"/>
              </w:rPr>
              <w:t>流平后的工件进入烘干烘道，以天然气加热使漆膜脱水、交联固化成膜。烘干过程中树脂及助剂挥发产生 VOCs 有机废气，经废</w:t>
            </w:r>
            <w:r>
              <w:rPr>
                <w:rFonts w:hint="default" w:ascii="Times New Roman" w:hAnsi="Times New Roman" w:cs="Times New Roman"/>
                <w:highlight w:val="none"/>
                <w:lang w:eastAsia="zh-CN"/>
              </w:rPr>
              <w:t>二级活性炭吸附</w:t>
            </w:r>
            <w:r>
              <w:rPr>
                <w:rFonts w:hint="default" w:ascii="Times New Roman" w:hAnsi="Times New Roman" w:cs="Times New Roman"/>
                <w:highlight w:val="none"/>
              </w:rPr>
              <w:t>处理后</w:t>
            </w:r>
            <w:r>
              <w:rPr>
                <w:rFonts w:hint="default" w:ascii="Times New Roman" w:hAnsi="Times New Roman" w:cs="Times New Roman"/>
                <w:highlight w:val="none"/>
                <w:lang w:val="en-US" w:eastAsia="zh-CN"/>
              </w:rPr>
              <w:t>经15m排气筒</w:t>
            </w:r>
            <w:r>
              <w:rPr>
                <w:rFonts w:hint="default" w:ascii="Times New Roman" w:hAnsi="Times New Roman" w:cs="Times New Roman"/>
                <w:highlight w:val="none"/>
              </w:rPr>
              <w:t>排放；天然气炉采用直接加热，天然气燃烧（采用低氮燃烧技术）烟气（NOₓ、SO₂、颗粒物）经DA003排气筒（与固化/烘干有机废气合并）排放；烘道风机噪声。</w:t>
            </w:r>
          </w:p>
          <w:p w14:paraId="1C3C3F35">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风冷降温</w:t>
            </w:r>
            <w:r>
              <w:rPr>
                <w:rFonts w:hint="default" w:ascii="Times New Roman" w:hAnsi="Times New Roman" w:cs="Times New Roman"/>
                <w:highlight w:val="none"/>
                <w:lang w:eastAsia="zh-CN"/>
              </w:rPr>
              <w:t>：</w:t>
            </w:r>
            <w:r>
              <w:rPr>
                <w:rFonts w:hint="default" w:ascii="Times New Roman" w:hAnsi="Times New Roman" w:cs="Times New Roman"/>
                <w:highlight w:val="none"/>
              </w:rPr>
              <w:t>固化后的工件经风冷段冷却至室温，防止高温</w:t>
            </w:r>
            <w:r>
              <w:rPr>
                <w:rFonts w:hint="eastAsia" w:ascii="Times New Roman" w:hAnsi="Times New Roman" w:cs="Times New Roman"/>
                <w:highlight w:val="none"/>
                <w:lang w:eastAsia="zh-CN"/>
              </w:rPr>
              <w:t>下</w:t>
            </w:r>
            <w:r>
              <w:rPr>
                <w:rFonts w:hint="default" w:ascii="Times New Roman" w:hAnsi="Times New Roman" w:cs="Times New Roman"/>
                <w:highlight w:val="none"/>
              </w:rPr>
              <w:t>造成人员烫伤及漆膜损伤。主要为风冷轴流风机噪声。</w:t>
            </w:r>
          </w:p>
          <w:p w14:paraId="7CF91A9B">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检验、下件</w:t>
            </w:r>
            <w:r>
              <w:rPr>
                <w:rStyle w:val="35"/>
                <w:rFonts w:hint="eastAsia" w:ascii="Times New Roman" w:hAnsi="Times New Roman" w:cs="Times New Roman"/>
                <w:highlight w:val="none"/>
                <w:lang w:eastAsia="zh-CN"/>
              </w:rPr>
              <w:t>：</w:t>
            </w:r>
            <w:r>
              <w:rPr>
                <w:rFonts w:hint="default" w:ascii="Times New Roman" w:hAnsi="Times New Roman" w:cs="Times New Roman"/>
                <w:highlight w:val="none"/>
              </w:rPr>
              <w:t>冷却后工件进行外观、色差及膜厚检验，合格品下件入库，不合格品返工。少量不合格品及废检验样</w:t>
            </w:r>
            <w:r>
              <w:rPr>
                <w:rFonts w:hint="eastAsia" w:ascii="Times New Roman" w:hAnsi="Times New Roman" w:cs="Times New Roman"/>
                <w:highlight w:val="none"/>
                <w:lang w:eastAsia="zh-CN"/>
              </w:rPr>
              <w:t>，</w:t>
            </w:r>
            <w:r>
              <w:rPr>
                <w:rFonts w:hint="default" w:ascii="Times New Roman" w:hAnsi="Times New Roman" w:cs="Times New Roman"/>
                <w:highlight w:val="none"/>
              </w:rPr>
              <w:t>不合格漆膜经打磨后补喷或返工。</w:t>
            </w:r>
          </w:p>
          <w:p w14:paraId="4344467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③阴极电泳生产线</w:t>
            </w:r>
          </w:p>
          <w:p w14:paraId="38725258">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object>
                <v:shape id="_x0000_i1029" o:spt="75" type="#_x0000_t75" style="height:394.5pt;width:236.25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p>
          <w:p w14:paraId="65818ED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图2-</w:t>
            </w:r>
            <w:r>
              <w:rPr>
                <w:rFonts w:hint="default" w:ascii="Times New Roman" w:hAnsi="Times New Roman" w:cs="Times New Roman"/>
                <w:b/>
                <w:bCs/>
                <w:color w:val="auto"/>
                <w:sz w:val="24"/>
                <w:highlight w:val="none"/>
                <w:lang w:val="en-US" w:eastAsia="zh-CN"/>
              </w:rPr>
              <w:t>5</w:t>
            </w:r>
            <w:r>
              <w:rPr>
                <w:rFonts w:hint="default" w:ascii="Times New Roman" w:hAnsi="Times New Roman" w:cs="Times New Roman"/>
                <w:b/>
                <w:bCs/>
                <w:color w:val="auto"/>
                <w:sz w:val="24"/>
                <w:highlight w:val="none"/>
              </w:rPr>
              <w:t xml:space="preserve"> </w:t>
            </w:r>
            <w:r>
              <w:rPr>
                <w:rFonts w:hint="default" w:ascii="Times New Roman" w:hAnsi="Times New Roman" w:eastAsia="宋体" w:cs="Times New Roman"/>
                <w:b/>
                <w:bCs/>
                <w:sz w:val="24"/>
                <w:szCs w:val="24"/>
                <w:highlight w:val="none"/>
              </w:rPr>
              <w:t>阴极电泳生产线</w:t>
            </w:r>
            <w:r>
              <w:rPr>
                <w:rFonts w:hint="default" w:ascii="Times New Roman" w:hAnsi="Times New Roman" w:cs="Times New Roman"/>
                <w:b/>
                <w:bCs/>
                <w:color w:val="auto"/>
                <w:sz w:val="24"/>
                <w:highlight w:val="none"/>
              </w:rPr>
              <w:t>工艺流程及产污节点图</w:t>
            </w:r>
          </w:p>
          <w:p w14:paraId="080BF69E">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工件上件</w:t>
            </w:r>
            <w:r>
              <w:rPr>
                <w:rStyle w:val="35"/>
                <w:rFonts w:hint="default" w:ascii="Times New Roman" w:hAnsi="Times New Roman" w:cs="Times New Roman"/>
                <w:highlight w:val="none"/>
                <w:lang w:eastAsia="zh-CN"/>
              </w:rPr>
              <w:t>：</w:t>
            </w:r>
            <w:r>
              <w:rPr>
                <w:rFonts w:hint="default" w:ascii="Times New Roman" w:hAnsi="Times New Roman" w:cs="Times New Roman"/>
                <w:highlight w:val="none"/>
              </w:rPr>
              <w:t>工件由人工挂装至电泳线悬挂输送链。该过程主要为人工操作噪声及少量废包装材料。</w:t>
            </w:r>
          </w:p>
          <w:p w14:paraId="65AE3599">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喷淋前处理—除油</w:t>
            </w:r>
            <w:r>
              <w:rPr>
                <w:rFonts w:hint="default" w:ascii="Times New Roman" w:hAnsi="Times New Roman" w:cs="Times New Roman"/>
                <w:highlight w:val="none"/>
                <w:lang w:eastAsia="zh-CN"/>
              </w:rPr>
              <w:t>：</w:t>
            </w:r>
            <w:r>
              <w:rPr>
                <w:rFonts w:hint="default" w:ascii="Times New Roman" w:hAnsi="Times New Roman" w:cs="Times New Roman"/>
                <w:highlight w:val="none"/>
              </w:rPr>
              <w:t>工件进入喷淋式前处理段，采用碱性除油剂喷淋去除工件表面油脂及污物，随后经多级逆流漂洗。喷淋除油产生含油、含表面活性剂的碱性清洗废水；定期排放的除油槽液及槽底油泥属危险废物；喷淋泵及风机噪声。</w:t>
            </w:r>
          </w:p>
          <w:p w14:paraId="3DA0D57B">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 xml:space="preserve"> 阴极电泳涂装</w:t>
            </w:r>
            <w:r>
              <w:rPr>
                <w:rFonts w:hint="default" w:ascii="Times New Roman" w:hAnsi="Times New Roman" w:cs="Times New Roman"/>
                <w:highlight w:val="none"/>
                <w:lang w:eastAsia="zh-CN"/>
              </w:rPr>
              <w:t>：</w:t>
            </w:r>
            <w:r>
              <w:rPr>
                <w:rFonts w:hint="default" w:ascii="Times New Roman" w:hAnsi="Times New Roman" w:cs="Times New Roman"/>
                <w:highlight w:val="none"/>
              </w:rPr>
              <w:t>工件浸入电泳槽，作为阴极在电场作用下使阳离子型电泳树脂沉积于工件表面形成均匀涂膜；电泳槽液持续循环过滤并恒温控制。电泳槽液定期更新产生废电泳漆槽液（危险废物，HW12 类）；电泳过程基本不产生废气；循环泵、整流设备产生噪声。</w:t>
            </w:r>
          </w:p>
          <w:p w14:paraId="6186B551">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 xml:space="preserve"> 超滤逆流回收水洗</w:t>
            </w:r>
            <w:r>
              <w:rPr>
                <w:rFonts w:hint="default" w:ascii="Times New Roman" w:hAnsi="Times New Roman" w:cs="Times New Roman"/>
                <w:highlight w:val="none"/>
                <w:lang w:eastAsia="zh-CN"/>
              </w:rPr>
              <w:t>：</w:t>
            </w:r>
            <w:r>
              <w:rPr>
                <w:rFonts w:hint="default" w:ascii="Times New Roman" w:hAnsi="Times New Roman" w:cs="Times New Roman"/>
                <w:highlight w:val="none"/>
              </w:rPr>
              <w:t>电泳出槽工件经超滤液（UF）多级逆流喷淋水洗，回收工件表面带出的电泳漆并返回电泳槽，提高漆料利用率。超滤水洗定期排放少量浓水，属含电泳漆生产废水；超滤膜定期更换产生废超滤膜。</w:t>
            </w:r>
          </w:p>
          <w:p w14:paraId="5EE66789">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纯水精洗</w:t>
            </w:r>
            <w:r>
              <w:rPr>
                <w:rStyle w:val="35"/>
                <w:rFonts w:hint="default" w:ascii="Times New Roman" w:hAnsi="Times New Roman" w:cs="Times New Roman"/>
                <w:highlight w:val="none"/>
                <w:lang w:eastAsia="zh-CN"/>
              </w:rPr>
              <w:t>：</w:t>
            </w:r>
            <w:r>
              <w:rPr>
                <w:rFonts w:hint="default" w:ascii="Times New Roman" w:hAnsi="Times New Roman" w:cs="Times New Roman"/>
                <w:highlight w:val="none"/>
              </w:rPr>
              <w:t>工件再经去离子纯水精洗，去除表面浮漆及残留离子，确保烘干后漆膜质量。纯水由反渗透（RO）+ 离子交换装置制备。 纯水制备产生浓水（含盐废水）；精洗排水并入生产废水处理系统；废离子交换树脂定期更换。</w:t>
            </w:r>
          </w:p>
          <w:p w14:paraId="0ABBC886">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电泳烘干固化</w:t>
            </w:r>
            <w:r>
              <w:rPr>
                <w:rFonts w:hint="default" w:ascii="Times New Roman" w:hAnsi="Times New Roman" w:cs="Times New Roman"/>
                <w:highlight w:val="none"/>
                <w:lang w:eastAsia="zh-CN"/>
              </w:rPr>
              <w:t>：</w:t>
            </w:r>
            <w:r>
              <w:rPr>
                <w:rFonts w:hint="default" w:ascii="Times New Roman" w:hAnsi="Times New Roman" w:cs="Times New Roman"/>
                <w:color w:val="auto"/>
                <w:highlight w:val="none"/>
              </w:rPr>
              <w:t>工件进入电泳烘干烘道，以天然气（低氮燃烧）加热使电泳漆膜交联固化。</w:t>
            </w:r>
            <w:r>
              <w:rPr>
                <w:rFonts w:hint="default" w:ascii="Times New Roman" w:hAnsi="Times New Roman" w:cs="Times New Roman"/>
                <w:highlight w:val="none"/>
              </w:rPr>
              <w:t>烘干过程中少量树脂及助剂挥发产生 VOCs 有机废气；天然气炉采用直接加热，天然气燃烧产生NOₓ、SO₂及颗粒物，燃烧废气经DA003排气筒（与固化/烘干有机废气合并）排放；烘道风机噪声。</w:t>
            </w:r>
          </w:p>
          <w:p w14:paraId="456FD6E8">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冷却</w:t>
            </w:r>
            <w:r>
              <w:rPr>
                <w:rFonts w:hint="default" w:ascii="Times New Roman" w:hAnsi="Times New Roman" w:cs="Times New Roman"/>
                <w:highlight w:val="none"/>
                <w:lang w:eastAsia="zh-CN"/>
              </w:rPr>
              <w:t>：</w:t>
            </w:r>
            <w:r>
              <w:rPr>
                <w:rFonts w:hint="default" w:ascii="Times New Roman" w:hAnsi="Times New Roman" w:cs="Times New Roman"/>
                <w:highlight w:val="none"/>
              </w:rPr>
              <w:t>固化后的工件经风冷段冷却至室温。主要为风冷风机噪声。</w:t>
            </w:r>
          </w:p>
          <w:p w14:paraId="0D2892EC">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highlight w:val="none"/>
              </w:rPr>
            </w:pPr>
            <w:r>
              <w:rPr>
                <w:rStyle w:val="35"/>
                <w:rFonts w:hint="default" w:ascii="Times New Roman" w:hAnsi="Times New Roman" w:cs="Times New Roman"/>
                <w:highlight w:val="none"/>
              </w:rPr>
              <w:t>检验、下件</w:t>
            </w:r>
            <w:r>
              <w:rPr>
                <w:rFonts w:hint="default" w:ascii="Times New Roman" w:hAnsi="Times New Roman" w:cs="Times New Roman"/>
                <w:highlight w:val="none"/>
                <w:lang w:eastAsia="zh-CN"/>
              </w:rPr>
              <w:t>：</w:t>
            </w:r>
            <w:r>
              <w:rPr>
                <w:rFonts w:hint="default" w:ascii="Times New Roman" w:hAnsi="Times New Roman" w:cs="Times New Roman"/>
                <w:highlight w:val="none"/>
              </w:rPr>
              <w:t>工件经检验合格后下件入库，不合格品返工。少量不合格品及废检验样。该线本期不建设，以上产排污情况已在本次环评中一并预测分析，并在总平面布置及环保设施中同步预留接口与处理能力。</w:t>
            </w:r>
          </w:p>
          <w:p w14:paraId="13688516">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smallCaps w:val="0"/>
                <w:color w:val="auto"/>
                <w:spacing w:val="0"/>
                <w:position w:val="0"/>
                <w:sz w:val="24"/>
                <w:szCs w:val="24"/>
                <w:highlight w:val="none"/>
              </w:rPr>
            </w:pPr>
            <w:r>
              <w:rPr>
                <w:rFonts w:hint="default" w:ascii="Times New Roman" w:hAnsi="Times New Roman" w:eastAsia="宋体" w:cs="Times New Roman"/>
                <w:smallCaps w:val="0"/>
                <w:color w:val="auto"/>
                <w:spacing w:val="0"/>
                <w:position w:val="0"/>
                <w:sz w:val="24"/>
                <w:szCs w:val="24"/>
                <w:highlight w:val="none"/>
              </w:rPr>
              <w:t>综上所述，本项目运营期的污染源及污染因子情况详见下表。</w:t>
            </w:r>
          </w:p>
          <w:p w14:paraId="7BE3EF65">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表2-</w:t>
            </w:r>
            <w:r>
              <w:rPr>
                <w:rFonts w:hint="default" w:ascii="Times New Roman" w:hAnsi="Times New Roman" w:cs="Times New Roman"/>
                <w:b/>
                <w:bCs/>
                <w:color w:val="auto"/>
                <w:sz w:val="24"/>
                <w:highlight w:val="none"/>
                <w:lang w:val="en-US" w:eastAsia="zh-CN"/>
              </w:rPr>
              <w:t>7</w:t>
            </w:r>
            <w:r>
              <w:rPr>
                <w:rFonts w:hint="default" w:ascii="Times New Roman" w:hAnsi="Times New Roman" w:cs="Times New Roman"/>
                <w:b/>
                <w:bCs/>
                <w:color w:val="auto"/>
                <w:sz w:val="24"/>
                <w:highlight w:val="none"/>
              </w:rPr>
              <w:t xml:space="preserve">  </w:t>
            </w:r>
            <w:r>
              <w:rPr>
                <w:rFonts w:hint="default" w:ascii="Times New Roman" w:hAnsi="Times New Roman" w:cs="Times New Roman"/>
                <w:b/>
                <w:bCs/>
                <w:color w:val="auto"/>
                <w:sz w:val="24"/>
                <w:highlight w:val="none"/>
                <w:lang w:val="en-US" w:eastAsia="zh-CN"/>
              </w:rPr>
              <w:t>项目</w:t>
            </w:r>
            <w:r>
              <w:rPr>
                <w:rFonts w:hint="default" w:ascii="Times New Roman" w:hAnsi="Times New Roman" w:cs="Times New Roman"/>
                <w:b/>
                <w:bCs/>
                <w:color w:val="auto"/>
                <w:sz w:val="24"/>
                <w:highlight w:val="none"/>
              </w:rPr>
              <w:t>产污环节一览表</w:t>
            </w:r>
          </w:p>
          <w:tbl>
            <w:tblPr>
              <w:tblStyle w:val="32"/>
              <w:tblW w:w="8358"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020"/>
              <w:gridCol w:w="850"/>
              <w:gridCol w:w="2835"/>
              <w:gridCol w:w="3653"/>
            </w:tblGrid>
            <w:tr w14:paraId="2F430CE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020" w:type="dxa"/>
                  <w:vAlign w:val="center"/>
                </w:tcPr>
                <w:p w14:paraId="0C2FD25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污染因素</w:t>
                  </w:r>
                </w:p>
              </w:tc>
              <w:tc>
                <w:tcPr>
                  <w:tcW w:w="850" w:type="dxa"/>
                  <w:vAlign w:val="center"/>
                </w:tcPr>
                <w:p w14:paraId="2A47CB5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编号</w:t>
                  </w:r>
                </w:p>
              </w:tc>
              <w:tc>
                <w:tcPr>
                  <w:tcW w:w="2835" w:type="dxa"/>
                  <w:vAlign w:val="center"/>
                </w:tcPr>
                <w:p w14:paraId="6B1952F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产污环节</w:t>
                  </w:r>
                </w:p>
              </w:tc>
              <w:tc>
                <w:tcPr>
                  <w:tcW w:w="3653" w:type="dxa"/>
                  <w:vAlign w:val="center"/>
                </w:tcPr>
                <w:p w14:paraId="0C2AF5F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污染因子</w:t>
                  </w:r>
                </w:p>
              </w:tc>
            </w:tr>
            <w:tr w14:paraId="416A07A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restart"/>
                  <w:vAlign w:val="center"/>
                </w:tcPr>
                <w:p w14:paraId="5C97F31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废气</w:t>
                  </w:r>
                </w:p>
              </w:tc>
              <w:tc>
                <w:tcPr>
                  <w:tcW w:w="850" w:type="dxa"/>
                  <w:vAlign w:val="center"/>
                </w:tcPr>
                <w:p w14:paraId="2DFD2D2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G1</w:t>
                  </w:r>
                </w:p>
              </w:tc>
              <w:tc>
                <w:tcPr>
                  <w:tcW w:w="2835" w:type="dxa"/>
                  <w:vAlign w:val="center"/>
                </w:tcPr>
                <w:p w14:paraId="122A704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抛丸预处理</w:t>
                  </w:r>
                </w:p>
              </w:tc>
              <w:tc>
                <w:tcPr>
                  <w:tcW w:w="3653" w:type="dxa"/>
                  <w:vAlign w:val="center"/>
                </w:tcPr>
                <w:p w14:paraId="781AB49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颗粒物</w:t>
                  </w:r>
                </w:p>
              </w:tc>
            </w:tr>
            <w:tr w14:paraId="0D4CBF8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18E68E0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5097306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G2</w:t>
                  </w:r>
                </w:p>
              </w:tc>
              <w:tc>
                <w:tcPr>
                  <w:tcW w:w="2835" w:type="dxa"/>
                  <w:vAlign w:val="center"/>
                </w:tcPr>
                <w:p w14:paraId="3BAE7F9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静电粉末喷涂</w:t>
                  </w:r>
                </w:p>
              </w:tc>
              <w:tc>
                <w:tcPr>
                  <w:tcW w:w="3653" w:type="dxa"/>
                  <w:vAlign w:val="center"/>
                </w:tcPr>
                <w:p w14:paraId="7B2711E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颗粒物（粉尘）</w:t>
                  </w:r>
                </w:p>
              </w:tc>
            </w:tr>
            <w:tr w14:paraId="62D5CEC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07C38B6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77C0D2E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G3</w:t>
                  </w:r>
                </w:p>
              </w:tc>
              <w:tc>
                <w:tcPr>
                  <w:tcW w:w="2835" w:type="dxa"/>
                  <w:vAlign w:val="center"/>
                </w:tcPr>
                <w:p w14:paraId="1A9832D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粉末固化</w:t>
                  </w:r>
                </w:p>
              </w:tc>
              <w:tc>
                <w:tcPr>
                  <w:tcW w:w="3653" w:type="dxa"/>
                  <w:vAlign w:val="center"/>
                </w:tcPr>
                <w:p w14:paraId="6E68B6C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非甲烷总烃</w:t>
                  </w:r>
                </w:p>
              </w:tc>
            </w:tr>
            <w:tr w14:paraId="3D5217C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4439D57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135408F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G4</w:t>
                  </w:r>
                </w:p>
              </w:tc>
              <w:tc>
                <w:tcPr>
                  <w:tcW w:w="2835" w:type="dxa"/>
                  <w:vAlign w:val="center"/>
                </w:tcPr>
                <w:p w14:paraId="029ECB4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水性漆喷涂、流平、烘干</w:t>
                  </w:r>
                </w:p>
              </w:tc>
              <w:tc>
                <w:tcPr>
                  <w:tcW w:w="3653" w:type="dxa"/>
                  <w:vAlign w:val="center"/>
                </w:tcPr>
                <w:p w14:paraId="0F04CD7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非甲烷总烃、漆雾（颗粒物）</w:t>
                  </w:r>
                </w:p>
              </w:tc>
            </w:tr>
            <w:tr w14:paraId="0433EDD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214F272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41A2117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G5</w:t>
                  </w:r>
                </w:p>
              </w:tc>
              <w:tc>
                <w:tcPr>
                  <w:tcW w:w="2835" w:type="dxa"/>
                  <w:vAlign w:val="center"/>
                </w:tcPr>
                <w:p w14:paraId="22689E2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天然气固化/烘干（燃烧）</w:t>
                  </w:r>
                </w:p>
              </w:tc>
              <w:tc>
                <w:tcPr>
                  <w:tcW w:w="3653" w:type="dxa"/>
                  <w:vAlign w:val="center"/>
                </w:tcPr>
                <w:p w14:paraId="4CEE0FF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颗粒物、SO₂、NOₓ</w:t>
                  </w:r>
                </w:p>
              </w:tc>
            </w:tr>
            <w:tr w14:paraId="5A316E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44A73B1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4B83A56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G6</w:t>
                  </w:r>
                </w:p>
              </w:tc>
              <w:tc>
                <w:tcPr>
                  <w:tcW w:w="2835" w:type="dxa"/>
                  <w:vAlign w:val="center"/>
                </w:tcPr>
                <w:p w14:paraId="7D916C0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电泳及电泳烘干（预留）</w:t>
                  </w:r>
                </w:p>
              </w:tc>
              <w:tc>
                <w:tcPr>
                  <w:tcW w:w="3653" w:type="dxa"/>
                  <w:vAlign w:val="center"/>
                </w:tcPr>
                <w:p w14:paraId="3F55FAA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非甲烷总烃</w:t>
                  </w:r>
                </w:p>
              </w:tc>
            </w:tr>
            <w:tr w14:paraId="628F4EE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restart"/>
                  <w:vAlign w:val="center"/>
                </w:tcPr>
                <w:p w14:paraId="3D5DBC5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废水</w:t>
                  </w:r>
                </w:p>
              </w:tc>
              <w:tc>
                <w:tcPr>
                  <w:tcW w:w="850" w:type="dxa"/>
                  <w:vAlign w:val="center"/>
                </w:tcPr>
                <w:p w14:paraId="1A05F0F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W1</w:t>
                  </w:r>
                </w:p>
              </w:tc>
              <w:tc>
                <w:tcPr>
                  <w:tcW w:w="2835" w:type="dxa"/>
                  <w:vAlign w:val="center"/>
                </w:tcPr>
                <w:p w14:paraId="1CD14FE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擦洗后水洗</w:t>
                  </w:r>
                </w:p>
              </w:tc>
              <w:tc>
                <w:tcPr>
                  <w:tcW w:w="3653" w:type="dxa"/>
                  <w:vAlign w:val="center"/>
                </w:tcPr>
                <w:p w14:paraId="4A0D0FF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COD、BOD₅、SS、石油类、LAS</w:t>
                  </w:r>
                </w:p>
              </w:tc>
            </w:tr>
            <w:tr w14:paraId="72FF24D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7140155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15E78C1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W2</w:t>
                  </w:r>
                </w:p>
              </w:tc>
              <w:tc>
                <w:tcPr>
                  <w:tcW w:w="2835" w:type="dxa"/>
                  <w:vAlign w:val="center"/>
                </w:tcPr>
                <w:p w14:paraId="186ADFB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纯水制备</w:t>
                  </w:r>
                </w:p>
              </w:tc>
              <w:tc>
                <w:tcPr>
                  <w:tcW w:w="3653" w:type="dxa"/>
                  <w:vAlign w:val="center"/>
                </w:tcPr>
                <w:p w14:paraId="7E720CD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SS（浓水）</w:t>
                  </w:r>
                </w:p>
              </w:tc>
            </w:tr>
            <w:tr w14:paraId="06DD599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748DBA3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2A6EE01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W3</w:t>
                  </w:r>
                </w:p>
              </w:tc>
              <w:tc>
                <w:tcPr>
                  <w:tcW w:w="2835" w:type="dxa"/>
                  <w:vAlign w:val="center"/>
                </w:tcPr>
                <w:p w14:paraId="223FCC8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职工生活</w:t>
                  </w:r>
                </w:p>
              </w:tc>
              <w:tc>
                <w:tcPr>
                  <w:tcW w:w="3653" w:type="dxa"/>
                  <w:vAlign w:val="center"/>
                </w:tcPr>
                <w:p w14:paraId="3A4E834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COD、BOD₅、SS、NH₃-N</w:t>
                  </w:r>
                </w:p>
              </w:tc>
            </w:tr>
            <w:tr w14:paraId="12896A2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Align w:val="center"/>
                </w:tcPr>
                <w:p w14:paraId="5BD3B3F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噪声</w:t>
                  </w:r>
                </w:p>
              </w:tc>
              <w:tc>
                <w:tcPr>
                  <w:tcW w:w="850" w:type="dxa"/>
                  <w:vAlign w:val="center"/>
                </w:tcPr>
                <w:p w14:paraId="3E88FE7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N</w:t>
                  </w:r>
                </w:p>
              </w:tc>
              <w:tc>
                <w:tcPr>
                  <w:tcW w:w="2835" w:type="dxa"/>
                  <w:vAlign w:val="center"/>
                </w:tcPr>
                <w:p w14:paraId="43287E3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抛丸机、风机、水泵、空压机、打磨机等</w:t>
                  </w:r>
                </w:p>
              </w:tc>
              <w:tc>
                <w:tcPr>
                  <w:tcW w:w="3653" w:type="dxa"/>
                  <w:vAlign w:val="center"/>
                </w:tcPr>
                <w:p w14:paraId="4DDC8E9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等效连续A声级</w:t>
                  </w:r>
                </w:p>
              </w:tc>
            </w:tr>
            <w:tr w14:paraId="5F218BB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restart"/>
                  <w:vAlign w:val="center"/>
                </w:tcPr>
                <w:p w14:paraId="2CCCB27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固体废物</w:t>
                  </w:r>
                </w:p>
              </w:tc>
              <w:tc>
                <w:tcPr>
                  <w:tcW w:w="850" w:type="dxa"/>
                  <w:vAlign w:val="center"/>
                </w:tcPr>
                <w:p w14:paraId="258E040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S1</w:t>
                  </w:r>
                </w:p>
              </w:tc>
              <w:tc>
                <w:tcPr>
                  <w:tcW w:w="2835" w:type="dxa"/>
                  <w:vAlign w:val="center"/>
                </w:tcPr>
                <w:p w14:paraId="1D6ECD2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b w:val="0"/>
                      <w:sz w:val="21"/>
                      <w:szCs w:val="21"/>
                      <w:highlight w:val="none"/>
                    </w:rPr>
                    <w:t>抛丸工序</w:t>
                  </w:r>
                </w:p>
              </w:tc>
              <w:tc>
                <w:tcPr>
                  <w:tcW w:w="3653" w:type="dxa"/>
                  <w:vAlign w:val="center"/>
                </w:tcPr>
                <w:p w14:paraId="3A3699A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钢渣（氧化皮、锈渣）</w:t>
                  </w:r>
                </w:p>
              </w:tc>
            </w:tr>
            <w:tr w14:paraId="4483159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002D091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20D2E5C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S2</w:t>
                  </w:r>
                </w:p>
              </w:tc>
              <w:tc>
                <w:tcPr>
                  <w:tcW w:w="2835" w:type="dxa"/>
                  <w:vAlign w:val="center"/>
                </w:tcPr>
                <w:p w14:paraId="04C476E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抛丸工序</w:t>
                  </w:r>
                </w:p>
              </w:tc>
              <w:tc>
                <w:tcPr>
                  <w:tcW w:w="3653" w:type="dxa"/>
                  <w:vAlign w:val="center"/>
                </w:tcPr>
                <w:p w14:paraId="1DFBF64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废钢丸</w:t>
                  </w:r>
                </w:p>
              </w:tc>
            </w:tr>
            <w:tr w14:paraId="3B67726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0B86130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48F06E1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sz w:val="21"/>
                      <w:szCs w:val="21"/>
                      <w:highlight w:val="none"/>
                      <w:lang w:val="en-US" w:eastAsia="zh-CN"/>
                    </w:rPr>
                  </w:pPr>
                  <w:r>
                    <w:rPr>
                      <w:rFonts w:hint="eastAsia" w:cs="Times New Roman"/>
                      <w:b w:val="0"/>
                      <w:sz w:val="21"/>
                      <w:szCs w:val="21"/>
                      <w:highlight w:val="none"/>
                      <w:lang w:val="en-US" w:eastAsia="zh-CN"/>
                    </w:rPr>
                    <w:t>S3</w:t>
                  </w:r>
                </w:p>
              </w:tc>
              <w:tc>
                <w:tcPr>
                  <w:tcW w:w="2835" w:type="dxa"/>
                  <w:vAlign w:val="center"/>
                </w:tcPr>
                <w:p w14:paraId="371A642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sz w:val="21"/>
                      <w:szCs w:val="21"/>
                      <w:highlight w:val="none"/>
                    </w:rPr>
                  </w:pPr>
                  <w:r>
                    <w:rPr>
                      <w:rFonts w:hint="default" w:ascii="Times New Roman" w:hAnsi="Times New Roman" w:eastAsia="宋体" w:cs="Times New Roman"/>
                      <w:sz w:val="24"/>
                      <w:szCs w:val="24"/>
                      <w:highlight w:val="none"/>
                    </w:rPr>
                    <w:t>抛丸布袋除尘器</w:t>
                  </w:r>
                </w:p>
              </w:tc>
              <w:tc>
                <w:tcPr>
                  <w:tcW w:w="3653" w:type="dxa"/>
                  <w:vAlign w:val="center"/>
                </w:tcPr>
                <w:p w14:paraId="4A7F899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sz w:val="21"/>
                      <w:szCs w:val="21"/>
                      <w:highlight w:val="none"/>
                    </w:rPr>
                  </w:pPr>
                  <w:r>
                    <w:rPr>
                      <w:rFonts w:hint="default" w:ascii="Times New Roman" w:hAnsi="Times New Roman" w:eastAsia="宋体" w:cs="Times New Roman"/>
                      <w:sz w:val="24"/>
                      <w:szCs w:val="24"/>
                      <w:highlight w:val="none"/>
                    </w:rPr>
                    <w:t>抛丸布袋除尘器收集粉尘</w:t>
                  </w:r>
                </w:p>
              </w:tc>
            </w:tr>
            <w:tr w14:paraId="29E59D9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6379906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3F7A0FB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S3</w:t>
                  </w:r>
                </w:p>
              </w:tc>
              <w:tc>
                <w:tcPr>
                  <w:tcW w:w="2835" w:type="dxa"/>
                  <w:vAlign w:val="center"/>
                </w:tcPr>
                <w:p w14:paraId="3E60714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喷粉回收系统</w:t>
                  </w:r>
                </w:p>
              </w:tc>
              <w:tc>
                <w:tcPr>
                  <w:tcW w:w="3653" w:type="dxa"/>
                  <w:vAlign w:val="center"/>
                </w:tcPr>
                <w:p w14:paraId="24B8936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回收粉末</w:t>
                  </w:r>
                </w:p>
              </w:tc>
            </w:tr>
            <w:tr w14:paraId="322E66F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62" w:hRule="atLeast"/>
                <w:jc w:val="center"/>
              </w:trPr>
              <w:tc>
                <w:tcPr>
                  <w:tcW w:w="1020" w:type="dxa"/>
                  <w:vMerge w:val="continue"/>
                  <w:vAlign w:val="center"/>
                </w:tcPr>
                <w:p w14:paraId="0B5A87D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4EF9B14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S4</w:t>
                  </w:r>
                </w:p>
              </w:tc>
              <w:tc>
                <w:tcPr>
                  <w:tcW w:w="2835" w:type="dxa"/>
                  <w:vAlign w:val="center"/>
                </w:tcPr>
                <w:p w14:paraId="6BA3DA3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b w:val="0"/>
                      <w:sz w:val="21"/>
                      <w:szCs w:val="21"/>
                      <w:highlight w:val="none"/>
                      <w:lang w:val="en-US" w:eastAsia="zh-CN"/>
                    </w:rPr>
                    <w:t>滤筒除尘器</w:t>
                  </w:r>
                </w:p>
              </w:tc>
              <w:tc>
                <w:tcPr>
                  <w:tcW w:w="3653" w:type="dxa"/>
                  <w:vAlign w:val="center"/>
                </w:tcPr>
                <w:p w14:paraId="52E2836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废滤芯滤筒</w:t>
                  </w:r>
                </w:p>
              </w:tc>
            </w:tr>
            <w:tr w14:paraId="1323AA9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36DF1AF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41D929F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S5</w:t>
                  </w:r>
                </w:p>
              </w:tc>
              <w:tc>
                <w:tcPr>
                  <w:tcW w:w="2835" w:type="dxa"/>
                  <w:vAlign w:val="center"/>
                </w:tcPr>
                <w:p w14:paraId="664DB96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干式纸盒、干式过滤器</w:t>
                  </w:r>
                </w:p>
              </w:tc>
              <w:tc>
                <w:tcPr>
                  <w:tcW w:w="3653" w:type="dxa"/>
                  <w:vAlign w:val="center"/>
                </w:tcPr>
                <w:p w14:paraId="744CD3C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cs="Times New Roman"/>
                      <w:b w:val="0"/>
                      <w:sz w:val="21"/>
                      <w:szCs w:val="21"/>
                      <w:highlight w:val="none"/>
                      <w:lang w:val="en-US" w:eastAsia="zh-CN"/>
                    </w:rPr>
                    <w:t>干式纸盒、</w:t>
                  </w:r>
                  <w:r>
                    <w:rPr>
                      <w:rFonts w:hint="default" w:ascii="Times New Roman" w:hAnsi="Times New Roman" w:eastAsia="宋体" w:cs="Times New Roman"/>
                      <w:b w:val="0"/>
                      <w:sz w:val="21"/>
                      <w:szCs w:val="21"/>
                      <w:highlight w:val="none"/>
                    </w:rPr>
                    <w:t>废漆渣、废过滤棉</w:t>
                  </w:r>
                </w:p>
              </w:tc>
            </w:tr>
            <w:tr w14:paraId="6A601AD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661308E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0832A19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S6</w:t>
                  </w:r>
                </w:p>
              </w:tc>
              <w:tc>
                <w:tcPr>
                  <w:tcW w:w="2835" w:type="dxa"/>
                  <w:vAlign w:val="center"/>
                </w:tcPr>
                <w:p w14:paraId="23407D1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二级活性炭吸附</w:t>
                  </w:r>
                </w:p>
              </w:tc>
              <w:tc>
                <w:tcPr>
                  <w:tcW w:w="3653" w:type="dxa"/>
                  <w:vAlign w:val="center"/>
                </w:tcPr>
                <w:p w14:paraId="75624AA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废活性炭</w:t>
                  </w:r>
                </w:p>
              </w:tc>
            </w:tr>
            <w:tr w14:paraId="102832B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4C751A3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39C36A4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S7</w:t>
                  </w:r>
                </w:p>
              </w:tc>
              <w:tc>
                <w:tcPr>
                  <w:tcW w:w="2835" w:type="dxa"/>
                  <w:vAlign w:val="center"/>
                </w:tcPr>
                <w:p w14:paraId="135C490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原辅材料使用</w:t>
                  </w:r>
                </w:p>
              </w:tc>
              <w:tc>
                <w:tcPr>
                  <w:tcW w:w="3653" w:type="dxa"/>
                  <w:vAlign w:val="center"/>
                </w:tcPr>
                <w:p w14:paraId="408B498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废化学品包装桶（袋）</w:t>
                  </w:r>
                </w:p>
              </w:tc>
            </w:tr>
            <w:tr w14:paraId="61B2233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523B5C2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026B40A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S8</w:t>
                  </w:r>
                </w:p>
              </w:tc>
              <w:tc>
                <w:tcPr>
                  <w:tcW w:w="2835" w:type="dxa"/>
                  <w:vAlign w:val="center"/>
                </w:tcPr>
                <w:p w14:paraId="52DB8A7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废水处理</w:t>
                  </w:r>
                </w:p>
              </w:tc>
              <w:tc>
                <w:tcPr>
                  <w:tcW w:w="3653" w:type="dxa"/>
                  <w:vAlign w:val="center"/>
                </w:tcPr>
                <w:p w14:paraId="3096EC5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废水处理污泥</w:t>
                  </w:r>
                </w:p>
              </w:tc>
            </w:tr>
            <w:tr w14:paraId="4ABFB6A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784B653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510E6BC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S9</w:t>
                  </w:r>
                </w:p>
              </w:tc>
              <w:tc>
                <w:tcPr>
                  <w:tcW w:w="2835" w:type="dxa"/>
                  <w:vAlign w:val="center"/>
                </w:tcPr>
                <w:p w14:paraId="3D0DCCD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纯水制备</w:t>
                  </w:r>
                </w:p>
              </w:tc>
              <w:tc>
                <w:tcPr>
                  <w:tcW w:w="3653" w:type="dxa"/>
                  <w:vAlign w:val="center"/>
                </w:tcPr>
                <w:p w14:paraId="093E43D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废RO膜、废树脂</w:t>
                  </w:r>
                </w:p>
              </w:tc>
            </w:tr>
            <w:tr w14:paraId="1D427E9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63077D1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1CDA9D4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S10</w:t>
                  </w:r>
                </w:p>
              </w:tc>
              <w:tc>
                <w:tcPr>
                  <w:tcW w:w="2835" w:type="dxa"/>
                  <w:vAlign w:val="center"/>
                </w:tcPr>
                <w:p w14:paraId="0D9BFDF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设备维护</w:t>
                  </w:r>
                </w:p>
              </w:tc>
              <w:tc>
                <w:tcPr>
                  <w:tcW w:w="3653" w:type="dxa"/>
                  <w:vAlign w:val="center"/>
                </w:tcPr>
                <w:p w14:paraId="0B4F3DC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废机油及油桶</w:t>
                  </w:r>
                </w:p>
              </w:tc>
            </w:tr>
            <w:tr w14:paraId="4119E42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020" w:type="dxa"/>
                  <w:vMerge w:val="continue"/>
                  <w:vAlign w:val="center"/>
                </w:tcPr>
                <w:p w14:paraId="05EF4B6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p>
              </w:tc>
              <w:tc>
                <w:tcPr>
                  <w:tcW w:w="850" w:type="dxa"/>
                  <w:vAlign w:val="center"/>
                </w:tcPr>
                <w:p w14:paraId="485992F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S11</w:t>
                  </w:r>
                </w:p>
              </w:tc>
              <w:tc>
                <w:tcPr>
                  <w:tcW w:w="2835" w:type="dxa"/>
                  <w:vAlign w:val="center"/>
                </w:tcPr>
                <w:p w14:paraId="5C299CF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职工生活</w:t>
                  </w:r>
                </w:p>
              </w:tc>
              <w:tc>
                <w:tcPr>
                  <w:tcW w:w="3653" w:type="dxa"/>
                  <w:vAlign w:val="center"/>
                </w:tcPr>
                <w:p w14:paraId="3DF6FF9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生活垃圾</w:t>
                  </w:r>
                </w:p>
              </w:tc>
            </w:tr>
          </w:tbl>
          <w:p w14:paraId="4C2453AD">
            <w:pPr>
              <w:pStyle w:val="57"/>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4"/>
                <w:szCs w:val="24"/>
                <w:highlight w:val="none"/>
                <w:lang w:val="en-US" w:eastAsia="zh-CN"/>
              </w:rPr>
            </w:pPr>
          </w:p>
        </w:tc>
      </w:tr>
      <w:tr w14:paraId="4E320E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94" w:hRule="atLeast"/>
          <w:jc w:val="center"/>
        </w:trPr>
        <w:tc>
          <w:tcPr>
            <w:tcW w:w="946" w:type="dxa"/>
            <w:vAlign w:val="center"/>
          </w:tcPr>
          <w:p w14:paraId="150AD150">
            <w:pPr>
              <w:pStyle w:val="29"/>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color w:val="auto"/>
                <w:szCs w:val="24"/>
                <w:highlight w:val="none"/>
              </w:rPr>
            </w:pPr>
            <w:r>
              <w:rPr>
                <w:rFonts w:hint="default" w:ascii="Times New Roman" w:hAnsi="Times New Roman" w:cs="Times New Roman"/>
                <w:bCs/>
                <w:color w:val="auto"/>
                <w:kern w:val="2"/>
                <w:szCs w:val="24"/>
                <w:highlight w:val="none"/>
              </w:rPr>
              <w:t>与项目有关的原有环境污染问题</w:t>
            </w:r>
          </w:p>
        </w:tc>
        <w:tc>
          <w:tcPr>
            <w:tcW w:w="8512" w:type="dxa"/>
            <w:vAlign w:val="center"/>
          </w:tcPr>
          <w:p w14:paraId="0AE2BFBA">
            <w:pPr>
              <w:keepNext w:val="0"/>
              <w:keepLines w:val="0"/>
              <w:suppressLineNumbers w:val="0"/>
              <w:spacing w:before="0" w:beforeAutospacing="0" w:after="0" w:afterAutospacing="0" w:line="360" w:lineRule="auto"/>
              <w:ind w:left="0" w:leftChars="0" w:right="0" w:rightChars="0"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本项目租赁已建</w:t>
            </w:r>
            <w:r>
              <w:rPr>
                <w:rFonts w:hint="default" w:ascii="Times New Roman" w:hAnsi="Times New Roman" w:cs="Times New Roman"/>
                <w:color w:val="auto"/>
                <w:sz w:val="24"/>
                <w:highlight w:val="none"/>
                <w:lang w:val="en-US" w:eastAsia="zh-CN"/>
              </w:rPr>
              <w:t>成</w:t>
            </w:r>
            <w:r>
              <w:rPr>
                <w:rFonts w:hint="default" w:ascii="Times New Roman" w:hAnsi="Times New Roman" w:cs="Times New Roman"/>
                <w:color w:val="auto"/>
                <w:sz w:val="24"/>
                <w:highlight w:val="none"/>
              </w:rPr>
              <w:t>厂房</w:t>
            </w:r>
            <w:r>
              <w:rPr>
                <w:rFonts w:hint="default" w:ascii="Times New Roman" w:hAnsi="Times New Roman" w:cs="Times New Roman"/>
                <w:color w:val="auto"/>
                <w:sz w:val="24"/>
                <w:highlight w:val="none"/>
                <w:lang w:val="en-US" w:eastAsia="zh-CN"/>
              </w:rPr>
              <w:t>进行项目建设</w:t>
            </w:r>
            <w:r>
              <w:rPr>
                <w:rFonts w:hint="default" w:ascii="Times New Roman" w:hAnsi="Times New Roman" w:cs="Times New Roman"/>
                <w:color w:val="auto"/>
                <w:sz w:val="24"/>
                <w:highlight w:val="none"/>
              </w:rPr>
              <w:t>，</w:t>
            </w:r>
            <w:r>
              <w:rPr>
                <w:rFonts w:hint="default" w:ascii="Times New Roman" w:hAnsi="Times New Roman" w:eastAsia="宋体" w:cs="Times New Roman"/>
                <w:b w:val="0"/>
                <w:bCs w:val="0"/>
                <w:smallCaps w:val="0"/>
                <w:color w:val="auto"/>
                <w:spacing w:val="0"/>
                <w:kern w:val="2"/>
                <w:position w:val="0"/>
                <w:sz w:val="24"/>
                <w:szCs w:val="24"/>
                <w:highlight w:val="none"/>
                <w:lang w:val="en-US" w:eastAsia="zh-CN" w:bidi="ar-SA"/>
              </w:rPr>
              <w:t>根据现场踏勘及建设单位提供</w:t>
            </w:r>
            <w:r>
              <w:rPr>
                <w:rFonts w:hint="default" w:ascii="Times New Roman" w:hAnsi="Times New Roman" w:cs="Times New Roman"/>
                <w:b w:val="0"/>
                <w:bCs w:val="0"/>
                <w:smallCaps w:val="0"/>
                <w:color w:val="auto"/>
                <w:spacing w:val="0"/>
                <w:kern w:val="2"/>
                <w:position w:val="0"/>
                <w:sz w:val="24"/>
                <w:szCs w:val="24"/>
                <w:highlight w:val="none"/>
                <w:lang w:val="en-US" w:eastAsia="zh-CN" w:bidi="ar-SA"/>
              </w:rPr>
              <w:t>的资料</w:t>
            </w:r>
            <w:r>
              <w:rPr>
                <w:rFonts w:hint="default" w:ascii="Times New Roman" w:hAnsi="Times New Roman" w:eastAsia="宋体" w:cs="Times New Roman"/>
                <w:b w:val="0"/>
                <w:bCs w:val="0"/>
                <w:smallCaps w:val="0"/>
                <w:color w:val="auto"/>
                <w:spacing w:val="0"/>
                <w:kern w:val="2"/>
                <w:position w:val="0"/>
                <w:sz w:val="24"/>
                <w:szCs w:val="24"/>
                <w:highlight w:val="none"/>
                <w:lang w:val="en-US" w:eastAsia="zh-CN" w:bidi="ar-SA"/>
              </w:rPr>
              <w:t>，</w:t>
            </w:r>
            <w:r>
              <w:rPr>
                <w:rFonts w:hint="default" w:ascii="Times New Roman" w:hAnsi="Times New Roman" w:cs="Times New Roman"/>
                <w:color w:val="auto"/>
                <w:sz w:val="24"/>
                <w:highlight w:val="none"/>
                <w:lang w:val="en-US" w:eastAsia="zh-CN"/>
              </w:rPr>
              <w:t>车间铺设水泥地面，硬化良好无破损</w:t>
            </w:r>
            <w:r>
              <w:rPr>
                <w:rFonts w:hint="default" w:ascii="Times New Roman" w:hAnsi="Times New Roman" w:cs="Times New Roman"/>
                <w:color w:val="auto"/>
                <w:kern w:val="0"/>
                <w:sz w:val="24"/>
                <w:szCs w:val="24"/>
                <w:highlight w:val="none"/>
                <w:lang w:val="en-US" w:eastAsia="zh-CN" w:bidi="ar"/>
              </w:rPr>
              <w:t>，无危险废弃物存在，不存在</w:t>
            </w:r>
            <w:r>
              <w:rPr>
                <w:rFonts w:hint="default" w:ascii="Times New Roman" w:hAnsi="Times New Roman" w:eastAsia="宋体" w:cs="Times New Roman"/>
                <w:color w:val="auto"/>
                <w:kern w:val="0"/>
                <w:sz w:val="24"/>
                <w:szCs w:val="24"/>
                <w:highlight w:val="none"/>
                <w:lang w:val="en-US" w:eastAsia="zh-CN" w:bidi="ar"/>
              </w:rPr>
              <w:t>与</w:t>
            </w:r>
            <w:r>
              <w:rPr>
                <w:rFonts w:hint="default" w:ascii="Times New Roman" w:hAnsi="Times New Roman" w:cs="Times New Roman"/>
                <w:color w:val="auto"/>
                <w:kern w:val="0"/>
                <w:sz w:val="24"/>
                <w:szCs w:val="24"/>
                <w:highlight w:val="none"/>
                <w:lang w:val="en-US" w:eastAsia="zh-CN" w:bidi="ar"/>
              </w:rPr>
              <w:t>本</w:t>
            </w:r>
            <w:r>
              <w:rPr>
                <w:rFonts w:hint="default" w:ascii="Times New Roman" w:hAnsi="Times New Roman" w:eastAsia="宋体" w:cs="Times New Roman"/>
                <w:color w:val="auto"/>
                <w:kern w:val="0"/>
                <w:sz w:val="24"/>
                <w:szCs w:val="24"/>
                <w:highlight w:val="none"/>
                <w:lang w:val="en-US" w:eastAsia="zh-CN" w:bidi="ar"/>
              </w:rPr>
              <w:t>项目有关的原有环境污染问题</w:t>
            </w:r>
            <w:r>
              <w:rPr>
                <w:rFonts w:hint="default" w:ascii="Times New Roman" w:hAnsi="Times New Roman" w:cs="Times New Roman"/>
                <w:color w:val="auto"/>
                <w:sz w:val="24"/>
                <w:highlight w:val="none"/>
              </w:rPr>
              <w:t>。</w:t>
            </w:r>
          </w:p>
          <w:p w14:paraId="0137726C">
            <w:pPr>
              <w:keepNext w:val="0"/>
              <w:keepLines w:val="0"/>
              <w:suppressLineNumbers w:val="0"/>
              <w:spacing w:before="0" w:beforeAutospacing="0" w:after="0" w:afterAutospacing="0" w:line="360" w:lineRule="auto"/>
              <w:ind w:left="0" w:right="0" w:rightChars="0"/>
              <w:jc w:val="left"/>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drawing>
                <wp:inline distT="0" distB="0" distL="114300" distR="114300">
                  <wp:extent cx="5253990" cy="3940175"/>
                  <wp:effectExtent l="0" t="0" r="3810" b="3175"/>
                  <wp:docPr id="6" name="图片 6" descr="abbc986de02add68507816f60104d7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bbc986de02add68507816f60104d7f5"/>
                          <pic:cNvPicPr>
                            <a:picLocks noChangeAspect="1"/>
                          </pic:cNvPicPr>
                        </pic:nvPicPr>
                        <pic:blipFill>
                          <a:blip r:embed="rId17"/>
                          <a:stretch>
                            <a:fillRect/>
                          </a:stretch>
                        </pic:blipFill>
                        <pic:spPr>
                          <a:xfrm>
                            <a:off x="0" y="0"/>
                            <a:ext cx="5253990" cy="3940175"/>
                          </a:xfrm>
                          <a:prstGeom prst="rect">
                            <a:avLst/>
                          </a:prstGeom>
                        </pic:spPr>
                      </pic:pic>
                    </a:graphicData>
                  </a:graphic>
                </wp:inline>
              </w:drawing>
            </w:r>
          </w:p>
        </w:tc>
      </w:tr>
    </w:tbl>
    <w:p w14:paraId="54B7EE30">
      <w:pPr>
        <w:rPr>
          <w:rFonts w:hint="default" w:ascii="Times New Roman" w:hAnsi="Times New Roman" w:cs="Times New Roman"/>
          <w:color w:val="auto"/>
          <w:highlight w:val="none"/>
        </w:rPr>
        <w:sectPr>
          <w:pgSz w:w="11906" w:h="16838"/>
          <w:pgMar w:top="1701" w:right="1531" w:bottom="1701" w:left="1531" w:header="851" w:footer="992" w:gutter="0"/>
          <w:pgBorders>
            <w:top w:val="none" w:sz="0" w:space="0"/>
            <w:left w:val="none" w:sz="0" w:space="0"/>
            <w:bottom w:val="none" w:sz="0" w:space="0"/>
            <w:right w:val="none" w:sz="0" w:space="0"/>
          </w:pgBorders>
          <w:cols w:space="425" w:num="1"/>
          <w:docGrid w:type="lines" w:linePitch="312" w:charSpace="0"/>
        </w:sectPr>
      </w:pPr>
    </w:p>
    <w:p w14:paraId="04FF346F">
      <w:pPr>
        <w:pStyle w:val="29"/>
        <w:adjustRightInd w:val="0"/>
        <w:snapToGrid w:val="0"/>
        <w:spacing w:before="0" w:beforeAutospacing="0" w:after="0" w:afterAutospacing="0" w:line="360" w:lineRule="auto"/>
        <w:jc w:val="center"/>
        <w:outlineLvl w:val="0"/>
        <w:rPr>
          <w:rFonts w:hint="default" w:ascii="Times New Roman" w:hAnsi="Times New Roman" w:cs="Times New Roman"/>
          <w:b/>
          <w:snapToGrid w:val="0"/>
          <w:color w:val="auto"/>
          <w:sz w:val="28"/>
          <w:szCs w:val="28"/>
          <w:highlight w:val="none"/>
        </w:rPr>
      </w:pPr>
      <w:bookmarkStart w:id="5" w:name="_Toc19086"/>
      <w:r>
        <w:rPr>
          <w:rFonts w:hint="default" w:ascii="Times New Roman" w:hAnsi="Times New Roman" w:cs="Times New Roman"/>
          <w:b/>
          <w:snapToGrid w:val="0"/>
          <w:color w:val="auto"/>
          <w:sz w:val="28"/>
          <w:szCs w:val="28"/>
          <w:highlight w:val="none"/>
        </w:rPr>
        <w:t>三、区域环境质量现状、环境保护目标及评价标准</w:t>
      </w:r>
      <w:bookmarkEnd w:id="5"/>
    </w:p>
    <w:tbl>
      <w:tblPr>
        <w:tblStyle w:val="32"/>
        <w:tblW w:w="4995"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0"/>
        <w:gridCol w:w="8361"/>
      </w:tblGrid>
      <w:tr w14:paraId="6C982D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63" w:hRule="atLeast"/>
        </w:trPr>
        <w:tc>
          <w:tcPr>
            <w:tcW w:w="381" w:type="pct"/>
            <w:vAlign w:val="center"/>
          </w:tcPr>
          <w:p w14:paraId="302D1B2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区域</w:t>
            </w:r>
          </w:p>
          <w:p w14:paraId="29AD13D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环境</w:t>
            </w:r>
          </w:p>
          <w:p w14:paraId="0D88C93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质量</w:t>
            </w:r>
          </w:p>
          <w:p w14:paraId="71817AF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现状</w:t>
            </w:r>
          </w:p>
        </w:tc>
        <w:tc>
          <w:tcPr>
            <w:tcW w:w="4618" w:type="pct"/>
            <w:vAlign w:val="center"/>
          </w:tcPr>
          <w:p w14:paraId="1744D334">
            <w:pPr>
              <w:keepNext w:val="0"/>
              <w:keepLines w:val="0"/>
              <w:pageBreakBefore w:val="0"/>
              <w:widowControl w:val="0"/>
              <w:numPr>
                <w:ilvl w:val="0"/>
                <w:numId w:val="0"/>
              </w:numPr>
              <w:suppressLineNumbers w:val="0"/>
              <w:kinsoku/>
              <w:wordWrap/>
              <w:overflowPunct/>
              <w:topLinePunct w:val="0"/>
              <w:bidi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一、</w:t>
            </w:r>
            <w:r>
              <w:rPr>
                <w:rFonts w:hint="default" w:ascii="Times New Roman" w:hAnsi="Times New Roman" w:eastAsia="宋体" w:cs="Times New Roman"/>
                <w:b/>
                <w:color w:val="auto"/>
                <w:sz w:val="24"/>
                <w:szCs w:val="24"/>
                <w:highlight w:val="none"/>
              </w:rPr>
              <w:t>环境空气质量现状</w:t>
            </w:r>
          </w:p>
          <w:p w14:paraId="4275DD88">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bookmarkStart w:id="6" w:name="_Toc255802213"/>
            <w:r>
              <w:rPr>
                <w:rFonts w:hint="default" w:ascii="Times New Roman" w:hAnsi="Times New Roman" w:cs="Times New Roman"/>
                <w:b/>
                <w:bCs/>
                <w:color w:val="auto"/>
                <w:sz w:val="24"/>
                <w:szCs w:val="24"/>
                <w:highlight w:val="none"/>
                <w:lang w:val="en-US" w:eastAsia="zh-CN"/>
              </w:rPr>
              <w:t>1.区域环境质量现状</w:t>
            </w:r>
          </w:p>
          <w:bookmarkEnd w:id="6"/>
          <w:p w14:paraId="3EA798C6">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eastAsia="宋体" w:cs="Times New Roman"/>
                <w:b w:val="0"/>
                <w:sz w:val="24"/>
                <w:highlight w:val="none"/>
              </w:rPr>
              <w:t>本项目位于陕西省西咸新区沣西新城大王街道，根据大气环境功能区划，项目所在地属二类功能区</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执行《环境空气质量标准》（GB3095-20</w:t>
            </w:r>
            <w:r>
              <w:rPr>
                <w:rFonts w:hint="default" w:ascii="Times New Roman" w:hAnsi="Times New Roman" w:eastAsia="宋体" w:cs="Times New Roman"/>
                <w:color w:val="auto"/>
                <w:sz w:val="24"/>
                <w:szCs w:val="24"/>
                <w:highlight w:val="none"/>
                <w:lang w:val="en-US" w:eastAsia="zh-CN"/>
              </w:rPr>
              <w:t>26</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中</w:t>
            </w:r>
            <w:r>
              <w:rPr>
                <w:rFonts w:hint="default" w:ascii="Times New Roman" w:hAnsi="Times New Roman" w:eastAsia="宋体" w:cs="Times New Roman"/>
                <w:color w:val="auto"/>
                <w:sz w:val="24"/>
                <w:szCs w:val="24"/>
                <w:highlight w:val="none"/>
                <w:lang w:val="en-US" w:eastAsia="zh-CN"/>
              </w:rPr>
              <w:t>过渡阶段</w:t>
            </w:r>
            <w:r>
              <w:rPr>
                <w:rFonts w:hint="default" w:ascii="Times New Roman" w:hAnsi="Times New Roman" w:eastAsia="宋体" w:cs="Times New Roman"/>
                <w:color w:val="auto"/>
                <w:sz w:val="24"/>
                <w:szCs w:val="24"/>
                <w:highlight w:val="none"/>
              </w:rPr>
              <w:t>的二级标准。陕西省</w:t>
            </w:r>
            <w:r>
              <w:rPr>
                <w:rFonts w:hint="default" w:ascii="Times New Roman" w:hAnsi="Times New Roman" w:eastAsia="宋体" w:cs="Times New Roman"/>
                <w:color w:val="auto"/>
                <w:sz w:val="24"/>
                <w:szCs w:val="24"/>
                <w:highlight w:val="none"/>
                <w:lang w:val="en-US" w:eastAsia="zh-CN"/>
              </w:rPr>
              <w:t>生态</w:t>
            </w:r>
            <w:r>
              <w:rPr>
                <w:rFonts w:hint="default" w:ascii="Times New Roman" w:hAnsi="Times New Roman" w:eastAsia="宋体" w:cs="Times New Roman"/>
                <w:color w:val="auto"/>
                <w:sz w:val="24"/>
                <w:szCs w:val="24"/>
                <w:highlight w:val="none"/>
              </w:rPr>
              <w:t>环境厅办公室202</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月</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日发布的《环保快报》中</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2025年1～12月关中地区60个县（区）空气质量状况统计表</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中</w:t>
            </w:r>
            <w:r>
              <w:rPr>
                <w:rFonts w:hint="default" w:ascii="Times New Roman" w:hAnsi="Times New Roman" w:cs="Times New Roman"/>
                <w:color w:val="auto"/>
                <w:sz w:val="24"/>
                <w:highlight w:val="none"/>
                <w:lang w:val="en-US" w:eastAsia="zh-CN"/>
              </w:rPr>
              <w:t>陕西省西安市西咸新区</w:t>
            </w:r>
            <w:r>
              <w:rPr>
                <w:rFonts w:hint="default" w:ascii="Times New Roman" w:hAnsi="Times New Roman" w:eastAsia="宋体" w:cs="Times New Roman"/>
                <w:color w:val="auto"/>
                <w:sz w:val="24"/>
                <w:szCs w:val="24"/>
                <w:highlight w:val="none"/>
              </w:rPr>
              <w:t>的数据</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highlight w:val="none"/>
                <w:lang w:val="en-US" w:eastAsia="zh-CN"/>
              </w:rPr>
              <w:t>陕西省西安市西咸新区</w:t>
            </w:r>
            <w:r>
              <w:rPr>
                <w:rFonts w:hint="default" w:ascii="Times New Roman" w:hAnsi="Times New Roman" w:eastAsia="宋体" w:cs="Times New Roman"/>
                <w:color w:val="auto"/>
                <w:sz w:val="24"/>
                <w:szCs w:val="24"/>
                <w:highlight w:val="none"/>
              </w:rPr>
              <w:t>20</w:t>
            </w:r>
            <w:r>
              <w:rPr>
                <w:rFonts w:hint="default"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rPr>
              <w:t>年1月</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12月环境空气质量状况见下表：</w:t>
            </w:r>
          </w:p>
          <w:p w14:paraId="6152CEBB">
            <w:pPr>
              <w:pStyle w:val="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jc w:val="center"/>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表3-1</w:t>
            </w:r>
            <w:r>
              <w:rPr>
                <w:rFonts w:hint="default" w:ascii="Times New Roman" w:hAnsi="Times New Roman" w:cs="Times New Roman"/>
                <w:b/>
                <w:bCs/>
                <w:color w:val="auto"/>
                <w:sz w:val="24"/>
                <w:szCs w:val="24"/>
                <w:highlight w:val="none"/>
                <w:lang w:val="en-US" w:eastAsia="zh-CN"/>
              </w:rPr>
              <w:t xml:space="preserve"> 西安市西咸新区</w:t>
            </w:r>
            <w:r>
              <w:rPr>
                <w:rFonts w:hint="default" w:ascii="Times New Roman" w:hAnsi="Times New Roman" w:eastAsia="宋体" w:cs="Times New Roman"/>
                <w:b/>
                <w:bCs/>
                <w:color w:val="auto"/>
                <w:kern w:val="2"/>
                <w:sz w:val="24"/>
                <w:szCs w:val="24"/>
                <w:highlight w:val="none"/>
                <w:lang w:val="en-US" w:eastAsia="zh-CN" w:bidi="ar-SA"/>
              </w:rPr>
              <w:t>区域空气环境质量现状评价表</w:t>
            </w:r>
          </w:p>
          <w:tbl>
            <w:tblPr>
              <w:tblStyle w:val="32"/>
              <w:tblW w:w="80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2724"/>
              <w:gridCol w:w="1235"/>
              <w:gridCol w:w="1008"/>
              <w:gridCol w:w="1212"/>
              <w:gridCol w:w="899"/>
            </w:tblGrid>
            <w:tr w14:paraId="4D891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jc w:val="center"/>
              </w:trPr>
              <w:tc>
                <w:tcPr>
                  <w:tcW w:w="960" w:type="dxa"/>
                  <w:noWrap w:val="0"/>
                  <w:vAlign w:val="center"/>
                </w:tcPr>
                <w:p w14:paraId="48DDBFB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pacing w:val="-7"/>
                      <w:sz w:val="21"/>
                      <w:highlight w:val="none"/>
                      <w:lang w:val="en-US" w:eastAsia="zh-CN"/>
                    </w:rPr>
                  </w:pPr>
                  <w:r>
                    <w:rPr>
                      <w:rFonts w:hint="default" w:ascii="Times New Roman" w:hAnsi="Times New Roman" w:eastAsia="宋体" w:cs="Times New Roman"/>
                      <w:b/>
                      <w:bCs/>
                      <w:color w:val="auto"/>
                      <w:spacing w:val="-7"/>
                      <w:sz w:val="21"/>
                      <w:highlight w:val="none"/>
                      <w:lang w:val="en-US" w:eastAsia="zh-CN"/>
                    </w:rPr>
                    <w:t>污染物</w:t>
                  </w:r>
                </w:p>
              </w:tc>
              <w:tc>
                <w:tcPr>
                  <w:tcW w:w="2724" w:type="dxa"/>
                  <w:noWrap w:val="0"/>
                  <w:vAlign w:val="center"/>
                </w:tcPr>
                <w:p w14:paraId="6DDCE1A1">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pacing w:val="-7"/>
                      <w:sz w:val="21"/>
                      <w:highlight w:val="none"/>
                      <w:lang w:val="en-US" w:eastAsia="zh-CN"/>
                    </w:rPr>
                  </w:pPr>
                  <w:r>
                    <w:rPr>
                      <w:rFonts w:hint="default" w:ascii="Times New Roman" w:hAnsi="Times New Roman" w:eastAsia="宋体" w:cs="Times New Roman"/>
                      <w:b/>
                      <w:bCs/>
                      <w:color w:val="auto"/>
                      <w:spacing w:val="-7"/>
                      <w:sz w:val="21"/>
                      <w:highlight w:val="none"/>
                      <w:lang w:val="en-US" w:eastAsia="zh-CN"/>
                    </w:rPr>
                    <w:t>年评价指标</w:t>
                  </w:r>
                </w:p>
              </w:tc>
              <w:tc>
                <w:tcPr>
                  <w:tcW w:w="1235" w:type="dxa"/>
                  <w:noWrap w:val="0"/>
                  <w:vAlign w:val="center"/>
                </w:tcPr>
                <w:p w14:paraId="15879CE6">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pacing w:val="-7"/>
                      <w:sz w:val="21"/>
                      <w:highlight w:val="none"/>
                      <w:lang w:val="en-US" w:eastAsia="zh-CN"/>
                    </w:rPr>
                  </w:pPr>
                  <w:r>
                    <w:rPr>
                      <w:rFonts w:hint="default" w:ascii="Times New Roman" w:hAnsi="Times New Roman" w:eastAsia="宋体" w:cs="Times New Roman"/>
                      <w:b/>
                      <w:bCs/>
                      <w:color w:val="auto"/>
                      <w:spacing w:val="-7"/>
                      <w:sz w:val="21"/>
                      <w:highlight w:val="none"/>
                      <w:lang w:val="en-US" w:eastAsia="zh-CN"/>
                    </w:rPr>
                    <w:t>现状浓度</w:t>
                  </w:r>
                </w:p>
                <w:p w14:paraId="47CE99A7">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pacing w:val="-7"/>
                      <w:sz w:val="21"/>
                      <w:highlight w:val="none"/>
                      <w:lang w:val="en-US" w:eastAsia="zh-CN"/>
                    </w:rPr>
                  </w:pPr>
                  <w:r>
                    <w:rPr>
                      <w:rFonts w:hint="default" w:ascii="Times New Roman" w:hAnsi="Times New Roman" w:eastAsia="宋体" w:cs="Times New Roman"/>
                      <w:b/>
                      <w:bCs/>
                      <w:color w:val="auto"/>
                      <w:spacing w:val="-7"/>
                      <w:sz w:val="21"/>
                      <w:highlight w:val="none"/>
                      <w:lang w:val="en-US" w:eastAsia="zh-CN"/>
                    </w:rPr>
                    <w:t>µg/m</w:t>
                  </w:r>
                  <w:r>
                    <w:rPr>
                      <w:rFonts w:hint="default" w:ascii="Times New Roman" w:hAnsi="Times New Roman" w:eastAsia="宋体" w:cs="Times New Roman"/>
                      <w:b/>
                      <w:bCs/>
                      <w:color w:val="auto"/>
                      <w:spacing w:val="-7"/>
                      <w:sz w:val="21"/>
                      <w:highlight w:val="none"/>
                      <w:vertAlign w:val="superscript"/>
                      <w:lang w:val="en-US" w:eastAsia="zh-CN"/>
                    </w:rPr>
                    <w:t>3</w:t>
                  </w:r>
                </w:p>
              </w:tc>
              <w:tc>
                <w:tcPr>
                  <w:tcW w:w="1008" w:type="dxa"/>
                  <w:noWrap w:val="0"/>
                  <w:vAlign w:val="center"/>
                </w:tcPr>
                <w:p w14:paraId="19E20606">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pacing w:val="-7"/>
                      <w:sz w:val="21"/>
                      <w:highlight w:val="none"/>
                      <w:lang w:val="en-US" w:eastAsia="zh-CN"/>
                    </w:rPr>
                  </w:pPr>
                  <w:r>
                    <w:rPr>
                      <w:rFonts w:hint="default" w:ascii="Times New Roman" w:hAnsi="Times New Roman" w:eastAsia="宋体" w:cs="Times New Roman"/>
                      <w:b/>
                      <w:bCs/>
                      <w:color w:val="auto"/>
                      <w:spacing w:val="-7"/>
                      <w:sz w:val="21"/>
                      <w:highlight w:val="none"/>
                      <w:lang w:val="en-US" w:eastAsia="zh-CN"/>
                    </w:rPr>
                    <w:t>标准值</w:t>
                  </w:r>
                </w:p>
                <w:p w14:paraId="18BC7B3E">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pacing w:val="-7"/>
                      <w:sz w:val="21"/>
                      <w:highlight w:val="none"/>
                      <w:lang w:val="en-US" w:eastAsia="zh-CN"/>
                    </w:rPr>
                  </w:pPr>
                  <w:r>
                    <w:rPr>
                      <w:rFonts w:hint="default" w:ascii="Times New Roman" w:hAnsi="Times New Roman" w:eastAsia="宋体" w:cs="Times New Roman"/>
                      <w:b/>
                      <w:bCs/>
                      <w:color w:val="auto"/>
                      <w:spacing w:val="-7"/>
                      <w:sz w:val="21"/>
                      <w:highlight w:val="none"/>
                      <w:lang w:val="en-US" w:eastAsia="zh-CN"/>
                    </w:rPr>
                    <w:t>µg/m</w:t>
                  </w:r>
                  <w:r>
                    <w:rPr>
                      <w:rFonts w:hint="default" w:ascii="Times New Roman" w:hAnsi="Times New Roman" w:eastAsia="宋体" w:cs="Times New Roman"/>
                      <w:b/>
                      <w:bCs/>
                      <w:color w:val="auto"/>
                      <w:spacing w:val="-7"/>
                      <w:sz w:val="21"/>
                      <w:highlight w:val="none"/>
                      <w:vertAlign w:val="superscript"/>
                      <w:lang w:val="en-US" w:eastAsia="zh-CN"/>
                    </w:rPr>
                    <w:t>3</w:t>
                  </w:r>
                </w:p>
              </w:tc>
              <w:tc>
                <w:tcPr>
                  <w:tcW w:w="1212" w:type="dxa"/>
                  <w:noWrap w:val="0"/>
                  <w:vAlign w:val="center"/>
                </w:tcPr>
                <w:p w14:paraId="0555AC2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pacing w:val="-7"/>
                      <w:sz w:val="21"/>
                      <w:highlight w:val="none"/>
                      <w:lang w:val="en-US" w:eastAsia="zh-CN"/>
                    </w:rPr>
                  </w:pPr>
                  <w:r>
                    <w:rPr>
                      <w:rFonts w:hint="default" w:ascii="Times New Roman" w:hAnsi="Times New Roman" w:eastAsia="宋体" w:cs="Times New Roman"/>
                      <w:b/>
                      <w:bCs/>
                      <w:color w:val="auto"/>
                      <w:spacing w:val="-7"/>
                      <w:sz w:val="21"/>
                      <w:highlight w:val="none"/>
                      <w:lang w:val="en-US" w:eastAsia="zh-CN"/>
                    </w:rPr>
                    <w:t>占标率/%</w:t>
                  </w:r>
                </w:p>
              </w:tc>
              <w:tc>
                <w:tcPr>
                  <w:tcW w:w="899" w:type="dxa"/>
                  <w:noWrap w:val="0"/>
                  <w:vAlign w:val="center"/>
                </w:tcPr>
                <w:p w14:paraId="295576BB">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pacing w:val="-7"/>
                      <w:sz w:val="21"/>
                      <w:highlight w:val="none"/>
                      <w:lang w:val="en-US" w:eastAsia="zh-CN"/>
                    </w:rPr>
                  </w:pPr>
                  <w:r>
                    <w:rPr>
                      <w:rFonts w:hint="default" w:ascii="Times New Roman" w:hAnsi="Times New Roman" w:eastAsia="宋体" w:cs="Times New Roman"/>
                      <w:b/>
                      <w:bCs/>
                      <w:color w:val="auto"/>
                      <w:spacing w:val="-7"/>
                      <w:sz w:val="21"/>
                      <w:highlight w:val="none"/>
                      <w:lang w:val="en-US" w:eastAsia="zh-CN"/>
                    </w:rPr>
                    <w:t>达标</w:t>
                  </w:r>
                </w:p>
                <w:p w14:paraId="52D2D70D">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spacing w:val="-7"/>
                      <w:sz w:val="21"/>
                      <w:highlight w:val="none"/>
                      <w:lang w:val="en-US" w:eastAsia="zh-CN"/>
                    </w:rPr>
                  </w:pPr>
                  <w:r>
                    <w:rPr>
                      <w:rFonts w:hint="default" w:ascii="Times New Roman" w:hAnsi="Times New Roman" w:eastAsia="宋体" w:cs="Times New Roman"/>
                      <w:b/>
                      <w:bCs/>
                      <w:color w:val="auto"/>
                      <w:spacing w:val="-7"/>
                      <w:sz w:val="21"/>
                      <w:highlight w:val="none"/>
                      <w:lang w:val="en-US" w:eastAsia="zh-CN"/>
                    </w:rPr>
                    <w:t>情况</w:t>
                  </w:r>
                </w:p>
              </w:tc>
            </w:tr>
            <w:tr w14:paraId="73794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960" w:type="dxa"/>
                  <w:noWrap w:val="0"/>
                  <w:vAlign w:val="center"/>
                </w:tcPr>
                <w:p w14:paraId="6E2FD3F9">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SO</w:t>
                  </w:r>
                  <w:r>
                    <w:rPr>
                      <w:rFonts w:hint="default" w:ascii="Times New Roman" w:hAnsi="Times New Roman" w:eastAsia="宋体" w:cs="Times New Roman"/>
                      <w:b w:val="0"/>
                      <w:bCs w:val="0"/>
                      <w:color w:val="auto"/>
                      <w:spacing w:val="-7"/>
                      <w:sz w:val="21"/>
                      <w:highlight w:val="none"/>
                      <w:vertAlign w:val="subscript"/>
                      <w:lang w:val="en-US" w:eastAsia="zh-CN"/>
                    </w:rPr>
                    <w:t>2</w:t>
                  </w:r>
                </w:p>
              </w:tc>
              <w:tc>
                <w:tcPr>
                  <w:tcW w:w="2724" w:type="dxa"/>
                  <w:noWrap w:val="0"/>
                  <w:vAlign w:val="center"/>
                </w:tcPr>
                <w:p w14:paraId="021BE6E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年平均质量浓度</w:t>
                  </w:r>
                </w:p>
              </w:tc>
              <w:tc>
                <w:tcPr>
                  <w:tcW w:w="1235" w:type="dxa"/>
                  <w:noWrap w:val="0"/>
                  <w:vAlign w:val="center"/>
                </w:tcPr>
                <w:p w14:paraId="3071F9C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5</w:t>
                  </w:r>
                </w:p>
              </w:tc>
              <w:tc>
                <w:tcPr>
                  <w:tcW w:w="1008" w:type="dxa"/>
                  <w:noWrap w:val="0"/>
                  <w:vAlign w:val="center"/>
                </w:tcPr>
                <w:p w14:paraId="6C070FC2">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60</w:t>
                  </w:r>
                </w:p>
              </w:tc>
              <w:tc>
                <w:tcPr>
                  <w:tcW w:w="1212" w:type="dxa"/>
                  <w:noWrap w:val="0"/>
                  <w:vAlign w:val="center"/>
                </w:tcPr>
                <w:p w14:paraId="485951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8.33</w:t>
                  </w:r>
                </w:p>
              </w:tc>
              <w:tc>
                <w:tcPr>
                  <w:tcW w:w="899" w:type="dxa"/>
                  <w:noWrap w:val="0"/>
                  <w:vAlign w:val="center"/>
                </w:tcPr>
                <w:p w14:paraId="62B1155E">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达标</w:t>
                  </w:r>
                </w:p>
              </w:tc>
            </w:tr>
            <w:tr w14:paraId="0566F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960" w:type="dxa"/>
                  <w:noWrap w:val="0"/>
                  <w:vAlign w:val="center"/>
                </w:tcPr>
                <w:p w14:paraId="420F443C">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NO</w:t>
                  </w:r>
                  <w:r>
                    <w:rPr>
                      <w:rFonts w:hint="default" w:ascii="Times New Roman" w:hAnsi="Times New Roman" w:eastAsia="宋体" w:cs="Times New Roman"/>
                      <w:b w:val="0"/>
                      <w:bCs w:val="0"/>
                      <w:color w:val="auto"/>
                      <w:spacing w:val="-7"/>
                      <w:sz w:val="21"/>
                      <w:highlight w:val="none"/>
                      <w:vertAlign w:val="subscript"/>
                      <w:lang w:val="en-US" w:eastAsia="zh-CN"/>
                    </w:rPr>
                    <w:t>2</w:t>
                  </w:r>
                </w:p>
              </w:tc>
              <w:tc>
                <w:tcPr>
                  <w:tcW w:w="2724" w:type="dxa"/>
                  <w:noWrap w:val="0"/>
                  <w:vAlign w:val="center"/>
                </w:tcPr>
                <w:p w14:paraId="5A23BB5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年平均质量浓度</w:t>
                  </w:r>
                </w:p>
              </w:tc>
              <w:tc>
                <w:tcPr>
                  <w:tcW w:w="1235" w:type="dxa"/>
                  <w:noWrap w:val="0"/>
                  <w:vAlign w:val="center"/>
                </w:tcPr>
                <w:p w14:paraId="507F1D8C">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28</w:t>
                  </w:r>
                </w:p>
              </w:tc>
              <w:tc>
                <w:tcPr>
                  <w:tcW w:w="1008" w:type="dxa"/>
                  <w:noWrap w:val="0"/>
                  <w:vAlign w:val="center"/>
                </w:tcPr>
                <w:p w14:paraId="2685C98D">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40</w:t>
                  </w:r>
                </w:p>
              </w:tc>
              <w:tc>
                <w:tcPr>
                  <w:tcW w:w="1212" w:type="dxa"/>
                  <w:noWrap w:val="0"/>
                  <w:vAlign w:val="center"/>
                </w:tcPr>
                <w:p w14:paraId="688954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70</w:t>
                  </w:r>
                </w:p>
              </w:tc>
              <w:tc>
                <w:tcPr>
                  <w:tcW w:w="899" w:type="dxa"/>
                  <w:noWrap w:val="0"/>
                  <w:vAlign w:val="center"/>
                </w:tcPr>
                <w:p w14:paraId="4153EC07">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达标</w:t>
                  </w:r>
                </w:p>
              </w:tc>
            </w:tr>
            <w:tr w14:paraId="43748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960" w:type="dxa"/>
                  <w:noWrap w:val="0"/>
                  <w:vAlign w:val="center"/>
                </w:tcPr>
                <w:p w14:paraId="01B87D5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PM</w:t>
                  </w:r>
                  <w:r>
                    <w:rPr>
                      <w:rFonts w:hint="default" w:ascii="Times New Roman" w:hAnsi="Times New Roman" w:eastAsia="宋体" w:cs="Times New Roman"/>
                      <w:b w:val="0"/>
                      <w:bCs w:val="0"/>
                      <w:color w:val="auto"/>
                      <w:spacing w:val="-7"/>
                      <w:sz w:val="21"/>
                      <w:highlight w:val="none"/>
                      <w:vertAlign w:val="subscript"/>
                      <w:lang w:val="en-US" w:eastAsia="zh-CN"/>
                    </w:rPr>
                    <w:t>10</w:t>
                  </w:r>
                </w:p>
              </w:tc>
              <w:tc>
                <w:tcPr>
                  <w:tcW w:w="2724" w:type="dxa"/>
                  <w:noWrap w:val="0"/>
                  <w:vAlign w:val="center"/>
                </w:tcPr>
                <w:p w14:paraId="1CF5629B">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年平均质量浓度</w:t>
                  </w:r>
                </w:p>
              </w:tc>
              <w:tc>
                <w:tcPr>
                  <w:tcW w:w="1235" w:type="dxa"/>
                  <w:noWrap w:val="0"/>
                  <w:vAlign w:val="center"/>
                </w:tcPr>
                <w:p w14:paraId="7AAE27DE">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65</w:t>
                  </w:r>
                </w:p>
              </w:tc>
              <w:tc>
                <w:tcPr>
                  <w:tcW w:w="1008" w:type="dxa"/>
                  <w:noWrap w:val="0"/>
                  <w:vAlign w:val="center"/>
                </w:tcPr>
                <w:p w14:paraId="4735F549">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60</w:t>
                  </w:r>
                </w:p>
              </w:tc>
              <w:tc>
                <w:tcPr>
                  <w:tcW w:w="1212" w:type="dxa"/>
                  <w:noWrap w:val="0"/>
                  <w:vAlign w:val="center"/>
                </w:tcPr>
                <w:p w14:paraId="535C7A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108.33</w:t>
                  </w:r>
                </w:p>
              </w:tc>
              <w:tc>
                <w:tcPr>
                  <w:tcW w:w="899" w:type="dxa"/>
                  <w:noWrap w:val="0"/>
                  <w:vAlign w:val="center"/>
                </w:tcPr>
                <w:p w14:paraId="4F7FD96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不</w:t>
                  </w:r>
                  <w:r>
                    <w:rPr>
                      <w:rFonts w:hint="default" w:ascii="Times New Roman" w:hAnsi="Times New Roman" w:eastAsia="宋体" w:cs="Times New Roman"/>
                      <w:b w:val="0"/>
                      <w:bCs w:val="0"/>
                      <w:color w:val="auto"/>
                      <w:spacing w:val="-7"/>
                      <w:sz w:val="21"/>
                      <w:highlight w:val="none"/>
                      <w:lang w:val="en-US" w:eastAsia="zh-CN"/>
                    </w:rPr>
                    <w:t>达标</w:t>
                  </w:r>
                </w:p>
              </w:tc>
            </w:tr>
            <w:tr w14:paraId="55CA0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960" w:type="dxa"/>
                  <w:noWrap w:val="0"/>
                  <w:vAlign w:val="center"/>
                </w:tcPr>
                <w:p w14:paraId="074D7D6C">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PM</w:t>
                  </w:r>
                  <w:r>
                    <w:rPr>
                      <w:rFonts w:hint="default" w:ascii="Times New Roman" w:hAnsi="Times New Roman" w:eastAsia="宋体" w:cs="Times New Roman"/>
                      <w:b w:val="0"/>
                      <w:bCs w:val="0"/>
                      <w:color w:val="auto"/>
                      <w:spacing w:val="-7"/>
                      <w:sz w:val="21"/>
                      <w:highlight w:val="none"/>
                      <w:vertAlign w:val="subscript"/>
                      <w:lang w:val="en-US" w:eastAsia="zh-CN"/>
                    </w:rPr>
                    <w:t>2.5</w:t>
                  </w:r>
                </w:p>
              </w:tc>
              <w:tc>
                <w:tcPr>
                  <w:tcW w:w="2724" w:type="dxa"/>
                  <w:noWrap w:val="0"/>
                  <w:vAlign w:val="center"/>
                </w:tcPr>
                <w:p w14:paraId="0BA3E961">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年平均质量浓度</w:t>
                  </w:r>
                </w:p>
              </w:tc>
              <w:tc>
                <w:tcPr>
                  <w:tcW w:w="1235" w:type="dxa"/>
                  <w:noWrap w:val="0"/>
                  <w:vAlign w:val="center"/>
                </w:tcPr>
                <w:p w14:paraId="2EC82A02">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38.8</w:t>
                  </w:r>
                </w:p>
              </w:tc>
              <w:tc>
                <w:tcPr>
                  <w:tcW w:w="1008" w:type="dxa"/>
                  <w:noWrap w:val="0"/>
                  <w:vAlign w:val="center"/>
                </w:tcPr>
                <w:p w14:paraId="2A33E157">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30</w:t>
                  </w:r>
                </w:p>
              </w:tc>
              <w:tc>
                <w:tcPr>
                  <w:tcW w:w="1212" w:type="dxa"/>
                  <w:noWrap w:val="0"/>
                  <w:vAlign w:val="center"/>
                </w:tcPr>
                <w:p w14:paraId="05D018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129.33</w:t>
                  </w:r>
                </w:p>
              </w:tc>
              <w:tc>
                <w:tcPr>
                  <w:tcW w:w="899" w:type="dxa"/>
                  <w:noWrap w:val="0"/>
                  <w:vAlign w:val="center"/>
                </w:tcPr>
                <w:p w14:paraId="4A3DE564">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不</w:t>
                  </w:r>
                  <w:r>
                    <w:rPr>
                      <w:rFonts w:hint="default" w:ascii="Times New Roman" w:hAnsi="Times New Roman" w:eastAsia="宋体" w:cs="Times New Roman"/>
                      <w:b w:val="0"/>
                      <w:bCs w:val="0"/>
                      <w:color w:val="auto"/>
                      <w:spacing w:val="-7"/>
                      <w:sz w:val="21"/>
                      <w:highlight w:val="none"/>
                      <w:lang w:val="en-US" w:eastAsia="zh-CN"/>
                    </w:rPr>
                    <w:t>达标</w:t>
                  </w:r>
                </w:p>
              </w:tc>
            </w:tr>
            <w:tr w14:paraId="336B5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960" w:type="dxa"/>
                  <w:noWrap w:val="0"/>
                  <w:vAlign w:val="center"/>
                </w:tcPr>
                <w:p w14:paraId="79B19A19">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CO</w:t>
                  </w:r>
                </w:p>
              </w:tc>
              <w:tc>
                <w:tcPr>
                  <w:tcW w:w="2724" w:type="dxa"/>
                  <w:noWrap w:val="0"/>
                  <w:vAlign w:val="center"/>
                </w:tcPr>
                <w:p w14:paraId="709914DE">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第95百分位日平均质量浓度</w:t>
                  </w:r>
                </w:p>
              </w:tc>
              <w:tc>
                <w:tcPr>
                  <w:tcW w:w="1235" w:type="dxa"/>
                  <w:noWrap w:val="0"/>
                  <w:vAlign w:val="center"/>
                </w:tcPr>
                <w:p w14:paraId="66D5F4FB">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1000</w:t>
                  </w:r>
                </w:p>
              </w:tc>
              <w:tc>
                <w:tcPr>
                  <w:tcW w:w="1008" w:type="dxa"/>
                  <w:noWrap w:val="0"/>
                  <w:vAlign w:val="center"/>
                </w:tcPr>
                <w:p w14:paraId="5DEC9C88">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4000</w:t>
                  </w:r>
                </w:p>
              </w:tc>
              <w:tc>
                <w:tcPr>
                  <w:tcW w:w="1212" w:type="dxa"/>
                  <w:noWrap w:val="0"/>
                  <w:vAlign w:val="center"/>
                </w:tcPr>
                <w:p w14:paraId="3855FF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25</w:t>
                  </w:r>
                </w:p>
              </w:tc>
              <w:tc>
                <w:tcPr>
                  <w:tcW w:w="899" w:type="dxa"/>
                  <w:noWrap w:val="0"/>
                  <w:vAlign w:val="center"/>
                </w:tcPr>
                <w:p w14:paraId="67691465">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达标</w:t>
                  </w:r>
                </w:p>
              </w:tc>
            </w:tr>
            <w:tr w14:paraId="08480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960" w:type="dxa"/>
                  <w:noWrap w:val="0"/>
                  <w:vAlign w:val="center"/>
                </w:tcPr>
                <w:p w14:paraId="632AAFB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O</w:t>
                  </w:r>
                  <w:r>
                    <w:rPr>
                      <w:rFonts w:hint="default" w:ascii="Times New Roman" w:hAnsi="Times New Roman" w:eastAsia="宋体" w:cs="Times New Roman"/>
                      <w:b w:val="0"/>
                      <w:bCs w:val="0"/>
                      <w:color w:val="auto"/>
                      <w:spacing w:val="-7"/>
                      <w:sz w:val="21"/>
                      <w:highlight w:val="none"/>
                      <w:vertAlign w:val="subscript"/>
                      <w:lang w:val="en-US" w:eastAsia="zh-CN"/>
                    </w:rPr>
                    <w:t>3</w:t>
                  </w:r>
                </w:p>
              </w:tc>
              <w:tc>
                <w:tcPr>
                  <w:tcW w:w="2724" w:type="dxa"/>
                  <w:noWrap w:val="0"/>
                  <w:vAlign w:val="center"/>
                </w:tcPr>
                <w:p w14:paraId="7DC56CB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第90百分位8h平均质量浓度</w:t>
                  </w:r>
                </w:p>
              </w:tc>
              <w:tc>
                <w:tcPr>
                  <w:tcW w:w="1235" w:type="dxa"/>
                  <w:noWrap w:val="0"/>
                  <w:vAlign w:val="center"/>
                </w:tcPr>
                <w:p w14:paraId="73F420B4">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154</w:t>
                  </w:r>
                </w:p>
              </w:tc>
              <w:tc>
                <w:tcPr>
                  <w:tcW w:w="1008" w:type="dxa"/>
                  <w:noWrap w:val="0"/>
                  <w:vAlign w:val="center"/>
                </w:tcPr>
                <w:p w14:paraId="62CF128D">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160</w:t>
                  </w:r>
                </w:p>
              </w:tc>
              <w:tc>
                <w:tcPr>
                  <w:tcW w:w="1212" w:type="dxa"/>
                  <w:noWrap w:val="0"/>
                  <w:vAlign w:val="center"/>
                </w:tcPr>
                <w:p w14:paraId="570761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cs="Times New Roman"/>
                      <w:b w:val="0"/>
                      <w:bCs w:val="0"/>
                      <w:color w:val="auto"/>
                      <w:spacing w:val="-7"/>
                      <w:sz w:val="21"/>
                      <w:highlight w:val="none"/>
                      <w:lang w:val="en-US" w:eastAsia="zh-CN"/>
                    </w:rPr>
                    <w:t>96.25</w:t>
                  </w:r>
                </w:p>
              </w:tc>
              <w:tc>
                <w:tcPr>
                  <w:tcW w:w="899" w:type="dxa"/>
                  <w:noWrap w:val="0"/>
                  <w:vAlign w:val="center"/>
                </w:tcPr>
                <w:p w14:paraId="0B23AE02">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pacing w:val="-7"/>
                      <w:sz w:val="21"/>
                      <w:highlight w:val="none"/>
                      <w:lang w:val="en-US" w:eastAsia="zh-CN"/>
                    </w:rPr>
                  </w:pPr>
                  <w:r>
                    <w:rPr>
                      <w:rFonts w:hint="default" w:ascii="Times New Roman" w:hAnsi="Times New Roman" w:eastAsia="宋体" w:cs="Times New Roman"/>
                      <w:b w:val="0"/>
                      <w:bCs w:val="0"/>
                      <w:color w:val="auto"/>
                      <w:spacing w:val="-7"/>
                      <w:sz w:val="21"/>
                      <w:highlight w:val="none"/>
                      <w:lang w:val="en-US" w:eastAsia="zh-CN"/>
                    </w:rPr>
                    <w:t>达标</w:t>
                  </w:r>
                </w:p>
              </w:tc>
            </w:tr>
          </w:tbl>
          <w:p w14:paraId="02CC00EB">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据上表可知，</w:t>
            </w:r>
            <w:r>
              <w:rPr>
                <w:rFonts w:hint="default" w:ascii="Times New Roman" w:hAnsi="Times New Roman" w:cs="Times New Roman"/>
                <w:color w:val="auto"/>
                <w:sz w:val="24"/>
                <w:highlight w:val="none"/>
                <w:lang w:val="en-US" w:eastAsia="zh-CN"/>
              </w:rPr>
              <w:t>陕西省西安市西咸新区</w:t>
            </w:r>
            <w:r>
              <w:rPr>
                <w:rFonts w:hint="default" w:ascii="Times New Roman" w:hAnsi="Times New Roman" w:eastAsia="宋体" w:cs="Times New Roman"/>
                <w:color w:val="auto"/>
                <w:sz w:val="24"/>
                <w:szCs w:val="24"/>
                <w:highlight w:val="none"/>
                <w:lang w:val="en-US" w:eastAsia="zh-CN"/>
              </w:rPr>
              <w:t>环境空气6个监测项目中，SO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、NO</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、年均质量浓度值</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CO24小时平均第95百分位质量浓度、O</w:t>
            </w:r>
            <w:r>
              <w:rPr>
                <w:rFonts w:hint="default" w:ascii="Times New Roman" w:hAnsi="Times New Roman" w:eastAsia="宋体" w:cs="Times New Roman"/>
                <w:color w:val="auto"/>
                <w:sz w:val="24"/>
                <w:szCs w:val="24"/>
                <w:highlight w:val="none"/>
                <w:vertAlign w:val="subscript"/>
                <w:lang w:val="en-US" w:eastAsia="zh-CN"/>
              </w:rPr>
              <w:t>3</w:t>
            </w:r>
            <w:r>
              <w:rPr>
                <w:rFonts w:hint="default" w:ascii="Times New Roman" w:hAnsi="Times New Roman" w:eastAsia="宋体" w:cs="Times New Roman"/>
                <w:color w:val="auto"/>
                <w:sz w:val="24"/>
                <w:szCs w:val="24"/>
                <w:highlight w:val="none"/>
                <w:lang w:val="en-US" w:eastAsia="zh-CN"/>
              </w:rPr>
              <w:t>日最大8小时平均第90百分位质量浓度均低于</w:t>
            </w:r>
            <w:r>
              <w:rPr>
                <w:rFonts w:hint="eastAsia"/>
                <w:sz w:val="24"/>
                <w:szCs w:val="24"/>
                <w:highlight w:val="none"/>
              </w:rPr>
              <w:t>《环境空气质量标准》（</w:t>
            </w:r>
            <w:r>
              <w:rPr>
                <w:rFonts w:hint="eastAsia"/>
                <w:sz w:val="24"/>
                <w:szCs w:val="24"/>
                <w:highlight w:val="none"/>
                <w:lang w:eastAsia="zh-CN"/>
              </w:rPr>
              <w:t>GB 3095</w:t>
            </w:r>
            <w:r>
              <w:rPr>
                <w:rFonts w:hint="eastAsia"/>
                <w:sz w:val="24"/>
                <w:szCs w:val="24"/>
                <w:highlight w:val="none"/>
              </w:rPr>
              <w:t>-2026）</w:t>
            </w:r>
            <w:r>
              <w:rPr>
                <w:rFonts w:hint="default" w:ascii="Times New Roman" w:hAnsi="Times New Roman" w:eastAsia="宋体" w:cs="Times New Roman"/>
                <w:b w:val="0"/>
                <w:sz w:val="24"/>
                <w:highlight w:val="none"/>
              </w:rPr>
              <w:t>中过渡阶段二级标准要求。</w:t>
            </w:r>
            <w:r>
              <w:rPr>
                <w:rFonts w:hint="default" w:ascii="Times New Roman" w:hAnsi="Times New Roman" w:eastAsia="宋体" w:cs="Times New Roman"/>
                <w:color w:val="auto"/>
                <w:sz w:val="24"/>
                <w:szCs w:val="24"/>
                <w:highlight w:val="none"/>
                <w:lang w:val="en-US" w:eastAsia="zh-CN"/>
              </w:rPr>
              <w:t>PM</w:t>
            </w:r>
            <w:r>
              <w:rPr>
                <w:rFonts w:hint="default" w:ascii="Times New Roman" w:hAnsi="Times New Roman" w:eastAsia="宋体" w:cs="Times New Roman"/>
                <w:color w:val="auto"/>
                <w:sz w:val="24"/>
                <w:szCs w:val="24"/>
                <w:highlight w:val="none"/>
                <w:vertAlign w:val="subscript"/>
                <w:lang w:val="en-US" w:eastAsia="zh-CN"/>
              </w:rPr>
              <w:t>2.5</w:t>
            </w:r>
            <w:r>
              <w:rPr>
                <w:rFonts w:hint="default" w:ascii="Times New Roman" w:hAnsi="Times New Roman" w:cs="Times New Roman"/>
                <w:color w:val="auto"/>
                <w:sz w:val="24"/>
                <w:szCs w:val="24"/>
                <w:highlight w:val="none"/>
                <w:vertAlign w:val="baseline"/>
                <w:lang w:val="en-US" w:eastAsia="zh-CN"/>
              </w:rPr>
              <w:t>、</w:t>
            </w:r>
            <w:r>
              <w:rPr>
                <w:rFonts w:hint="default" w:ascii="Times New Roman" w:hAnsi="Times New Roman" w:eastAsia="宋体" w:cs="Times New Roman"/>
                <w:color w:val="auto"/>
                <w:sz w:val="24"/>
                <w:szCs w:val="24"/>
                <w:highlight w:val="none"/>
                <w:lang w:val="en-US" w:eastAsia="zh-CN"/>
              </w:rPr>
              <w:t>PM</w:t>
            </w:r>
            <w:r>
              <w:rPr>
                <w:rFonts w:hint="default" w:ascii="Times New Roman" w:hAnsi="Times New Roman" w:eastAsia="宋体" w:cs="Times New Roman"/>
                <w:color w:val="auto"/>
                <w:sz w:val="24"/>
                <w:szCs w:val="24"/>
                <w:highlight w:val="none"/>
                <w:vertAlign w:val="subscript"/>
                <w:lang w:val="en-US" w:eastAsia="zh-CN"/>
              </w:rPr>
              <w:t>10</w:t>
            </w:r>
            <w:r>
              <w:rPr>
                <w:rFonts w:hint="default" w:ascii="Times New Roman" w:hAnsi="Times New Roman" w:eastAsia="宋体" w:cs="Times New Roman"/>
                <w:color w:val="auto"/>
                <w:sz w:val="24"/>
                <w:szCs w:val="24"/>
                <w:highlight w:val="none"/>
                <w:lang w:val="en-US" w:eastAsia="zh-CN"/>
              </w:rPr>
              <w:t>年均质量浓度值</w:t>
            </w:r>
            <w:r>
              <w:rPr>
                <w:rFonts w:hint="default" w:ascii="Times New Roman" w:hAnsi="Times New Roman" w:cs="Times New Roman"/>
                <w:color w:val="auto"/>
                <w:sz w:val="24"/>
                <w:szCs w:val="24"/>
                <w:highlight w:val="none"/>
                <w:lang w:val="en-US" w:eastAsia="zh-CN"/>
              </w:rPr>
              <w:t>高</w:t>
            </w:r>
            <w:r>
              <w:rPr>
                <w:rFonts w:hint="default" w:ascii="Times New Roman" w:hAnsi="Times New Roman" w:eastAsia="宋体" w:cs="Times New Roman"/>
                <w:color w:val="auto"/>
                <w:sz w:val="24"/>
                <w:szCs w:val="24"/>
                <w:highlight w:val="none"/>
                <w:lang w:val="en-US" w:eastAsia="zh-CN"/>
              </w:rPr>
              <w:t>于</w:t>
            </w:r>
            <w:r>
              <w:rPr>
                <w:rFonts w:hint="eastAsia"/>
                <w:sz w:val="24"/>
                <w:szCs w:val="24"/>
                <w:highlight w:val="none"/>
              </w:rPr>
              <w:t>《环境空气质量标准》（GB3095-2026）</w:t>
            </w:r>
            <w:r>
              <w:rPr>
                <w:rFonts w:hint="default" w:ascii="Times New Roman" w:hAnsi="Times New Roman" w:eastAsia="宋体" w:cs="Times New Roman"/>
                <w:color w:val="auto"/>
                <w:sz w:val="24"/>
                <w:szCs w:val="24"/>
                <w:highlight w:val="none"/>
                <w:lang w:val="en-US" w:eastAsia="zh-CN"/>
              </w:rPr>
              <w:t>过渡阶段二级标准</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因此本项目处于</w:t>
            </w:r>
            <w:r>
              <w:rPr>
                <w:rFonts w:hint="default" w:ascii="Times New Roman" w:hAnsi="Times New Roman" w:cs="Times New Roman"/>
                <w:color w:val="auto"/>
                <w:sz w:val="24"/>
                <w:szCs w:val="24"/>
                <w:highlight w:val="none"/>
                <w:lang w:val="en-US" w:eastAsia="zh-CN"/>
              </w:rPr>
              <w:t>不</w:t>
            </w:r>
            <w:r>
              <w:rPr>
                <w:rFonts w:hint="default" w:ascii="Times New Roman" w:hAnsi="Times New Roman" w:eastAsia="宋体" w:cs="Times New Roman"/>
                <w:color w:val="auto"/>
                <w:sz w:val="24"/>
                <w:szCs w:val="24"/>
                <w:highlight w:val="none"/>
                <w:lang w:val="en-US" w:eastAsia="zh-CN"/>
              </w:rPr>
              <w:t>达标区。</w:t>
            </w:r>
          </w:p>
          <w:p w14:paraId="1E75C1D7">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2.特征污染物监测</w:t>
            </w:r>
          </w:p>
          <w:p w14:paraId="5AA16002">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sz w:val="24"/>
                <w:szCs w:val="24"/>
                <w:highlight w:val="none"/>
                <w:lang w:val="en-US" w:eastAsia="zh-CN"/>
              </w:rPr>
              <w:t>本项目涉及的大气特征</w:t>
            </w:r>
            <w:r>
              <w:rPr>
                <w:rFonts w:hint="default" w:ascii="Times New Roman" w:hAnsi="Times New Roman" w:eastAsia="宋体" w:cs="Times New Roman"/>
                <w:color w:val="auto"/>
                <w:kern w:val="0"/>
                <w:sz w:val="24"/>
                <w:szCs w:val="24"/>
                <w:highlight w:val="none"/>
                <w:lang w:val="en-US" w:eastAsia="zh-CN" w:bidi="ar"/>
              </w:rPr>
              <w:t>污染物为颗粒物（TSP）和非甲烷总烃（NMHC）。按照《建设项目环境影响报告表编制技术指南（污染影响类）（试行）》，特征污染物现状数据引用建设项目周边5km范围内近3年的现有监测数据。</w:t>
            </w:r>
          </w:p>
          <w:p w14:paraId="76949EDA">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32"/>
                <w:highlight w:val="none"/>
              </w:rPr>
              <w:t>①引用《陕西德祥建材有限公司XPS节能材料生产线改扩建项目环境影响报告表》中的现状监测数据（委托中量检测认证有限公司于2025年4月23日</w:t>
            </w:r>
            <w:r>
              <w:rPr>
                <w:rFonts w:hint="eastAsia"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25日在项目下风向监测，监测点位位于本项目西</w:t>
            </w:r>
            <w:r>
              <w:rPr>
                <w:rFonts w:hint="default" w:ascii="Times New Roman" w:hAnsi="Times New Roman" w:cs="Times New Roman"/>
                <w:color w:val="auto"/>
                <w:sz w:val="24"/>
                <w:szCs w:val="32"/>
                <w:highlight w:val="none"/>
                <w:lang w:val="en-US" w:eastAsia="zh-CN"/>
              </w:rPr>
              <w:t>北</w:t>
            </w:r>
            <w:r>
              <w:rPr>
                <w:rFonts w:hint="default" w:ascii="Times New Roman" w:hAnsi="Times New Roman" w:eastAsia="宋体" w:cs="Times New Roman"/>
                <w:color w:val="auto"/>
                <w:sz w:val="24"/>
                <w:szCs w:val="32"/>
                <w:highlight w:val="none"/>
              </w:rPr>
              <w:t>侧约</w:t>
            </w:r>
            <w:r>
              <w:rPr>
                <w:rFonts w:hint="default" w:ascii="Times New Roman" w:hAnsi="Times New Roman" w:cs="Times New Roman"/>
                <w:color w:val="auto"/>
                <w:sz w:val="24"/>
                <w:szCs w:val="32"/>
                <w:highlight w:val="none"/>
                <w:lang w:val="en-US" w:eastAsia="zh-CN"/>
              </w:rPr>
              <w:t>1500</w:t>
            </w:r>
            <w:r>
              <w:rPr>
                <w:rFonts w:hint="default" w:ascii="Times New Roman" w:hAnsi="Times New Roman" w:eastAsia="宋体" w:cs="Times New Roman"/>
                <w:color w:val="auto"/>
                <w:sz w:val="24"/>
                <w:szCs w:val="32"/>
                <w:highlight w:val="none"/>
              </w:rPr>
              <w:t>m处，引用点位及监测时间均符合技术指南要求）。监测结果见表3-2。</w:t>
            </w:r>
          </w:p>
          <w:p w14:paraId="1EE724F9">
            <w:pPr>
              <w:keepNext w:val="0"/>
              <w:keepLines w:val="0"/>
              <w:suppressLineNumbers w:val="0"/>
              <w:spacing w:before="120" w:beforeAutospacing="0" w:after="80" w:afterAutospacing="0" w:line="240" w:lineRule="auto"/>
              <w:ind w:left="0" w:right="0"/>
              <w:jc w:val="center"/>
              <w:rPr>
                <w:rFonts w:hint="default" w:ascii="Times New Roman" w:hAnsi="Times New Roman" w:cs="Times New Roman"/>
                <w:sz w:val="24"/>
                <w:szCs w:val="24"/>
                <w:highlight w:val="none"/>
              </w:rPr>
            </w:pPr>
            <w:r>
              <w:rPr>
                <w:rFonts w:hint="default" w:ascii="Times New Roman" w:hAnsi="Times New Roman" w:eastAsia="宋体" w:cs="Times New Roman"/>
                <w:b/>
                <w:sz w:val="24"/>
                <w:szCs w:val="24"/>
                <w:highlight w:val="none"/>
              </w:rPr>
              <w:t>表3-2  TSP环境质量现状监测结果（单位：μg/m³）</w:t>
            </w:r>
          </w:p>
          <w:tbl>
            <w:tblPr>
              <w:tblStyle w:val="32"/>
              <w:tblW w:w="8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21"/>
              <w:gridCol w:w="1140"/>
              <w:gridCol w:w="1024"/>
              <w:gridCol w:w="980"/>
              <w:gridCol w:w="626"/>
              <w:gridCol w:w="1056"/>
              <w:gridCol w:w="1057"/>
              <w:gridCol w:w="539"/>
              <w:gridCol w:w="384"/>
              <w:gridCol w:w="438"/>
            </w:tblGrid>
            <w:tr w14:paraId="4D10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08" w:type="pct"/>
                  <w:vMerge w:val="restart"/>
                  <w:tcBorders>
                    <w:tl2br w:val="nil"/>
                    <w:tr2bl w:val="nil"/>
                  </w:tcBorders>
                  <w:noWrap w:val="0"/>
                  <w:vAlign w:val="center"/>
                </w:tcPr>
                <w:p w14:paraId="3F533B1E">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监测</w:t>
                  </w:r>
                </w:p>
                <w:p w14:paraId="27CDE22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点位</w:t>
                  </w:r>
                </w:p>
              </w:tc>
              <w:tc>
                <w:tcPr>
                  <w:tcW w:w="1341" w:type="pct"/>
                  <w:gridSpan w:val="2"/>
                  <w:tcBorders>
                    <w:tl2br w:val="nil"/>
                    <w:tr2bl w:val="nil"/>
                  </w:tcBorders>
                  <w:noWrap w:val="0"/>
                  <w:vAlign w:val="center"/>
                </w:tcPr>
                <w:p w14:paraId="2FE4387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监测点位坐标</w:t>
                  </w:r>
                </w:p>
              </w:tc>
              <w:tc>
                <w:tcPr>
                  <w:tcW w:w="607" w:type="pct"/>
                  <w:vMerge w:val="restart"/>
                  <w:tcBorders>
                    <w:tl2br w:val="nil"/>
                    <w:tr2bl w:val="nil"/>
                  </w:tcBorders>
                  <w:noWrap w:val="0"/>
                  <w:vAlign w:val="center"/>
                </w:tcPr>
                <w:p w14:paraId="1EDCED0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污染物</w:t>
                  </w:r>
                </w:p>
              </w:tc>
              <w:tc>
                <w:tcPr>
                  <w:tcW w:w="388" w:type="pct"/>
                  <w:vMerge w:val="restart"/>
                  <w:tcBorders>
                    <w:tl2br w:val="nil"/>
                    <w:tr2bl w:val="nil"/>
                  </w:tcBorders>
                  <w:noWrap w:val="0"/>
                  <w:vAlign w:val="center"/>
                </w:tcPr>
                <w:p w14:paraId="2E58D4F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平均时间</w:t>
                  </w:r>
                </w:p>
              </w:tc>
              <w:tc>
                <w:tcPr>
                  <w:tcW w:w="654" w:type="pct"/>
                  <w:vMerge w:val="restart"/>
                  <w:tcBorders>
                    <w:tl2br w:val="nil"/>
                    <w:tr2bl w:val="nil"/>
                  </w:tcBorders>
                  <w:noWrap w:val="0"/>
                  <w:vAlign w:val="center"/>
                </w:tcPr>
                <w:p w14:paraId="10D4A381">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评价标准</w:t>
                  </w:r>
                  <w:r>
                    <w:rPr>
                      <w:rFonts w:hint="default" w:ascii="Times New Roman" w:hAnsi="Times New Roman" w:cs="Times New Roman"/>
                      <w:b/>
                      <w:color w:val="000000" w:themeColor="text1"/>
                      <w:szCs w:val="21"/>
                      <w:highlight w:val="none"/>
                      <w14:textFill>
                        <w14:solidFill>
                          <w14:schemeClr w14:val="tx1"/>
                        </w14:solidFill>
                      </w14:textFill>
                    </w:rPr>
                    <w:t>（μg/m³）</w:t>
                  </w:r>
                </w:p>
              </w:tc>
              <w:tc>
                <w:tcPr>
                  <w:tcW w:w="655" w:type="pct"/>
                  <w:vMerge w:val="restart"/>
                  <w:tcBorders>
                    <w:tl2br w:val="nil"/>
                    <w:tr2bl w:val="nil"/>
                  </w:tcBorders>
                  <w:noWrap w:val="0"/>
                  <w:vAlign w:val="center"/>
                </w:tcPr>
                <w:p w14:paraId="4F914F0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监测浓度范围/</w:t>
                  </w:r>
                  <w:r>
                    <w:rPr>
                      <w:rFonts w:hint="default" w:ascii="Times New Roman" w:hAnsi="Times New Roman" w:cs="Times New Roman"/>
                      <w:b/>
                      <w:color w:val="000000" w:themeColor="text1"/>
                      <w:szCs w:val="21"/>
                      <w:highlight w:val="none"/>
                      <w14:textFill>
                        <w14:solidFill>
                          <w14:schemeClr w14:val="tx1"/>
                        </w14:solidFill>
                      </w14:textFill>
                    </w:rPr>
                    <w:t>（μg/m³）</w:t>
                  </w:r>
                </w:p>
              </w:tc>
              <w:tc>
                <w:tcPr>
                  <w:tcW w:w="334" w:type="pct"/>
                  <w:vMerge w:val="restart"/>
                  <w:tcBorders>
                    <w:tl2br w:val="nil"/>
                    <w:tr2bl w:val="nil"/>
                  </w:tcBorders>
                  <w:noWrap w:val="0"/>
                  <w:vAlign w:val="center"/>
                </w:tcPr>
                <w:p w14:paraId="4DC8CED5">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最大浓度占标率/%</w:t>
                  </w:r>
                </w:p>
              </w:tc>
              <w:tc>
                <w:tcPr>
                  <w:tcW w:w="238" w:type="pct"/>
                  <w:vMerge w:val="restart"/>
                  <w:tcBorders>
                    <w:tl2br w:val="nil"/>
                    <w:tr2bl w:val="nil"/>
                  </w:tcBorders>
                  <w:noWrap w:val="0"/>
                  <w:vAlign w:val="center"/>
                </w:tcPr>
                <w:p w14:paraId="05CB7BF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超标率/%</w:t>
                  </w:r>
                </w:p>
              </w:tc>
              <w:tc>
                <w:tcPr>
                  <w:tcW w:w="271" w:type="pct"/>
                  <w:vMerge w:val="restart"/>
                  <w:tcBorders>
                    <w:tl2br w:val="nil"/>
                    <w:tr2bl w:val="nil"/>
                  </w:tcBorders>
                  <w:noWrap w:val="0"/>
                  <w:vAlign w:val="center"/>
                </w:tcPr>
                <w:p w14:paraId="2F8ABB4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达标情况</w:t>
                  </w:r>
                </w:p>
              </w:tc>
            </w:tr>
            <w:tr w14:paraId="5EB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50" w:hRule="atLeast"/>
                <w:jc w:val="center"/>
              </w:trPr>
              <w:tc>
                <w:tcPr>
                  <w:tcW w:w="508" w:type="pct"/>
                  <w:vMerge w:val="continue"/>
                  <w:tcBorders>
                    <w:tl2br w:val="nil"/>
                    <w:tr2bl w:val="nil"/>
                  </w:tcBorders>
                  <w:noWrap w:val="0"/>
                  <w:vAlign w:val="center"/>
                </w:tcPr>
                <w:p w14:paraId="5DCB303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p>
              </w:tc>
              <w:tc>
                <w:tcPr>
                  <w:tcW w:w="706" w:type="pct"/>
                  <w:tcBorders>
                    <w:tl2br w:val="nil"/>
                    <w:tr2bl w:val="nil"/>
                  </w:tcBorders>
                  <w:noWrap w:val="0"/>
                  <w:vAlign w:val="center"/>
                </w:tcPr>
                <w:p w14:paraId="5F4FD38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经度</w:t>
                  </w:r>
                </w:p>
              </w:tc>
              <w:tc>
                <w:tcPr>
                  <w:tcW w:w="634" w:type="pct"/>
                  <w:tcBorders>
                    <w:tl2br w:val="nil"/>
                    <w:tr2bl w:val="nil"/>
                  </w:tcBorders>
                  <w:noWrap w:val="0"/>
                  <w:vAlign w:val="center"/>
                </w:tcPr>
                <w:p w14:paraId="10CD0F5E">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r>
                    <w:rPr>
                      <w:rFonts w:hint="default" w:ascii="Times New Roman" w:hAnsi="Times New Roman" w:cs="Times New Roman"/>
                      <w:b/>
                      <w:bCs/>
                      <w:color w:val="000000" w:themeColor="text1"/>
                      <w:szCs w:val="21"/>
                      <w:highlight w:val="none"/>
                      <w14:textFill>
                        <w14:solidFill>
                          <w14:schemeClr w14:val="tx1"/>
                        </w14:solidFill>
                      </w14:textFill>
                    </w:rPr>
                    <w:t>纬度</w:t>
                  </w:r>
                </w:p>
              </w:tc>
              <w:tc>
                <w:tcPr>
                  <w:tcW w:w="607" w:type="pct"/>
                  <w:vMerge w:val="continue"/>
                  <w:tcBorders>
                    <w:tl2br w:val="nil"/>
                    <w:tr2bl w:val="nil"/>
                  </w:tcBorders>
                  <w:noWrap w:val="0"/>
                  <w:vAlign w:val="center"/>
                </w:tcPr>
                <w:p w14:paraId="732B3BF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p>
              </w:tc>
              <w:tc>
                <w:tcPr>
                  <w:tcW w:w="388" w:type="pct"/>
                  <w:vMerge w:val="continue"/>
                  <w:tcBorders>
                    <w:tl2br w:val="nil"/>
                    <w:tr2bl w:val="nil"/>
                  </w:tcBorders>
                  <w:noWrap w:val="0"/>
                  <w:vAlign w:val="center"/>
                </w:tcPr>
                <w:p w14:paraId="68162B1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p>
              </w:tc>
              <w:tc>
                <w:tcPr>
                  <w:tcW w:w="654" w:type="pct"/>
                  <w:vMerge w:val="continue"/>
                  <w:tcBorders>
                    <w:tl2br w:val="nil"/>
                    <w:tr2bl w:val="nil"/>
                  </w:tcBorders>
                  <w:noWrap w:val="0"/>
                  <w:vAlign w:val="center"/>
                </w:tcPr>
                <w:p w14:paraId="1D571F6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p>
              </w:tc>
              <w:tc>
                <w:tcPr>
                  <w:tcW w:w="655" w:type="pct"/>
                  <w:vMerge w:val="continue"/>
                  <w:tcBorders>
                    <w:tl2br w:val="nil"/>
                    <w:tr2bl w:val="nil"/>
                  </w:tcBorders>
                  <w:noWrap w:val="0"/>
                  <w:vAlign w:val="center"/>
                </w:tcPr>
                <w:p w14:paraId="7304811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p>
              </w:tc>
              <w:tc>
                <w:tcPr>
                  <w:tcW w:w="334" w:type="pct"/>
                  <w:vMerge w:val="continue"/>
                  <w:tcBorders>
                    <w:tl2br w:val="nil"/>
                    <w:tr2bl w:val="nil"/>
                  </w:tcBorders>
                  <w:noWrap w:val="0"/>
                  <w:vAlign w:val="center"/>
                </w:tcPr>
                <w:p w14:paraId="15272B6A">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p>
              </w:tc>
              <w:tc>
                <w:tcPr>
                  <w:tcW w:w="238" w:type="pct"/>
                  <w:vMerge w:val="continue"/>
                  <w:tcBorders>
                    <w:tl2br w:val="nil"/>
                    <w:tr2bl w:val="nil"/>
                  </w:tcBorders>
                  <w:noWrap w:val="0"/>
                  <w:vAlign w:val="center"/>
                </w:tcPr>
                <w:p w14:paraId="3F2ABC15">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p>
              </w:tc>
              <w:tc>
                <w:tcPr>
                  <w:tcW w:w="271" w:type="pct"/>
                  <w:vMerge w:val="continue"/>
                  <w:tcBorders>
                    <w:tl2br w:val="nil"/>
                    <w:tr2bl w:val="nil"/>
                  </w:tcBorders>
                  <w:noWrap w:val="0"/>
                  <w:vAlign w:val="center"/>
                </w:tcPr>
                <w:p w14:paraId="67FB93E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000000" w:themeColor="text1"/>
                      <w:szCs w:val="21"/>
                      <w:highlight w:val="none"/>
                      <w14:textFill>
                        <w14:solidFill>
                          <w14:schemeClr w14:val="tx1"/>
                        </w14:solidFill>
                      </w14:textFill>
                    </w:rPr>
                  </w:pPr>
                </w:p>
              </w:tc>
            </w:tr>
            <w:tr w14:paraId="3AAA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7" w:hRule="atLeast"/>
                <w:jc w:val="center"/>
              </w:trPr>
              <w:tc>
                <w:tcPr>
                  <w:tcW w:w="508" w:type="pct"/>
                  <w:vMerge w:val="restart"/>
                  <w:tcBorders>
                    <w:tl2br w:val="nil"/>
                    <w:tr2bl w:val="nil"/>
                  </w:tcBorders>
                  <w:noWrap w:val="0"/>
                  <w:vAlign w:val="center"/>
                </w:tcPr>
                <w:p w14:paraId="1138B8F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厂址下风向</w:t>
                  </w:r>
                </w:p>
              </w:tc>
              <w:tc>
                <w:tcPr>
                  <w:tcW w:w="706" w:type="pct"/>
                  <w:vMerge w:val="restart"/>
                  <w:tcBorders>
                    <w:tl2br w:val="nil"/>
                    <w:tr2bl w:val="nil"/>
                  </w:tcBorders>
                  <w:noWrap w:val="0"/>
                  <w:vAlign w:val="center"/>
                </w:tcPr>
                <w:p w14:paraId="079C5C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Cs w:val="21"/>
                      <w:highlight w:val="none"/>
                      <w14:textFill>
                        <w14:solidFill>
                          <w14:schemeClr w14:val="tx1"/>
                        </w14:solidFill>
                      </w14:textFill>
                    </w:rPr>
                    <w:t>10</w:t>
                  </w: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8</w:t>
                  </w:r>
                  <w:r>
                    <w:rPr>
                      <w:rFonts w:hint="default" w:ascii="Times New Roman" w:hAnsi="Times New Roman" w:cs="Times New Roman"/>
                      <w:bCs/>
                      <w:color w:val="000000" w:themeColor="text1"/>
                      <w:szCs w:val="21"/>
                      <w:highlight w:val="none"/>
                      <w14:textFill>
                        <w14:solidFill>
                          <w14:schemeClr w14:val="tx1"/>
                        </w14:solidFill>
                      </w14:textFill>
                    </w:rPr>
                    <w:t>°</w:t>
                  </w:r>
                  <w:r>
                    <w:rPr>
                      <w:rFonts w:hint="default" w:ascii="Times New Roman" w:hAnsi="Times New Roman" w:eastAsia="宋体" w:cs="Times New Roman"/>
                      <w:bCs/>
                      <w:color w:val="000000" w:themeColor="text1"/>
                      <w:szCs w:val="21"/>
                      <w:highlight w:val="none"/>
                      <w:lang w:val="en-US" w:eastAsia="zh-CN"/>
                      <w14:textFill>
                        <w14:solidFill>
                          <w14:schemeClr w14:val="tx1"/>
                        </w14:solidFill>
                      </w14:textFill>
                    </w:rPr>
                    <w:t>36</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′56″</w:t>
                  </w:r>
                </w:p>
              </w:tc>
              <w:tc>
                <w:tcPr>
                  <w:tcW w:w="634" w:type="pct"/>
                  <w:vMerge w:val="restart"/>
                  <w:tcBorders>
                    <w:tl2br w:val="nil"/>
                    <w:tr2bl w:val="nil"/>
                  </w:tcBorders>
                  <w:noWrap w:val="0"/>
                  <w:vAlign w:val="center"/>
                </w:tcPr>
                <w:p w14:paraId="2AB5D02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Cs/>
                      <w:color w:val="000000" w:themeColor="text1"/>
                      <w:szCs w:val="21"/>
                      <w:highlight w:val="none"/>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34°11′57″</w:t>
                  </w:r>
                </w:p>
              </w:tc>
              <w:tc>
                <w:tcPr>
                  <w:tcW w:w="607" w:type="pct"/>
                  <w:tcBorders>
                    <w:tl2br w:val="nil"/>
                    <w:tr2bl w:val="nil"/>
                  </w:tcBorders>
                  <w:noWrap w:val="0"/>
                  <w:vAlign w:val="center"/>
                </w:tcPr>
                <w:p w14:paraId="00714B4D">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TSP</w:t>
                  </w:r>
                </w:p>
              </w:tc>
              <w:tc>
                <w:tcPr>
                  <w:tcW w:w="388" w:type="pct"/>
                  <w:tcBorders>
                    <w:tl2br w:val="nil"/>
                    <w:tr2bl w:val="nil"/>
                  </w:tcBorders>
                  <w:noWrap w:val="0"/>
                  <w:vAlign w:val="center"/>
                </w:tcPr>
                <w:p w14:paraId="18B384F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24h</w:t>
                  </w:r>
                </w:p>
              </w:tc>
              <w:tc>
                <w:tcPr>
                  <w:tcW w:w="654" w:type="pct"/>
                  <w:tcBorders>
                    <w:tl2br w:val="nil"/>
                    <w:tr2bl w:val="nil"/>
                  </w:tcBorders>
                  <w:noWrap w:val="0"/>
                  <w:vAlign w:val="center"/>
                </w:tcPr>
                <w:p w14:paraId="6FA490A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Cs w:val="21"/>
                      <w:highlight w:val="none"/>
                      <w14:textFill>
                        <w14:solidFill>
                          <w14:schemeClr w14:val="tx1"/>
                        </w14:solidFill>
                      </w14:textFill>
                    </w:rPr>
                    <w:t>00</w:t>
                  </w:r>
                </w:p>
              </w:tc>
              <w:tc>
                <w:tcPr>
                  <w:tcW w:w="655" w:type="pct"/>
                  <w:tcBorders>
                    <w:tl2br w:val="nil"/>
                    <w:tr2bl w:val="nil"/>
                  </w:tcBorders>
                  <w:noWrap w:val="0"/>
                  <w:vAlign w:val="center"/>
                </w:tcPr>
                <w:p w14:paraId="12C466E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125</w:t>
                  </w:r>
                  <w:r>
                    <w:rPr>
                      <w:rFonts w:hint="default" w:ascii="Times New Roman" w:hAnsi="Times New Roman" w:cs="Times New Roman"/>
                      <w:color w:val="000000" w:themeColor="text1"/>
                      <w:szCs w:val="21"/>
                      <w:highlight w:val="none"/>
                      <w14:textFill>
                        <w14:solidFill>
                          <w14:schemeClr w14:val="tx1"/>
                        </w14:solidFill>
                      </w14:textFill>
                    </w:rPr>
                    <w:t>~</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132</w:t>
                  </w:r>
                </w:p>
              </w:tc>
              <w:tc>
                <w:tcPr>
                  <w:tcW w:w="334" w:type="pct"/>
                  <w:tcBorders>
                    <w:tl2br w:val="nil"/>
                    <w:tr2bl w:val="nil"/>
                  </w:tcBorders>
                  <w:noWrap w:val="0"/>
                  <w:vAlign w:val="center"/>
                </w:tcPr>
                <w:p w14:paraId="0E7C214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44</w:t>
                  </w:r>
                </w:p>
              </w:tc>
              <w:tc>
                <w:tcPr>
                  <w:tcW w:w="238" w:type="pct"/>
                  <w:tcBorders>
                    <w:tl2br w:val="nil"/>
                    <w:tr2bl w:val="nil"/>
                  </w:tcBorders>
                  <w:noWrap w:val="0"/>
                  <w:vAlign w:val="center"/>
                </w:tcPr>
                <w:p w14:paraId="3ECFB66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0</w:t>
                  </w:r>
                </w:p>
              </w:tc>
              <w:tc>
                <w:tcPr>
                  <w:tcW w:w="271" w:type="pct"/>
                  <w:tcBorders>
                    <w:tl2br w:val="nil"/>
                    <w:tr2bl w:val="nil"/>
                  </w:tcBorders>
                  <w:noWrap w:val="0"/>
                  <w:vAlign w:val="center"/>
                </w:tcPr>
                <w:p w14:paraId="7726B62C">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达标</w:t>
                  </w:r>
                </w:p>
              </w:tc>
            </w:tr>
            <w:tr w14:paraId="40C2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08" w:type="pct"/>
                  <w:vMerge w:val="continue"/>
                  <w:tcBorders>
                    <w:tl2br w:val="nil"/>
                    <w:tr2bl w:val="nil"/>
                  </w:tcBorders>
                  <w:noWrap w:val="0"/>
                  <w:vAlign w:val="center"/>
                </w:tcPr>
                <w:p w14:paraId="22BB80FD">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706" w:type="pct"/>
                  <w:vMerge w:val="continue"/>
                  <w:tcBorders>
                    <w:tl2br w:val="nil"/>
                    <w:tr2bl w:val="nil"/>
                  </w:tcBorders>
                  <w:noWrap w:val="0"/>
                  <w:vAlign w:val="center"/>
                </w:tcPr>
                <w:p w14:paraId="20A30031">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634" w:type="pct"/>
                  <w:vMerge w:val="continue"/>
                  <w:tcBorders>
                    <w:tl2br w:val="nil"/>
                    <w:tr2bl w:val="nil"/>
                  </w:tcBorders>
                  <w:noWrap w:val="0"/>
                  <w:vAlign w:val="center"/>
                </w:tcPr>
                <w:p w14:paraId="5F4503DD">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p>
              </w:tc>
              <w:tc>
                <w:tcPr>
                  <w:tcW w:w="607" w:type="pct"/>
                  <w:tcBorders>
                    <w:tl2br w:val="nil"/>
                    <w:tr2bl w:val="nil"/>
                  </w:tcBorders>
                  <w:noWrap w:val="0"/>
                  <w:vAlign w:val="center"/>
                </w:tcPr>
                <w:p w14:paraId="0DAC3B0E">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非甲烷总烃</w:t>
                  </w:r>
                </w:p>
              </w:tc>
              <w:tc>
                <w:tcPr>
                  <w:tcW w:w="388" w:type="pct"/>
                  <w:tcBorders>
                    <w:tl2br w:val="nil"/>
                    <w:tr2bl w:val="nil"/>
                  </w:tcBorders>
                  <w:noWrap w:val="0"/>
                  <w:vAlign w:val="center"/>
                </w:tcPr>
                <w:p w14:paraId="478529D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1h</w:t>
                  </w:r>
                </w:p>
              </w:tc>
              <w:tc>
                <w:tcPr>
                  <w:tcW w:w="654" w:type="pct"/>
                  <w:tcBorders>
                    <w:tl2br w:val="nil"/>
                    <w:tr2bl w:val="nil"/>
                  </w:tcBorders>
                  <w:noWrap w:val="0"/>
                  <w:vAlign w:val="center"/>
                </w:tcPr>
                <w:p w14:paraId="4A93C43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2.0</w:t>
                  </w:r>
                </w:p>
              </w:tc>
              <w:tc>
                <w:tcPr>
                  <w:tcW w:w="655" w:type="pct"/>
                  <w:tcBorders>
                    <w:tl2br w:val="nil"/>
                    <w:tr2bl w:val="nil"/>
                  </w:tcBorders>
                  <w:noWrap w:val="0"/>
                  <w:vAlign w:val="center"/>
                </w:tcPr>
                <w:p w14:paraId="2C2B489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84</w:t>
                  </w:r>
                  <w:r>
                    <w:rPr>
                      <w:rFonts w:hint="default" w:ascii="Times New Roman" w:hAnsi="Times New Roman" w:cs="Times New Roman"/>
                      <w:color w:val="000000" w:themeColor="text1"/>
                      <w:szCs w:val="21"/>
                      <w:highlight w:val="none"/>
                      <w14:textFill>
                        <w14:solidFill>
                          <w14:schemeClr w14:val="tx1"/>
                        </w14:solidFill>
                      </w14:textFill>
                    </w:rPr>
                    <w:t>~0.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92</w:t>
                  </w:r>
                </w:p>
              </w:tc>
              <w:tc>
                <w:tcPr>
                  <w:tcW w:w="334" w:type="pct"/>
                  <w:tcBorders>
                    <w:tl2br w:val="nil"/>
                    <w:tr2bl w:val="nil"/>
                  </w:tcBorders>
                  <w:noWrap w:val="0"/>
                  <w:vAlign w:val="center"/>
                </w:tcPr>
                <w:p w14:paraId="21E340E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46</w:t>
                  </w:r>
                </w:p>
              </w:tc>
              <w:tc>
                <w:tcPr>
                  <w:tcW w:w="238" w:type="pct"/>
                  <w:tcBorders>
                    <w:tl2br w:val="nil"/>
                    <w:tr2bl w:val="nil"/>
                  </w:tcBorders>
                  <w:noWrap w:val="0"/>
                  <w:vAlign w:val="center"/>
                </w:tcPr>
                <w:p w14:paraId="75D5D52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0</w:t>
                  </w:r>
                </w:p>
              </w:tc>
              <w:tc>
                <w:tcPr>
                  <w:tcW w:w="271" w:type="pct"/>
                  <w:tcBorders>
                    <w:tl2br w:val="nil"/>
                    <w:tr2bl w:val="nil"/>
                  </w:tcBorders>
                  <w:noWrap w:val="0"/>
                  <w:vAlign w:val="center"/>
                </w:tcPr>
                <w:p w14:paraId="464CC915">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达标</w:t>
                  </w:r>
                </w:p>
              </w:tc>
            </w:tr>
          </w:tbl>
          <w:p w14:paraId="0959B358">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highlight w:val="none"/>
              </w:rPr>
            </w:pPr>
            <w:r>
              <w:rPr>
                <w:rFonts w:hint="default" w:ascii="Times New Roman" w:hAnsi="Times New Roman" w:eastAsia="宋体" w:cs="Times New Roman"/>
                <w:b w:val="0"/>
                <w:sz w:val="24"/>
                <w:highlight w:val="none"/>
              </w:rPr>
              <w:t>监测结果表明，项目所在区域TSP日均值满足《环境空气质量标准》（GB3095-2026）中二级标准要求</w:t>
            </w:r>
            <w:r>
              <w:rPr>
                <w:rFonts w:hint="default" w:ascii="Times New Roman" w:hAnsi="Times New Roman" w:cs="Times New Roman"/>
                <w:b w:val="0"/>
                <w:sz w:val="24"/>
                <w:highlight w:val="none"/>
                <w:lang w:eastAsia="zh-CN"/>
              </w:rPr>
              <w:t>，非甲烷总烃符合《大气污染物综合排放标准详解》中限值要求。</w:t>
            </w:r>
          </w:p>
          <w:p w14:paraId="400C0389">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color w:val="auto"/>
                <w:sz w:val="24"/>
                <w:szCs w:val="24"/>
                <w:highlight w:val="none"/>
              </w:rPr>
              <w:t>②监测点位：本项目TSP、NMHC现状监测点位布置及引用点位分布详见附图</w:t>
            </w:r>
            <w:r>
              <w:rPr>
                <w:rFonts w:hint="default" w:ascii="Times New Roman" w:hAnsi="Times New Roman" w:eastAsia="宋体" w:cs="Times New Roman"/>
                <w:color w:val="auto"/>
                <w:sz w:val="24"/>
                <w:szCs w:val="24"/>
                <w:highlight w:val="none"/>
                <w:lang w:val="en-US" w:eastAsia="zh-CN"/>
              </w:rPr>
              <w:t>五</w:t>
            </w:r>
            <w:r>
              <w:rPr>
                <w:rFonts w:hint="default" w:ascii="Times New Roman" w:hAnsi="Times New Roman" w:eastAsia="宋体" w:cs="Times New Roman"/>
                <w:color w:val="auto"/>
                <w:sz w:val="24"/>
                <w:szCs w:val="24"/>
                <w:highlight w:val="none"/>
              </w:rPr>
              <w:t>监测点位图。</w:t>
            </w:r>
          </w:p>
          <w:p w14:paraId="11BC8C00">
            <w:pPr>
              <w:pStyle w:val="7"/>
              <w:keepNext w:val="0"/>
              <w:keepLines w:val="0"/>
              <w:numPr>
                <w:ilvl w:val="0"/>
                <w:numId w:val="5"/>
              </w:numPr>
              <w:suppressLineNumbers w:val="0"/>
              <w:spacing w:before="0" w:beforeAutospacing="0" w:after="0" w:afterAutospacing="0"/>
              <w:ind w:left="0" w:right="0" w:firstLine="482"/>
              <w:rPr>
                <w:rFonts w:hint="default" w:ascii="Times New Roman" w:hAnsi="Times New Roman" w:cs="Times New Roman"/>
                <w:b/>
                <w:color w:val="auto"/>
                <w:sz w:val="24"/>
                <w:highlight w:val="none"/>
                <w:lang w:val="en-US" w:eastAsia="zh-CN"/>
              </w:rPr>
            </w:pPr>
            <w:r>
              <w:rPr>
                <w:rFonts w:hint="default" w:ascii="Times New Roman" w:hAnsi="Times New Roman" w:cs="Times New Roman"/>
                <w:b/>
                <w:color w:val="auto"/>
                <w:sz w:val="24"/>
                <w:highlight w:val="none"/>
                <w:lang w:val="en-US" w:eastAsia="zh-CN"/>
              </w:rPr>
              <w:t>地表水环境质量现状</w:t>
            </w:r>
          </w:p>
          <w:p w14:paraId="61F2935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500" w:firstLineChars="200"/>
              <w:textAlignment w:val="auto"/>
              <w:rPr>
                <w:rFonts w:hint="default" w:ascii="Times New Roman" w:hAnsi="Times New Roman" w:cs="Times New Roman"/>
                <w:spacing w:val="5"/>
                <w:sz w:val="24"/>
                <w:szCs w:val="24"/>
                <w:highlight w:val="none"/>
                <w:lang w:eastAsia="zh-CN"/>
              </w:rPr>
            </w:pPr>
            <w:r>
              <w:rPr>
                <w:rFonts w:hint="default" w:ascii="Times New Roman" w:hAnsi="Times New Roman" w:cs="Times New Roman"/>
                <w:spacing w:val="5"/>
                <w:sz w:val="24"/>
                <w:szCs w:val="24"/>
                <w:highlight w:val="none"/>
                <w:lang w:eastAsia="zh-CN"/>
              </w:rPr>
              <w:t>本项目位于工业园区，生活污水经化粪池处理后定期清掏外运，生产废水经废水处理站处理后全部回用于厂区洒扫，纯水制备浓水、循环冷却系统排污等清净下水回用于厂区绿化洒扫，全厂废水不外排、不直接排入地表水体；项目周边500m范围内无地表水环境保护目标，无需进行地表水环境质量现状监测。</w:t>
            </w:r>
          </w:p>
          <w:p w14:paraId="38B1A1C9">
            <w:pPr>
              <w:pStyle w:val="7"/>
              <w:keepNext w:val="0"/>
              <w:keepLines w:val="0"/>
              <w:suppressLineNumbers w:val="0"/>
              <w:spacing w:before="0" w:beforeAutospacing="0" w:after="0" w:afterAutospacing="0"/>
              <w:ind w:left="0" w:right="0" w:firstLine="482"/>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3.</w:t>
            </w:r>
            <w:r>
              <w:rPr>
                <w:rFonts w:hint="default" w:ascii="Times New Roman" w:hAnsi="Times New Roman" w:cs="Times New Roman"/>
                <w:b/>
                <w:color w:val="auto"/>
                <w:sz w:val="24"/>
                <w:highlight w:val="none"/>
              </w:rPr>
              <w:t>声环境质量现状</w:t>
            </w:r>
          </w:p>
          <w:p w14:paraId="338C08E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bCs/>
                <w:color w:val="auto"/>
                <w:highlight w:val="none"/>
                <w:lang w:val="en-US" w:eastAsia="zh-CN"/>
              </w:rPr>
            </w:pPr>
            <w:r>
              <w:rPr>
                <w:rFonts w:hint="default" w:ascii="Times New Roman" w:hAnsi="Times New Roman" w:cs="Times New Roman"/>
                <w:color w:val="auto"/>
                <w:sz w:val="24"/>
                <w:szCs w:val="24"/>
                <w:highlight w:val="none"/>
                <w:lang w:val="en-US" w:eastAsia="zh-CN"/>
              </w:rPr>
              <w:t>根据沣西新城声环境功能区划，本项目位于3类声环境功能区。按照《建设项目环境影响报告表编制技术指南（污染影响类）（试行）》：“厂界外周边50m范围内存在声环境保护目标的建设项目，应监测保护目标声环境质量现状并评价达标情况”。经现场踏勘，本项目厂界外50m范围内无医院、学校、机关、科研单位、住宅等声环境保护目标，故不进行声环境质量现状监测。</w:t>
            </w:r>
          </w:p>
          <w:p w14:paraId="755C1316">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3.</w:t>
            </w:r>
            <w:r>
              <w:rPr>
                <w:rFonts w:hint="default" w:ascii="Times New Roman" w:hAnsi="Times New Roman" w:cs="Times New Roman"/>
                <w:b/>
                <w:color w:val="auto"/>
                <w:sz w:val="24"/>
                <w:highlight w:val="none"/>
              </w:rPr>
              <w:t>生态环境</w:t>
            </w:r>
          </w:p>
          <w:p w14:paraId="1207F44F">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cs="Times New Roman"/>
                <w:bCs/>
                <w:color w:val="auto"/>
                <w:kern w:val="28"/>
                <w:sz w:val="24"/>
                <w:highlight w:val="none"/>
              </w:rPr>
            </w:pPr>
            <w:r>
              <w:rPr>
                <w:rFonts w:hint="default" w:ascii="Times New Roman" w:hAnsi="Times New Roman" w:cs="Times New Roman"/>
                <w:bCs/>
                <w:color w:val="auto"/>
                <w:kern w:val="28"/>
                <w:sz w:val="24"/>
                <w:highlight w:val="none"/>
              </w:rPr>
              <w:t>本项目租赁已建成标准化厂房，不涉及新增建设用地，用地范围内不涉及自然保护区、风景名胜区、湿地等生态环境保护目标，区域为人工生态环境，本次评价不做生态环境现状调查。</w:t>
            </w:r>
          </w:p>
          <w:p w14:paraId="38596DA3">
            <w:pPr>
              <w:keepNext w:val="0"/>
              <w:keepLines w:val="0"/>
              <w:suppressLineNumbers w:val="0"/>
              <w:snapToGrid w:val="0"/>
              <w:spacing w:before="0" w:beforeAutospacing="0" w:after="0" w:afterAutospacing="0" w:line="360" w:lineRule="auto"/>
              <w:ind w:left="0" w:right="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4.</w:t>
            </w:r>
            <w:r>
              <w:rPr>
                <w:rFonts w:hint="default" w:ascii="Times New Roman" w:hAnsi="Times New Roman" w:cs="Times New Roman"/>
                <w:b/>
                <w:bCs/>
                <w:color w:val="auto"/>
                <w:sz w:val="24"/>
                <w:highlight w:val="none"/>
              </w:rPr>
              <w:t>地下水、土壤环境</w:t>
            </w:r>
          </w:p>
          <w:p w14:paraId="60FCC3DF">
            <w:pPr>
              <w:pStyle w:val="13"/>
              <w:keepNext w:val="0"/>
              <w:keepLines w:val="0"/>
              <w:suppressLineNumbers w:val="0"/>
              <w:spacing w:before="0" w:beforeAutospacing="0" w:after="0" w:afterAutospacing="0" w:line="360" w:lineRule="auto"/>
              <w:ind w:left="0" w:leftChars="0" w:right="0"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建设项目环境影响报告表编制技术指南（污染影响类）（试行）》，原则上不开展地下水、土壤环境质量现状调查；建设项目存在土壤、地下水环境污染途径的，应结合污染源、保护目标分布情况开展现状调查留作背景值。本项目租赁厂房地面已水泥硬化，生产车间、废水处理站、危废暂存间等区域采取重点防渗措施，垂直入渗及大气沉降污染途径可控，不存在明显地下水、土壤环境污染途径，故不开展地下水、土壤环境质量现状调查。</w:t>
            </w:r>
          </w:p>
        </w:tc>
      </w:tr>
      <w:tr w14:paraId="139D1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381" w:type="pct"/>
            <w:vAlign w:val="center"/>
          </w:tcPr>
          <w:p w14:paraId="4539E4A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环境</w:t>
            </w:r>
          </w:p>
          <w:p w14:paraId="673543D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保护</w:t>
            </w:r>
          </w:p>
          <w:p w14:paraId="7D5B420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目标</w:t>
            </w:r>
          </w:p>
        </w:tc>
        <w:tc>
          <w:tcPr>
            <w:tcW w:w="4618" w:type="pct"/>
          </w:tcPr>
          <w:p w14:paraId="45DF610D">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eastAsia="zh-CN"/>
              </w:rPr>
              <w:t>1.</w:t>
            </w:r>
            <w:r>
              <w:rPr>
                <w:rFonts w:hint="default" w:ascii="Times New Roman" w:hAnsi="Times New Roman" w:cs="Times New Roman"/>
                <w:b/>
                <w:bCs/>
                <w:color w:val="auto"/>
                <w:sz w:val="24"/>
                <w:highlight w:val="none"/>
              </w:rPr>
              <w:t>大气环境保护目标</w:t>
            </w:r>
          </w:p>
          <w:p w14:paraId="46B9309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根据对项目所在地的实地踏勘，本项目厂界外</w:t>
            </w:r>
            <w:r>
              <w:rPr>
                <w:rFonts w:hint="eastAsia" w:cs="Times New Roman"/>
                <w:color w:val="auto"/>
                <w:sz w:val="24"/>
                <w:highlight w:val="none"/>
                <w:lang w:eastAsia="zh-CN"/>
              </w:rPr>
              <w:t>500m</w:t>
            </w:r>
            <w:r>
              <w:rPr>
                <w:rFonts w:hint="default" w:ascii="Times New Roman" w:hAnsi="Times New Roman" w:cs="Times New Roman"/>
                <w:color w:val="auto"/>
                <w:sz w:val="24"/>
                <w:highlight w:val="none"/>
              </w:rPr>
              <w:t>范围内</w:t>
            </w:r>
            <w:r>
              <w:rPr>
                <w:rFonts w:hint="default" w:ascii="Times New Roman" w:hAnsi="Times New Roman" w:cs="Times New Roman"/>
                <w:color w:val="auto"/>
                <w:sz w:val="24"/>
                <w:highlight w:val="none"/>
                <w:lang w:val="en-US" w:eastAsia="zh-CN"/>
              </w:rPr>
              <w:t>的</w:t>
            </w:r>
            <w:r>
              <w:rPr>
                <w:rFonts w:hint="default" w:ascii="Times New Roman" w:hAnsi="Times New Roman" w:cs="Times New Roman"/>
                <w:color w:val="auto"/>
                <w:sz w:val="24"/>
                <w:highlight w:val="none"/>
              </w:rPr>
              <w:t>大气环境保护目标</w:t>
            </w:r>
            <w:r>
              <w:rPr>
                <w:rFonts w:hint="default" w:ascii="Times New Roman" w:hAnsi="Times New Roman" w:cs="Times New Roman"/>
                <w:color w:val="auto"/>
                <w:sz w:val="24"/>
                <w:highlight w:val="none"/>
                <w:lang w:val="en-US" w:eastAsia="zh-CN"/>
              </w:rPr>
              <w:t>为庄庄村、小精灵艺术幼儿园</w:t>
            </w:r>
            <w:r>
              <w:rPr>
                <w:rFonts w:hint="default" w:ascii="Times New Roman" w:hAnsi="Times New Roman" w:cs="Times New Roman"/>
                <w:color w:val="auto"/>
                <w:sz w:val="24"/>
                <w:highlight w:val="none"/>
              </w:rPr>
              <w:t>。</w:t>
            </w:r>
          </w:p>
          <w:p w14:paraId="77B0D284">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eastAsia="zh-CN"/>
              </w:rPr>
              <w:t>2.</w:t>
            </w:r>
            <w:r>
              <w:rPr>
                <w:rFonts w:hint="default" w:ascii="Times New Roman" w:hAnsi="Times New Roman" w:cs="Times New Roman"/>
                <w:b/>
                <w:bCs/>
                <w:color w:val="auto"/>
                <w:sz w:val="24"/>
                <w:highlight w:val="none"/>
              </w:rPr>
              <w:t>声环境保护目标</w:t>
            </w:r>
          </w:p>
          <w:p w14:paraId="253C6EF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本项目厂界外50m范围内无声环境保护目标。</w:t>
            </w:r>
          </w:p>
          <w:p w14:paraId="18DF946C">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lang w:eastAsia="zh-CN"/>
              </w:rPr>
              <w:t>3.</w:t>
            </w:r>
            <w:r>
              <w:rPr>
                <w:rFonts w:hint="default" w:ascii="Times New Roman" w:hAnsi="Times New Roman" w:cs="Times New Roman"/>
                <w:b/>
                <w:bCs/>
                <w:color w:val="auto"/>
                <w:sz w:val="24"/>
                <w:highlight w:val="none"/>
              </w:rPr>
              <w:t>地下水环境保护目</w:t>
            </w:r>
            <w:r>
              <w:rPr>
                <w:rFonts w:hint="default" w:ascii="Times New Roman" w:hAnsi="Times New Roman" w:cs="Times New Roman"/>
                <w:color w:val="auto"/>
                <w:sz w:val="24"/>
                <w:highlight w:val="none"/>
              </w:rPr>
              <w:t>标</w:t>
            </w:r>
          </w:p>
          <w:p w14:paraId="1C72333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本项目厂界外500m范围内无地下水集中式饮用水水源和热水、矿泉水、温泉等特殊地下水资源。</w:t>
            </w:r>
          </w:p>
          <w:p w14:paraId="4F332C1E">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eastAsia="zh-CN"/>
              </w:rPr>
              <w:t>4.</w:t>
            </w:r>
            <w:r>
              <w:rPr>
                <w:rFonts w:hint="default" w:ascii="Times New Roman" w:hAnsi="Times New Roman" w:cs="Times New Roman"/>
                <w:b/>
                <w:bCs/>
                <w:color w:val="auto"/>
                <w:sz w:val="24"/>
                <w:highlight w:val="none"/>
              </w:rPr>
              <w:t>地表水环境保护目标</w:t>
            </w:r>
          </w:p>
          <w:p w14:paraId="7493E34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项目周边500m范围内无地表水环境保护目标。</w:t>
            </w:r>
          </w:p>
          <w:p w14:paraId="7BEAC9BD">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eastAsia="zh-CN"/>
              </w:rPr>
              <w:t>5.</w:t>
            </w:r>
            <w:r>
              <w:rPr>
                <w:rFonts w:hint="default" w:ascii="Times New Roman" w:hAnsi="Times New Roman" w:cs="Times New Roman"/>
                <w:b/>
                <w:bCs/>
                <w:color w:val="auto"/>
                <w:sz w:val="24"/>
                <w:highlight w:val="none"/>
              </w:rPr>
              <w:t>生态环境保护目标</w:t>
            </w:r>
          </w:p>
          <w:p w14:paraId="4AA8EF7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w:t>
            </w:r>
            <w:r>
              <w:rPr>
                <w:rFonts w:hint="default" w:ascii="Times New Roman" w:hAnsi="Times New Roman" w:cs="Times New Roman"/>
                <w:color w:val="auto"/>
                <w:sz w:val="24"/>
                <w:highlight w:val="none"/>
                <w:lang w:val="en-US" w:eastAsia="zh-CN"/>
              </w:rPr>
              <w:t>租赁已建成厂房进行建设</w:t>
            </w:r>
            <w:r>
              <w:rPr>
                <w:rFonts w:hint="default" w:ascii="Times New Roman" w:hAnsi="Times New Roman" w:cs="Times New Roman"/>
                <w:color w:val="auto"/>
                <w:sz w:val="24"/>
                <w:highlight w:val="none"/>
              </w:rPr>
              <w:t>，不新增用地，占地范围内无生态环境保护目标。</w:t>
            </w:r>
          </w:p>
          <w:p w14:paraId="7F27A8A0">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bCs/>
                <w:color w:val="auto"/>
                <w:sz w:val="24"/>
                <w:highlight w:val="none"/>
                <w:lang w:eastAsia="zh-CN"/>
              </w:rPr>
              <w:t>本项目</w:t>
            </w:r>
            <w:r>
              <w:rPr>
                <w:rFonts w:hint="default" w:ascii="Times New Roman" w:hAnsi="Times New Roman" w:cs="Times New Roman"/>
                <w:bCs/>
                <w:color w:val="auto"/>
                <w:sz w:val="24"/>
                <w:highlight w:val="none"/>
              </w:rPr>
              <w:t>环境保护目标主要涉及大气环境</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环境保护目标坐标以厂界距离敏感点最近点为原点</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环境保护</w:t>
            </w:r>
            <w:r>
              <w:rPr>
                <w:rFonts w:hint="default" w:ascii="Times New Roman" w:hAnsi="Times New Roman" w:cs="Times New Roman"/>
                <w:bCs/>
                <w:color w:val="auto"/>
                <w:sz w:val="24"/>
                <w:highlight w:val="none"/>
              </w:rPr>
              <w:t>目标见表3-</w:t>
            </w:r>
            <w:r>
              <w:rPr>
                <w:rFonts w:hint="default" w:ascii="Times New Roman" w:hAnsi="Times New Roman" w:cs="Times New Roman"/>
                <w:bCs/>
                <w:color w:val="auto"/>
                <w:sz w:val="24"/>
                <w:highlight w:val="none"/>
                <w:lang w:val="en-US" w:eastAsia="zh-CN"/>
              </w:rPr>
              <w:t>4</w:t>
            </w:r>
            <w:r>
              <w:rPr>
                <w:rFonts w:hint="default" w:ascii="Times New Roman" w:hAnsi="Times New Roman" w:cs="Times New Roman"/>
                <w:bCs/>
                <w:color w:val="auto"/>
                <w:sz w:val="24"/>
                <w:highlight w:val="none"/>
              </w:rPr>
              <w:t>。</w:t>
            </w:r>
          </w:p>
          <w:p w14:paraId="546105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color w:val="auto"/>
                <w:sz w:val="24"/>
                <w:szCs w:val="24"/>
                <w:highlight w:val="none"/>
                <w:lang w:bidi="ar"/>
              </w:rPr>
            </w:pPr>
            <w:r>
              <w:rPr>
                <w:rFonts w:hint="default" w:ascii="Times New Roman" w:hAnsi="Times New Roman" w:eastAsia="宋体" w:cs="Times New Roman"/>
                <w:b/>
                <w:color w:val="auto"/>
                <w:sz w:val="24"/>
                <w:szCs w:val="24"/>
                <w:highlight w:val="none"/>
                <w:lang w:bidi="ar"/>
              </w:rPr>
              <w:t>表3-</w:t>
            </w:r>
            <w:r>
              <w:rPr>
                <w:rFonts w:hint="default" w:ascii="Times New Roman" w:hAnsi="Times New Roman" w:cs="Times New Roman"/>
                <w:b/>
                <w:color w:val="auto"/>
                <w:sz w:val="24"/>
                <w:szCs w:val="24"/>
                <w:highlight w:val="none"/>
                <w:lang w:val="en-US" w:eastAsia="zh-CN" w:bidi="ar"/>
              </w:rPr>
              <w:t>4</w:t>
            </w:r>
            <w:r>
              <w:rPr>
                <w:rFonts w:hint="default" w:ascii="Times New Roman" w:hAnsi="Times New Roman" w:eastAsia="宋体" w:cs="Times New Roman"/>
                <w:b/>
                <w:color w:val="auto"/>
                <w:sz w:val="24"/>
                <w:szCs w:val="24"/>
                <w:highlight w:val="none"/>
                <w:lang w:bidi="ar"/>
              </w:rPr>
              <w:t xml:space="preserve">  </w:t>
            </w:r>
            <w:r>
              <w:rPr>
                <w:rFonts w:hint="default" w:ascii="Times New Roman" w:hAnsi="Times New Roman" w:eastAsia="宋体" w:cs="Times New Roman"/>
                <w:b/>
                <w:bCs/>
                <w:color w:val="auto"/>
                <w:sz w:val="24"/>
                <w:szCs w:val="24"/>
                <w:highlight w:val="none"/>
                <w:lang w:bidi="ar"/>
              </w:rPr>
              <w:t>环境保护目标一览表</w:t>
            </w:r>
          </w:p>
          <w:tbl>
            <w:tblPr>
              <w:tblStyle w:val="32"/>
              <w:tblW w:w="499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266"/>
              <w:gridCol w:w="1128"/>
              <w:gridCol w:w="888"/>
              <w:gridCol w:w="747"/>
              <w:gridCol w:w="1942"/>
              <w:gridCol w:w="663"/>
              <w:gridCol w:w="666"/>
            </w:tblGrid>
            <w:tr w14:paraId="57A8A3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6" w:type="pct"/>
                  <w:vMerge w:val="restart"/>
                  <w:tcBorders>
                    <w:tl2br w:val="nil"/>
                    <w:tr2bl w:val="nil"/>
                  </w:tcBorders>
                  <w:noWrap w:val="0"/>
                  <w:vAlign w:val="center"/>
                </w:tcPr>
                <w:p w14:paraId="28A3243E">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
                      <w:color w:val="auto"/>
                      <w:sz w:val="21"/>
                      <w:szCs w:val="21"/>
                      <w:highlight w:val="none"/>
                      <w:lang w:bidi="ar"/>
                    </w:rPr>
                  </w:pPr>
                  <w:r>
                    <w:rPr>
                      <w:rFonts w:hint="default" w:ascii="Times New Roman" w:hAnsi="Times New Roman" w:eastAsia="宋体" w:cs="Times New Roman"/>
                      <w:b/>
                      <w:color w:val="auto"/>
                      <w:sz w:val="21"/>
                      <w:szCs w:val="21"/>
                      <w:highlight w:val="none"/>
                      <w:lang w:bidi="ar"/>
                    </w:rPr>
                    <w:t>环境</w:t>
                  </w:r>
                </w:p>
                <w:p w14:paraId="3E1BDF36">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
                      <w:color w:val="auto"/>
                      <w:sz w:val="21"/>
                      <w:szCs w:val="21"/>
                      <w:highlight w:val="none"/>
                      <w:lang w:bidi="ar"/>
                    </w:rPr>
                  </w:pPr>
                  <w:r>
                    <w:rPr>
                      <w:rFonts w:hint="default" w:ascii="Times New Roman" w:hAnsi="Times New Roman" w:eastAsia="宋体" w:cs="Times New Roman"/>
                      <w:b/>
                      <w:color w:val="auto"/>
                      <w:sz w:val="21"/>
                      <w:szCs w:val="21"/>
                      <w:highlight w:val="none"/>
                      <w:lang w:bidi="ar"/>
                    </w:rPr>
                    <w:t>要素</w:t>
                  </w:r>
                </w:p>
              </w:tc>
              <w:tc>
                <w:tcPr>
                  <w:tcW w:w="1476" w:type="pct"/>
                  <w:gridSpan w:val="2"/>
                  <w:tcBorders>
                    <w:tl2br w:val="nil"/>
                    <w:tr2bl w:val="nil"/>
                  </w:tcBorders>
                  <w:noWrap w:val="0"/>
                  <w:vAlign w:val="center"/>
                </w:tcPr>
                <w:p w14:paraId="31546DFE">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
                      <w:color w:val="auto"/>
                      <w:sz w:val="21"/>
                      <w:szCs w:val="21"/>
                      <w:highlight w:val="none"/>
                      <w:lang w:bidi="ar"/>
                    </w:rPr>
                  </w:pPr>
                  <w:r>
                    <w:rPr>
                      <w:rFonts w:hint="default" w:ascii="Times New Roman" w:hAnsi="Times New Roman" w:eastAsia="宋体" w:cs="Times New Roman"/>
                      <w:b/>
                      <w:color w:val="auto"/>
                      <w:sz w:val="21"/>
                      <w:szCs w:val="21"/>
                      <w:highlight w:val="none"/>
                      <w:lang w:bidi="ar"/>
                    </w:rPr>
                    <w:t>坐标</w:t>
                  </w:r>
                </w:p>
              </w:tc>
              <w:tc>
                <w:tcPr>
                  <w:tcW w:w="547" w:type="pct"/>
                  <w:vMerge w:val="restart"/>
                  <w:tcBorders>
                    <w:tl2br w:val="nil"/>
                    <w:tr2bl w:val="nil"/>
                  </w:tcBorders>
                  <w:noWrap w:val="0"/>
                  <w:vAlign w:val="center"/>
                </w:tcPr>
                <w:p w14:paraId="493895DE">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
                      <w:color w:val="auto"/>
                      <w:sz w:val="21"/>
                      <w:szCs w:val="21"/>
                      <w:highlight w:val="none"/>
                      <w:lang w:bidi="ar"/>
                    </w:rPr>
                  </w:pPr>
                  <w:r>
                    <w:rPr>
                      <w:rFonts w:hint="default" w:ascii="Times New Roman" w:hAnsi="Times New Roman" w:eastAsia="宋体" w:cs="Times New Roman"/>
                      <w:b/>
                      <w:color w:val="auto"/>
                      <w:sz w:val="21"/>
                      <w:szCs w:val="21"/>
                      <w:highlight w:val="none"/>
                      <w:lang w:bidi="ar"/>
                    </w:rPr>
                    <w:t>保护</w:t>
                  </w:r>
                </w:p>
                <w:p w14:paraId="258BA1E5">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
                      <w:color w:val="auto"/>
                      <w:sz w:val="21"/>
                      <w:szCs w:val="21"/>
                      <w:highlight w:val="none"/>
                      <w:lang w:bidi="ar"/>
                    </w:rPr>
                  </w:pPr>
                  <w:r>
                    <w:rPr>
                      <w:rFonts w:hint="default" w:ascii="Times New Roman" w:hAnsi="Times New Roman" w:eastAsia="宋体" w:cs="Times New Roman"/>
                      <w:b/>
                      <w:color w:val="auto"/>
                      <w:sz w:val="21"/>
                      <w:szCs w:val="21"/>
                      <w:highlight w:val="none"/>
                      <w:lang w:bidi="ar"/>
                    </w:rPr>
                    <w:t>对象</w:t>
                  </w:r>
                </w:p>
              </w:tc>
              <w:tc>
                <w:tcPr>
                  <w:tcW w:w="460" w:type="pct"/>
                  <w:vMerge w:val="restart"/>
                  <w:tcBorders>
                    <w:tl2br w:val="nil"/>
                    <w:tr2bl w:val="nil"/>
                  </w:tcBorders>
                  <w:noWrap w:val="0"/>
                  <w:vAlign w:val="center"/>
                </w:tcPr>
                <w:p w14:paraId="48765D97">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
                      <w:color w:val="auto"/>
                      <w:sz w:val="21"/>
                      <w:szCs w:val="21"/>
                      <w:highlight w:val="none"/>
                      <w:lang w:bidi="ar"/>
                    </w:rPr>
                  </w:pPr>
                  <w:r>
                    <w:rPr>
                      <w:rFonts w:hint="default" w:ascii="Times New Roman" w:hAnsi="Times New Roman" w:eastAsia="宋体" w:cs="Times New Roman"/>
                      <w:b/>
                      <w:color w:val="auto"/>
                      <w:sz w:val="21"/>
                      <w:szCs w:val="21"/>
                      <w:highlight w:val="none"/>
                      <w:lang w:bidi="ar"/>
                    </w:rPr>
                    <w:t>保护内容</w:t>
                  </w:r>
                </w:p>
              </w:tc>
              <w:tc>
                <w:tcPr>
                  <w:tcW w:w="1198" w:type="pct"/>
                  <w:vMerge w:val="restart"/>
                  <w:tcBorders>
                    <w:tl2br w:val="nil"/>
                    <w:tr2bl w:val="nil"/>
                  </w:tcBorders>
                  <w:noWrap w:val="0"/>
                  <w:vAlign w:val="center"/>
                </w:tcPr>
                <w:p w14:paraId="5BB3B693">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
                      <w:color w:val="auto"/>
                      <w:sz w:val="21"/>
                      <w:szCs w:val="21"/>
                      <w:highlight w:val="none"/>
                      <w:lang w:bidi="ar"/>
                    </w:rPr>
                  </w:pPr>
                  <w:r>
                    <w:rPr>
                      <w:rFonts w:hint="default" w:ascii="Times New Roman" w:hAnsi="Times New Roman" w:eastAsia="宋体" w:cs="Times New Roman"/>
                      <w:b/>
                      <w:color w:val="auto"/>
                      <w:sz w:val="21"/>
                      <w:szCs w:val="21"/>
                      <w:highlight w:val="none"/>
                      <w:lang w:bidi="ar"/>
                    </w:rPr>
                    <w:t>环境功能区</w:t>
                  </w:r>
                </w:p>
              </w:tc>
              <w:tc>
                <w:tcPr>
                  <w:tcW w:w="409" w:type="pct"/>
                  <w:vMerge w:val="restart"/>
                  <w:tcBorders>
                    <w:tl2br w:val="nil"/>
                    <w:tr2bl w:val="nil"/>
                  </w:tcBorders>
                  <w:noWrap w:val="0"/>
                  <w:vAlign w:val="center"/>
                </w:tcPr>
                <w:p w14:paraId="334CD5B8">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
                      <w:color w:val="auto"/>
                      <w:sz w:val="21"/>
                      <w:szCs w:val="21"/>
                      <w:highlight w:val="none"/>
                      <w:lang w:bidi="ar"/>
                    </w:rPr>
                  </w:pPr>
                  <w:r>
                    <w:rPr>
                      <w:rFonts w:hint="default" w:ascii="Times New Roman" w:hAnsi="Times New Roman" w:eastAsia="宋体" w:cs="Times New Roman"/>
                      <w:b/>
                      <w:color w:val="auto"/>
                      <w:sz w:val="21"/>
                      <w:szCs w:val="21"/>
                      <w:highlight w:val="none"/>
                      <w:lang w:bidi="ar"/>
                    </w:rPr>
                    <w:t>相对厂址位置</w:t>
                  </w:r>
                </w:p>
              </w:tc>
              <w:tc>
                <w:tcPr>
                  <w:tcW w:w="410" w:type="pct"/>
                  <w:vMerge w:val="restart"/>
                  <w:tcBorders>
                    <w:tl2br w:val="nil"/>
                    <w:tr2bl w:val="nil"/>
                  </w:tcBorders>
                  <w:noWrap w:val="0"/>
                  <w:vAlign w:val="center"/>
                </w:tcPr>
                <w:p w14:paraId="00641A42">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
                      <w:color w:val="auto"/>
                      <w:sz w:val="21"/>
                      <w:szCs w:val="21"/>
                      <w:highlight w:val="none"/>
                      <w:lang w:bidi="ar"/>
                    </w:rPr>
                  </w:pPr>
                  <w:r>
                    <w:rPr>
                      <w:rFonts w:hint="default" w:ascii="Times New Roman" w:hAnsi="Times New Roman" w:eastAsia="宋体" w:cs="Times New Roman"/>
                      <w:b/>
                      <w:color w:val="auto"/>
                      <w:sz w:val="21"/>
                      <w:szCs w:val="21"/>
                      <w:highlight w:val="none"/>
                      <w:lang w:bidi="ar"/>
                    </w:rPr>
                    <w:t>相对厂界距离/m</w:t>
                  </w:r>
                </w:p>
              </w:tc>
            </w:tr>
            <w:tr w14:paraId="349EE9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6" w:type="pct"/>
                  <w:vMerge w:val="continue"/>
                  <w:tcBorders>
                    <w:tl2br w:val="nil"/>
                    <w:tr2bl w:val="nil"/>
                  </w:tcBorders>
                  <w:noWrap w:val="0"/>
                  <w:vAlign w:val="center"/>
                </w:tcPr>
                <w:p w14:paraId="0EDF10B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p>
              </w:tc>
              <w:tc>
                <w:tcPr>
                  <w:tcW w:w="780" w:type="pct"/>
                  <w:tcBorders>
                    <w:tl2br w:val="nil"/>
                    <w:tr2bl w:val="nil"/>
                  </w:tcBorders>
                  <w:noWrap w:val="0"/>
                  <w:vAlign w:val="center"/>
                </w:tcPr>
                <w:p w14:paraId="1878ADB7">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lang w:bidi="ar"/>
                    </w:rPr>
                  </w:pPr>
                  <w:r>
                    <w:rPr>
                      <w:rFonts w:hint="default" w:ascii="Times New Roman" w:hAnsi="Times New Roman" w:eastAsia="宋体" w:cs="Times New Roman"/>
                      <w:b/>
                      <w:bCs/>
                      <w:color w:val="auto"/>
                      <w:sz w:val="21"/>
                      <w:szCs w:val="21"/>
                      <w:highlight w:val="none"/>
                      <w:shd w:val="clear" w:color="auto" w:fill="FFFFFF"/>
                    </w:rPr>
                    <w:t>经度</w:t>
                  </w:r>
                </w:p>
              </w:tc>
              <w:tc>
                <w:tcPr>
                  <w:tcW w:w="695" w:type="pct"/>
                  <w:tcBorders>
                    <w:tl2br w:val="nil"/>
                    <w:tr2bl w:val="nil"/>
                  </w:tcBorders>
                  <w:noWrap w:val="0"/>
                  <w:vAlign w:val="center"/>
                </w:tcPr>
                <w:p w14:paraId="7946155B">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
                      <w:bCs/>
                      <w:color w:val="auto"/>
                      <w:sz w:val="21"/>
                      <w:szCs w:val="21"/>
                      <w:highlight w:val="none"/>
                      <w:lang w:bidi="ar"/>
                    </w:rPr>
                  </w:pPr>
                  <w:r>
                    <w:rPr>
                      <w:rFonts w:hint="default" w:ascii="Times New Roman" w:hAnsi="Times New Roman" w:eastAsia="宋体" w:cs="Times New Roman"/>
                      <w:b/>
                      <w:bCs/>
                      <w:color w:val="auto"/>
                      <w:sz w:val="21"/>
                      <w:szCs w:val="21"/>
                      <w:highlight w:val="none"/>
                      <w:shd w:val="clear" w:color="auto" w:fill="FFFFFF"/>
                    </w:rPr>
                    <w:t>纬度</w:t>
                  </w:r>
                </w:p>
              </w:tc>
              <w:tc>
                <w:tcPr>
                  <w:tcW w:w="547" w:type="pct"/>
                  <w:vMerge w:val="continue"/>
                  <w:tcBorders>
                    <w:tl2br w:val="nil"/>
                    <w:tr2bl w:val="nil"/>
                  </w:tcBorders>
                  <w:noWrap w:val="0"/>
                  <w:vAlign w:val="center"/>
                </w:tcPr>
                <w:p w14:paraId="2526941A">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p>
              </w:tc>
              <w:tc>
                <w:tcPr>
                  <w:tcW w:w="460" w:type="pct"/>
                  <w:vMerge w:val="continue"/>
                  <w:tcBorders>
                    <w:tl2br w:val="nil"/>
                    <w:tr2bl w:val="nil"/>
                  </w:tcBorders>
                  <w:noWrap w:val="0"/>
                  <w:vAlign w:val="center"/>
                </w:tcPr>
                <w:p w14:paraId="1BE827A5">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p>
              </w:tc>
              <w:tc>
                <w:tcPr>
                  <w:tcW w:w="1198" w:type="pct"/>
                  <w:vMerge w:val="continue"/>
                  <w:tcBorders>
                    <w:tl2br w:val="nil"/>
                    <w:tr2bl w:val="nil"/>
                  </w:tcBorders>
                  <w:noWrap w:val="0"/>
                  <w:vAlign w:val="center"/>
                </w:tcPr>
                <w:p w14:paraId="48AB6B1A">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p>
              </w:tc>
              <w:tc>
                <w:tcPr>
                  <w:tcW w:w="409" w:type="pct"/>
                  <w:vMerge w:val="continue"/>
                  <w:tcBorders>
                    <w:tl2br w:val="nil"/>
                    <w:tr2bl w:val="nil"/>
                  </w:tcBorders>
                  <w:noWrap w:val="0"/>
                  <w:vAlign w:val="center"/>
                </w:tcPr>
                <w:p w14:paraId="11E156FE">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p>
              </w:tc>
              <w:tc>
                <w:tcPr>
                  <w:tcW w:w="410" w:type="pct"/>
                  <w:vMerge w:val="continue"/>
                  <w:tcBorders>
                    <w:tl2br w:val="nil"/>
                    <w:tr2bl w:val="nil"/>
                  </w:tcBorders>
                  <w:noWrap w:val="0"/>
                  <w:vAlign w:val="center"/>
                </w:tcPr>
                <w:p w14:paraId="6FF2E7E0">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p>
              </w:tc>
            </w:tr>
            <w:tr w14:paraId="65C3ED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6" w:type="pct"/>
                  <w:vMerge w:val="restart"/>
                  <w:tcBorders>
                    <w:tl2br w:val="nil"/>
                    <w:tr2bl w:val="nil"/>
                  </w:tcBorders>
                  <w:noWrap w:val="0"/>
                  <w:vAlign w:val="center"/>
                </w:tcPr>
                <w:p w14:paraId="659B2D3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大气</w:t>
                  </w:r>
                </w:p>
                <w:p w14:paraId="6388163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环境</w:t>
                  </w:r>
                </w:p>
              </w:tc>
              <w:tc>
                <w:tcPr>
                  <w:tcW w:w="780" w:type="pct"/>
                  <w:tcBorders>
                    <w:tl2br w:val="nil"/>
                    <w:tr2bl w:val="nil"/>
                  </w:tcBorders>
                  <w:noWrap w:val="0"/>
                  <w:vAlign w:val="center"/>
                </w:tcPr>
                <w:p w14:paraId="6AEBB888">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bidi="ar"/>
                    </w:rPr>
                    <w:t>108.630064210</w:t>
                  </w:r>
                </w:p>
              </w:tc>
              <w:tc>
                <w:tcPr>
                  <w:tcW w:w="695" w:type="pct"/>
                  <w:tcBorders>
                    <w:tl2br w:val="nil"/>
                    <w:tr2bl w:val="nil"/>
                  </w:tcBorders>
                  <w:noWrap w:val="0"/>
                  <w:vAlign w:val="center"/>
                </w:tcPr>
                <w:p w14:paraId="4A3504B5">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eastAsia="宋体" w:cs="Times New Roman"/>
                      <w:bCs/>
                      <w:color w:val="auto"/>
                      <w:sz w:val="21"/>
                      <w:szCs w:val="21"/>
                      <w:highlight w:val="none"/>
                      <w:lang w:bidi="ar"/>
                    </w:rPr>
                    <w:t>34.190042214</w:t>
                  </w:r>
                </w:p>
              </w:tc>
              <w:tc>
                <w:tcPr>
                  <w:tcW w:w="547" w:type="pct"/>
                  <w:tcBorders>
                    <w:tl2br w:val="nil"/>
                    <w:tr2bl w:val="nil"/>
                  </w:tcBorders>
                  <w:noWrap w:val="0"/>
                  <w:vAlign w:val="center"/>
                </w:tcPr>
                <w:p w14:paraId="25EEC37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val="en-US" w:eastAsia="zh-CN" w:bidi="ar"/>
                    </w:rPr>
                  </w:pPr>
                  <w:r>
                    <w:rPr>
                      <w:rFonts w:hint="eastAsia" w:ascii="Times New Roman" w:hAnsi="Times New Roman" w:cs="Times New Roman"/>
                      <w:bCs/>
                      <w:color w:val="auto"/>
                      <w:sz w:val="21"/>
                      <w:szCs w:val="21"/>
                      <w:highlight w:val="none"/>
                      <w:lang w:val="en-US" w:eastAsia="zh-CN" w:bidi="ar"/>
                    </w:rPr>
                    <w:t>凤凰咀</w:t>
                  </w:r>
                  <w:r>
                    <w:rPr>
                      <w:rFonts w:hint="default" w:ascii="Times New Roman" w:hAnsi="Times New Roman" w:eastAsia="宋体" w:cs="Times New Roman"/>
                      <w:bCs/>
                      <w:color w:val="auto"/>
                      <w:sz w:val="21"/>
                      <w:szCs w:val="21"/>
                      <w:highlight w:val="none"/>
                      <w:lang w:val="en-US" w:eastAsia="zh-CN" w:bidi="ar"/>
                    </w:rPr>
                    <w:t>村</w:t>
                  </w:r>
                </w:p>
              </w:tc>
              <w:tc>
                <w:tcPr>
                  <w:tcW w:w="460" w:type="pct"/>
                  <w:tcBorders>
                    <w:tl2br w:val="nil"/>
                    <w:tr2bl w:val="nil"/>
                  </w:tcBorders>
                  <w:noWrap w:val="0"/>
                  <w:vAlign w:val="center"/>
                </w:tcPr>
                <w:p w14:paraId="013E1798">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r>
                    <w:rPr>
                      <w:rFonts w:hint="default" w:ascii="Times New Roman" w:hAnsi="Times New Roman" w:eastAsia="宋体" w:cs="Times New Roman"/>
                      <w:color w:val="auto"/>
                      <w:sz w:val="21"/>
                      <w:szCs w:val="21"/>
                      <w:highlight w:val="none"/>
                    </w:rPr>
                    <w:t>人群健康</w:t>
                  </w:r>
                </w:p>
              </w:tc>
              <w:tc>
                <w:tcPr>
                  <w:tcW w:w="1198" w:type="pct"/>
                  <w:vMerge w:val="restart"/>
                  <w:tcBorders>
                    <w:tl2br w:val="nil"/>
                    <w:tr2bl w:val="nil"/>
                  </w:tcBorders>
                  <w:noWrap w:val="0"/>
                  <w:vAlign w:val="center"/>
                </w:tcPr>
                <w:p w14:paraId="2D82A8EA">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r>
                    <w:rPr>
                      <w:rFonts w:hint="default" w:ascii="Times New Roman" w:hAnsi="Times New Roman" w:eastAsia="宋体" w:cs="Times New Roman"/>
                      <w:color w:val="auto"/>
                      <w:sz w:val="21"/>
                      <w:szCs w:val="21"/>
                      <w:highlight w:val="none"/>
                    </w:rPr>
                    <w:t>《环境空气质量标准》（GB3095-20</w:t>
                  </w:r>
                  <w:r>
                    <w:rPr>
                      <w:rFonts w:hint="default" w:ascii="Times New Roman" w:hAnsi="Times New Roman" w:eastAsia="宋体" w:cs="Times New Roman"/>
                      <w:color w:val="auto"/>
                      <w:sz w:val="21"/>
                      <w:szCs w:val="21"/>
                      <w:highlight w:val="none"/>
                      <w:lang w:val="en-US" w:eastAsia="zh-CN"/>
                    </w:rPr>
                    <w:t>26</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过渡阶段</w:t>
                  </w:r>
                  <w:r>
                    <w:rPr>
                      <w:rFonts w:hint="default" w:ascii="Times New Roman" w:hAnsi="Times New Roman" w:eastAsia="宋体" w:cs="Times New Roman"/>
                      <w:color w:val="auto"/>
                      <w:sz w:val="21"/>
                      <w:szCs w:val="21"/>
                      <w:highlight w:val="none"/>
                    </w:rPr>
                    <w:t>二级标准</w:t>
                  </w:r>
                </w:p>
              </w:tc>
              <w:tc>
                <w:tcPr>
                  <w:tcW w:w="409" w:type="pct"/>
                  <w:tcBorders>
                    <w:tl2br w:val="nil"/>
                    <w:tr2bl w:val="nil"/>
                  </w:tcBorders>
                  <w:noWrap w:val="0"/>
                  <w:vAlign w:val="center"/>
                </w:tcPr>
                <w:p w14:paraId="4BBD84D0">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S</w:t>
                  </w:r>
                  <w:r>
                    <w:rPr>
                      <w:rFonts w:hint="default" w:ascii="Times New Roman" w:hAnsi="Times New Roman" w:eastAsia="宋体" w:cs="Times New Roman"/>
                      <w:bCs/>
                      <w:color w:val="auto"/>
                      <w:sz w:val="21"/>
                      <w:szCs w:val="21"/>
                      <w:highlight w:val="none"/>
                      <w:lang w:val="en-US" w:eastAsia="zh-CN" w:bidi="ar"/>
                    </w:rPr>
                    <w:t>W</w:t>
                  </w:r>
                </w:p>
              </w:tc>
              <w:tc>
                <w:tcPr>
                  <w:tcW w:w="410" w:type="pct"/>
                  <w:tcBorders>
                    <w:tl2br w:val="nil"/>
                    <w:tr2bl w:val="nil"/>
                  </w:tcBorders>
                  <w:noWrap w:val="0"/>
                  <w:vAlign w:val="center"/>
                </w:tcPr>
                <w:p w14:paraId="7BAC550A">
                  <w:pPr>
                    <w:keepNext w:val="0"/>
                    <w:keepLines w:val="0"/>
                    <w:pageBreakBefore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229</w:t>
                  </w:r>
                </w:p>
              </w:tc>
            </w:tr>
            <w:tr w14:paraId="23A84A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6" w:type="pct"/>
                  <w:vMerge w:val="continue"/>
                  <w:tcBorders>
                    <w:tl2br w:val="nil"/>
                    <w:tr2bl w:val="nil"/>
                  </w:tcBorders>
                  <w:noWrap w:val="0"/>
                  <w:vAlign w:val="center"/>
                </w:tcPr>
                <w:p w14:paraId="61A208B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p>
              </w:tc>
              <w:tc>
                <w:tcPr>
                  <w:tcW w:w="780" w:type="pct"/>
                  <w:tcBorders>
                    <w:tl2br w:val="nil"/>
                    <w:tr2bl w:val="nil"/>
                  </w:tcBorders>
                  <w:noWrap w:val="0"/>
                  <w:vAlign w:val="center"/>
                </w:tcPr>
                <w:p w14:paraId="49E672EA">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108.634892186</w:t>
                  </w:r>
                </w:p>
              </w:tc>
              <w:tc>
                <w:tcPr>
                  <w:tcW w:w="695" w:type="pct"/>
                  <w:tcBorders>
                    <w:tl2br w:val="nil"/>
                    <w:tr2bl w:val="nil"/>
                  </w:tcBorders>
                  <w:noWrap w:val="0"/>
                  <w:vAlign w:val="center"/>
                </w:tcPr>
                <w:p w14:paraId="2066E088">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eastAsia="zh-CN" w:bidi="ar"/>
                    </w:rPr>
                  </w:pPr>
                  <w:r>
                    <w:rPr>
                      <w:rFonts w:hint="default" w:ascii="Times New Roman" w:hAnsi="Times New Roman" w:eastAsia="宋体" w:cs="Times New Roman"/>
                      <w:bCs/>
                      <w:color w:val="auto"/>
                      <w:sz w:val="21"/>
                      <w:szCs w:val="21"/>
                      <w:highlight w:val="none"/>
                      <w:lang w:bidi="ar"/>
                    </w:rPr>
                    <w:t>34.191546933</w:t>
                  </w:r>
                </w:p>
              </w:tc>
              <w:tc>
                <w:tcPr>
                  <w:tcW w:w="547" w:type="pct"/>
                  <w:tcBorders>
                    <w:tl2br w:val="nil"/>
                    <w:tr2bl w:val="nil"/>
                  </w:tcBorders>
                  <w:noWrap w:val="0"/>
                  <w:vAlign w:val="center"/>
                </w:tcPr>
                <w:p w14:paraId="52C4C9F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小精灵艺术幼儿园</w:t>
                  </w:r>
                </w:p>
              </w:tc>
              <w:tc>
                <w:tcPr>
                  <w:tcW w:w="460" w:type="pct"/>
                  <w:tcBorders>
                    <w:tl2br w:val="nil"/>
                    <w:tr2bl w:val="nil"/>
                  </w:tcBorders>
                  <w:noWrap w:val="0"/>
                  <w:vAlign w:val="center"/>
                </w:tcPr>
                <w:p w14:paraId="73ED351E">
                  <w:pPr>
                    <w:keepNext w:val="0"/>
                    <w:keepLines w:val="0"/>
                    <w:pageBreakBefore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人群健康</w:t>
                  </w:r>
                </w:p>
              </w:tc>
              <w:tc>
                <w:tcPr>
                  <w:tcW w:w="1198" w:type="pct"/>
                  <w:vMerge w:val="continue"/>
                  <w:tcBorders>
                    <w:tl2br w:val="nil"/>
                    <w:tr2bl w:val="nil"/>
                  </w:tcBorders>
                  <w:noWrap w:val="0"/>
                  <w:vAlign w:val="center"/>
                </w:tcPr>
                <w:p w14:paraId="16ADCD52">
                  <w:pPr>
                    <w:keepNext w:val="0"/>
                    <w:keepLines w:val="0"/>
                    <w:pageBreakBefore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409" w:type="pct"/>
                  <w:tcBorders>
                    <w:tl2br w:val="nil"/>
                    <w:tr2bl w:val="nil"/>
                  </w:tcBorders>
                  <w:noWrap w:val="0"/>
                  <w:vAlign w:val="center"/>
                </w:tcPr>
                <w:p w14:paraId="7CE2A9A2">
                  <w:pPr>
                    <w:keepNext w:val="0"/>
                    <w:keepLines w:val="0"/>
                    <w:pageBreakBefore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SE</w:t>
                  </w:r>
                </w:p>
              </w:tc>
              <w:tc>
                <w:tcPr>
                  <w:tcW w:w="410" w:type="pct"/>
                  <w:tcBorders>
                    <w:tl2br w:val="nil"/>
                    <w:tr2bl w:val="nil"/>
                  </w:tcBorders>
                  <w:noWrap w:val="0"/>
                  <w:vAlign w:val="center"/>
                </w:tcPr>
                <w:p w14:paraId="7B6FDACE">
                  <w:pPr>
                    <w:keepNext w:val="0"/>
                    <w:keepLines w:val="0"/>
                    <w:pageBreakBefore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Times New Roman" w:hAnsi="Times New Roman" w:eastAsia="宋体"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3</w:t>
                  </w:r>
                  <w:r>
                    <w:rPr>
                      <w:rFonts w:hint="eastAsia" w:ascii="Times New Roman" w:hAnsi="Times New Roman" w:cs="Times New Roman"/>
                      <w:bCs/>
                      <w:color w:val="auto"/>
                      <w:sz w:val="21"/>
                      <w:szCs w:val="21"/>
                      <w:highlight w:val="none"/>
                      <w:lang w:val="en-US" w:eastAsia="zh-CN" w:bidi="ar"/>
                    </w:rPr>
                    <w:t>86</w:t>
                  </w:r>
                </w:p>
              </w:tc>
            </w:tr>
            <w:tr w14:paraId="0DF6DE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96" w:type="pct"/>
                  <w:vMerge w:val="continue"/>
                  <w:tcBorders>
                    <w:tl2br w:val="nil"/>
                    <w:tr2bl w:val="nil"/>
                  </w:tcBorders>
                  <w:noWrap w:val="0"/>
                  <w:vAlign w:val="center"/>
                </w:tcPr>
                <w:p w14:paraId="3367B27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p>
              </w:tc>
              <w:tc>
                <w:tcPr>
                  <w:tcW w:w="780" w:type="pct"/>
                  <w:tcBorders>
                    <w:tl2br w:val="nil"/>
                    <w:tr2bl w:val="nil"/>
                  </w:tcBorders>
                  <w:noWrap w:val="0"/>
                  <w:vAlign w:val="center"/>
                </w:tcPr>
                <w:p w14:paraId="463BB468">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108.635246328</w:t>
                  </w:r>
                </w:p>
              </w:tc>
              <w:tc>
                <w:tcPr>
                  <w:tcW w:w="695" w:type="pct"/>
                  <w:tcBorders>
                    <w:tl2br w:val="nil"/>
                    <w:tr2bl w:val="nil"/>
                  </w:tcBorders>
                  <w:noWrap w:val="0"/>
                  <w:vAlign w:val="center"/>
                </w:tcPr>
                <w:p w14:paraId="2C3D64BD">
                  <w:pPr>
                    <w:keepNext w:val="0"/>
                    <w:keepLines w:val="0"/>
                    <w:pageBreakBefore w:val="0"/>
                    <w:widowControl/>
                    <w:suppressLineNumbers w:val="0"/>
                    <w:kinsoku/>
                    <w:wordWrap/>
                    <w:overflowPunct/>
                    <w:topLinePunct w:val="0"/>
                    <w:autoSpaceDE/>
                    <w:autoSpaceDN/>
                    <w:bidi w:val="0"/>
                    <w:adjustRightInd w:val="0"/>
                    <w:spacing w:before="0" w:beforeAutospacing="0" w:after="0" w:afterAutospacing="0"/>
                    <w:ind w:left="0" w:right="0"/>
                    <w:jc w:val="center"/>
                    <w:textAlignment w:val="auto"/>
                    <w:rPr>
                      <w:rFonts w:hint="default" w:ascii="Times New Roman" w:hAnsi="Times New Roman" w:eastAsia="宋体" w:cs="Times New Roman"/>
                      <w:bCs/>
                      <w:color w:val="auto"/>
                      <w:sz w:val="21"/>
                      <w:szCs w:val="21"/>
                      <w:highlight w:val="none"/>
                      <w:lang w:bidi="ar"/>
                    </w:rPr>
                  </w:pPr>
                  <w:r>
                    <w:rPr>
                      <w:rFonts w:hint="default" w:ascii="Times New Roman" w:hAnsi="Times New Roman" w:eastAsia="宋体" w:cs="Times New Roman"/>
                      <w:bCs/>
                      <w:color w:val="auto"/>
                      <w:sz w:val="21"/>
                      <w:szCs w:val="21"/>
                      <w:highlight w:val="none"/>
                      <w:lang w:bidi="ar"/>
                    </w:rPr>
                    <w:t>34.192693556</w:t>
                  </w:r>
                </w:p>
              </w:tc>
              <w:tc>
                <w:tcPr>
                  <w:tcW w:w="547" w:type="pct"/>
                  <w:tcBorders>
                    <w:tl2br w:val="nil"/>
                    <w:tr2bl w:val="nil"/>
                  </w:tcBorders>
                  <w:noWrap w:val="0"/>
                  <w:vAlign w:val="center"/>
                </w:tcPr>
                <w:p w14:paraId="113E880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鄠邑区大王法庭</w:t>
                  </w:r>
                </w:p>
              </w:tc>
              <w:tc>
                <w:tcPr>
                  <w:tcW w:w="460" w:type="pct"/>
                  <w:tcBorders>
                    <w:tl2br w:val="nil"/>
                    <w:tr2bl w:val="nil"/>
                  </w:tcBorders>
                  <w:shd w:val="clear" w:color="auto" w:fill="auto"/>
                  <w:noWrap w:val="0"/>
                  <w:vAlign w:val="center"/>
                </w:tcPr>
                <w:p w14:paraId="4435130B">
                  <w:pPr>
                    <w:keepNext w:val="0"/>
                    <w:keepLines w:val="0"/>
                    <w:pageBreakBefore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人群健康</w:t>
                  </w:r>
                </w:p>
              </w:tc>
              <w:tc>
                <w:tcPr>
                  <w:tcW w:w="1198" w:type="pct"/>
                  <w:vMerge w:val="continue"/>
                  <w:tcBorders>
                    <w:tl2br w:val="nil"/>
                    <w:tr2bl w:val="nil"/>
                  </w:tcBorders>
                  <w:noWrap w:val="0"/>
                  <w:vAlign w:val="center"/>
                </w:tcPr>
                <w:p w14:paraId="12ECA4C5">
                  <w:pPr>
                    <w:keepNext w:val="0"/>
                    <w:keepLines w:val="0"/>
                    <w:pageBreakBefore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409" w:type="pct"/>
                  <w:tcBorders>
                    <w:tl2br w:val="nil"/>
                    <w:tr2bl w:val="nil"/>
                  </w:tcBorders>
                  <w:noWrap w:val="0"/>
                  <w:vAlign w:val="center"/>
                </w:tcPr>
                <w:p w14:paraId="2CCD06A6">
                  <w:pPr>
                    <w:keepNext w:val="0"/>
                    <w:keepLines w:val="0"/>
                    <w:pageBreakBefore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Times New Roman" w:hAnsi="Times New Roman" w:cs="Times New Roman"/>
                      <w:bCs/>
                      <w:color w:val="auto"/>
                      <w:sz w:val="21"/>
                      <w:szCs w:val="21"/>
                      <w:highlight w:val="none"/>
                      <w:lang w:val="en-US" w:eastAsia="zh-CN" w:bidi="ar"/>
                    </w:rPr>
                  </w:pPr>
                  <w:r>
                    <w:rPr>
                      <w:rFonts w:hint="eastAsia" w:ascii="Times New Roman" w:hAnsi="Times New Roman" w:cs="Times New Roman"/>
                      <w:bCs/>
                      <w:color w:val="auto"/>
                      <w:sz w:val="21"/>
                      <w:szCs w:val="21"/>
                      <w:highlight w:val="none"/>
                      <w:lang w:val="en-US" w:eastAsia="zh-CN" w:bidi="ar"/>
                    </w:rPr>
                    <w:t>E</w:t>
                  </w:r>
                </w:p>
              </w:tc>
              <w:tc>
                <w:tcPr>
                  <w:tcW w:w="410" w:type="pct"/>
                  <w:tcBorders>
                    <w:tl2br w:val="nil"/>
                    <w:tr2bl w:val="nil"/>
                  </w:tcBorders>
                  <w:noWrap w:val="0"/>
                  <w:vAlign w:val="center"/>
                </w:tcPr>
                <w:p w14:paraId="35C85D43">
                  <w:pPr>
                    <w:keepNext w:val="0"/>
                    <w:keepLines w:val="0"/>
                    <w:pageBreakBefore w:val="0"/>
                    <w:suppressLineNumbers w:val="0"/>
                    <w:kinsoku/>
                    <w:wordWrap/>
                    <w:overflowPunct/>
                    <w:topLinePunct w:val="0"/>
                    <w:autoSpaceDE/>
                    <w:autoSpaceDN/>
                    <w:bidi w:val="0"/>
                    <w:spacing w:before="0" w:beforeAutospacing="0" w:after="0" w:afterAutospacing="0"/>
                    <w:ind w:left="0" w:leftChars="0" w:right="0" w:rightChars="0"/>
                    <w:jc w:val="center"/>
                    <w:textAlignment w:val="auto"/>
                    <w:rPr>
                      <w:rFonts w:hint="default" w:ascii="Times New Roman" w:hAnsi="Times New Roman" w:cs="Times New Roman"/>
                      <w:bCs/>
                      <w:color w:val="auto"/>
                      <w:sz w:val="21"/>
                      <w:szCs w:val="21"/>
                      <w:highlight w:val="none"/>
                      <w:lang w:val="en-US" w:eastAsia="zh-CN" w:bidi="ar"/>
                    </w:rPr>
                  </w:pPr>
                  <w:r>
                    <w:rPr>
                      <w:rFonts w:hint="eastAsia" w:ascii="Times New Roman" w:hAnsi="Times New Roman" w:cs="Times New Roman"/>
                      <w:bCs/>
                      <w:color w:val="auto"/>
                      <w:sz w:val="21"/>
                      <w:szCs w:val="21"/>
                      <w:highlight w:val="none"/>
                      <w:lang w:val="en-US" w:eastAsia="zh-CN" w:bidi="ar"/>
                    </w:rPr>
                    <w:t>376</w:t>
                  </w:r>
                </w:p>
              </w:tc>
            </w:tr>
          </w:tbl>
          <w:p w14:paraId="18ACCC20">
            <w:pPr>
              <w:keepNext w:val="0"/>
              <w:keepLines w:val="0"/>
              <w:suppressLineNumbers w:val="0"/>
              <w:spacing w:before="0" w:beforeAutospacing="0" w:after="0" w:afterAutospacing="0" w:line="360" w:lineRule="auto"/>
              <w:ind w:left="0" w:right="0"/>
              <w:jc w:val="left"/>
              <w:rPr>
                <w:rFonts w:hint="default" w:ascii="Times New Roman" w:hAnsi="Times New Roman" w:cs="Times New Roman"/>
                <w:color w:val="auto"/>
                <w:kern w:val="0"/>
                <w:sz w:val="24"/>
                <w:highlight w:val="none"/>
              </w:rPr>
            </w:pPr>
          </w:p>
        </w:tc>
      </w:tr>
      <w:tr w14:paraId="26C018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pct"/>
            <w:vAlign w:val="center"/>
          </w:tcPr>
          <w:p w14:paraId="6014339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污染物排放控制标准</w:t>
            </w:r>
          </w:p>
        </w:tc>
        <w:tc>
          <w:tcPr>
            <w:tcW w:w="4618" w:type="pct"/>
          </w:tcPr>
          <w:p w14:paraId="742CD41A">
            <w:pPr>
              <w:pStyle w:val="60"/>
              <w:keepNext w:val="0"/>
              <w:keepLines w:val="0"/>
              <w:widowControl/>
              <w:suppressLineNumbers w:val="0"/>
              <w:spacing w:before="0" w:beforeAutospacing="0" w:after="0" w:afterAutospacing="0" w:line="360" w:lineRule="auto"/>
              <w:ind w:left="0" w:right="0" w:firstLine="0" w:firstLineChars="0"/>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eastAsia="zh-CN"/>
              </w:rPr>
              <w:t>1.</w:t>
            </w:r>
            <w:r>
              <w:rPr>
                <w:rFonts w:hint="default" w:ascii="Times New Roman" w:hAnsi="Times New Roman" w:cs="Times New Roman"/>
                <w:b/>
                <w:color w:val="auto"/>
                <w:sz w:val="24"/>
                <w:szCs w:val="24"/>
                <w:highlight w:val="none"/>
              </w:rPr>
              <w:t>废气</w:t>
            </w:r>
          </w:p>
          <w:p w14:paraId="7D82F801">
            <w:pPr>
              <w:pStyle w:val="5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cs="Times New Roman"/>
                <w:b w:val="0"/>
                <w:bCs/>
                <w:color w:val="auto"/>
                <w:sz w:val="24"/>
                <w:szCs w:val="24"/>
                <w:highlight w:val="none"/>
                <w:lang w:val="en-US" w:eastAsia="zh-CN"/>
              </w:rPr>
              <w:t>（1）抛丸粉尘、喷粉粉尘（颗粒物）有组织排放执行《大气污染物综合排放标准》（GB16297-1996）表2新污染源大气污染物排放限值，厂界无组织排放颗粒物执行GB16297-1996表2周界外浓度最高点限值</w:t>
            </w:r>
            <w:r>
              <w:rPr>
                <w:rFonts w:hint="default" w:ascii="Times New Roman" w:hAnsi="Times New Roman" w:cs="Times New Roman"/>
                <w:b w:val="0"/>
                <w:bCs/>
                <w:spacing w:val="4"/>
                <w:sz w:val="24"/>
                <w:szCs w:val="24"/>
                <w:highlight w:val="none"/>
              </w:rPr>
              <w:t>。</w:t>
            </w:r>
          </w:p>
          <w:p w14:paraId="6CC84A82">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sz w:val="24"/>
                <w:highlight w:val="none"/>
                <w:lang w:eastAsia="zh-CN"/>
              </w:rPr>
            </w:pPr>
            <w:r>
              <w:rPr>
                <w:rFonts w:hint="default" w:ascii="Times New Roman" w:hAnsi="Times New Roman" w:cs="Times New Roman"/>
                <w:b w:val="0"/>
                <w:bCs/>
                <w:color w:val="auto"/>
                <w:sz w:val="24"/>
                <w:highlight w:val="none"/>
                <w:lang w:eastAsia="zh-CN"/>
              </w:rPr>
              <w:t>（</w:t>
            </w:r>
            <w:r>
              <w:rPr>
                <w:rFonts w:hint="default" w:ascii="Times New Roman" w:hAnsi="Times New Roman" w:cs="Times New Roman"/>
                <w:b w:val="0"/>
                <w:bCs/>
                <w:color w:val="auto"/>
                <w:sz w:val="24"/>
                <w:highlight w:val="none"/>
                <w:lang w:val="en-US" w:eastAsia="zh-CN"/>
              </w:rPr>
              <w:t>2</w:t>
            </w:r>
            <w:r>
              <w:rPr>
                <w:rFonts w:hint="default" w:ascii="Times New Roman" w:hAnsi="Times New Roman" w:cs="Times New Roman"/>
                <w:b w:val="0"/>
                <w:bCs/>
                <w:color w:val="auto"/>
                <w:sz w:val="24"/>
                <w:highlight w:val="none"/>
                <w:lang w:eastAsia="zh-CN"/>
              </w:rPr>
              <w:t>）固化、流平、烘干有机废气（非甲烷总烃）有组织排放执行《挥发性有机物排放控制标准》（DB61/T1061-2017）表1有组织排放限值；企业边界无组织排放执行DB61/T1061-2017表3企业边界监控点浓度限值。</w:t>
            </w:r>
          </w:p>
          <w:p w14:paraId="1DFC3636">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 w:val="0"/>
                <w:bCs/>
                <w:color w:val="auto"/>
                <w:sz w:val="24"/>
                <w:highlight w:val="none"/>
                <w:lang w:eastAsia="zh-CN"/>
              </w:rPr>
            </w:pPr>
            <w:r>
              <w:rPr>
                <w:rFonts w:hint="default" w:ascii="Times New Roman" w:hAnsi="Times New Roman" w:cs="Times New Roman"/>
                <w:b w:val="0"/>
                <w:bCs/>
                <w:color w:val="auto"/>
                <w:sz w:val="24"/>
                <w:highlight w:val="none"/>
                <w:lang w:eastAsia="zh-CN"/>
              </w:rPr>
              <w:t>（3）厂区内VOCs无组织排放执行《挥发性有机物无组织排放控制标准》（GB37822-2019）附录A</w:t>
            </w:r>
            <w:r>
              <w:rPr>
                <w:rFonts w:hint="default" w:ascii="Times New Roman" w:hAnsi="Times New Roman" w:cs="Times New Roman"/>
                <w:highlight w:val="none"/>
                <w:lang w:val="en-US" w:eastAsia="zh-CN"/>
              </w:rPr>
              <w:t>特别排放限值</w:t>
            </w:r>
            <w:r>
              <w:rPr>
                <w:rFonts w:hint="default" w:ascii="Times New Roman" w:hAnsi="Times New Roman" w:cs="Times New Roman"/>
                <w:b w:val="0"/>
                <w:bCs/>
                <w:color w:val="auto"/>
                <w:sz w:val="24"/>
                <w:highlight w:val="none"/>
                <w:lang w:eastAsia="zh-CN"/>
              </w:rPr>
              <w:t>。</w:t>
            </w:r>
          </w:p>
          <w:p w14:paraId="4E1B762E">
            <w:pPr>
              <w:pStyle w:val="5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b w:val="0"/>
                <w:bCs/>
                <w:color w:val="auto"/>
                <w:sz w:val="24"/>
                <w:highlight w:val="none"/>
                <w:lang w:eastAsia="zh-CN"/>
              </w:rPr>
            </w:pPr>
            <w:r>
              <w:rPr>
                <w:rFonts w:hint="default" w:ascii="Times New Roman" w:hAnsi="Times New Roman" w:cs="Times New Roman"/>
                <w:b w:val="0"/>
                <w:bCs/>
                <w:color w:val="auto"/>
                <w:sz w:val="24"/>
                <w:highlight w:val="none"/>
                <w:lang w:eastAsia="zh-CN"/>
              </w:rPr>
              <w:t>（4）天然气燃烧废气（颗粒物、SO₂、NOₓ）执行《陕西省工业炉窑大气污染综合治理实施方案》（陕环函〔2019〕247号）相关要求。</w:t>
            </w:r>
          </w:p>
          <w:p w14:paraId="1E4D8B62">
            <w:pPr>
              <w:pStyle w:val="5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96"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cs="Times New Roman"/>
                <w:b w:val="0"/>
                <w:bCs/>
                <w:spacing w:val="4"/>
                <w:sz w:val="24"/>
                <w:szCs w:val="24"/>
                <w:highlight w:val="none"/>
              </w:rPr>
              <w:t>标准限值具体详见下表。</w:t>
            </w:r>
          </w:p>
          <w:p w14:paraId="7D299E9C">
            <w:pPr>
              <w:pStyle w:val="60"/>
              <w:keepNext w:val="0"/>
              <w:keepLines w:val="0"/>
              <w:widowControl/>
              <w:suppressLineNumbers w:val="0"/>
              <w:spacing w:before="0" w:beforeAutospacing="0" w:after="0" w:afterAutospacing="0" w:line="360" w:lineRule="auto"/>
              <w:ind w:left="0" w:right="0" w:firstLine="0" w:firstLineChars="0"/>
              <w:jc w:val="center"/>
              <w:rPr>
                <w:rFonts w:hint="default" w:ascii="Times New Roman" w:hAnsi="Times New Roman" w:cs="Times New Roman"/>
                <w:b/>
                <w:bCs/>
                <w:spacing w:val="5"/>
                <w:sz w:val="24"/>
                <w:szCs w:val="24"/>
                <w:highlight w:val="none"/>
              </w:rPr>
            </w:pPr>
            <w:r>
              <w:rPr>
                <w:rFonts w:hint="default" w:ascii="Times New Roman" w:hAnsi="Times New Roman" w:cs="Times New Roman"/>
                <w:b/>
                <w:bCs/>
                <w:spacing w:val="5"/>
                <w:sz w:val="24"/>
                <w:szCs w:val="24"/>
                <w:highlight w:val="none"/>
              </w:rPr>
              <w:t>表</w:t>
            </w:r>
            <w:r>
              <w:rPr>
                <w:rFonts w:hint="default" w:ascii="Times New Roman" w:hAnsi="Times New Roman" w:cs="Times New Roman"/>
                <w:b/>
                <w:bCs/>
                <w:spacing w:val="-34"/>
                <w:sz w:val="24"/>
                <w:szCs w:val="24"/>
                <w:highlight w:val="none"/>
              </w:rPr>
              <w:t xml:space="preserve"> </w:t>
            </w:r>
            <w:r>
              <w:rPr>
                <w:rFonts w:hint="default" w:ascii="Times New Roman" w:hAnsi="Times New Roman" w:eastAsia="Times New Roman" w:cs="Times New Roman"/>
                <w:b/>
                <w:bCs/>
                <w:spacing w:val="5"/>
                <w:sz w:val="24"/>
                <w:szCs w:val="24"/>
                <w:highlight w:val="none"/>
              </w:rPr>
              <w:t>3-</w:t>
            </w:r>
            <w:r>
              <w:rPr>
                <w:rFonts w:hint="default" w:ascii="Times New Roman" w:hAnsi="Times New Roman" w:eastAsia="宋体" w:cs="Times New Roman"/>
                <w:b/>
                <w:bCs/>
                <w:spacing w:val="5"/>
                <w:sz w:val="24"/>
                <w:szCs w:val="24"/>
                <w:highlight w:val="none"/>
                <w:lang w:val="en-US" w:eastAsia="zh-CN"/>
              </w:rPr>
              <w:t>5</w:t>
            </w:r>
            <w:r>
              <w:rPr>
                <w:rFonts w:hint="default" w:ascii="Times New Roman" w:hAnsi="Times New Roman" w:eastAsia="Times New Roman" w:cs="Times New Roman"/>
                <w:b/>
                <w:bCs/>
                <w:spacing w:val="5"/>
                <w:sz w:val="24"/>
                <w:szCs w:val="24"/>
                <w:highlight w:val="none"/>
              </w:rPr>
              <w:t xml:space="preserve"> </w:t>
            </w:r>
            <w:r>
              <w:rPr>
                <w:rFonts w:hint="default" w:ascii="Times New Roman" w:hAnsi="Times New Roman" w:cs="Times New Roman"/>
                <w:b/>
                <w:bCs/>
                <w:spacing w:val="5"/>
                <w:sz w:val="24"/>
                <w:szCs w:val="24"/>
                <w:highlight w:val="none"/>
              </w:rPr>
              <w:t>废气排放标准一览表</w:t>
            </w:r>
          </w:p>
          <w:tbl>
            <w:tblPr>
              <w:tblStyle w:val="33"/>
              <w:tblW w:w="8140" w:type="dxa"/>
              <w:tblInd w:w="-1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8"/>
              <w:gridCol w:w="1859"/>
              <w:gridCol w:w="1397"/>
              <w:gridCol w:w="1628"/>
              <w:gridCol w:w="1628"/>
            </w:tblGrid>
            <w:tr w14:paraId="097B97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628" w:type="dxa"/>
                  <w:vMerge w:val="restart"/>
                  <w:tcBorders>
                    <w:tl2br w:val="nil"/>
                    <w:tr2bl w:val="nil"/>
                  </w:tcBorders>
                  <w:vAlign w:val="center"/>
                </w:tcPr>
                <w:p w14:paraId="5869FF49">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spacing w:val="5"/>
                      <w:sz w:val="21"/>
                      <w:szCs w:val="21"/>
                      <w:highlight w:val="none"/>
                      <w:vertAlign w:val="baseline"/>
                      <w:lang w:val="en-US" w:eastAsia="zh-CN"/>
                    </w:rPr>
                  </w:pPr>
                  <w:r>
                    <w:rPr>
                      <w:rFonts w:hint="default" w:ascii="Times New Roman" w:hAnsi="Times New Roman" w:cs="Times New Roman"/>
                      <w:b w:val="0"/>
                      <w:bCs w:val="0"/>
                      <w:spacing w:val="5"/>
                      <w:sz w:val="21"/>
                      <w:szCs w:val="21"/>
                      <w:highlight w:val="none"/>
                      <w:vertAlign w:val="baseline"/>
                      <w:lang w:val="en-US" w:eastAsia="zh-CN"/>
                    </w:rPr>
                    <w:t>污染源</w:t>
                  </w:r>
                </w:p>
              </w:tc>
              <w:tc>
                <w:tcPr>
                  <w:tcW w:w="1859" w:type="dxa"/>
                  <w:vMerge w:val="restart"/>
                  <w:tcBorders>
                    <w:tl2br w:val="nil"/>
                    <w:tr2bl w:val="nil"/>
                  </w:tcBorders>
                  <w:vAlign w:val="center"/>
                </w:tcPr>
                <w:p w14:paraId="60D8C649">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spacing w:val="5"/>
                      <w:sz w:val="21"/>
                      <w:szCs w:val="21"/>
                      <w:highlight w:val="none"/>
                      <w:vertAlign w:val="baseline"/>
                      <w:lang w:val="en-US" w:eastAsia="zh-CN"/>
                    </w:rPr>
                  </w:pPr>
                  <w:r>
                    <w:rPr>
                      <w:rFonts w:hint="default" w:ascii="Times New Roman" w:hAnsi="Times New Roman" w:cs="Times New Roman"/>
                      <w:b w:val="0"/>
                      <w:bCs w:val="0"/>
                      <w:spacing w:val="5"/>
                      <w:sz w:val="21"/>
                      <w:szCs w:val="21"/>
                      <w:highlight w:val="none"/>
                      <w:vertAlign w:val="baseline"/>
                      <w:lang w:val="en-US" w:eastAsia="zh-CN"/>
                    </w:rPr>
                    <w:t>执行标准</w:t>
                  </w:r>
                </w:p>
              </w:tc>
              <w:tc>
                <w:tcPr>
                  <w:tcW w:w="1397" w:type="dxa"/>
                  <w:vMerge w:val="restart"/>
                  <w:tcBorders>
                    <w:tl2br w:val="nil"/>
                    <w:tr2bl w:val="nil"/>
                  </w:tcBorders>
                  <w:vAlign w:val="center"/>
                </w:tcPr>
                <w:p w14:paraId="16DEF4DC">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spacing w:val="5"/>
                      <w:sz w:val="21"/>
                      <w:szCs w:val="21"/>
                      <w:highlight w:val="none"/>
                      <w:vertAlign w:val="baseline"/>
                      <w:lang w:val="en-US" w:eastAsia="zh-CN"/>
                    </w:rPr>
                  </w:pPr>
                  <w:r>
                    <w:rPr>
                      <w:rFonts w:hint="default" w:ascii="Times New Roman" w:hAnsi="Times New Roman" w:cs="Times New Roman"/>
                      <w:b w:val="0"/>
                      <w:bCs w:val="0"/>
                      <w:spacing w:val="5"/>
                      <w:sz w:val="21"/>
                      <w:szCs w:val="21"/>
                      <w:highlight w:val="none"/>
                      <w:vertAlign w:val="baseline"/>
                      <w:lang w:val="en-US" w:eastAsia="zh-CN"/>
                    </w:rPr>
                    <w:t>污染物</w:t>
                  </w:r>
                </w:p>
              </w:tc>
              <w:tc>
                <w:tcPr>
                  <w:tcW w:w="3256" w:type="dxa"/>
                  <w:gridSpan w:val="2"/>
                  <w:tcBorders>
                    <w:tl2br w:val="nil"/>
                    <w:tr2bl w:val="nil"/>
                  </w:tcBorders>
                  <w:vAlign w:val="center"/>
                </w:tcPr>
                <w:p w14:paraId="7167C085">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spacing w:val="5"/>
                      <w:sz w:val="21"/>
                      <w:szCs w:val="21"/>
                      <w:highlight w:val="none"/>
                      <w:vertAlign w:val="baseline"/>
                      <w:lang w:val="en-US" w:eastAsia="zh-CN"/>
                    </w:rPr>
                  </w:pPr>
                  <w:r>
                    <w:rPr>
                      <w:rFonts w:hint="default" w:ascii="Times New Roman" w:hAnsi="Times New Roman" w:cs="Times New Roman"/>
                      <w:b w:val="0"/>
                      <w:bCs w:val="0"/>
                      <w:spacing w:val="5"/>
                      <w:sz w:val="21"/>
                      <w:szCs w:val="21"/>
                      <w:highlight w:val="none"/>
                      <w:vertAlign w:val="baseline"/>
                      <w:lang w:val="en-US" w:eastAsia="zh-CN"/>
                    </w:rPr>
                    <w:t>标准值</w:t>
                  </w:r>
                </w:p>
              </w:tc>
            </w:tr>
            <w:tr w14:paraId="79984A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628" w:type="dxa"/>
                  <w:vMerge w:val="continue"/>
                  <w:tcBorders>
                    <w:tl2br w:val="nil"/>
                    <w:tr2bl w:val="nil"/>
                  </w:tcBorders>
                  <w:vAlign w:val="center"/>
                </w:tcPr>
                <w:p w14:paraId="7EAA5BD5">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pacing w:val="5"/>
                      <w:sz w:val="21"/>
                      <w:szCs w:val="21"/>
                      <w:highlight w:val="none"/>
                      <w:vertAlign w:val="baseline"/>
                      <w:lang w:val="en-US" w:eastAsia="zh-CN"/>
                    </w:rPr>
                  </w:pPr>
                </w:p>
              </w:tc>
              <w:tc>
                <w:tcPr>
                  <w:tcW w:w="1859" w:type="dxa"/>
                  <w:vMerge w:val="continue"/>
                  <w:tcBorders>
                    <w:tl2br w:val="nil"/>
                    <w:tr2bl w:val="nil"/>
                  </w:tcBorders>
                  <w:vAlign w:val="center"/>
                </w:tcPr>
                <w:p w14:paraId="5A9C76CA">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pacing w:val="5"/>
                      <w:sz w:val="21"/>
                      <w:szCs w:val="21"/>
                      <w:highlight w:val="none"/>
                      <w:vertAlign w:val="baseline"/>
                      <w:lang w:val="en-US" w:eastAsia="zh-CN"/>
                    </w:rPr>
                  </w:pPr>
                </w:p>
              </w:tc>
              <w:tc>
                <w:tcPr>
                  <w:tcW w:w="1397" w:type="dxa"/>
                  <w:vMerge w:val="continue"/>
                  <w:tcBorders>
                    <w:tl2br w:val="nil"/>
                    <w:tr2bl w:val="nil"/>
                  </w:tcBorders>
                  <w:vAlign w:val="center"/>
                </w:tcPr>
                <w:p w14:paraId="1B5A4E94">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spacing w:val="5"/>
                      <w:sz w:val="21"/>
                      <w:szCs w:val="21"/>
                      <w:highlight w:val="none"/>
                      <w:vertAlign w:val="baseline"/>
                      <w:lang w:val="en-US" w:eastAsia="zh-CN"/>
                    </w:rPr>
                  </w:pPr>
                </w:p>
              </w:tc>
              <w:tc>
                <w:tcPr>
                  <w:tcW w:w="1628" w:type="dxa"/>
                  <w:tcBorders>
                    <w:tl2br w:val="nil"/>
                    <w:tr2bl w:val="nil"/>
                  </w:tcBorders>
                  <w:vAlign w:val="center"/>
                </w:tcPr>
                <w:p w14:paraId="3A0869A3">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spacing w:val="5"/>
                      <w:sz w:val="21"/>
                      <w:szCs w:val="21"/>
                      <w:highlight w:val="none"/>
                      <w:vertAlign w:val="baseline"/>
                      <w:lang w:val="en-US" w:eastAsia="zh-CN"/>
                    </w:rPr>
                  </w:pPr>
                  <w:r>
                    <w:rPr>
                      <w:rFonts w:hint="default" w:ascii="Times New Roman" w:hAnsi="Times New Roman" w:cs="Times New Roman"/>
                      <w:b w:val="0"/>
                      <w:bCs w:val="0"/>
                      <w:spacing w:val="5"/>
                      <w:sz w:val="21"/>
                      <w:szCs w:val="21"/>
                      <w:highlight w:val="none"/>
                      <w:vertAlign w:val="baseline"/>
                      <w:lang w:val="en-US" w:eastAsia="zh-CN"/>
                    </w:rPr>
                    <w:t>类别</w:t>
                  </w:r>
                </w:p>
              </w:tc>
              <w:tc>
                <w:tcPr>
                  <w:tcW w:w="1628" w:type="dxa"/>
                  <w:tcBorders>
                    <w:tl2br w:val="nil"/>
                    <w:tr2bl w:val="nil"/>
                  </w:tcBorders>
                  <w:vAlign w:val="center"/>
                </w:tcPr>
                <w:p w14:paraId="494A8C12">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spacing w:val="5"/>
                      <w:sz w:val="21"/>
                      <w:szCs w:val="21"/>
                      <w:highlight w:val="none"/>
                      <w:vertAlign w:val="baseline"/>
                      <w:lang w:val="en-US" w:eastAsia="zh-CN"/>
                    </w:rPr>
                  </w:pPr>
                  <w:r>
                    <w:rPr>
                      <w:rFonts w:hint="default" w:ascii="Times New Roman" w:hAnsi="Times New Roman" w:cs="Times New Roman"/>
                      <w:b w:val="0"/>
                      <w:bCs w:val="0"/>
                      <w:spacing w:val="5"/>
                      <w:sz w:val="21"/>
                      <w:szCs w:val="21"/>
                      <w:highlight w:val="none"/>
                      <w:vertAlign w:val="baseline"/>
                      <w:lang w:val="en-US" w:eastAsia="zh-CN"/>
                    </w:rPr>
                    <w:t>限值</w:t>
                  </w:r>
                </w:p>
              </w:tc>
            </w:tr>
            <w:tr w14:paraId="645180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628" w:type="dxa"/>
                  <w:vMerge w:val="restart"/>
                  <w:tcBorders>
                    <w:tl2br w:val="nil"/>
                    <w:tr2bl w:val="nil"/>
                  </w:tcBorders>
                  <w:vAlign w:val="center"/>
                </w:tcPr>
                <w:p w14:paraId="556F0BC1">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spacing w:val="5"/>
                      <w:sz w:val="21"/>
                      <w:szCs w:val="21"/>
                      <w:highlight w:val="none"/>
                      <w:vertAlign w:val="baseline"/>
                      <w:lang w:val="en-US" w:eastAsia="zh-CN"/>
                    </w:rPr>
                  </w:pPr>
                  <w:r>
                    <w:rPr>
                      <w:rFonts w:hint="default" w:ascii="Times New Roman" w:hAnsi="Times New Roman" w:cs="Times New Roman"/>
                      <w:b w:val="0"/>
                      <w:bCs w:val="0"/>
                      <w:spacing w:val="5"/>
                      <w:sz w:val="21"/>
                      <w:szCs w:val="21"/>
                      <w:highlight w:val="none"/>
                      <w:vertAlign w:val="baseline"/>
                      <w:lang w:val="en-US" w:eastAsia="zh-CN"/>
                    </w:rPr>
                    <w:t>抛丸粉尘、喷粉粉尘</w:t>
                  </w:r>
                </w:p>
              </w:tc>
              <w:tc>
                <w:tcPr>
                  <w:tcW w:w="1859" w:type="dxa"/>
                  <w:vMerge w:val="restart"/>
                  <w:tcBorders>
                    <w:tl2br w:val="nil"/>
                    <w:tr2bl w:val="nil"/>
                  </w:tcBorders>
                  <w:vAlign w:val="center"/>
                </w:tcPr>
                <w:p w14:paraId="572D1E1D">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spacing w:val="5"/>
                      <w:sz w:val="21"/>
                      <w:szCs w:val="21"/>
                      <w:highlight w:val="none"/>
                      <w:vertAlign w:val="baseline"/>
                      <w:lang w:val="en-US" w:eastAsia="zh-CN"/>
                    </w:rPr>
                  </w:pPr>
                  <w:r>
                    <w:rPr>
                      <w:rFonts w:hint="default" w:ascii="Times New Roman" w:hAnsi="Times New Roman" w:cs="Times New Roman"/>
                      <w:spacing w:val="8"/>
                      <w:sz w:val="21"/>
                      <w:szCs w:val="21"/>
                      <w:highlight w:val="none"/>
                    </w:rPr>
                    <w:t>《大气污染物综合排放</w:t>
                  </w:r>
                  <w:r>
                    <w:rPr>
                      <w:rFonts w:hint="default" w:ascii="Times New Roman" w:hAnsi="Times New Roman" w:cs="Times New Roman"/>
                      <w:spacing w:val="3"/>
                      <w:sz w:val="21"/>
                      <w:szCs w:val="21"/>
                      <w:highlight w:val="none"/>
                    </w:rPr>
                    <w:t>标准》</w:t>
                  </w:r>
                  <w:r>
                    <w:rPr>
                      <w:rFonts w:hint="default" w:ascii="Times New Roman" w:hAnsi="Times New Roman" w:cs="Times New Roman"/>
                      <w:spacing w:val="25"/>
                      <w:sz w:val="21"/>
                      <w:szCs w:val="21"/>
                      <w:highlight w:val="none"/>
                    </w:rPr>
                    <w:t xml:space="preserve"> </w:t>
                  </w:r>
                  <w:r>
                    <w:rPr>
                      <w:rFonts w:hint="eastAsia" w:cs="Times New Roman"/>
                      <w:spacing w:val="25"/>
                      <w:sz w:val="21"/>
                      <w:szCs w:val="21"/>
                      <w:highlight w:val="none"/>
                      <w:lang w:eastAsia="zh-CN"/>
                    </w:rPr>
                    <w:t>（</w:t>
                  </w:r>
                  <w:r>
                    <w:rPr>
                      <w:rFonts w:hint="default" w:ascii="Times New Roman" w:hAnsi="Times New Roman" w:eastAsia="Times New Roman" w:cs="Times New Roman"/>
                      <w:sz w:val="21"/>
                      <w:szCs w:val="21"/>
                      <w:highlight w:val="none"/>
                    </w:rPr>
                    <w:t>GB</w:t>
                  </w:r>
                  <w:r>
                    <w:rPr>
                      <w:rFonts w:hint="default" w:ascii="Times New Roman" w:hAnsi="Times New Roman" w:eastAsia="Times New Roman" w:cs="Times New Roman"/>
                      <w:spacing w:val="3"/>
                      <w:sz w:val="21"/>
                      <w:szCs w:val="21"/>
                      <w:highlight w:val="none"/>
                    </w:rPr>
                    <w:t>16297-</w:t>
                  </w:r>
                  <w:r>
                    <w:rPr>
                      <w:rFonts w:hint="default" w:ascii="Times New Roman" w:hAnsi="Times New Roman" w:eastAsia="Times New Roman" w:cs="Times New Roman"/>
                      <w:spacing w:val="-28"/>
                      <w:sz w:val="21"/>
                      <w:szCs w:val="21"/>
                      <w:highlight w:val="none"/>
                    </w:rPr>
                    <w:t xml:space="preserve"> </w:t>
                  </w:r>
                  <w:r>
                    <w:rPr>
                      <w:rFonts w:hint="default" w:ascii="Times New Roman" w:hAnsi="Times New Roman" w:eastAsia="Times New Roman" w:cs="Times New Roman"/>
                      <w:spacing w:val="3"/>
                      <w:sz w:val="21"/>
                      <w:szCs w:val="21"/>
                      <w:highlight w:val="none"/>
                    </w:rPr>
                    <w:t>1996</w:t>
                  </w:r>
                  <w:r>
                    <w:rPr>
                      <w:rFonts w:hint="eastAsia" w:cs="Times New Roman"/>
                      <w:spacing w:val="25"/>
                      <w:sz w:val="21"/>
                      <w:szCs w:val="21"/>
                      <w:highlight w:val="none"/>
                      <w:lang w:eastAsia="zh-CN"/>
                    </w:rPr>
                    <w:t>）</w:t>
                  </w:r>
                </w:p>
              </w:tc>
              <w:tc>
                <w:tcPr>
                  <w:tcW w:w="1397" w:type="dxa"/>
                  <w:vMerge w:val="restart"/>
                  <w:tcBorders>
                    <w:tl2br w:val="nil"/>
                    <w:tr2bl w:val="nil"/>
                  </w:tcBorders>
                  <w:vAlign w:val="center"/>
                </w:tcPr>
                <w:p w14:paraId="10F44B2E">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spacing w:val="5"/>
                      <w:sz w:val="21"/>
                      <w:szCs w:val="21"/>
                      <w:highlight w:val="none"/>
                      <w:vertAlign w:val="baseline"/>
                      <w:lang w:val="en-US" w:eastAsia="zh-CN"/>
                    </w:rPr>
                  </w:pPr>
                  <w:r>
                    <w:rPr>
                      <w:rFonts w:hint="default" w:ascii="Times New Roman" w:hAnsi="Times New Roman" w:cs="Times New Roman"/>
                      <w:spacing w:val="7"/>
                      <w:sz w:val="21"/>
                      <w:szCs w:val="21"/>
                      <w:highlight w:val="none"/>
                    </w:rPr>
                    <w:t>颗粒物</w:t>
                  </w:r>
                </w:p>
              </w:tc>
              <w:tc>
                <w:tcPr>
                  <w:tcW w:w="1628" w:type="dxa"/>
                  <w:tcBorders>
                    <w:tl2br w:val="nil"/>
                    <w:tr2bl w:val="nil"/>
                  </w:tcBorders>
                  <w:vAlign w:val="center"/>
                </w:tcPr>
                <w:p w14:paraId="0D7893A3">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spacing w:val="5"/>
                      <w:sz w:val="21"/>
                      <w:szCs w:val="21"/>
                      <w:highlight w:val="none"/>
                      <w:vertAlign w:val="baseline"/>
                      <w:lang w:val="en-US" w:eastAsia="zh-CN"/>
                    </w:rPr>
                  </w:pPr>
                  <w:r>
                    <w:rPr>
                      <w:rFonts w:hint="default" w:ascii="Times New Roman" w:hAnsi="Times New Roman" w:cs="Times New Roman"/>
                      <w:spacing w:val="7"/>
                      <w:sz w:val="21"/>
                      <w:szCs w:val="21"/>
                      <w:highlight w:val="none"/>
                    </w:rPr>
                    <w:t>厂界监测浓度</w:t>
                  </w:r>
                  <w:r>
                    <w:rPr>
                      <w:rFonts w:hint="default" w:ascii="Times New Roman" w:hAnsi="Times New Roman" w:cs="Times New Roman"/>
                      <w:spacing w:val="-3"/>
                      <w:sz w:val="21"/>
                      <w:szCs w:val="21"/>
                      <w:highlight w:val="none"/>
                    </w:rPr>
                    <w:t>限值</w:t>
                  </w:r>
                </w:p>
              </w:tc>
              <w:tc>
                <w:tcPr>
                  <w:tcW w:w="1628" w:type="dxa"/>
                  <w:tcBorders>
                    <w:tl2br w:val="nil"/>
                    <w:tr2bl w:val="nil"/>
                  </w:tcBorders>
                  <w:vAlign w:val="center"/>
                </w:tcPr>
                <w:p w14:paraId="6939EB54">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spacing w:val="5"/>
                      <w:sz w:val="21"/>
                      <w:szCs w:val="21"/>
                      <w:highlight w:val="none"/>
                      <w:vertAlign w:val="baseline"/>
                      <w:lang w:val="en-US" w:eastAsia="zh-CN"/>
                    </w:rPr>
                  </w:pPr>
                  <w:r>
                    <w:rPr>
                      <w:rFonts w:hint="default" w:ascii="Times New Roman" w:hAnsi="Times New Roman" w:eastAsia="Times New Roman" w:cs="Times New Roman"/>
                      <w:spacing w:val="2"/>
                      <w:sz w:val="21"/>
                      <w:szCs w:val="21"/>
                      <w:highlight w:val="none"/>
                    </w:rPr>
                    <w:t>1.0</w:t>
                  </w:r>
                  <w:r>
                    <w:rPr>
                      <w:rFonts w:hint="default" w:ascii="Times New Roman" w:hAnsi="Times New Roman" w:eastAsia="Times New Roman" w:cs="Times New Roman"/>
                      <w:sz w:val="21"/>
                      <w:szCs w:val="21"/>
                      <w:highlight w:val="none"/>
                    </w:rPr>
                    <w:t>mg</w:t>
                  </w:r>
                  <w:r>
                    <w:rPr>
                      <w:rFonts w:hint="default" w:ascii="Times New Roman" w:hAnsi="Times New Roman" w:eastAsia="Times New Roman" w:cs="Times New Roman"/>
                      <w:spacing w:val="2"/>
                      <w:sz w:val="21"/>
                      <w:szCs w:val="21"/>
                      <w:highlight w:val="none"/>
                    </w:rPr>
                    <w:t>/m</w:t>
                  </w:r>
                  <w:r>
                    <w:rPr>
                      <w:rFonts w:hint="default" w:ascii="Times New Roman" w:hAnsi="Times New Roman" w:eastAsia="宋体" w:cs="Times New Roman"/>
                      <w:spacing w:val="2"/>
                      <w:sz w:val="21"/>
                      <w:szCs w:val="21"/>
                      <w:highlight w:val="none"/>
                      <w:vertAlign w:val="superscript"/>
                      <w:lang w:val="en-US" w:eastAsia="zh-CN"/>
                    </w:rPr>
                    <w:t>3</w:t>
                  </w:r>
                </w:p>
              </w:tc>
            </w:tr>
            <w:tr w14:paraId="673D88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628" w:type="dxa"/>
                  <w:vMerge w:val="continue"/>
                  <w:tcBorders>
                    <w:tl2br w:val="nil"/>
                    <w:tr2bl w:val="nil"/>
                  </w:tcBorders>
                  <w:vAlign w:val="center"/>
                </w:tcPr>
                <w:p w14:paraId="641CC29A">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spacing w:val="5"/>
                      <w:sz w:val="21"/>
                      <w:szCs w:val="21"/>
                      <w:highlight w:val="none"/>
                      <w:vertAlign w:val="baseline"/>
                      <w:lang w:val="en-US" w:eastAsia="zh-CN"/>
                    </w:rPr>
                  </w:pPr>
                </w:p>
              </w:tc>
              <w:tc>
                <w:tcPr>
                  <w:tcW w:w="1859" w:type="dxa"/>
                  <w:vMerge w:val="continue"/>
                  <w:tcBorders>
                    <w:tl2br w:val="nil"/>
                    <w:tr2bl w:val="nil"/>
                  </w:tcBorders>
                  <w:vAlign w:val="center"/>
                </w:tcPr>
                <w:p w14:paraId="26D7952B">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pacing w:val="8"/>
                      <w:sz w:val="21"/>
                      <w:szCs w:val="21"/>
                      <w:highlight w:val="none"/>
                    </w:rPr>
                  </w:pPr>
                </w:p>
              </w:tc>
              <w:tc>
                <w:tcPr>
                  <w:tcW w:w="1397" w:type="dxa"/>
                  <w:vMerge w:val="continue"/>
                  <w:tcBorders>
                    <w:tl2br w:val="nil"/>
                    <w:tr2bl w:val="nil"/>
                  </w:tcBorders>
                  <w:vAlign w:val="center"/>
                </w:tcPr>
                <w:p w14:paraId="6CF240E7">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pacing w:val="7"/>
                      <w:sz w:val="21"/>
                      <w:szCs w:val="21"/>
                      <w:highlight w:val="none"/>
                    </w:rPr>
                  </w:pPr>
                </w:p>
              </w:tc>
              <w:tc>
                <w:tcPr>
                  <w:tcW w:w="1628" w:type="dxa"/>
                  <w:tcBorders>
                    <w:tl2br w:val="nil"/>
                    <w:tr2bl w:val="nil"/>
                  </w:tcBorders>
                  <w:vAlign w:val="center"/>
                </w:tcPr>
                <w:p w14:paraId="0B2F1606">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pacing w:val="7"/>
                      <w:sz w:val="21"/>
                      <w:szCs w:val="21"/>
                      <w:highlight w:val="none"/>
                      <w:lang w:val="en-US" w:eastAsia="zh-CN"/>
                    </w:rPr>
                  </w:pPr>
                  <w:r>
                    <w:rPr>
                      <w:rFonts w:hint="default" w:ascii="Times New Roman" w:hAnsi="Times New Roman" w:cs="Times New Roman"/>
                      <w:spacing w:val="7"/>
                      <w:sz w:val="21"/>
                      <w:szCs w:val="21"/>
                      <w:highlight w:val="none"/>
                      <w:lang w:val="en-US" w:eastAsia="zh-CN"/>
                    </w:rPr>
                    <w:t>有组织</w:t>
                  </w:r>
                </w:p>
              </w:tc>
              <w:tc>
                <w:tcPr>
                  <w:tcW w:w="1628" w:type="dxa"/>
                  <w:tcBorders>
                    <w:tl2br w:val="nil"/>
                    <w:tr2bl w:val="nil"/>
                  </w:tcBorders>
                  <w:vAlign w:val="center"/>
                </w:tcPr>
                <w:p w14:paraId="5AD432DC">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pacing w:val="2"/>
                      <w:sz w:val="21"/>
                      <w:szCs w:val="21"/>
                      <w:highlight w:val="none"/>
                      <w:lang w:val="en-US" w:eastAsia="zh-CN"/>
                    </w:rPr>
                  </w:pPr>
                  <w:r>
                    <w:rPr>
                      <w:rFonts w:hint="default" w:ascii="Times New Roman" w:hAnsi="Times New Roman" w:eastAsia="宋体" w:cs="Times New Roman"/>
                      <w:spacing w:val="2"/>
                      <w:sz w:val="21"/>
                      <w:szCs w:val="21"/>
                      <w:highlight w:val="none"/>
                      <w:lang w:val="en-US" w:eastAsia="zh-CN"/>
                    </w:rPr>
                    <w:t>120</w:t>
                  </w:r>
                  <w:r>
                    <w:rPr>
                      <w:rFonts w:hint="default" w:ascii="Times New Roman" w:hAnsi="Times New Roman" w:eastAsia="Times New Roman" w:cs="Times New Roman"/>
                      <w:sz w:val="21"/>
                      <w:szCs w:val="21"/>
                      <w:highlight w:val="none"/>
                    </w:rPr>
                    <w:t>mg</w:t>
                  </w:r>
                  <w:r>
                    <w:rPr>
                      <w:rFonts w:hint="default" w:ascii="Times New Roman" w:hAnsi="Times New Roman" w:eastAsia="Times New Roman" w:cs="Times New Roman"/>
                      <w:spacing w:val="2"/>
                      <w:sz w:val="21"/>
                      <w:szCs w:val="21"/>
                      <w:highlight w:val="none"/>
                    </w:rPr>
                    <w:t>/m</w:t>
                  </w:r>
                  <w:r>
                    <w:rPr>
                      <w:rFonts w:hint="default" w:ascii="Times New Roman" w:hAnsi="Times New Roman" w:eastAsia="宋体" w:cs="Times New Roman"/>
                      <w:spacing w:val="2"/>
                      <w:sz w:val="21"/>
                      <w:szCs w:val="21"/>
                      <w:highlight w:val="none"/>
                      <w:vertAlign w:val="superscript"/>
                      <w:lang w:val="en-US" w:eastAsia="zh-CN"/>
                    </w:rPr>
                    <w:t>3</w:t>
                  </w:r>
                </w:p>
              </w:tc>
            </w:tr>
            <w:tr w14:paraId="40DB61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628" w:type="dxa"/>
                  <w:vMerge w:val="restart"/>
                  <w:tcBorders>
                    <w:tl2br w:val="nil"/>
                    <w:tr2bl w:val="nil"/>
                  </w:tcBorders>
                  <w:vAlign w:val="center"/>
                </w:tcPr>
                <w:p w14:paraId="0DE273B6">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b w:val="0"/>
                      <w:bCs w:val="0"/>
                      <w:spacing w:val="5"/>
                      <w:sz w:val="21"/>
                      <w:szCs w:val="21"/>
                      <w:highlight w:val="none"/>
                      <w:vertAlign w:val="baseline"/>
                      <w:lang w:val="en-US" w:eastAsia="zh-CN"/>
                    </w:rPr>
                  </w:pPr>
                  <w:r>
                    <w:rPr>
                      <w:rFonts w:hint="default" w:ascii="Times New Roman" w:hAnsi="Times New Roman" w:cs="Times New Roman"/>
                      <w:b w:val="0"/>
                      <w:bCs/>
                      <w:color w:val="auto"/>
                      <w:sz w:val="21"/>
                      <w:szCs w:val="21"/>
                      <w:highlight w:val="none"/>
                      <w:lang w:eastAsia="zh-CN"/>
                    </w:rPr>
                    <w:t>固化、流平、烘干有机废气</w:t>
                  </w:r>
                </w:p>
              </w:tc>
              <w:tc>
                <w:tcPr>
                  <w:tcW w:w="1859" w:type="dxa"/>
                  <w:vMerge w:val="restart"/>
                  <w:tcBorders>
                    <w:tl2br w:val="nil"/>
                    <w:tr2bl w:val="nil"/>
                  </w:tcBorders>
                  <w:vAlign w:val="center"/>
                </w:tcPr>
                <w:p w14:paraId="71068500">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pacing w:val="8"/>
                      <w:sz w:val="21"/>
                      <w:szCs w:val="21"/>
                      <w:highlight w:val="none"/>
                    </w:rPr>
                  </w:pPr>
                  <w:r>
                    <w:rPr>
                      <w:rFonts w:hint="default" w:ascii="Times New Roman" w:hAnsi="Times New Roman" w:cs="Times New Roman"/>
                      <w:b w:val="0"/>
                      <w:bCs/>
                      <w:color w:val="auto"/>
                      <w:sz w:val="21"/>
                      <w:szCs w:val="21"/>
                      <w:highlight w:val="none"/>
                      <w:lang w:eastAsia="zh-CN"/>
                    </w:rPr>
                    <w:t>《挥发性有机物排放控制标准》（DB61/T1061-2017）</w:t>
                  </w:r>
                </w:p>
              </w:tc>
              <w:tc>
                <w:tcPr>
                  <w:tcW w:w="1397" w:type="dxa"/>
                  <w:vMerge w:val="restart"/>
                  <w:tcBorders>
                    <w:tl2br w:val="nil"/>
                    <w:tr2bl w:val="nil"/>
                  </w:tcBorders>
                  <w:vAlign w:val="center"/>
                </w:tcPr>
                <w:p w14:paraId="0A75E387">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pacing w:val="7"/>
                      <w:sz w:val="21"/>
                      <w:szCs w:val="21"/>
                      <w:highlight w:val="none"/>
                    </w:rPr>
                  </w:pPr>
                  <w:r>
                    <w:rPr>
                      <w:rFonts w:hint="default" w:ascii="Times New Roman" w:hAnsi="Times New Roman" w:cs="Times New Roman"/>
                      <w:b w:val="0"/>
                      <w:bCs/>
                      <w:color w:val="auto"/>
                      <w:sz w:val="21"/>
                      <w:szCs w:val="21"/>
                      <w:highlight w:val="none"/>
                      <w:lang w:eastAsia="zh-CN"/>
                    </w:rPr>
                    <w:t>非甲烷总烃</w:t>
                  </w:r>
                </w:p>
              </w:tc>
              <w:tc>
                <w:tcPr>
                  <w:tcW w:w="1628" w:type="dxa"/>
                  <w:tcBorders>
                    <w:tl2br w:val="nil"/>
                    <w:tr2bl w:val="nil"/>
                  </w:tcBorders>
                  <w:vAlign w:val="center"/>
                </w:tcPr>
                <w:p w14:paraId="3C662000">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spacing w:val="7"/>
                      <w:sz w:val="21"/>
                      <w:szCs w:val="21"/>
                      <w:highlight w:val="none"/>
                      <w:lang w:val="en-US" w:eastAsia="zh-CN"/>
                    </w:rPr>
                  </w:pPr>
                  <w:r>
                    <w:rPr>
                      <w:rFonts w:hint="default" w:ascii="Times New Roman" w:hAnsi="Times New Roman" w:cs="Times New Roman"/>
                      <w:spacing w:val="7"/>
                      <w:sz w:val="21"/>
                      <w:szCs w:val="21"/>
                      <w:highlight w:val="none"/>
                    </w:rPr>
                    <w:t>厂界监测浓度</w:t>
                  </w:r>
                  <w:r>
                    <w:rPr>
                      <w:rFonts w:hint="default" w:ascii="Times New Roman" w:hAnsi="Times New Roman" w:cs="Times New Roman"/>
                      <w:spacing w:val="-3"/>
                      <w:sz w:val="21"/>
                      <w:szCs w:val="21"/>
                      <w:highlight w:val="none"/>
                    </w:rPr>
                    <w:t>限值</w:t>
                  </w:r>
                </w:p>
              </w:tc>
              <w:tc>
                <w:tcPr>
                  <w:tcW w:w="1628" w:type="dxa"/>
                  <w:tcBorders>
                    <w:tl2br w:val="nil"/>
                    <w:tr2bl w:val="nil"/>
                  </w:tcBorders>
                  <w:vAlign w:val="center"/>
                </w:tcPr>
                <w:p w14:paraId="1343A0A6">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pacing w:val="2"/>
                      <w:sz w:val="21"/>
                      <w:szCs w:val="21"/>
                      <w:highlight w:val="none"/>
                      <w:lang w:val="en-US" w:eastAsia="zh-CN"/>
                    </w:rPr>
                  </w:pPr>
                  <w:r>
                    <w:rPr>
                      <w:rFonts w:hint="default" w:ascii="Times New Roman" w:hAnsi="Times New Roman" w:eastAsia="宋体" w:cs="Times New Roman"/>
                      <w:spacing w:val="2"/>
                      <w:sz w:val="21"/>
                      <w:szCs w:val="21"/>
                      <w:highlight w:val="none"/>
                      <w:lang w:val="en-US" w:eastAsia="zh-CN"/>
                    </w:rPr>
                    <w:t>3</w:t>
                  </w:r>
                  <w:r>
                    <w:rPr>
                      <w:rFonts w:hint="default" w:ascii="Times New Roman" w:hAnsi="Times New Roman" w:eastAsia="Times New Roman" w:cs="Times New Roman"/>
                      <w:spacing w:val="2"/>
                      <w:sz w:val="21"/>
                      <w:szCs w:val="21"/>
                      <w:highlight w:val="none"/>
                    </w:rPr>
                    <w:t>.0</w:t>
                  </w:r>
                  <w:r>
                    <w:rPr>
                      <w:rFonts w:hint="default" w:ascii="Times New Roman" w:hAnsi="Times New Roman" w:eastAsia="Times New Roman" w:cs="Times New Roman"/>
                      <w:sz w:val="21"/>
                      <w:szCs w:val="21"/>
                      <w:highlight w:val="none"/>
                    </w:rPr>
                    <w:t>mg</w:t>
                  </w:r>
                  <w:r>
                    <w:rPr>
                      <w:rFonts w:hint="default" w:ascii="Times New Roman" w:hAnsi="Times New Roman" w:eastAsia="Times New Roman" w:cs="Times New Roman"/>
                      <w:spacing w:val="2"/>
                      <w:sz w:val="21"/>
                      <w:szCs w:val="21"/>
                      <w:highlight w:val="none"/>
                    </w:rPr>
                    <w:t>/m</w:t>
                  </w:r>
                  <w:r>
                    <w:rPr>
                      <w:rFonts w:hint="default" w:ascii="Times New Roman" w:hAnsi="Times New Roman" w:eastAsia="宋体" w:cs="Times New Roman"/>
                      <w:spacing w:val="2"/>
                      <w:sz w:val="21"/>
                      <w:szCs w:val="21"/>
                      <w:highlight w:val="none"/>
                      <w:vertAlign w:val="superscript"/>
                      <w:lang w:val="en-US" w:eastAsia="zh-CN"/>
                    </w:rPr>
                    <w:t>3</w:t>
                  </w:r>
                </w:p>
              </w:tc>
            </w:tr>
            <w:tr w14:paraId="27E9FF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628" w:type="dxa"/>
                  <w:vMerge w:val="continue"/>
                  <w:tcBorders>
                    <w:tl2br w:val="nil"/>
                    <w:tr2bl w:val="nil"/>
                  </w:tcBorders>
                  <w:vAlign w:val="center"/>
                </w:tcPr>
                <w:p w14:paraId="7E84F151">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p>
              </w:tc>
              <w:tc>
                <w:tcPr>
                  <w:tcW w:w="1859" w:type="dxa"/>
                  <w:vMerge w:val="continue"/>
                  <w:tcBorders>
                    <w:tl2br w:val="nil"/>
                    <w:tr2bl w:val="nil"/>
                  </w:tcBorders>
                  <w:vAlign w:val="center"/>
                </w:tcPr>
                <w:p w14:paraId="2E00BFA2">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p>
              </w:tc>
              <w:tc>
                <w:tcPr>
                  <w:tcW w:w="1397" w:type="dxa"/>
                  <w:vMerge w:val="continue"/>
                  <w:tcBorders>
                    <w:tl2br w:val="nil"/>
                    <w:tr2bl w:val="nil"/>
                  </w:tcBorders>
                  <w:vAlign w:val="center"/>
                </w:tcPr>
                <w:p w14:paraId="26421EE6">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p>
              </w:tc>
              <w:tc>
                <w:tcPr>
                  <w:tcW w:w="1628" w:type="dxa"/>
                  <w:tcBorders>
                    <w:tl2br w:val="nil"/>
                    <w:tr2bl w:val="nil"/>
                  </w:tcBorders>
                  <w:vAlign w:val="center"/>
                </w:tcPr>
                <w:p w14:paraId="1B63E4B6">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spacing w:val="7"/>
                      <w:sz w:val="21"/>
                      <w:szCs w:val="21"/>
                      <w:highlight w:val="none"/>
                      <w:lang w:val="en-US" w:eastAsia="zh-CN"/>
                    </w:rPr>
                  </w:pPr>
                  <w:r>
                    <w:rPr>
                      <w:rFonts w:hint="default" w:ascii="Times New Roman" w:hAnsi="Times New Roman" w:cs="Times New Roman"/>
                      <w:spacing w:val="7"/>
                      <w:sz w:val="21"/>
                      <w:szCs w:val="21"/>
                      <w:highlight w:val="none"/>
                      <w:lang w:val="en-US" w:eastAsia="zh-CN"/>
                    </w:rPr>
                    <w:t>有组织</w:t>
                  </w:r>
                </w:p>
              </w:tc>
              <w:tc>
                <w:tcPr>
                  <w:tcW w:w="1628" w:type="dxa"/>
                  <w:tcBorders>
                    <w:tl2br w:val="nil"/>
                    <w:tr2bl w:val="nil"/>
                  </w:tcBorders>
                  <w:vAlign w:val="center"/>
                </w:tcPr>
                <w:p w14:paraId="765024FA">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pacing w:val="7"/>
                      <w:sz w:val="21"/>
                      <w:szCs w:val="21"/>
                      <w:highlight w:val="none"/>
                      <w:lang w:val="en-US" w:eastAsia="zh-CN"/>
                    </w:rPr>
                  </w:pPr>
                  <w:r>
                    <w:rPr>
                      <w:rFonts w:hint="default" w:ascii="Times New Roman" w:hAnsi="Times New Roman" w:cs="Times New Roman"/>
                      <w:spacing w:val="2"/>
                      <w:sz w:val="21"/>
                      <w:szCs w:val="21"/>
                      <w:highlight w:val="none"/>
                      <w:lang w:val="en-US" w:eastAsia="zh-CN"/>
                    </w:rPr>
                    <w:t>5</w:t>
                  </w:r>
                  <w:r>
                    <w:rPr>
                      <w:rFonts w:hint="default" w:ascii="Times New Roman" w:hAnsi="Times New Roman" w:eastAsia="宋体" w:cs="Times New Roman"/>
                      <w:spacing w:val="2"/>
                      <w:sz w:val="21"/>
                      <w:szCs w:val="21"/>
                      <w:highlight w:val="none"/>
                      <w:lang w:val="en-US" w:eastAsia="zh-CN"/>
                    </w:rPr>
                    <w:t>0</w:t>
                  </w:r>
                  <w:r>
                    <w:rPr>
                      <w:rFonts w:hint="default" w:ascii="Times New Roman" w:hAnsi="Times New Roman" w:eastAsia="Times New Roman" w:cs="Times New Roman"/>
                      <w:sz w:val="21"/>
                      <w:szCs w:val="21"/>
                      <w:highlight w:val="none"/>
                    </w:rPr>
                    <w:t>mg</w:t>
                  </w:r>
                  <w:r>
                    <w:rPr>
                      <w:rFonts w:hint="default" w:ascii="Times New Roman" w:hAnsi="Times New Roman" w:eastAsia="Times New Roman" w:cs="Times New Roman"/>
                      <w:spacing w:val="2"/>
                      <w:sz w:val="21"/>
                      <w:szCs w:val="21"/>
                      <w:highlight w:val="none"/>
                    </w:rPr>
                    <w:t>/m</w:t>
                  </w:r>
                  <w:r>
                    <w:rPr>
                      <w:rFonts w:hint="default" w:ascii="Times New Roman" w:hAnsi="Times New Roman" w:eastAsia="宋体" w:cs="Times New Roman"/>
                      <w:spacing w:val="2"/>
                      <w:sz w:val="21"/>
                      <w:szCs w:val="21"/>
                      <w:highlight w:val="none"/>
                      <w:vertAlign w:val="superscript"/>
                      <w:lang w:val="en-US" w:eastAsia="zh-CN"/>
                    </w:rPr>
                    <w:t>3</w:t>
                  </w:r>
                </w:p>
              </w:tc>
            </w:tr>
            <w:tr w14:paraId="0AFEB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628" w:type="dxa"/>
                  <w:vMerge w:val="continue"/>
                  <w:tcBorders>
                    <w:tl2br w:val="nil"/>
                    <w:tr2bl w:val="nil"/>
                  </w:tcBorders>
                  <w:vAlign w:val="center"/>
                </w:tcPr>
                <w:p w14:paraId="60619B87">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p>
              </w:tc>
              <w:tc>
                <w:tcPr>
                  <w:tcW w:w="1859" w:type="dxa"/>
                  <w:tcBorders>
                    <w:tl2br w:val="nil"/>
                    <w:tr2bl w:val="nil"/>
                  </w:tcBorders>
                  <w:vAlign w:val="center"/>
                </w:tcPr>
                <w:p w14:paraId="3BE6BD7C">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《挥发性有机物无组织排放控制标准》（GB37822-2019）附录A</w:t>
                  </w:r>
                </w:p>
              </w:tc>
              <w:tc>
                <w:tcPr>
                  <w:tcW w:w="1397" w:type="dxa"/>
                  <w:vMerge w:val="continue"/>
                  <w:tcBorders>
                    <w:tl2br w:val="nil"/>
                    <w:tr2bl w:val="nil"/>
                  </w:tcBorders>
                  <w:vAlign w:val="center"/>
                </w:tcPr>
                <w:p w14:paraId="65F45727">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p>
              </w:tc>
              <w:tc>
                <w:tcPr>
                  <w:tcW w:w="1628" w:type="dxa"/>
                  <w:tcBorders>
                    <w:tl2br w:val="nil"/>
                    <w:tr2bl w:val="nil"/>
                  </w:tcBorders>
                  <w:vAlign w:val="center"/>
                </w:tcPr>
                <w:p w14:paraId="44FB65B6">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spacing w:val="7"/>
                      <w:sz w:val="21"/>
                      <w:szCs w:val="21"/>
                      <w:highlight w:val="none"/>
                      <w:lang w:val="en-US" w:eastAsia="zh-CN"/>
                    </w:rPr>
                  </w:pPr>
                  <w:r>
                    <w:rPr>
                      <w:rFonts w:hint="default" w:ascii="Times New Roman" w:hAnsi="Times New Roman" w:cs="Times New Roman"/>
                      <w:b w:val="0"/>
                      <w:bCs/>
                      <w:color w:val="auto"/>
                      <w:sz w:val="21"/>
                      <w:szCs w:val="21"/>
                      <w:highlight w:val="none"/>
                      <w:lang w:eastAsia="zh-CN"/>
                    </w:rPr>
                    <w:t>厂区内VOCs无组织排放</w:t>
                  </w:r>
                </w:p>
              </w:tc>
              <w:tc>
                <w:tcPr>
                  <w:tcW w:w="1628" w:type="dxa"/>
                  <w:tcBorders>
                    <w:tl2br w:val="nil"/>
                    <w:tr2bl w:val="nil"/>
                  </w:tcBorders>
                  <w:vAlign w:val="center"/>
                </w:tcPr>
                <w:p w14:paraId="2DD39787">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pacing w:val="2"/>
                      <w:sz w:val="21"/>
                      <w:szCs w:val="21"/>
                      <w:highlight w:val="none"/>
                      <w:lang w:val="en-US" w:eastAsia="zh-CN"/>
                    </w:rPr>
                  </w:pPr>
                  <w:r>
                    <w:rPr>
                      <w:rFonts w:hint="default" w:ascii="Times New Roman" w:hAnsi="Times New Roman" w:cs="Times New Roman"/>
                      <w:color w:val="auto"/>
                      <w:spacing w:val="2"/>
                      <w:sz w:val="21"/>
                      <w:szCs w:val="21"/>
                      <w:highlight w:val="none"/>
                      <w:lang w:val="en-US" w:eastAsia="zh-CN"/>
                    </w:rPr>
                    <w:t>NMHC监控点处1h平均浓度值6mg/m³、任意一次浓度值20mg/m³（特别排放限值）。</w:t>
                  </w:r>
                </w:p>
              </w:tc>
            </w:tr>
            <w:tr w14:paraId="5F2B25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628" w:type="dxa"/>
                  <w:vMerge w:val="restart"/>
                  <w:tcBorders>
                    <w:tl2br w:val="nil"/>
                    <w:tr2bl w:val="nil"/>
                  </w:tcBorders>
                  <w:vAlign w:val="center"/>
                </w:tcPr>
                <w:p w14:paraId="404CDB63">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b w:val="0"/>
                      <w:bCs/>
                      <w:color w:val="auto"/>
                      <w:sz w:val="21"/>
                      <w:szCs w:val="21"/>
                      <w:highlight w:val="none"/>
                      <w:lang w:eastAsia="zh-CN"/>
                    </w:rPr>
                    <w:t>天然气燃烧废气</w:t>
                  </w:r>
                </w:p>
              </w:tc>
              <w:tc>
                <w:tcPr>
                  <w:tcW w:w="1859" w:type="dxa"/>
                  <w:vMerge w:val="restart"/>
                  <w:tcBorders>
                    <w:tl2br w:val="nil"/>
                    <w:tr2bl w:val="nil"/>
                  </w:tcBorders>
                  <w:vAlign w:val="center"/>
                </w:tcPr>
                <w:p w14:paraId="0775A7A6">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b w:val="0"/>
                      <w:bCs/>
                      <w:color w:val="auto"/>
                      <w:sz w:val="21"/>
                      <w:szCs w:val="21"/>
                      <w:highlight w:val="none"/>
                      <w:lang w:eastAsia="zh-CN"/>
                    </w:rPr>
                    <w:t>《陕西省工业炉窑大气污染综合治理实施方案》（陕环函〔2019〕247号）相关要求</w:t>
                  </w:r>
                </w:p>
              </w:tc>
              <w:tc>
                <w:tcPr>
                  <w:tcW w:w="1397" w:type="dxa"/>
                  <w:tcBorders>
                    <w:tl2br w:val="nil"/>
                    <w:tr2bl w:val="nil"/>
                  </w:tcBorders>
                  <w:vAlign w:val="center"/>
                </w:tcPr>
                <w:p w14:paraId="4423749F">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b w:val="0"/>
                      <w:bCs/>
                      <w:color w:val="auto"/>
                      <w:sz w:val="21"/>
                      <w:szCs w:val="21"/>
                      <w:highlight w:val="none"/>
                      <w:lang w:eastAsia="zh-CN"/>
                    </w:rPr>
                    <w:t>颗粒物</w:t>
                  </w:r>
                </w:p>
              </w:tc>
              <w:tc>
                <w:tcPr>
                  <w:tcW w:w="1628" w:type="dxa"/>
                  <w:vMerge w:val="restart"/>
                  <w:tcBorders>
                    <w:tl2br w:val="nil"/>
                    <w:tr2bl w:val="nil"/>
                  </w:tcBorders>
                  <w:vAlign w:val="center"/>
                </w:tcPr>
                <w:p w14:paraId="6F406FCF">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spacing w:val="7"/>
                      <w:sz w:val="21"/>
                      <w:szCs w:val="21"/>
                      <w:highlight w:val="none"/>
                      <w:lang w:val="en-US" w:eastAsia="zh-CN"/>
                    </w:rPr>
                  </w:pPr>
                  <w:r>
                    <w:rPr>
                      <w:rFonts w:hint="default" w:ascii="Times New Roman" w:hAnsi="Times New Roman" w:cs="Times New Roman"/>
                      <w:spacing w:val="7"/>
                      <w:sz w:val="21"/>
                      <w:szCs w:val="21"/>
                      <w:highlight w:val="none"/>
                      <w:lang w:val="en-US" w:eastAsia="zh-CN"/>
                    </w:rPr>
                    <w:t>有组织</w:t>
                  </w:r>
                </w:p>
              </w:tc>
              <w:tc>
                <w:tcPr>
                  <w:tcW w:w="1628" w:type="dxa"/>
                  <w:tcBorders>
                    <w:tl2br w:val="nil"/>
                    <w:tr2bl w:val="nil"/>
                  </w:tcBorders>
                  <w:vAlign w:val="center"/>
                </w:tcPr>
                <w:p w14:paraId="49E9DCE3">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pacing w:val="2"/>
                      <w:sz w:val="21"/>
                      <w:szCs w:val="21"/>
                      <w:highlight w:val="none"/>
                      <w:lang w:val="en-US" w:eastAsia="zh-CN"/>
                    </w:rPr>
                  </w:pPr>
                  <w:r>
                    <w:rPr>
                      <w:rFonts w:hint="default" w:ascii="Times New Roman" w:hAnsi="Times New Roman" w:cs="Times New Roman"/>
                      <w:b w:val="0"/>
                      <w:bCs/>
                      <w:color w:val="auto"/>
                      <w:sz w:val="21"/>
                      <w:szCs w:val="21"/>
                      <w:highlight w:val="none"/>
                      <w:lang w:eastAsia="zh-CN"/>
                    </w:rPr>
                    <w:t>30mg/m</w:t>
                  </w:r>
                  <w:r>
                    <w:rPr>
                      <w:rFonts w:hint="default" w:ascii="Times New Roman" w:hAnsi="Times New Roman" w:cs="Times New Roman"/>
                      <w:b w:val="0"/>
                      <w:bCs/>
                      <w:color w:val="auto"/>
                      <w:sz w:val="21"/>
                      <w:szCs w:val="21"/>
                      <w:highlight w:val="none"/>
                      <w:vertAlign w:val="superscript"/>
                      <w:lang w:val="en-US" w:eastAsia="zh-CN"/>
                    </w:rPr>
                    <w:t>3</w:t>
                  </w:r>
                </w:p>
              </w:tc>
            </w:tr>
            <w:tr w14:paraId="2A2DFE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628" w:type="dxa"/>
                  <w:vMerge w:val="continue"/>
                  <w:tcBorders>
                    <w:tl2br w:val="nil"/>
                    <w:tr2bl w:val="nil"/>
                  </w:tcBorders>
                  <w:vAlign w:val="center"/>
                </w:tcPr>
                <w:p w14:paraId="05B92974">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p>
              </w:tc>
              <w:tc>
                <w:tcPr>
                  <w:tcW w:w="1859" w:type="dxa"/>
                  <w:vMerge w:val="continue"/>
                  <w:tcBorders>
                    <w:tl2br w:val="nil"/>
                    <w:tr2bl w:val="nil"/>
                  </w:tcBorders>
                  <w:vAlign w:val="center"/>
                </w:tcPr>
                <w:p w14:paraId="288B4AD6">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p>
              </w:tc>
              <w:tc>
                <w:tcPr>
                  <w:tcW w:w="1397" w:type="dxa"/>
                  <w:tcBorders>
                    <w:tl2br w:val="nil"/>
                    <w:tr2bl w:val="nil"/>
                  </w:tcBorders>
                  <w:vAlign w:val="center"/>
                </w:tcPr>
                <w:p w14:paraId="64D30A88">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b w:val="0"/>
                      <w:bCs/>
                      <w:color w:val="auto"/>
                      <w:sz w:val="21"/>
                      <w:szCs w:val="21"/>
                      <w:highlight w:val="none"/>
                      <w:lang w:eastAsia="zh-CN"/>
                    </w:rPr>
                    <w:t>SO₂</w:t>
                  </w:r>
                </w:p>
              </w:tc>
              <w:tc>
                <w:tcPr>
                  <w:tcW w:w="1628" w:type="dxa"/>
                  <w:vMerge w:val="continue"/>
                  <w:tcBorders>
                    <w:tl2br w:val="nil"/>
                    <w:tr2bl w:val="nil"/>
                  </w:tcBorders>
                  <w:vAlign w:val="center"/>
                </w:tcPr>
                <w:p w14:paraId="6FEE33E4">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p>
              </w:tc>
              <w:tc>
                <w:tcPr>
                  <w:tcW w:w="1628" w:type="dxa"/>
                  <w:tcBorders>
                    <w:tl2br w:val="nil"/>
                    <w:tr2bl w:val="nil"/>
                  </w:tcBorders>
                  <w:vAlign w:val="center"/>
                </w:tcPr>
                <w:p w14:paraId="6728EEB9">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lang w:val="en-US"/>
                    </w:rPr>
                  </w:pPr>
                  <w:r>
                    <w:rPr>
                      <w:rFonts w:hint="default" w:ascii="Times New Roman" w:hAnsi="Times New Roman" w:cs="Times New Roman"/>
                      <w:b w:val="0"/>
                      <w:bCs/>
                      <w:color w:val="auto"/>
                      <w:sz w:val="21"/>
                      <w:szCs w:val="21"/>
                      <w:highlight w:val="none"/>
                      <w:lang w:eastAsia="zh-CN"/>
                    </w:rPr>
                    <w:t>200mg/m</w:t>
                  </w:r>
                  <w:r>
                    <w:rPr>
                      <w:rFonts w:hint="default" w:ascii="Times New Roman" w:hAnsi="Times New Roman" w:cs="Times New Roman"/>
                      <w:b w:val="0"/>
                      <w:bCs/>
                      <w:color w:val="auto"/>
                      <w:sz w:val="21"/>
                      <w:szCs w:val="21"/>
                      <w:highlight w:val="none"/>
                      <w:vertAlign w:val="superscript"/>
                      <w:lang w:val="en-US" w:eastAsia="zh-CN"/>
                    </w:rPr>
                    <w:t>3</w:t>
                  </w:r>
                </w:p>
              </w:tc>
            </w:tr>
            <w:tr w14:paraId="3BD564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628" w:type="dxa"/>
                  <w:vMerge w:val="continue"/>
                  <w:tcBorders>
                    <w:tl2br w:val="nil"/>
                    <w:tr2bl w:val="nil"/>
                  </w:tcBorders>
                  <w:vAlign w:val="center"/>
                </w:tcPr>
                <w:p w14:paraId="4E871A6C">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p>
              </w:tc>
              <w:tc>
                <w:tcPr>
                  <w:tcW w:w="1859" w:type="dxa"/>
                  <w:vMerge w:val="continue"/>
                  <w:tcBorders>
                    <w:tl2br w:val="nil"/>
                    <w:tr2bl w:val="nil"/>
                  </w:tcBorders>
                  <w:vAlign w:val="center"/>
                </w:tcPr>
                <w:p w14:paraId="12B4C6B5">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p>
              </w:tc>
              <w:tc>
                <w:tcPr>
                  <w:tcW w:w="1397" w:type="dxa"/>
                  <w:tcBorders>
                    <w:tl2br w:val="nil"/>
                    <w:tr2bl w:val="nil"/>
                  </w:tcBorders>
                  <w:vAlign w:val="center"/>
                </w:tcPr>
                <w:p w14:paraId="7B450991">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r>
                    <w:rPr>
                      <w:rFonts w:hint="default" w:ascii="Times New Roman" w:hAnsi="Times New Roman" w:cs="Times New Roman"/>
                      <w:b w:val="0"/>
                      <w:bCs/>
                      <w:color w:val="auto"/>
                      <w:sz w:val="21"/>
                      <w:szCs w:val="21"/>
                      <w:highlight w:val="none"/>
                      <w:lang w:eastAsia="zh-CN"/>
                    </w:rPr>
                    <w:t>NOₓ</w:t>
                  </w:r>
                </w:p>
              </w:tc>
              <w:tc>
                <w:tcPr>
                  <w:tcW w:w="1628" w:type="dxa"/>
                  <w:vMerge w:val="continue"/>
                  <w:tcBorders>
                    <w:tl2br w:val="nil"/>
                    <w:tr2bl w:val="nil"/>
                  </w:tcBorders>
                  <w:vAlign w:val="center"/>
                </w:tcPr>
                <w:p w14:paraId="3476B60B">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rPr>
                  </w:pPr>
                </w:p>
              </w:tc>
              <w:tc>
                <w:tcPr>
                  <w:tcW w:w="1628" w:type="dxa"/>
                  <w:tcBorders>
                    <w:tl2br w:val="nil"/>
                    <w:tr2bl w:val="nil"/>
                  </w:tcBorders>
                  <w:vAlign w:val="center"/>
                </w:tcPr>
                <w:p w14:paraId="5EF45999">
                  <w:pPr>
                    <w:pStyle w:val="6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z w:val="21"/>
                      <w:szCs w:val="21"/>
                      <w:highlight w:val="none"/>
                      <w:lang w:val="en-US"/>
                    </w:rPr>
                  </w:pPr>
                  <w:r>
                    <w:rPr>
                      <w:rFonts w:hint="default" w:ascii="Times New Roman" w:hAnsi="Times New Roman" w:cs="Times New Roman"/>
                      <w:b w:val="0"/>
                      <w:bCs/>
                      <w:color w:val="auto"/>
                      <w:sz w:val="21"/>
                      <w:szCs w:val="21"/>
                      <w:highlight w:val="none"/>
                      <w:lang w:eastAsia="zh-CN"/>
                    </w:rPr>
                    <w:t>300mg/m</w:t>
                  </w:r>
                  <w:r>
                    <w:rPr>
                      <w:rFonts w:hint="default" w:ascii="Times New Roman" w:hAnsi="Times New Roman" w:cs="Times New Roman"/>
                      <w:b w:val="0"/>
                      <w:bCs/>
                      <w:color w:val="auto"/>
                      <w:sz w:val="21"/>
                      <w:szCs w:val="21"/>
                      <w:highlight w:val="none"/>
                      <w:vertAlign w:val="superscript"/>
                      <w:lang w:val="en-US" w:eastAsia="zh-CN"/>
                    </w:rPr>
                    <w:t>3</w:t>
                  </w:r>
                </w:p>
              </w:tc>
            </w:tr>
          </w:tbl>
          <w:p w14:paraId="4C5613EA">
            <w:pPr>
              <w:pStyle w:val="60"/>
              <w:keepNext w:val="0"/>
              <w:keepLines w:val="0"/>
              <w:widowControl/>
              <w:suppressLineNumbers w:val="0"/>
              <w:spacing w:before="0" w:beforeAutospacing="0" w:after="0" w:afterAutospacing="0" w:line="360" w:lineRule="auto"/>
              <w:ind w:left="0" w:right="0" w:firstLine="0" w:firstLineChars="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eastAsia="zh-CN"/>
              </w:rPr>
              <w:t>2.</w:t>
            </w:r>
            <w:r>
              <w:rPr>
                <w:rFonts w:hint="default" w:ascii="Times New Roman" w:hAnsi="Times New Roman" w:cs="Times New Roman"/>
                <w:b/>
                <w:color w:val="auto"/>
                <w:sz w:val="24"/>
                <w:highlight w:val="none"/>
              </w:rPr>
              <w:t>废水</w:t>
            </w:r>
          </w:p>
          <w:p w14:paraId="355BBC9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b w:val="0"/>
                <w:color w:val="auto"/>
                <w:kern w:val="2"/>
                <w:sz w:val="24"/>
                <w:szCs w:val="24"/>
                <w:highlight w:val="none"/>
                <w:lang w:val="en-US" w:eastAsia="zh-CN" w:bidi="ar-SA"/>
              </w:rPr>
              <w:t>本项目生活污水经化粪池处理后定期清掏外运，不外排，不涉及废水排放标准；生产废水经废水处理站处理后全部回用于厂区洒扫，回用水质执行《城市污水再生利用 城市杂用水水质》（GB/T 18920-2020）中道路清扫、绿化用水水质要求。</w:t>
            </w:r>
          </w:p>
          <w:p w14:paraId="29CF82D4">
            <w:pPr>
              <w:pStyle w:val="8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baseline"/>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表3-6  废水回用执行标准    单位：mg/L</w:t>
            </w:r>
          </w:p>
          <w:tbl>
            <w:tblPr>
              <w:tblStyle w:val="33"/>
              <w:tblW w:w="797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96"/>
              <w:gridCol w:w="749"/>
              <w:gridCol w:w="830"/>
              <w:gridCol w:w="772"/>
              <w:gridCol w:w="841"/>
              <w:gridCol w:w="726"/>
              <w:gridCol w:w="1362"/>
            </w:tblGrid>
            <w:tr w14:paraId="779FDF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690" w:type="pct"/>
                  <w:tcBorders>
                    <w:tl2br w:val="nil"/>
                    <w:tr2bl w:val="nil"/>
                  </w:tcBorders>
                  <w:noWrap w:val="0"/>
                  <w:vAlign w:val="center"/>
                </w:tcPr>
                <w:p w14:paraId="085F03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执行标准</w:t>
                  </w:r>
                </w:p>
              </w:tc>
              <w:tc>
                <w:tcPr>
                  <w:tcW w:w="469" w:type="pct"/>
                  <w:tcBorders>
                    <w:tl2br w:val="nil"/>
                    <w:tr2bl w:val="nil"/>
                  </w:tcBorders>
                  <w:noWrap w:val="0"/>
                  <w:vAlign w:val="center"/>
                </w:tcPr>
                <w:p w14:paraId="03B8D3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COD</w:t>
                  </w:r>
                </w:p>
              </w:tc>
              <w:tc>
                <w:tcPr>
                  <w:tcW w:w="520" w:type="pct"/>
                  <w:tcBorders>
                    <w:tl2br w:val="nil"/>
                    <w:tr2bl w:val="nil"/>
                  </w:tcBorders>
                  <w:noWrap w:val="0"/>
                  <w:vAlign w:val="center"/>
                </w:tcPr>
                <w:p w14:paraId="1917C1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BOD</w:t>
                  </w:r>
                  <w:r>
                    <w:rPr>
                      <w:rFonts w:hint="default" w:ascii="Times New Roman" w:hAnsi="Times New Roman" w:eastAsia="宋体" w:cs="Times New Roman"/>
                      <w:b/>
                      <w:bCs/>
                      <w:color w:val="auto"/>
                      <w:sz w:val="21"/>
                      <w:szCs w:val="21"/>
                      <w:highlight w:val="none"/>
                      <w:vertAlign w:val="subscript"/>
                    </w:rPr>
                    <w:t>5</w:t>
                  </w:r>
                </w:p>
              </w:tc>
              <w:tc>
                <w:tcPr>
                  <w:tcW w:w="483" w:type="pct"/>
                  <w:tcBorders>
                    <w:tl2br w:val="nil"/>
                    <w:tr2bl w:val="nil"/>
                  </w:tcBorders>
                  <w:noWrap w:val="0"/>
                  <w:vAlign w:val="center"/>
                </w:tcPr>
                <w:p w14:paraId="513704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SS</w:t>
                  </w:r>
                </w:p>
              </w:tc>
              <w:tc>
                <w:tcPr>
                  <w:tcW w:w="527" w:type="pct"/>
                  <w:tcBorders>
                    <w:tl2br w:val="nil"/>
                    <w:tr2bl w:val="nil"/>
                  </w:tcBorders>
                  <w:noWrap w:val="0"/>
                  <w:vAlign w:val="center"/>
                </w:tcPr>
                <w:p w14:paraId="29ACCB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NH</w:t>
                  </w:r>
                  <w:r>
                    <w:rPr>
                      <w:rFonts w:hint="default" w:ascii="Times New Roman" w:hAnsi="Times New Roman" w:eastAsia="宋体" w:cs="Times New Roman"/>
                      <w:b/>
                      <w:bCs/>
                      <w:color w:val="auto"/>
                      <w:sz w:val="21"/>
                      <w:szCs w:val="21"/>
                      <w:highlight w:val="none"/>
                      <w:vertAlign w:val="subscript"/>
                    </w:rPr>
                    <w:t>3</w:t>
                  </w:r>
                  <w:r>
                    <w:rPr>
                      <w:rFonts w:hint="default" w:ascii="Times New Roman" w:hAnsi="Times New Roman" w:eastAsia="宋体" w:cs="Times New Roman"/>
                      <w:b/>
                      <w:bCs/>
                      <w:color w:val="auto"/>
                      <w:sz w:val="21"/>
                      <w:szCs w:val="21"/>
                      <w:highlight w:val="none"/>
                    </w:rPr>
                    <w:t>-N</w:t>
                  </w:r>
                </w:p>
              </w:tc>
              <w:tc>
                <w:tcPr>
                  <w:tcW w:w="455" w:type="pct"/>
                  <w:tcBorders>
                    <w:tl2br w:val="nil"/>
                    <w:tr2bl w:val="nil"/>
                  </w:tcBorders>
                  <w:noWrap w:val="0"/>
                  <w:vAlign w:val="center"/>
                </w:tcPr>
                <w:p w14:paraId="204CA1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TP</w:t>
                  </w:r>
                </w:p>
              </w:tc>
              <w:tc>
                <w:tcPr>
                  <w:tcW w:w="853" w:type="pct"/>
                  <w:tcBorders>
                    <w:tl2br w:val="nil"/>
                    <w:tr2bl w:val="nil"/>
                  </w:tcBorders>
                  <w:noWrap w:val="0"/>
                  <w:vAlign w:val="center"/>
                </w:tcPr>
                <w:p w14:paraId="5E7EAA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TN</w:t>
                  </w:r>
                </w:p>
              </w:tc>
            </w:tr>
            <w:tr w14:paraId="7CF114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1690" w:type="pct"/>
                  <w:tcBorders>
                    <w:tl2br w:val="nil"/>
                    <w:tr2bl w:val="nil"/>
                  </w:tcBorders>
                  <w:noWrap w:val="0"/>
                  <w:vAlign w:val="center"/>
                </w:tcPr>
                <w:p w14:paraId="38303A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《城市污水再生利用 城市杂用水水质》（GB/T 18920-2020）城市绿化、道路清扫标准</w:t>
                  </w:r>
                </w:p>
              </w:tc>
              <w:tc>
                <w:tcPr>
                  <w:tcW w:w="469" w:type="pct"/>
                  <w:tcBorders>
                    <w:tl2br w:val="nil"/>
                    <w:tr2bl w:val="nil"/>
                  </w:tcBorders>
                  <w:noWrap w:val="0"/>
                  <w:vAlign w:val="center"/>
                </w:tcPr>
                <w:p w14:paraId="2960D4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520" w:type="pct"/>
                  <w:tcBorders>
                    <w:tl2br w:val="nil"/>
                    <w:tr2bl w:val="nil"/>
                  </w:tcBorders>
                  <w:noWrap w:val="0"/>
                  <w:vAlign w:val="center"/>
                </w:tcPr>
                <w:p w14:paraId="2DF39E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483" w:type="pct"/>
                  <w:tcBorders>
                    <w:tl2br w:val="nil"/>
                    <w:tr2bl w:val="nil"/>
                  </w:tcBorders>
                  <w:noWrap w:val="0"/>
                  <w:vAlign w:val="center"/>
                </w:tcPr>
                <w:p w14:paraId="3EE5ED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527" w:type="pct"/>
                  <w:tcBorders>
                    <w:tl2br w:val="nil"/>
                    <w:tr2bl w:val="nil"/>
                  </w:tcBorders>
                  <w:noWrap w:val="0"/>
                  <w:vAlign w:val="center"/>
                </w:tcPr>
                <w:p w14:paraId="57D1E8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w:t>
                  </w:r>
                </w:p>
              </w:tc>
              <w:tc>
                <w:tcPr>
                  <w:tcW w:w="455" w:type="pct"/>
                  <w:tcBorders>
                    <w:tl2br w:val="nil"/>
                    <w:tr2bl w:val="nil"/>
                  </w:tcBorders>
                  <w:noWrap w:val="0"/>
                  <w:vAlign w:val="center"/>
                </w:tcPr>
                <w:p w14:paraId="1B4259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853" w:type="pct"/>
                  <w:tcBorders>
                    <w:tl2br w:val="nil"/>
                    <w:tr2bl w:val="nil"/>
                  </w:tcBorders>
                  <w:noWrap w:val="0"/>
                  <w:vAlign w:val="center"/>
                </w:tcPr>
                <w:p w14:paraId="5BCC3F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6420A2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1690" w:type="pct"/>
                  <w:tcBorders>
                    <w:tl2br w:val="nil"/>
                    <w:tr2bl w:val="nil"/>
                  </w:tcBorders>
                  <w:noWrap w:val="0"/>
                  <w:vAlign w:val="center"/>
                </w:tcPr>
                <w:p w14:paraId="169AA84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生活污水经化粪池处理后定期清掏外运，不涉及废水排放标准</w:t>
                  </w:r>
                </w:p>
              </w:tc>
              <w:tc>
                <w:tcPr>
                  <w:tcW w:w="469" w:type="pct"/>
                  <w:tcBorders>
                    <w:tl2br w:val="nil"/>
                    <w:tr2bl w:val="nil"/>
                  </w:tcBorders>
                  <w:noWrap w:val="0"/>
                  <w:vAlign w:val="center"/>
                </w:tcPr>
                <w:p w14:paraId="5E23A1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520" w:type="pct"/>
                  <w:tcBorders>
                    <w:tl2br w:val="nil"/>
                    <w:tr2bl w:val="nil"/>
                  </w:tcBorders>
                  <w:noWrap w:val="0"/>
                  <w:vAlign w:val="center"/>
                </w:tcPr>
                <w:p w14:paraId="26E176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483" w:type="pct"/>
                  <w:tcBorders>
                    <w:tl2br w:val="nil"/>
                    <w:tr2bl w:val="nil"/>
                  </w:tcBorders>
                  <w:noWrap w:val="0"/>
                  <w:vAlign w:val="center"/>
                </w:tcPr>
                <w:p w14:paraId="0A8722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527" w:type="pct"/>
                  <w:tcBorders>
                    <w:tl2br w:val="nil"/>
                    <w:tr2bl w:val="nil"/>
                  </w:tcBorders>
                  <w:noWrap w:val="0"/>
                  <w:vAlign w:val="center"/>
                </w:tcPr>
                <w:p w14:paraId="66F7BB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noWrap w:val="0"/>
                  <w:vAlign w:val="center"/>
                </w:tcPr>
                <w:p w14:paraId="68C3C3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853" w:type="pct"/>
                  <w:tcBorders>
                    <w:tl2br w:val="nil"/>
                    <w:tr2bl w:val="nil"/>
                  </w:tcBorders>
                  <w:noWrap w:val="0"/>
                  <w:vAlign w:val="center"/>
                </w:tcPr>
                <w:p w14:paraId="7BC2B4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bl>
          <w:p w14:paraId="5E8AB341">
            <w:pPr>
              <w:pStyle w:val="60"/>
              <w:keepNext w:val="0"/>
              <w:keepLines w:val="0"/>
              <w:widowControl/>
              <w:suppressLineNumbers w:val="0"/>
              <w:spacing w:before="0" w:beforeAutospacing="0" w:after="0" w:afterAutospacing="0" w:line="360" w:lineRule="auto"/>
              <w:ind w:left="0" w:right="0" w:firstLine="0" w:firstLineChars="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eastAsia="zh-CN"/>
              </w:rPr>
              <w:t>3.</w:t>
            </w:r>
            <w:r>
              <w:rPr>
                <w:rFonts w:hint="default" w:ascii="Times New Roman" w:hAnsi="Times New Roman" w:cs="Times New Roman"/>
                <w:b/>
                <w:color w:val="auto"/>
                <w:sz w:val="24"/>
                <w:highlight w:val="none"/>
              </w:rPr>
              <w:t>噪声</w:t>
            </w:r>
          </w:p>
          <w:p w14:paraId="6CAB4B8A">
            <w:pPr>
              <w:pStyle w:val="8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firstLine="480" w:firstLineChars="200"/>
              <w:textAlignment w:val="baseline"/>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施工期施工现场执行《建筑施工噪声排放标准》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GB12523-20</w:t>
            </w:r>
            <w:r>
              <w:rPr>
                <w:rFonts w:hint="default" w:ascii="Times New Roman" w:hAnsi="Times New Roman" w:cs="Times New Roman"/>
                <w:color w:val="auto"/>
                <w:highlight w:val="none"/>
                <w:lang w:val="en-US" w:eastAsia="zh-CN"/>
              </w:rPr>
              <w:t>25</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中的相关规定</w:t>
            </w:r>
            <w:r>
              <w:rPr>
                <w:rFonts w:hint="default" w:ascii="Times New Roman" w:hAnsi="Times New Roman" w:cs="Times New Roman"/>
                <w:color w:val="auto"/>
                <w:highlight w:val="none"/>
                <w:lang w:eastAsia="zh-CN"/>
              </w:rPr>
              <w:t>。</w:t>
            </w:r>
          </w:p>
          <w:p w14:paraId="6B1D8672">
            <w:pPr>
              <w:pStyle w:val="8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baseline"/>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表3-</w:t>
            </w:r>
            <w:r>
              <w:rPr>
                <w:rFonts w:hint="default" w:ascii="Times New Roman" w:hAnsi="Times New Roman" w:cs="Times New Roman"/>
                <w:b/>
                <w:bCs/>
                <w:color w:val="auto"/>
                <w:sz w:val="24"/>
                <w:szCs w:val="24"/>
                <w:highlight w:val="none"/>
                <w:lang w:val="en-US" w:eastAsia="zh-CN"/>
              </w:rPr>
              <w:t xml:space="preserve">7  </w:t>
            </w:r>
            <w:r>
              <w:rPr>
                <w:rFonts w:hint="default" w:ascii="Times New Roman" w:hAnsi="Times New Roman" w:eastAsia="宋体" w:cs="Times New Roman"/>
                <w:b/>
                <w:bCs/>
                <w:color w:val="auto"/>
                <w:sz w:val="24"/>
                <w:szCs w:val="24"/>
                <w:highlight w:val="none"/>
                <w:lang w:val="en-US" w:eastAsia="zh-CN"/>
              </w:rPr>
              <w:t>建筑施工场界环境噪声排放标准单位：dB（A）</w:t>
            </w:r>
          </w:p>
          <w:tbl>
            <w:tblPr>
              <w:tblStyle w:val="33"/>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558"/>
              <w:gridCol w:w="1364"/>
              <w:gridCol w:w="1193"/>
            </w:tblGrid>
            <w:tr w14:paraId="04BABF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7" w:type="dxa"/>
                  <w:tcBorders>
                    <w:tl2br w:val="nil"/>
                    <w:tr2bl w:val="nil"/>
                  </w:tcBorders>
                  <w:noWrap w:val="0"/>
                  <w:vAlign w:val="center"/>
                </w:tcPr>
                <w:p w14:paraId="446E6D14">
                  <w:pPr>
                    <w:pStyle w:val="81"/>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lang w:eastAsia="zh-CN"/>
                    </w:rPr>
                    <w:t>标准</w:t>
                  </w:r>
                </w:p>
              </w:tc>
              <w:tc>
                <w:tcPr>
                  <w:tcW w:w="1375" w:type="dxa"/>
                  <w:tcBorders>
                    <w:tl2br w:val="nil"/>
                    <w:tr2bl w:val="nil"/>
                  </w:tcBorders>
                  <w:noWrap w:val="0"/>
                  <w:vAlign w:val="center"/>
                </w:tcPr>
                <w:p w14:paraId="28E20E57">
                  <w:pPr>
                    <w:pStyle w:val="81"/>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lang w:eastAsia="zh-CN"/>
                    </w:rPr>
                    <w:t>昼间</w:t>
                  </w:r>
                </w:p>
              </w:tc>
              <w:tc>
                <w:tcPr>
                  <w:tcW w:w="1203" w:type="dxa"/>
                  <w:tcBorders>
                    <w:tl2br w:val="nil"/>
                    <w:tr2bl w:val="nil"/>
                  </w:tcBorders>
                  <w:noWrap w:val="0"/>
                  <w:vAlign w:val="center"/>
                </w:tcPr>
                <w:p w14:paraId="4F595B7B">
                  <w:pPr>
                    <w:pStyle w:val="81"/>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lang w:eastAsia="zh-CN"/>
                    </w:rPr>
                    <w:t>夜间</w:t>
                  </w:r>
                </w:p>
              </w:tc>
            </w:tr>
            <w:tr w14:paraId="50D99E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607" w:type="dxa"/>
                  <w:tcBorders>
                    <w:tl2br w:val="nil"/>
                    <w:tr2bl w:val="nil"/>
                  </w:tcBorders>
                  <w:noWrap w:val="0"/>
                  <w:vAlign w:val="center"/>
                </w:tcPr>
                <w:p w14:paraId="5A79D152">
                  <w:pPr>
                    <w:pStyle w:val="81"/>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rPr>
                    <w:t>《建筑施工噪声排放标准》</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GB12523-20</w:t>
                  </w:r>
                  <w:r>
                    <w:rPr>
                      <w:rFonts w:hint="default" w:ascii="Times New Roman" w:hAnsi="Times New Roman" w:cs="Times New Roman"/>
                      <w:color w:val="auto"/>
                      <w:sz w:val="21"/>
                      <w:szCs w:val="21"/>
                      <w:highlight w:val="none"/>
                      <w:lang w:val="en-US" w:eastAsia="zh-CN"/>
                    </w:rPr>
                    <w:t>25</w:t>
                  </w:r>
                  <w:r>
                    <w:rPr>
                      <w:rFonts w:hint="default" w:ascii="Times New Roman" w:hAnsi="Times New Roman" w:cs="Times New Roman"/>
                      <w:color w:val="auto"/>
                      <w:sz w:val="21"/>
                      <w:szCs w:val="21"/>
                      <w:highlight w:val="none"/>
                      <w:lang w:eastAsia="zh-CN"/>
                    </w:rPr>
                    <w:t>）</w:t>
                  </w:r>
                </w:p>
              </w:tc>
              <w:tc>
                <w:tcPr>
                  <w:tcW w:w="1375" w:type="dxa"/>
                  <w:tcBorders>
                    <w:tl2br w:val="nil"/>
                    <w:tr2bl w:val="nil"/>
                  </w:tcBorders>
                  <w:noWrap w:val="0"/>
                  <w:vAlign w:val="center"/>
                </w:tcPr>
                <w:p w14:paraId="383A1EFA">
                  <w:pPr>
                    <w:pStyle w:val="81"/>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70</w:t>
                  </w:r>
                </w:p>
              </w:tc>
              <w:tc>
                <w:tcPr>
                  <w:tcW w:w="1203" w:type="dxa"/>
                  <w:tcBorders>
                    <w:tl2br w:val="nil"/>
                    <w:tr2bl w:val="nil"/>
                  </w:tcBorders>
                  <w:noWrap w:val="0"/>
                  <w:vAlign w:val="center"/>
                </w:tcPr>
                <w:p w14:paraId="534D2112">
                  <w:pPr>
                    <w:pStyle w:val="81"/>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baseline"/>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55</w:t>
                  </w:r>
                </w:p>
              </w:tc>
            </w:tr>
          </w:tbl>
          <w:p w14:paraId="3889DA7A">
            <w:pPr>
              <w:pStyle w:val="8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firstLine="480" w:firstLineChars="200"/>
              <w:textAlignment w:val="baseline"/>
              <w:rPr>
                <w:rFonts w:hint="default" w:ascii="Times New Roman" w:hAnsi="Times New Roman" w:cs="Times New Roman"/>
                <w:color w:val="auto"/>
                <w:highlight w:val="none"/>
              </w:rPr>
            </w:pPr>
            <w:r>
              <w:rPr>
                <w:rFonts w:hint="default" w:ascii="Times New Roman" w:hAnsi="Times New Roman" w:cs="Times New Roman"/>
                <w:color w:val="auto"/>
                <w:highlight w:val="none"/>
              </w:rPr>
              <w:t>运营期厂界噪声执行《</w:t>
            </w:r>
            <w:bookmarkStart w:id="7" w:name="OLE_LINK17"/>
            <w:r>
              <w:rPr>
                <w:rFonts w:hint="default" w:ascii="Times New Roman" w:hAnsi="Times New Roman" w:cs="Times New Roman"/>
                <w:color w:val="auto"/>
                <w:highlight w:val="none"/>
              </w:rPr>
              <w:t>工业企业厂界环境噪声排放标准</w:t>
            </w:r>
            <w:bookmarkEnd w:id="7"/>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GB12348-2008</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中的</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类标准</w:t>
            </w:r>
            <w:r>
              <w:rPr>
                <w:rFonts w:hint="default" w:ascii="Times New Roman" w:hAnsi="Times New Roman" w:eastAsia="宋体" w:cs="Times New Roman"/>
                <w:color w:val="auto"/>
                <w:kern w:val="2"/>
                <w:sz w:val="24"/>
                <w:szCs w:val="24"/>
                <w:highlight w:val="none"/>
                <w:lang w:val="en-US" w:eastAsia="zh-CN" w:bidi="ar-SA"/>
              </w:rPr>
              <w:t>。</w:t>
            </w:r>
          </w:p>
          <w:p w14:paraId="5425B119">
            <w:pPr>
              <w:pStyle w:val="8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baseline"/>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表3-</w:t>
            </w:r>
            <w:r>
              <w:rPr>
                <w:rFonts w:hint="default" w:ascii="Times New Roman" w:hAnsi="Times New Roman" w:cs="Times New Roman"/>
                <w:b/>
                <w:bCs/>
                <w:color w:val="auto"/>
                <w:sz w:val="24"/>
                <w:szCs w:val="24"/>
                <w:highlight w:val="none"/>
                <w:lang w:val="en-US" w:eastAsia="zh-CN"/>
              </w:rPr>
              <w:t xml:space="preserve">8  </w:t>
            </w:r>
            <w:r>
              <w:rPr>
                <w:rFonts w:hint="default" w:ascii="Times New Roman" w:hAnsi="Times New Roman" w:eastAsia="宋体" w:cs="Times New Roman"/>
                <w:b/>
                <w:bCs/>
                <w:color w:val="auto"/>
                <w:sz w:val="24"/>
                <w:szCs w:val="24"/>
                <w:highlight w:val="none"/>
                <w:lang w:val="en-US" w:eastAsia="zh-CN"/>
              </w:rPr>
              <w:t>《工业企业厂界环境噪声排放标准》单位：dB（A）</w:t>
            </w:r>
          </w:p>
          <w:tbl>
            <w:tblPr>
              <w:tblStyle w:val="32"/>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78"/>
              <w:gridCol w:w="1825"/>
              <w:gridCol w:w="1912"/>
            </w:tblGrid>
            <w:tr w14:paraId="38B2C6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86" w:type="dxa"/>
                  <w:tcBorders>
                    <w:tl2br w:val="nil"/>
                    <w:tr2bl w:val="nil"/>
                  </w:tcBorders>
                  <w:noWrap w:val="0"/>
                  <w:vAlign w:val="center"/>
                </w:tcPr>
                <w:p w14:paraId="15B68B39">
                  <w:pPr>
                    <w:pStyle w:val="81"/>
                    <w:keepNext w:val="0"/>
                    <w:keepLines w:val="0"/>
                    <w:widowControl/>
                    <w:suppressLineNumbers w:val="0"/>
                    <w:adjustRightInd w:val="0"/>
                    <w:snapToGrid w:val="0"/>
                    <w:spacing w:before="0" w:beforeAutospacing="0" w:after="0" w:afterAutospacing="0" w:line="240" w:lineRule="auto"/>
                    <w:ind w:left="0" w:right="0" w:firstLine="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标准</w:t>
                  </w:r>
                </w:p>
              </w:tc>
              <w:tc>
                <w:tcPr>
                  <w:tcW w:w="1828" w:type="dxa"/>
                  <w:tcBorders>
                    <w:tl2br w:val="nil"/>
                    <w:tr2bl w:val="nil"/>
                  </w:tcBorders>
                  <w:noWrap w:val="0"/>
                  <w:vAlign w:val="center"/>
                </w:tcPr>
                <w:p w14:paraId="77573F52">
                  <w:pPr>
                    <w:pStyle w:val="81"/>
                    <w:keepNext w:val="0"/>
                    <w:keepLines w:val="0"/>
                    <w:widowControl/>
                    <w:suppressLineNumbers w:val="0"/>
                    <w:adjustRightInd w:val="0"/>
                    <w:snapToGrid w:val="0"/>
                    <w:spacing w:before="0" w:beforeAutospacing="0" w:after="0" w:afterAutospacing="0" w:line="240" w:lineRule="auto"/>
                    <w:ind w:left="0" w:right="0" w:firstLine="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昼间</w:t>
                  </w:r>
                </w:p>
              </w:tc>
              <w:tc>
                <w:tcPr>
                  <w:tcW w:w="1916" w:type="dxa"/>
                  <w:tcBorders>
                    <w:tl2br w:val="nil"/>
                    <w:tr2bl w:val="nil"/>
                  </w:tcBorders>
                  <w:noWrap w:val="0"/>
                  <w:vAlign w:val="center"/>
                </w:tcPr>
                <w:p w14:paraId="78DBEDE6">
                  <w:pPr>
                    <w:pStyle w:val="81"/>
                    <w:keepNext w:val="0"/>
                    <w:keepLines w:val="0"/>
                    <w:widowControl/>
                    <w:suppressLineNumbers w:val="0"/>
                    <w:adjustRightInd w:val="0"/>
                    <w:snapToGrid w:val="0"/>
                    <w:spacing w:before="0" w:beforeAutospacing="0" w:after="0" w:afterAutospacing="0" w:line="240" w:lineRule="auto"/>
                    <w:ind w:left="0" w:right="0" w:firstLine="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夜间</w:t>
                  </w:r>
                </w:p>
              </w:tc>
            </w:tr>
            <w:tr w14:paraId="067066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4386" w:type="dxa"/>
                  <w:tcBorders>
                    <w:tl2br w:val="nil"/>
                    <w:tr2bl w:val="nil"/>
                  </w:tcBorders>
                  <w:noWrap w:val="0"/>
                  <w:vAlign w:val="center"/>
                </w:tcPr>
                <w:p w14:paraId="30EE213E">
                  <w:pPr>
                    <w:pStyle w:val="81"/>
                    <w:keepNext w:val="0"/>
                    <w:keepLines w:val="0"/>
                    <w:widowControl/>
                    <w:suppressLineNumbers w:val="0"/>
                    <w:adjustRightInd w:val="0"/>
                    <w:snapToGrid w:val="0"/>
                    <w:spacing w:before="0" w:beforeAutospacing="0" w:after="0" w:afterAutospacing="0" w:line="240" w:lineRule="auto"/>
                    <w:ind w:left="0" w:right="0" w:firstLine="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《工业企业厂界环境噪声排放标准》</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GB12348-2008</w:t>
                  </w:r>
                  <w:r>
                    <w:rPr>
                      <w:rFonts w:hint="default" w:ascii="Times New Roman" w:hAnsi="Times New Roman" w:cs="Times New Roman"/>
                      <w:color w:val="auto"/>
                      <w:sz w:val="21"/>
                      <w:szCs w:val="21"/>
                      <w:highlight w:val="none"/>
                      <w:lang w:eastAsia="zh-CN"/>
                    </w:rPr>
                    <w:t>）</w:t>
                  </w:r>
                </w:p>
              </w:tc>
              <w:tc>
                <w:tcPr>
                  <w:tcW w:w="1828" w:type="dxa"/>
                  <w:tcBorders>
                    <w:tl2br w:val="nil"/>
                    <w:tr2bl w:val="nil"/>
                  </w:tcBorders>
                  <w:noWrap w:val="0"/>
                  <w:vAlign w:val="center"/>
                </w:tcPr>
                <w:p w14:paraId="09D93F6C">
                  <w:pPr>
                    <w:pStyle w:val="81"/>
                    <w:keepNext w:val="0"/>
                    <w:keepLines w:val="0"/>
                    <w:widowControl/>
                    <w:suppressLineNumbers w:val="0"/>
                    <w:adjustRightInd w:val="0"/>
                    <w:snapToGrid w:val="0"/>
                    <w:spacing w:before="0" w:beforeAutospacing="0" w:after="0" w:afterAutospacing="0" w:line="240" w:lineRule="auto"/>
                    <w:ind w:left="0" w:right="0" w:firstLine="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65</w:t>
                  </w:r>
                </w:p>
              </w:tc>
              <w:tc>
                <w:tcPr>
                  <w:tcW w:w="1916" w:type="dxa"/>
                  <w:tcBorders>
                    <w:tl2br w:val="nil"/>
                    <w:tr2bl w:val="nil"/>
                  </w:tcBorders>
                  <w:noWrap w:val="0"/>
                  <w:vAlign w:val="center"/>
                </w:tcPr>
                <w:p w14:paraId="197FC2D3">
                  <w:pPr>
                    <w:pStyle w:val="81"/>
                    <w:keepNext w:val="0"/>
                    <w:keepLines w:val="0"/>
                    <w:widowControl/>
                    <w:suppressLineNumbers w:val="0"/>
                    <w:adjustRightInd w:val="0"/>
                    <w:snapToGrid w:val="0"/>
                    <w:spacing w:before="0" w:beforeAutospacing="0" w:after="0" w:afterAutospacing="0" w:line="240" w:lineRule="auto"/>
                    <w:ind w:left="0" w:right="0" w:firstLine="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55</w:t>
                  </w:r>
                </w:p>
              </w:tc>
            </w:tr>
          </w:tbl>
          <w:p w14:paraId="691C76C0">
            <w:pPr>
              <w:pStyle w:val="60"/>
              <w:keepNext w:val="0"/>
              <w:keepLines w:val="0"/>
              <w:widowControl/>
              <w:suppressLineNumbers w:val="0"/>
              <w:spacing w:before="0" w:beforeAutospacing="0" w:after="0" w:afterAutospacing="0" w:line="360" w:lineRule="auto"/>
              <w:ind w:left="0" w:right="0" w:firstLine="0" w:firstLineChars="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eastAsia="zh-CN"/>
              </w:rPr>
              <w:t>4.</w:t>
            </w:r>
            <w:r>
              <w:rPr>
                <w:rFonts w:hint="default" w:ascii="Times New Roman" w:hAnsi="Times New Roman" w:cs="Times New Roman"/>
                <w:b/>
                <w:color w:val="auto"/>
                <w:sz w:val="24"/>
                <w:highlight w:val="none"/>
              </w:rPr>
              <w:t>固体废物</w:t>
            </w:r>
          </w:p>
          <w:p w14:paraId="235420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lang w:val="en-US" w:eastAsia="zh-CN"/>
              </w:rPr>
              <w:t>一般工业固体废物管理执行《中华人民共和国生态环境法典》固体废物污染防治分编相关规定，参照</w:t>
            </w:r>
            <w:r>
              <w:rPr>
                <w:rFonts w:hint="default" w:ascii="Times New Roman" w:hAnsi="Times New Roman" w:cs="Times New Roman"/>
                <w:color w:val="auto"/>
                <w:kern w:val="0"/>
                <w:sz w:val="24"/>
                <w:highlight w:val="none"/>
              </w:rPr>
              <w:t>《一般工业固体废物环境管理工作指南》（环办固体函</w:t>
            </w:r>
            <w:r>
              <w:rPr>
                <w:rFonts w:hint="eastAsia" w:cs="Times New Roman"/>
                <w:color w:val="auto"/>
                <w:kern w:val="0"/>
                <w:sz w:val="24"/>
                <w:highlight w:val="none"/>
                <w:lang w:eastAsia="zh-CN"/>
              </w:rPr>
              <w:t>〔2026〕18号</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val="en-US" w:eastAsia="zh-CN"/>
              </w:rPr>
              <w:t>相关内容</w:t>
            </w:r>
            <w:r>
              <w:rPr>
                <w:rFonts w:hint="default" w:ascii="Times New Roman" w:hAnsi="Times New Roman" w:eastAsia="宋体" w:cs="Times New Roman"/>
                <w:color w:val="auto"/>
                <w:sz w:val="24"/>
                <w:highlight w:val="none"/>
              </w:rPr>
              <w:t>。危险废物执行《危险废物贮存污染控制标准》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GB18597-20</w:t>
            </w:r>
            <w:r>
              <w:rPr>
                <w:rFonts w:hint="default" w:ascii="Times New Roman" w:hAnsi="Times New Roman" w:eastAsia="宋体" w:cs="Times New Roman"/>
                <w:color w:val="auto"/>
                <w:sz w:val="24"/>
                <w:highlight w:val="none"/>
                <w:lang w:val="en-US" w:eastAsia="zh-CN"/>
              </w:rPr>
              <w:t>23</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中</w:t>
            </w:r>
            <w:r>
              <w:rPr>
                <w:rFonts w:hint="default" w:ascii="Times New Roman" w:hAnsi="Times New Roman" w:eastAsia="宋体" w:cs="Times New Roman"/>
                <w:color w:val="auto"/>
                <w:sz w:val="24"/>
                <w:highlight w:val="none"/>
              </w:rPr>
              <w:t>相关要求。</w:t>
            </w:r>
          </w:p>
        </w:tc>
      </w:tr>
      <w:tr w14:paraId="007CBB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381" w:type="pct"/>
            <w:vAlign w:val="center"/>
          </w:tcPr>
          <w:p w14:paraId="7435387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总量控制指标</w:t>
            </w:r>
          </w:p>
        </w:tc>
        <w:tc>
          <w:tcPr>
            <w:tcW w:w="4618" w:type="pct"/>
            <w:vAlign w:val="center"/>
          </w:tcPr>
          <w:p w14:paraId="4DFE9B69">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smallCaps w:val="0"/>
                <w:color w:val="auto"/>
                <w:spacing w:val="0"/>
                <w:position w:val="0"/>
                <w:sz w:val="24"/>
                <w:szCs w:val="24"/>
                <w:highlight w:val="none"/>
                <w:lang w:val="en-US" w:eastAsia="zh-CN"/>
              </w:rPr>
            </w:pPr>
            <w:r>
              <w:rPr>
                <w:rFonts w:hint="eastAsia" w:ascii="Times New Roman" w:hAnsi="Times New Roman" w:cs="Times New Roman"/>
                <w:smallCaps w:val="0"/>
                <w:color w:val="auto"/>
                <w:spacing w:val="0"/>
                <w:position w:val="0"/>
                <w:sz w:val="24"/>
                <w:szCs w:val="24"/>
                <w:highlight w:val="none"/>
                <w:lang w:val="en-US" w:eastAsia="zh-CN"/>
              </w:rPr>
              <w:t>目前</w:t>
            </w:r>
            <w:r>
              <w:rPr>
                <w:rFonts w:hint="default" w:ascii="Times New Roman" w:hAnsi="Times New Roman" w:eastAsia="宋体" w:cs="Times New Roman"/>
                <w:smallCaps w:val="0"/>
                <w:color w:val="auto"/>
                <w:spacing w:val="0"/>
                <w:position w:val="0"/>
                <w:sz w:val="24"/>
                <w:szCs w:val="24"/>
                <w:highlight w:val="none"/>
                <w:lang w:val="en-US" w:eastAsia="zh-CN"/>
              </w:rPr>
              <w:t>国家对COD、氨氮、氮氧化物、挥发性有机物等主要污染物实行排放总量控制计划管理。根据总量控制要求及项目实际情况</w:t>
            </w:r>
            <w:r>
              <w:rPr>
                <w:rFonts w:hint="eastAsia" w:cs="Times New Roman"/>
                <w:smallCaps w:val="0"/>
                <w:color w:val="auto"/>
                <w:spacing w:val="0"/>
                <w:position w:val="0"/>
                <w:sz w:val="24"/>
                <w:szCs w:val="24"/>
                <w:highlight w:val="none"/>
                <w:lang w:val="en-US" w:eastAsia="zh-CN"/>
              </w:rPr>
              <w:t>，</w:t>
            </w:r>
          </w:p>
          <w:p w14:paraId="68A86AF7">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本项目废水不外排，不涉及废水污染物排放总量指标。</w:t>
            </w:r>
          </w:p>
          <w:p w14:paraId="194E1721">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本项目废</w:t>
            </w:r>
            <w:r>
              <w:rPr>
                <w:rFonts w:hint="default" w:ascii="Times New Roman" w:hAnsi="Times New Roman" w:cs="Times New Roman"/>
                <w:smallCaps w:val="0"/>
                <w:color w:val="auto"/>
                <w:spacing w:val="0"/>
                <w:kern w:val="0"/>
                <w:position w:val="0"/>
                <w:sz w:val="24"/>
                <w:szCs w:val="24"/>
                <w:highlight w:val="none"/>
                <w:lang w:val="en-US" w:eastAsia="zh-CN"/>
              </w:rPr>
              <w:t>气涉及的总量为</w:t>
            </w:r>
            <w:r>
              <w:rPr>
                <w:rFonts w:hint="default" w:ascii="Times New Roman" w:hAnsi="Times New Roman" w:eastAsia="宋体" w:cs="Times New Roman"/>
                <w:smallCaps w:val="0"/>
                <w:color w:val="auto"/>
                <w:spacing w:val="0"/>
                <w:position w:val="0"/>
                <w:sz w:val="24"/>
                <w:szCs w:val="24"/>
                <w:highlight w:val="none"/>
                <w:lang w:val="en-US" w:eastAsia="zh-CN"/>
              </w:rPr>
              <w:t>氮氧化物：0.0748t/a</w:t>
            </w:r>
            <w:r>
              <w:rPr>
                <w:rFonts w:hint="default" w:ascii="Times New Roman" w:hAnsi="Times New Roman" w:cs="Times New Roman"/>
                <w:smallCaps w:val="0"/>
                <w:color w:val="auto"/>
                <w:spacing w:val="0"/>
                <w:kern w:val="0"/>
                <w:position w:val="0"/>
                <w:sz w:val="24"/>
                <w:szCs w:val="24"/>
                <w:highlight w:val="none"/>
                <w:shd w:val="clear"/>
                <w:lang w:val="en-US" w:eastAsia="zh-CN"/>
              </w:rPr>
              <w:t>，</w:t>
            </w:r>
            <w:r>
              <w:rPr>
                <w:rFonts w:hint="default" w:ascii="Times New Roman" w:hAnsi="Times New Roman" w:eastAsia="宋体" w:cs="Times New Roman"/>
                <w:smallCaps w:val="0"/>
                <w:color w:val="auto"/>
                <w:spacing w:val="0"/>
                <w:position w:val="0"/>
                <w:sz w:val="24"/>
                <w:szCs w:val="24"/>
                <w:highlight w:val="none"/>
                <w:lang w:val="en-US" w:eastAsia="zh-CN"/>
              </w:rPr>
              <w:t>挥发性有机物：0.648t/a</w:t>
            </w:r>
            <w:r>
              <w:rPr>
                <w:rFonts w:hint="default" w:ascii="Times New Roman" w:hAnsi="Times New Roman" w:cs="Times New Roman"/>
                <w:smallCaps w:val="0"/>
                <w:color w:val="auto"/>
                <w:spacing w:val="0"/>
                <w:kern w:val="2"/>
                <w:position w:val="0"/>
                <w:sz w:val="24"/>
                <w:szCs w:val="24"/>
                <w:highlight w:val="none"/>
                <w:shd w:val="clear"/>
                <w:lang w:val="en-US" w:eastAsia="zh-CN" w:bidi="ar-SA"/>
              </w:rPr>
              <w:t>。</w:t>
            </w:r>
          </w:p>
          <w:p w14:paraId="5AD2885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2E6CB75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3D1D961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269A9A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18643D4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6C6535C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3669CB2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1FB2B52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026EAC9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4C6CA5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3D309D6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75864EE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66FD330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2CB61F5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419172E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2E2B22B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3EDC6F4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4536047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34F4B5E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p w14:paraId="2187FA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p>
        </w:tc>
      </w:tr>
    </w:tbl>
    <w:p w14:paraId="0EA9CF6E">
      <w:pPr>
        <w:pStyle w:val="41"/>
        <w:rPr>
          <w:rFonts w:hint="default" w:ascii="Times New Roman" w:hAnsi="Times New Roman" w:cs="Times New Roman"/>
          <w:color w:val="auto"/>
          <w:highlight w:val="none"/>
        </w:rPr>
        <w:sectPr>
          <w:pgSz w:w="11906" w:h="16838"/>
          <w:pgMar w:top="1701" w:right="1531" w:bottom="1701" w:left="1531" w:header="851" w:footer="992" w:gutter="0"/>
          <w:pgBorders>
            <w:top w:val="none" w:sz="0" w:space="0"/>
            <w:left w:val="none" w:sz="0" w:space="0"/>
            <w:bottom w:val="none" w:sz="0" w:space="0"/>
            <w:right w:val="none" w:sz="0" w:space="0"/>
          </w:pgBorders>
          <w:cols w:space="425" w:num="1"/>
          <w:docGrid w:type="lines" w:linePitch="312" w:charSpace="0"/>
        </w:sectPr>
      </w:pPr>
    </w:p>
    <w:p w14:paraId="1CA96572">
      <w:pPr>
        <w:pStyle w:val="29"/>
        <w:adjustRightInd w:val="0"/>
        <w:snapToGrid w:val="0"/>
        <w:spacing w:before="0" w:beforeAutospacing="0" w:after="0" w:afterAutospacing="0" w:line="360" w:lineRule="auto"/>
        <w:jc w:val="center"/>
        <w:outlineLvl w:val="0"/>
        <w:rPr>
          <w:rFonts w:hint="default" w:ascii="Times New Roman" w:hAnsi="Times New Roman" w:cs="Times New Roman"/>
          <w:b/>
          <w:snapToGrid w:val="0"/>
          <w:color w:val="auto"/>
          <w:sz w:val="28"/>
          <w:szCs w:val="28"/>
          <w:highlight w:val="none"/>
        </w:rPr>
      </w:pPr>
      <w:bookmarkStart w:id="8" w:name="_Toc11091"/>
      <w:r>
        <w:rPr>
          <w:rFonts w:hint="default" w:ascii="Times New Roman" w:hAnsi="Times New Roman" w:cs="Times New Roman"/>
          <w:b/>
          <w:snapToGrid w:val="0"/>
          <w:color w:val="auto"/>
          <w:sz w:val="28"/>
          <w:szCs w:val="28"/>
          <w:highlight w:val="none"/>
        </w:rPr>
        <w:t>四、主要环境影响和保护措施</w:t>
      </w:r>
      <w:bookmarkEnd w:id="8"/>
    </w:p>
    <w:tbl>
      <w:tblPr>
        <w:tblStyle w:val="32"/>
        <w:tblW w:w="518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2"/>
        <w:gridCol w:w="8574"/>
      </w:tblGrid>
      <w:tr w14:paraId="4B6CA8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398" w:type="pct"/>
            <w:tcMar>
              <w:left w:w="28" w:type="dxa"/>
              <w:right w:w="28" w:type="dxa"/>
            </w:tcMar>
            <w:vAlign w:val="center"/>
          </w:tcPr>
          <w:p w14:paraId="1114EFB1">
            <w:pPr>
              <w:pStyle w:val="29"/>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szCs w:val="24"/>
                <w:highlight w:val="none"/>
              </w:rPr>
            </w:pPr>
            <w:r>
              <w:rPr>
                <w:rFonts w:hint="default" w:ascii="Times New Roman" w:hAnsi="Times New Roman" w:cs="Times New Roman"/>
                <w:b/>
                <w:color w:val="auto"/>
                <w:kern w:val="2"/>
                <w:szCs w:val="24"/>
                <w:highlight w:val="none"/>
              </w:rPr>
              <w:t>施工期环境保护措施</w:t>
            </w:r>
          </w:p>
        </w:tc>
        <w:tc>
          <w:tcPr>
            <w:tcW w:w="4601" w:type="pct"/>
            <w:vAlign w:val="center"/>
          </w:tcPr>
          <w:p w14:paraId="6C2AB0EF">
            <w:pPr>
              <w:pStyle w:val="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position w:val="0"/>
                <w:sz w:val="24"/>
                <w:highlight w:val="none"/>
              </w:rPr>
            </w:pPr>
            <w:r>
              <w:rPr>
                <w:rFonts w:hint="default" w:ascii="Times New Roman" w:hAnsi="Times New Roman" w:eastAsia="宋体" w:cs="Times New Roman"/>
                <w:smallCaps w:val="0"/>
                <w:color w:val="auto"/>
                <w:spacing w:val="0"/>
                <w:position w:val="0"/>
                <w:sz w:val="24"/>
                <w:highlight w:val="none"/>
              </w:rPr>
              <w:t>本项目租赁已建成标准化厂房，施工期主要为车间内部设备安装、隔断改造及环保设施安装调试，无土建施工，施工期约2个月，施工人员约10人。施工期环境影响及防治措施如下：</w:t>
            </w:r>
          </w:p>
          <w:p w14:paraId="41AE83A2">
            <w:pPr>
              <w:pStyle w:val="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position w:val="0"/>
                <w:sz w:val="24"/>
                <w:highlight w:val="none"/>
              </w:rPr>
            </w:pPr>
            <w:r>
              <w:rPr>
                <w:rFonts w:hint="default" w:ascii="Times New Roman" w:hAnsi="Times New Roman" w:eastAsia="宋体" w:cs="Times New Roman"/>
                <w:smallCaps w:val="0"/>
                <w:color w:val="auto"/>
                <w:spacing w:val="0"/>
                <w:position w:val="0"/>
                <w:sz w:val="24"/>
                <w:highlight w:val="none"/>
              </w:rPr>
              <w:t>（1）废气：施工期不涉及土建，基本无扬尘产生；设备安装、装修过程产生少量粉尘，在厂房内自然沉降，施工场地洒水抑尘后对环境影响很小，满足《施工场界扬尘排放限值》（DB61/1078-2017）要求。</w:t>
            </w:r>
          </w:p>
          <w:p w14:paraId="793D805A">
            <w:pPr>
              <w:pStyle w:val="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position w:val="0"/>
                <w:sz w:val="24"/>
                <w:highlight w:val="none"/>
              </w:rPr>
            </w:pPr>
            <w:r>
              <w:rPr>
                <w:rFonts w:hint="default" w:ascii="Times New Roman" w:hAnsi="Times New Roman" w:eastAsia="宋体" w:cs="Times New Roman"/>
                <w:smallCaps w:val="0"/>
                <w:color w:val="auto"/>
                <w:spacing w:val="0"/>
                <w:position w:val="0"/>
                <w:sz w:val="24"/>
                <w:highlight w:val="none"/>
              </w:rPr>
              <w:t>（2）废水：施工人员生活污水依托厂区化粪池处理后定期清掏外运，不外排，对水环境影响很小。</w:t>
            </w:r>
          </w:p>
          <w:p w14:paraId="3C59937C">
            <w:pPr>
              <w:pStyle w:val="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position w:val="0"/>
                <w:sz w:val="24"/>
                <w:highlight w:val="none"/>
              </w:rPr>
            </w:pPr>
            <w:r>
              <w:rPr>
                <w:rFonts w:hint="default" w:ascii="Times New Roman" w:hAnsi="Times New Roman" w:eastAsia="宋体" w:cs="Times New Roman"/>
                <w:smallCaps w:val="0"/>
                <w:color w:val="auto"/>
                <w:spacing w:val="0"/>
                <w:position w:val="0"/>
                <w:sz w:val="24"/>
                <w:highlight w:val="none"/>
              </w:rPr>
              <w:t>（3）噪声：施工期噪声主要为设备安装、调试产生的机械噪声，多为瞬时噪声，通过合理安排施工时间（禁止夜间22:00~次日06:00施工）、低噪声设备选用等措施控制，施工期短，施工结束后噪声影响随即消失。</w:t>
            </w:r>
          </w:p>
          <w:p w14:paraId="600319A8">
            <w:pPr>
              <w:pStyle w:val="72"/>
              <w:keepNext w:val="0"/>
              <w:keepLines w:val="0"/>
              <w:suppressLineNumbers w:val="0"/>
              <w:spacing w:before="0" w:beforeAutospacing="0" w:after="0" w:afterAutospacing="0"/>
              <w:ind w:left="0" w:right="0" w:firstLine="480"/>
              <w:rPr>
                <w:rFonts w:hint="default" w:ascii="Times New Roman" w:hAnsi="Times New Roman" w:cs="Times New Roman"/>
                <w:bCs/>
                <w:color w:val="auto"/>
                <w:spacing w:val="-10"/>
                <w:highlight w:val="none"/>
              </w:rPr>
            </w:pPr>
            <w:r>
              <w:rPr>
                <w:rFonts w:hint="default" w:ascii="Times New Roman" w:hAnsi="Times New Roman" w:eastAsia="宋体" w:cs="Times New Roman"/>
                <w:smallCaps w:val="0"/>
                <w:color w:val="auto"/>
                <w:spacing w:val="0"/>
                <w:position w:val="0"/>
                <w:sz w:val="24"/>
                <w:highlight w:val="none"/>
              </w:rPr>
              <w:t>（4）固废：施工期产生的设备废包装材料分类收集后外售综合利用，建筑垃圾按要求清运至指定地点，生活垃圾交由环卫部门清运。</w:t>
            </w:r>
          </w:p>
        </w:tc>
      </w:tr>
      <w:tr w14:paraId="405A0F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398" w:type="pct"/>
            <w:tcMar>
              <w:left w:w="28" w:type="dxa"/>
              <w:right w:w="28" w:type="dxa"/>
            </w:tcMar>
            <w:vAlign w:val="center"/>
          </w:tcPr>
          <w:p w14:paraId="43180C2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color w:val="auto"/>
                <w:highlight w:val="none"/>
              </w:rPr>
            </w:pPr>
            <w:r>
              <w:rPr>
                <w:rFonts w:hint="default" w:ascii="Times New Roman" w:hAnsi="Times New Roman" w:cs="Times New Roman"/>
                <w:b/>
                <w:bCs/>
                <w:color w:val="auto"/>
                <w:sz w:val="24"/>
                <w:highlight w:val="none"/>
              </w:rPr>
              <w:t>运营期环境影响和保护措施</w:t>
            </w:r>
          </w:p>
        </w:tc>
        <w:tc>
          <w:tcPr>
            <w:tcW w:w="4601" w:type="pct"/>
          </w:tcPr>
          <w:p w14:paraId="176DD5A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
                <w:bCs/>
                <w:color w:val="auto"/>
                <w:sz w:val="24"/>
                <w:highlight w:val="none"/>
              </w:rPr>
            </w:pPr>
            <w:r>
              <w:rPr>
                <w:rFonts w:hint="default" w:ascii="Times New Roman" w:hAnsi="Times New Roman" w:cs="Times New Roman"/>
                <w:color w:val="auto"/>
                <w:sz w:val="24"/>
                <w:highlight w:val="none"/>
              </w:rPr>
              <w:t>一、</w:t>
            </w:r>
            <w:r>
              <w:rPr>
                <w:rFonts w:hint="default" w:ascii="Times New Roman" w:hAnsi="Times New Roman" w:eastAsia="宋体" w:cs="Times New Roman"/>
                <w:b/>
                <w:bCs/>
                <w:smallCaps w:val="0"/>
                <w:color w:val="auto"/>
                <w:spacing w:val="0"/>
                <w:position w:val="0"/>
                <w:sz w:val="24"/>
                <w:szCs w:val="24"/>
                <w:highlight w:val="none"/>
                <w:lang w:val="en-US" w:eastAsia="zh-CN"/>
              </w:rPr>
              <w:t>大气环境影响分析</w:t>
            </w:r>
          </w:p>
          <w:p w14:paraId="742C8FAB">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32"/>
                <w:highlight w:val="none"/>
              </w:rPr>
            </w:pPr>
            <w:r>
              <w:rPr>
                <w:rFonts w:hint="default" w:ascii="Times New Roman" w:hAnsi="Times New Roman" w:cs="Times New Roman"/>
                <w:b/>
                <w:bCs/>
                <w:color w:val="auto"/>
                <w:sz w:val="24"/>
                <w:szCs w:val="32"/>
                <w:highlight w:val="none"/>
                <w:lang w:eastAsia="zh-CN"/>
              </w:rPr>
              <w:t>1.</w:t>
            </w:r>
            <w:r>
              <w:rPr>
                <w:rFonts w:hint="default" w:ascii="Times New Roman" w:hAnsi="Times New Roman" w:cs="Times New Roman"/>
                <w:b/>
                <w:bCs/>
                <w:color w:val="auto"/>
                <w:sz w:val="24"/>
                <w:szCs w:val="32"/>
                <w:highlight w:val="none"/>
              </w:rPr>
              <w:t>源强分析</w:t>
            </w:r>
          </w:p>
          <w:p w14:paraId="18B42E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Cs/>
                <w:color w:val="auto"/>
                <w:sz w:val="24"/>
                <w:szCs w:val="32"/>
                <w:highlight w:val="none"/>
              </w:rPr>
            </w:pPr>
            <w:r>
              <w:rPr>
                <w:rFonts w:hint="default" w:ascii="Times New Roman" w:hAnsi="Times New Roman" w:cs="Times New Roman"/>
                <w:bCs/>
                <w:color w:val="auto"/>
                <w:sz w:val="24"/>
                <w:szCs w:val="32"/>
                <w:highlight w:val="none"/>
              </w:rPr>
              <w:t>（1）抛丸粉尘（G1）：根据《排放源统计调查产排污核算方法和系数手册》（生态环境部公告2021年第24号）——《工业行业产排污系数手册》（33-37，431-434机械行业系数手册），抛丸工序颗粒物产污系数为2.19kg/t原料，本项目年抛丸处理金属构件约20万m²（折算处理量约1800t/a），则抛丸粉尘产生量约3.94t/a。抛丸机全密闭负压收集（收集效率按98%计），经脉冲布袋除尘器处理（除尘效率按99%计），处理后经15m排气筒（DA001）排放。</w:t>
            </w:r>
          </w:p>
          <w:p w14:paraId="1EDD26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Cs/>
                <w:color w:val="auto"/>
                <w:sz w:val="24"/>
                <w:szCs w:val="32"/>
                <w:highlight w:val="none"/>
              </w:rPr>
            </w:pPr>
            <w:r>
              <w:rPr>
                <w:rFonts w:hint="default" w:ascii="Times New Roman" w:hAnsi="Times New Roman" w:cs="Times New Roman"/>
                <w:bCs/>
                <w:color w:val="auto"/>
                <w:sz w:val="24"/>
                <w:szCs w:val="32"/>
                <w:highlight w:val="none"/>
              </w:rPr>
              <w:t>（2）喷粉粉尘（G2）：根据《排放源统计调查产排污核算方法和系数手册》（生态环境部公告2021年第24号）</w:t>
            </w:r>
            <w:r>
              <w:rPr>
                <w:rFonts w:hint="default" w:ascii="Times New Roman" w:hAnsi="Times New Roman" w:cs="Times New Roman"/>
                <w:bCs/>
                <w:color w:val="auto"/>
                <w:sz w:val="24"/>
                <w:szCs w:val="32"/>
                <w:highlight w:val="none"/>
                <w:lang w:eastAsia="zh-CN"/>
              </w:rPr>
              <w:t>“</w:t>
            </w:r>
            <w:r>
              <w:rPr>
                <w:rFonts w:hint="default" w:ascii="Times New Roman" w:hAnsi="Times New Roman" w:cs="Times New Roman"/>
                <w:bCs/>
                <w:color w:val="auto"/>
                <w:sz w:val="24"/>
                <w:szCs w:val="32"/>
                <w:highlight w:val="none"/>
              </w:rPr>
              <w:t>33-37，431-434机械行业系数手册—涂装—粉末涂料—喷塑</w:t>
            </w:r>
            <w:r>
              <w:rPr>
                <w:rFonts w:hint="default" w:ascii="Times New Roman" w:hAnsi="Times New Roman" w:cs="Times New Roman"/>
                <w:bCs/>
                <w:color w:val="auto"/>
                <w:sz w:val="24"/>
                <w:szCs w:val="32"/>
                <w:highlight w:val="none"/>
                <w:lang w:eastAsia="zh-CN"/>
              </w:rPr>
              <w:t>”</w:t>
            </w:r>
            <w:r>
              <w:rPr>
                <w:rFonts w:hint="default" w:ascii="Times New Roman" w:hAnsi="Times New Roman" w:cs="Times New Roman"/>
                <w:bCs/>
                <w:color w:val="auto"/>
                <w:sz w:val="24"/>
                <w:szCs w:val="32"/>
                <w:highlight w:val="none"/>
              </w:rPr>
              <w:t>颗粒物产污系数300kg/t-原料，本项目粉末涂料用量45t/a，则喷粉粉尘产生量为13.5t/a。喷粉作业在密闭喷粉房内进行（收集效率按95%计），未附着粉末经旋风除尘器+滤筒除尘器收集回用（去除效率按99%计），处理后经15m排气筒（DA002）排放。</w:t>
            </w:r>
          </w:p>
          <w:p w14:paraId="06A449C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Cs/>
                <w:color w:val="auto"/>
                <w:sz w:val="24"/>
                <w:szCs w:val="32"/>
                <w:highlight w:val="none"/>
              </w:rPr>
            </w:pPr>
            <w:r>
              <w:rPr>
                <w:rFonts w:hint="default" w:ascii="Times New Roman" w:hAnsi="Times New Roman" w:cs="Times New Roman"/>
                <w:bCs/>
                <w:color w:val="auto"/>
                <w:sz w:val="24"/>
                <w:szCs w:val="32"/>
                <w:highlight w:val="none"/>
              </w:rPr>
              <w:t>（3）固化有机废气（G3）：根据《排放源统计调查产排污核算方法和系数手册》</w:t>
            </w:r>
            <w:r>
              <w:rPr>
                <w:rFonts w:hint="default" w:ascii="Times New Roman" w:hAnsi="Times New Roman" w:cs="Times New Roman"/>
                <w:bCs/>
                <w:color w:val="auto"/>
                <w:sz w:val="24"/>
                <w:szCs w:val="32"/>
                <w:highlight w:val="none"/>
                <w:lang w:eastAsia="zh-CN"/>
              </w:rPr>
              <w:t>“</w:t>
            </w:r>
            <w:r>
              <w:rPr>
                <w:rFonts w:hint="default" w:ascii="Times New Roman" w:hAnsi="Times New Roman" w:cs="Times New Roman"/>
                <w:bCs/>
                <w:color w:val="auto"/>
                <w:sz w:val="24"/>
                <w:szCs w:val="32"/>
                <w:highlight w:val="none"/>
              </w:rPr>
              <w:t>涂装—粉末涂料—喷塑</w:t>
            </w:r>
            <w:r>
              <w:rPr>
                <w:rFonts w:hint="default" w:ascii="Times New Roman" w:hAnsi="Times New Roman" w:cs="Times New Roman"/>
                <w:bCs/>
                <w:color w:val="auto"/>
                <w:sz w:val="24"/>
                <w:szCs w:val="32"/>
                <w:highlight w:val="none"/>
                <w:lang w:eastAsia="zh-CN"/>
              </w:rPr>
              <w:t>”</w:t>
            </w:r>
            <w:r>
              <w:rPr>
                <w:rFonts w:hint="default" w:ascii="Times New Roman" w:hAnsi="Times New Roman" w:cs="Times New Roman"/>
                <w:bCs/>
                <w:color w:val="auto"/>
                <w:sz w:val="24"/>
                <w:szCs w:val="32"/>
                <w:highlight w:val="none"/>
              </w:rPr>
              <w:t>烘干挥发性有机物产污系数1.2kg/t-原料，本项目粉末涂料用量45t/a，则固化非甲烷总烃产生量为0.054t/a。</w:t>
            </w:r>
          </w:p>
          <w:p w14:paraId="731F49C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Cs/>
                <w:color w:val="auto"/>
                <w:sz w:val="24"/>
                <w:szCs w:val="32"/>
                <w:highlight w:val="none"/>
              </w:rPr>
            </w:pPr>
            <w:r>
              <w:rPr>
                <w:rFonts w:hint="default" w:ascii="Times New Roman" w:hAnsi="Times New Roman" w:cs="Times New Roman"/>
                <w:bCs/>
                <w:color w:val="auto"/>
                <w:sz w:val="24"/>
                <w:szCs w:val="32"/>
                <w:highlight w:val="none"/>
              </w:rPr>
              <w:t>（4）水性漆喷涂、流平、烘干有机废气及漆雾（G4）：本项目水性工业漆（水性丙烯酸漆）用量10t/a，经检测VOC含量73g/L（HG/T 4758-2014），按密度1.05g/cm³折算VOCs质量分数约6.95%，则喷涂、流平、烘干过程VOCs产生量约0.695t/a（以非甲烷总烃计）。喷涂漆雾经干式</w:t>
            </w:r>
            <w:r>
              <w:rPr>
                <w:rFonts w:hint="default" w:ascii="Times New Roman" w:hAnsi="Times New Roman" w:cs="Times New Roman"/>
                <w:bCs/>
                <w:color w:val="auto"/>
                <w:sz w:val="24"/>
                <w:szCs w:val="32"/>
                <w:highlight w:val="none"/>
                <w:lang w:eastAsia="zh-CN"/>
              </w:rPr>
              <w:t>纸盒</w:t>
            </w:r>
            <w:r>
              <w:rPr>
                <w:rFonts w:hint="default" w:ascii="Times New Roman" w:hAnsi="Times New Roman" w:cs="Times New Roman"/>
                <w:bCs/>
                <w:color w:val="auto"/>
                <w:sz w:val="24"/>
                <w:szCs w:val="32"/>
                <w:highlight w:val="none"/>
              </w:rPr>
              <w:t>过滤（漆雾颗粒物去除效率按95%计）后与有机废气一并进入</w:t>
            </w:r>
            <w:r>
              <w:rPr>
                <w:rFonts w:hint="default" w:ascii="Times New Roman" w:hAnsi="Times New Roman" w:cs="Times New Roman"/>
                <w:bCs/>
                <w:color w:val="auto"/>
                <w:sz w:val="24"/>
                <w:szCs w:val="32"/>
                <w:highlight w:val="none"/>
                <w:lang w:eastAsia="zh-CN"/>
              </w:rPr>
              <w:t>“</w:t>
            </w:r>
            <w:r>
              <w:rPr>
                <w:rFonts w:hint="default" w:ascii="Times New Roman" w:hAnsi="Times New Roman" w:cs="Times New Roman"/>
                <w:bCs/>
                <w:color w:val="auto"/>
                <w:sz w:val="24"/>
                <w:szCs w:val="32"/>
                <w:highlight w:val="none"/>
              </w:rPr>
              <w:t>干式过滤+二级活性炭吸附</w:t>
            </w:r>
            <w:r>
              <w:rPr>
                <w:rFonts w:hint="default" w:ascii="Times New Roman" w:hAnsi="Times New Roman" w:cs="Times New Roman"/>
                <w:bCs/>
                <w:color w:val="auto"/>
                <w:sz w:val="24"/>
                <w:szCs w:val="32"/>
                <w:highlight w:val="none"/>
                <w:lang w:eastAsia="zh-CN"/>
              </w:rPr>
              <w:t>”</w:t>
            </w:r>
            <w:r>
              <w:rPr>
                <w:rFonts w:hint="default" w:ascii="Times New Roman" w:hAnsi="Times New Roman" w:cs="Times New Roman"/>
                <w:bCs/>
                <w:color w:val="auto"/>
                <w:sz w:val="24"/>
                <w:szCs w:val="32"/>
                <w:highlight w:val="none"/>
              </w:rPr>
              <w:t>装置处理，经15m排气筒（DA003）排放。</w:t>
            </w:r>
          </w:p>
          <w:p w14:paraId="4D88F36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Cs/>
                <w:color w:val="auto"/>
                <w:sz w:val="24"/>
                <w:szCs w:val="32"/>
                <w:highlight w:val="none"/>
              </w:rPr>
            </w:pPr>
            <w:r>
              <w:rPr>
                <w:rFonts w:hint="default" w:ascii="Times New Roman" w:hAnsi="Times New Roman" w:cs="Times New Roman"/>
                <w:bCs/>
                <w:color w:val="auto"/>
                <w:sz w:val="24"/>
                <w:szCs w:val="32"/>
                <w:highlight w:val="none"/>
              </w:rPr>
              <w:t>（5）固化、流平、烘干有机废气治理：粉末固化废气、水性漆喷涂（流平、烘干）废气及远期电泳烘干废气均密闭负压收集（本次评价收集效率保守取80%），经</w:t>
            </w:r>
            <w:r>
              <w:rPr>
                <w:rFonts w:hint="default" w:ascii="Times New Roman" w:hAnsi="Times New Roman" w:cs="Times New Roman"/>
                <w:bCs/>
                <w:color w:val="auto"/>
                <w:sz w:val="24"/>
                <w:szCs w:val="32"/>
                <w:highlight w:val="none"/>
                <w:lang w:eastAsia="zh-CN"/>
              </w:rPr>
              <w:t>“</w:t>
            </w:r>
            <w:r>
              <w:rPr>
                <w:rFonts w:hint="default" w:ascii="Times New Roman" w:hAnsi="Times New Roman" w:cs="Times New Roman"/>
                <w:bCs/>
                <w:color w:val="auto"/>
                <w:sz w:val="24"/>
                <w:szCs w:val="32"/>
                <w:highlight w:val="none"/>
              </w:rPr>
              <w:t>干式过滤+二级活性炭吸附</w:t>
            </w:r>
            <w:r>
              <w:rPr>
                <w:rFonts w:hint="default" w:ascii="Times New Roman" w:hAnsi="Times New Roman" w:cs="Times New Roman"/>
                <w:bCs/>
                <w:color w:val="auto"/>
                <w:sz w:val="24"/>
                <w:szCs w:val="32"/>
                <w:highlight w:val="none"/>
                <w:lang w:eastAsia="zh-CN"/>
              </w:rPr>
              <w:t>”</w:t>
            </w:r>
            <w:r>
              <w:rPr>
                <w:rFonts w:hint="default" w:ascii="Times New Roman" w:hAnsi="Times New Roman" w:cs="Times New Roman"/>
                <w:bCs/>
                <w:color w:val="auto"/>
                <w:sz w:val="24"/>
                <w:szCs w:val="32"/>
                <w:highlight w:val="none"/>
              </w:rPr>
              <w:t>装置处理（根据《陕西省排污许可制支撑空气质量持续改善实施方案》（陕环发〔2023〕59号），一级蜂窝状活性炭对VOCs去除效率取值20%，两级串联合计去除效率约36%），处理后经15m排气筒（DA003）排放。</w:t>
            </w:r>
          </w:p>
          <w:p w14:paraId="20B5F54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Cs/>
                <w:color w:val="auto"/>
                <w:sz w:val="24"/>
                <w:szCs w:val="32"/>
                <w:highlight w:val="none"/>
              </w:rPr>
            </w:pPr>
            <w:r>
              <w:rPr>
                <w:rFonts w:hint="default" w:ascii="Times New Roman" w:hAnsi="Times New Roman" w:cs="Times New Roman"/>
                <w:bCs/>
                <w:color w:val="auto"/>
                <w:sz w:val="24"/>
                <w:szCs w:val="32"/>
                <w:highlight w:val="none"/>
              </w:rPr>
              <w:t>（6</w:t>
            </w:r>
            <w:r>
              <w:rPr>
                <w:rFonts w:hint="default" w:ascii="Times New Roman" w:hAnsi="Times New Roman" w:eastAsia="宋体" w:cs="Times New Roman"/>
                <w:b w:val="0"/>
                <w:bCs/>
                <w:color w:val="auto"/>
                <w:sz w:val="24"/>
                <w:szCs w:val="32"/>
                <w:highlight w:val="none"/>
              </w:rPr>
              <w:t>）天然气燃烧废气（G5）：</w:t>
            </w:r>
            <w:r>
              <w:rPr>
                <w:rFonts w:hint="default" w:ascii="Times New Roman" w:hAnsi="Times New Roman" w:eastAsia="宋体" w:cs="Times New Roman"/>
                <w:b w:val="0"/>
                <w:bCs/>
                <w:color w:val="auto"/>
                <w:sz w:val="24"/>
                <w:szCs w:val="24"/>
                <w:highlight w:val="none"/>
              </w:rPr>
              <w:t>固化烘道、水分烘干炉、固化炉采用管道天然气低氮燃烧加热，天然气年消耗量4万m³/a，年运行时间2400h。产污系数参照《排放源统计调查产排污核算方法和系数手册》（生态环境部公告 2021 年第 24 号）《33-37,431-434 机械行业系数手册》14 涂装工艺</w:t>
            </w:r>
            <w:r>
              <w:rPr>
                <w:rStyle w:val="35"/>
                <w:rFonts w:hint="default" w:ascii="Times New Roman" w:hAnsi="Times New Roman" w:eastAsia="宋体" w:cs="Times New Roman"/>
                <w:b w:val="0"/>
                <w:bCs/>
                <w:color w:val="auto"/>
                <w:sz w:val="24"/>
                <w:szCs w:val="24"/>
                <w:highlight w:val="none"/>
              </w:rPr>
              <w:t>天然气工业炉窑燃烧</w:t>
            </w:r>
            <w:r>
              <w:rPr>
                <w:rFonts w:hint="default" w:ascii="Times New Roman" w:hAnsi="Times New Roman" w:eastAsia="宋体" w:cs="Times New Roman"/>
                <w:b w:val="0"/>
                <w:bCs/>
                <w:color w:val="auto"/>
                <w:sz w:val="24"/>
                <w:szCs w:val="24"/>
                <w:highlight w:val="none"/>
              </w:rPr>
              <w:t>：颗粒物 0.000286kg/m³- 原料、SO₂ 0.000002S kg/m³- 原料（S 为天然气含硫量，本次取 20mg/m³）、NOₓ（低氮燃烧器）0.00187kg/m³- 原料；工业废气量系数取 13.6m³/m³- 原料。天然气炉采用直接加热，燃烧废气经DA003排气筒（与固化烘干有机废气合并）排放；项目仅采用低氮燃烧器源头控制，无额外废气末端治理设施，污染物产生量等于排放量。</w:t>
            </w:r>
            <w:r>
              <w:rPr>
                <w:rFonts w:hint="default" w:ascii="Times New Roman" w:hAnsi="Times New Roman" w:eastAsia="宋体" w:cs="Times New Roman"/>
                <w:color w:val="auto"/>
                <w:sz w:val="24"/>
                <w:szCs w:val="24"/>
                <w:highlight w:val="none"/>
              </w:rPr>
              <w:t>颗粒物产生量为 0.01144t/a，NOₓ产生量为 0.0748t/a，SO₂产生量为0.0016t/a；颗粒物排放速率为 0.00477kg/h，NOₓ排放速率为 0.03117kg/h，SO₂排放速率</w:t>
            </w:r>
            <w:r>
              <w:rPr>
                <w:rFonts w:hint="default" w:ascii="Times New Roman" w:hAnsi="Times New Roman" w:eastAsia="宋体" w:cs="Times New Roman"/>
                <w:color w:val="auto"/>
                <w:sz w:val="24"/>
                <w:szCs w:val="24"/>
                <w:highlight w:val="none"/>
                <w:lang w:val="en-US" w:eastAsia="zh-CN"/>
              </w:rPr>
              <w:t>为</w:t>
            </w:r>
            <w:r>
              <w:rPr>
                <w:rFonts w:hint="default" w:ascii="Times New Roman" w:hAnsi="Times New Roman" w:eastAsia="宋体" w:cs="Times New Roman"/>
                <w:color w:val="auto"/>
                <w:sz w:val="24"/>
                <w:szCs w:val="24"/>
                <w:highlight w:val="none"/>
              </w:rPr>
              <w:t xml:space="preserve"> 0.00067kg/h 。</w:t>
            </w:r>
          </w:p>
          <w:p w14:paraId="31DDCE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cs="Times New Roman"/>
                <w:bCs/>
                <w:color w:val="auto"/>
                <w:sz w:val="24"/>
                <w:szCs w:val="32"/>
                <w:highlight w:val="none"/>
              </w:rPr>
              <w:t>（7）电泳废气（G6）：阴极电泳生产线（整体环评、分期建设）投产后，电泳及烘干工序产生非甲烷总烃。</w:t>
            </w:r>
            <w:r>
              <w:rPr>
                <w:rFonts w:hint="default" w:ascii="Times New Roman" w:hAnsi="Times New Roman" w:cs="Times New Roman"/>
                <w:bCs/>
                <w:color w:val="auto"/>
                <w:sz w:val="24"/>
                <w:szCs w:val="32"/>
                <w:highlight w:val="none"/>
              </w:rPr>
              <w:t>阴极电泳漆（水性）年用量1.2t/a，根据《电泳漆检测报告》（华测检测，报告编号A2200294143101001C，GB/T 23986-2009气相色谱法）VOC含量为141g/L，按密度1.05g/cm³折算VOCs质量分数约13.43%，则电泳及烘干工序非甲烷总烃产生量约0.161t/a。电泳槽、超滤循环系统及电泳烘干道密闭负压收集（收集效率按80%计），经</w:t>
            </w:r>
            <w:r>
              <w:rPr>
                <w:rFonts w:hint="eastAsia" w:cs="Times New Roman"/>
                <w:bCs/>
                <w:color w:val="auto"/>
                <w:sz w:val="24"/>
                <w:szCs w:val="32"/>
                <w:highlight w:val="none"/>
                <w:lang w:eastAsia="zh-CN"/>
              </w:rPr>
              <w:t>“</w:t>
            </w:r>
            <w:r>
              <w:rPr>
                <w:rFonts w:hint="default" w:ascii="Times New Roman" w:hAnsi="Times New Roman" w:cs="Times New Roman"/>
                <w:bCs/>
                <w:color w:val="auto"/>
                <w:sz w:val="24"/>
                <w:szCs w:val="32"/>
                <w:highlight w:val="none"/>
              </w:rPr>
              <w:t>干式过滤+二级活性炭吸附</w:t>
            </w:r>
            <w:r>
              <w:rPr>
                <w:rFonts w:hint="eastAsia" w:cs="Times New Roman"/>
                <w:bCs/>
                <w:color w:val="auto"/>
                <w:sz w:val="24"/>
                <w:szCs w:val="32"/>
                <w:highlight w:val="none"/>
                <w:lang w:eastAsia="zh-CN"/>
              </w:rPr>
              <w:t>”</w:t>
            </w:r>
            <w:r>
              <w:rPr>
                <w:rFonts w:hint="default" w:ascii="Times New Roman" w:hAnsi="Times New Roman" w:cs="Times New Roman"/>
                <w:bCs/>
                <w:color w:val="auto"/>
                <w:sz w:val="24"/>
                <w:szCs w:val="32"/>
                <w:highlight w:val="none"/>
              </w:rPr>
              <w:t>装置处理（对VOCs去除效率按36%计）后经15m排气筒（DA003）排放。</w:t>
            </w:r>
          </w:p>
          <w:p w14:paraId="32A7092A">
            <w:pPr>
              <w:keepNext w:val="0"/>
              <w:keepLines w:val="0"/>
              <w:suppressLineNumbers w:val="0"/>
              <w:spacing w:before="120" w:beforeAutospacing="0" w:after="80" w:afterAutospacing="0" w:line="240" w:lineRule="auto"/>
              <w:ind w:left="0" w:right="0"/>
              <w:jc w:val="center"/>
              <w:rPr>
                <w:rFonts w:hint="default" w:ascii="Times New Roman" w:hAnsi="Times New Roman" w:cs="Times New Roman"/>
                <w:color w:val="auto"/>
                <w:sz w:val="24"/>
                <w:szCs w:val="24"/>
                <w:highlight w:val="none"/>
              </w:rPr>
            </w:pPr>
            <w:r>
              <w:rPr>
                <w:rFonts w:hint="default" w:ascii="Times New Roman" w:hAnsi="Times New Roman" w:eastAsia="宋体" w:cs="Times New Roman"/>
                <w:b/>
                <w:color w:val="auto"/>
                <w:sz w:val="24"/>
                <w:szCs w:val="24"/>
                <w:highlight w:val="none"/>
              </w:rPr>
              <w:t>表</w:t>
            </w:r>
            <w:r>
              <w:rPr>
                <w:rFonts w:hint="default" w:ascii="Times New Roman" w:hAnsi="Times New Roman" w:cs="Times New Roman"/>
                <w:b/>
                <w:color w:val="auto"/>
                <w:sz w:val="24"/>
                <w:szCs w:val="24"/>
                <w:highlight w:val="none"/>
                <w:lang w:val="en-US" w:eastAsia="zh-CN"/>
              </w:rPr>
              <w:t>4</w:t>
            </w:r>
            <w:r>
              <w:rPr>
                <w:rFonts w:hint="default" w:ascii="Times New Roman" w:hAnsi="Times New Roman" w:eastAsia="宋体" w:cs="Times New Roman"/>
                <w:b/>
                <w:color w:val="auto"/>
                <w:sz w:val="24"/>
                <w:szCs w:val="24"/>
                <w:highlight w:val="none"/>
              </w:rPr>
              <w:t>-</w:t>
            </w:r>
            <w:r>
              <w:rPr>
                <w:rFonts w:hint="default" w:ascii="Times New Roman" w:hAnsi="Times New Roman" w:cs="Times New Roman"/>
                <w:b/>
                <w:color w:val="auto"/>
                <w:sz w:val="24"/>
                <w:szCs w:val="24"/>
                <w:highlight w:val="none"/>
                <w:lang w:val="en-US" w:eastAsia="zh-CN"/>
              </w:rPr>
              <w:t>1</w:t>
            </w:r>
            <w:r>
              <w:rPr>
                <w:rFonts w:hint="default" w:ascii="Times New Roman" w:hAnsi="Times New Roman" w:eastAsia="宋体" w:cs="Times New Roman"/>
                <w:b/>
                <w:color w:val="auto"/>
                <w:sz w:val="24"/>
                <w:szCs w:val="24"/>
                <w:highlight w:val="none"/>
              </w:rPr>
              <w:t xml:space="preserve">  项目运营期废气污染物产排情况一览表（一期）</w:t>
            </w:r>
          </w:p>
          <w:tbl>
            <w:tblPr>
              <w:tblStyle w:val="32"/>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645"/>
              <w:gridCol w:w="699"/>
              <w:gridCol w:w="675"/>
              <w:gridCol w:w="1953"/>
              <w:gridCol w:w="600"/>
              <w:gridCol w:w="642"/>
              <w:gridCol w:w="780"/>
              <w:gridCol w:w="825"/>
              <w:gridCol w:w="825"/>
              <w:gridCol w:w="713"/>
            </w:tblGrid>
            <w:tr w14:paraId="3DC851B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blHeader/>
                <w:jc w:val="center"/>
              </w:trPr>
              <w:tc>
                <w:tcPr>
                  <w:tcW w:w="645" w:type="dxa"/>
                  <w:vAlign w:val="center"/>
                </w:tcPr>
                <w:p w14:paraId="1D03A0F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产污环节</w:t>
                  </w:r>
                </w:p>
              </w:tc>
              <w:tc>
                <w:tcPr>
                  <w:tcW w:w="699" w:type="dxa"/>
                  <w:vAlign w:val="center"/>
                </w:tcPr>
                <w:p w14:paraId="7CA5E56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污染物</w:t>
                  </w:r>
                </w:p>
              </w:tc>
              <w:tc>
                <w:tcPr>
                  <w:tcW w:w="675" w:type="dxa"/>
                  <w:vAlign w:val="center"/>
                </w:tcPr>
                <w:p w14:paraId="19F3B77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产生量</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t/a</w:t>
                  </w:r>
                  <w:r>
                    <w:rPr>
                      <w:rFonts w:hint="eastAsia" w:cs="Times New Roman"/>
                      <w:b/>
                      <w:color w:val="auto"/>
                      <w:sz w:val="21"/>
                      <w:szCs w:val="21"/>
                      <w:highlight w:val="none"/>
                      <w:lang w:eastAsia="zh-CN"/>
                    </w:rPr>
                    <w:t>）</w:t>
                  </w:r>
                </w:p>
              </w:tc>
              <w:tc>
                <w:tcPr>
                  <w:tcW w:w="1953" w:type="dxa"/>
                  <w:vAlign w:val="center"/>
                </w:tcPr>
                <w:p w14:paraId="79AF0F9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治理措施</w:t>
                  </w:r>
                </w:p>
              </w:tc>
              <w:tc>
                <w:tcPr>
                  <w:tcW w:w="600" w:type="dxa"/>
                  <w:vAlign w:val="center"/>
                </w:tcPr>
                <w:p w14:paraId="642B3F5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收集效率</w:t>
                  </w:r>
                </w:p>
              </w:tc>
              <w:tc>
                <w:tcPr>
                  <w:tcW w:w="642" w:type="dxa"/>
                  <w:vAlign w:val="center"/>
                </w:tcPr>
                <w:p w14:paraId="72EB503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去除效率</w:t>
                  </w:r>
                </w:p>
              </w:tc>
              <w:tc>
                <w:tcPr>
                  <w:tcW w:w="780" w:type="dxa"/>
                  <w:vAlign w:val="center"/>
                </w:tcPr>
                <w:p w14:paraId="63AC182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排放形式</w:t>
                  </w:r>
                </w:p>
              </w:tc>
              <w:tc>
                <w:tcPr>
                  <w:tcW w:w="825" w:type="dxa"/>
                  <w:vAlign w:val="center"/>
                </w:tcPr>
                <w:p w14:paraId="65C4F81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排放量</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t/a</w:t>
                  </w:r>
                  <w:r>
                    <w:rPr>
                      <w:rFonts w:hint="eastAsia" w:cs="Times New Roman"/>
                      <w:b/>
                      <w:color w:val="auto"/>
                      <w:sz w:val="21"/>
                      <w:szCs w:val="21"/>
                      <w:highlight w:val="none"/>
                      <w:lang w:eastAsia="zh-CN"/>
                    </w:rPr>
                    <w:t>）</w:t>
                  </w:r>
                </w:p>
              </w:tc>
              <w:tc>
                <w:tcPr>
                  <w:tcW w:w="825" w:type="dxa"/>
                  <w:vAlign w:val="center"/>
                </w:tcPr>
                <w:p w14:paraId="3ECA1E0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排放速率</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kg/h</w:t>
                  </w:r>
                  <w:r>
                    <w:rPr>
                      <w:rFonts w:hint="eastAsia" w:cs="Times New Roman"/>
                      <w:b/>
                      <w:color w:val="auto"/>
                      <w:sz w:val="21"/>
                      <w:szCs w:val="21"/>
                      <w:highlight w:val="none"/>
                      <w:lang w:eastAsia="zh-CN"/>
                    </w:rPr>
                    <w:t>）</w:t>
                  </w:r>
                </w:p>
              </w:tc>
              <w:tc>
                <w:tcPr>
                  <w:tcW w:w="713" w:type="dxa"/>
                  <w:vAlign w:val="center"/>
                </w:tcPr>
                <w:p w14:paraId="263DC3E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排放浓度</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mg/m³</w:t>
                  </w:r>
                  <w:r>
                    <w:rPr>
                      <w:rFonts w:hint="eastAsia" w:cs="Times New Roman"/>
                      <w:b/>
                      <w:color w:val="auto"/>
                      <w:sz w:val="21"/>
                      <w:szCs w:val="21"/>
                      <w:highlight w:val="none"/>
                      <w:lang w:eastAsia="zh-CN"/>
                    </w:rPr>
                    <w:t>）</w:t>
                  </w:r>
                </w:p>
              </w:tc>
            </w:tr>
            <w:tr w14:paraId="211A522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restart"/>
                  <w:vAlign w:val="center"/>
                </w:tcPr>
                <w:p w14:paraId="7F563E5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抛丸预处理</w:t>
                  </w:r>
                </w:p>
              </w:tc>
              <w:tc>
                <w:tcPr>
                  <w:tcW w:w="699" w:type="dxa"/>
                  <w:vMerge w:val="restart"/>
                  <w:vAlign w:val="center"/>
                </w:tcPr>
                <w:p w14:paraId="1A40432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颗粒物</w:t>
                  </w:r>
                </w:p>
              </w:tc>
              <w:tc>
                <w:tcPr>
                  <w:tcW w:w="675" w:type="dxa"/>
                  <w:vMerge w:val="restart"/>
                  <w:vAlign w:val="center"/>
                </w:tcPr>
                <w:p w14:paraId="53434F1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3.94</w:t>
                  </w:r>
                </w:p>
              </w:tc>
              <w:tc>
                <w:tcPr>
                  <w:tcW w:w="1953" w:type="dxa"/>
                  <w:vMerge w:val="restart"/>
                  <w:vAlign w:val="center"/>
                </w:tcPr>
                <w:p w14:paraId="5D97DC3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密闭负压收集+脉冲布袋除尘器+15m排气筒DA001</w:t>
                  </w:r>
                </w:p>
              </w:tc>
              <w:tc>
                <w:tcPr>
                  <w:tcW w:w="600" w:type="dxa"/>
                  <w:vMerge w:val="restart"/>
                  <w:vAlign w:val="center"/>
                </w:tcPr>
                <w:p w14:paraId="4857BEB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98%</w:t>
                  </w:r>
                </w:p>
              </w:tc>
              <w:tc>
                <w:tcPr>
                  <w:tcW w:w="642" w:type="dxa"/>
                  <w:vMerge w:val="restart"/>
                  <w:vAlign w:val="center"/>
                </w:tcPr>
                <w:p w14:paraId="4F17FAD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99%</w:t>
                  </w:r>
                </w:p>
              </w:tc>
              <w:tc>
                <w:tcPr>
                  <w:tcW w:w="780" w:type="dxa"/>
                  <w:vAlign w:val="center"/>
                </w:tcPr>
                <w:p w14:paraId="51CC645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有组织</w:t>
                  </w:r>
                </w:p>
              </w:tc>
              <w:tc>
                <w:tcPr>
                  <w:tcW w:w="825" w:type="dxa"/>
                  <w:vAlign w:val="center"/>
                </w:tcPr>
                <w:p w14:paraId="230C17D8">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0.0386</w:t>
                  </w:r>
                </w:p>
              </w:tc>
              <w:tc>
                <w:tcPr>
                  <w:tcW w:w="825" w:type="dxa"/>
                  <w:vAlign w:val="center"/>
                </w:tcPr>
                <w:p w14:paraId="35D9C1FD">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0.0161</w:t>
                  </w:r>
                </w:p>
              </w:tc>
              <w:tc>
                <w:tcPr>
                  <w:tcW w:w="713" w:type="dxa"/>
                  <w:vAlign w:val="center"/>
                </w:tcPr>
                <w:p w14:paraId="303B7F4C">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2.68</w:t>
                  </w:r>
                </w:p>
              </w:tc>
            </w:tr>
            <w:tr w14:paraId="484688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continue"/>
                  <w:vAlign w:val="center"/>
                </w:tcPr>
                <w:p w14:paraId="20F50D1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99" w:type="dxa"/>
                  <w:vMerge w:val="continue"/>
                  <w:vAlign w:val="center"/>
                </w:tcPr>
                <w:p w14:paraId="2B19F7A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75" w:type="dxa"/>
                  <w:vMerge w:val="continue"/>
                  <w:vAlign w:val="center"/>
                </w:tcPr>
                <w:p w14:paraId="2DC982B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953" w:type="dxa"/>
                  <w:vMerge w:val="continue"/>
                  <w:vAlign w:val="center"/>
                </w:tcPr>
                <w:p w14:paraId="7BA40C1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00" w:type="dxa"/>
                  <w:vMerge w:val="continue"/>
                  <w:vAlign w:val="center"/>
                </w:tcPr>
                <w:p w14:paraId="6C98A94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42" w:type="dxa"/>
                  <w:vMerge w:val="continue"/>
                  <w:vAlign w:val="center"/>
                </w:tcPr>
                <w:p w14:paraId="5F94959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780" w:type="dxa"/>
                  <w:vAlign w:val="center"/>
                </w:tcPr>
                <w:p w14:paraId="7EBA6C4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无组织</w:t>
                  </w:r>
                </w:p>
              </w:tc>
              <w:tc>
                <w:tcPr>
                  <w:tcW w:w="825" w:type="dxa"/>
                  <w:vAlign w:val="center"/>
                </w:tcPr>
                <w:p w14:paraId="7CA86126">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0.0788</w:t>
                  </w:r>
                </w:p>
              </w:tc>
              <w:tc>
                <w:tcPr>
                  <w:tcW w:w="825" w:type="dxa"/>
                  <w:vAlign w:val="center"/>
                </w:tcPr>
                <w:p w14:paraId="5C550D57">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0.0328</w:t>
                  </w:r>
                </w:p>
              </w:tc>
              <w:tc>
                <w:tcPr>
                  <w:tcW w:w="713" w:type="dxa"/>
                  <w:vAlign w:val="center"/>
                </w:tcPr>
                <w:p w14:paraId="0DBCE089">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r>
            <w:tr w14:paraId="5235566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restart"/>
                  <w:vAlign w:val="center"/>
                </w:tcPr>
                <w:p w14:paraId="6565DA0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静电粉末喷涂</w:t>
                  </w:r>
                </w:p>
              </w:tc>
              <w:tc>
                <w:tcPr>
                  <w:tcW w:w="699" w:type="dxa"/>
                  <w:vMerge w:val="restart"/>
                  <w:vAlign w:val="center"/>
                </w:tcPr>
                <w:p w14:paraId="2E9DEC2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颗粒物</w:t>
                  </w:r>
                </w:p>
              </w:tc>
              <w:tc>
                <w:tcPr>
                  <w:tcW w:w="675" w:type="dxa"/>
                  <w:vMerge w:val="restart"/>
                  <w:vAlign w:val="center"/>
                </w:tcPr>
                <w:p w14:paraId="2C00F3E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13.5</w:t>
                  </w:r>
                </w:p>
              </w:tc>
              <w:tc>
                <w:tcPr>
                  <w:tcW w:w="1953" w:type="dxa"/>
                  <w:vMerge w:val="restart"/>
                  <w:vAlign w:val="center"/>
                </w:tcPr>
                <w:p w14:paraId="02BC8C2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密闭喷粉房+旋风除尘器+滤筒除尘器+15m排气筒DA002</w:t>
                  </w:r>
                </w:p>
              </w:tc>
              <w:tc>
                <w:tcPr>
                  <w:tcW w:w="600" w:type="dxa"/>
                  <w:vMerge w:val="restart"/>
                  <w:vAlign w:val="center"/>
                </w:tcPr>
                <w:p w14:paraId="13CD2C1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95%</w:t>
                  </w:r>
                </w:p>
              </w:tc>
              <w:tc>
                <w:tcPr>
                  <w:tcW w:w="642" w:type="dxa"/>
                  <w:vMerge w:val="restart"/>
                  <w:vAlign w:val="center"/>
                </w:tcPr>
                <w:p w14:paraId="25CBCE0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99%</w:t>
                  </w:r>
                </w:p>
              </w:tc>
              <w:tc>
                <w:tcPr>
                  <w:tcW w:w="780" w:type="dxa"/>
                  <w:vAlign w:val="center"/>
                </w:tcPr>
                <w:p w14:paraId="086E3DB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有组织</w:t>
                  </w:r>
                </w:p>
              </w:tc>
              <w:tc>
                <w:tcPr>
                  <w:tcW w:w="825" w:type="dxa"/>
                  <w:vAlign w:val="center"/>
                </w:tcPr>
                <w:p w14:paraId="2ABCCD5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0.128</w:t>
                  </w:r>
                </w:p>
              </w:tc>
              <w:tc>
                <w:tcPr>
                  <w:tcW w:w="825" w:type="dxa"/>
                  <w:vAlign w:val="center"/>
                </w:tcPr>
                <w:p w14:paraId="67E4BDA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0.0534</w:t>
                  </w:r>
                </w:p>
              </w:tc>
              <w:tc>
                <w:tcPr>
                  <w:tcW w:w="713" w:type="dxa"/>
                  <w:vAlign w:val="center"/>
                </w:tcPr>
                <w:p w14:paraId="238733C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6.68</w:t>
                  </w:r>
                </w:p>
              </w:tc>
            </w:tr>
            <w:tr w14:paraId="3C9C69F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continue"/>
                  <w:vAlign w:val="center"/>
                </w:tcPr>
                <w:p w14:paraId="75D88FC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99" w:type="dxa"/>
                  <w:vMerge w:val="continue"/>
                  <w:vAlign w:val="center"/>
                </w:tcPr>
                <w:p w14:paraId="0972319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75" w:type="dxa"/>
                  <w:vMerge w:val="continue"/>
                  <w:vAlign w:val="center"/>
                </w:tcPr>
                <w:p w14:paraId="5D61CD3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953" w:type="dxa"/>
                  <w:vMerge w:val="continue"/>
                  <w:vAlign w:val="center"/>
                </w:tcPr>
                <w:p w14:paraId="0B9A244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00" w:type="dxa"/>
                  <w:vMerge w:val="continue"/>
                  <w:vAlign w:val="center"/>
                </w:tcPr>
                <w:p w14:paraId="6BFD8F9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42" w:type="dxa"/>
                  <w:vMerge w:val="continue"/>
                  <w:vAlign w:val="center"/>
                </w:tcPr>
                <w:p w14:paraId="230B400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780" w:type="dxa"/>
                  <w:vAlign w:val="center"/>
                </w:tcPr>
                <w:p w14:paraId="7D4D707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无组织</w:t>
                  </w:r>
                </w:p>
              </w:tc>
              <w:tc>
                <w:tcPr>
                  <w:tcW w:w="825" w:type="dxa"/>
                  <w:vAlign w:val="center"/>
                </w:tcPr>
                <w:p w14:paraId="462C1AB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0.675</w:t>
                  </w:r>
                </w:p>
              </w:tc>
              <w:tc>
                <w:tcPr>
                  <w:tcW w:w="825" w:type="dxa"/>
                  <w:vAlign w:val="center"/>
                </w:tcPr>
                <w:p w14:paraId="0D27509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0.281</w:t>
                  </w:r>
                </w:p>
              </w:tc>
              <w:tc>
                <w:tcPr>
                  <w:tcW w:w="713" w:type="dxa"/>
                  <w:vAlign w:val="center"/>
                </w:tcPr>
                <w:p w14:paraId="3DF4D71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r>
            <w:tr w14:paraId="3C90544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restart"/>
                  <w:vAlign w:val="center"/>
                </w:tcPr>
                <w:p w14:paraId="2D65066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粉末固化</w:t>
                  </w:r>
                </w:p>
              </w:tc>
              <w:tc>
                <w:tcPr>
                  <w:tcW w:w="699" w:type="dxa"/>
                  <w:vMerge w:val="restart"/>
                  <w:vAlign w:val="center"/>
                </w:tcPr>
                <w:p w14:paraId="35280DC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非甲烷总烃</w:t>
                  </w:r>
                </w:p>
              </w:tc>
              <w:tc>
                <w:tcPr>
                  <w:tcW w:w="675" w:type="dxa"/>
                  <w:vMerge w:val="restart"/>
                  <w:vAlign w:val="center"/>
                </w:tcPr>
                <w:p w14:paraId="02CBCDA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0.054</w:t>
                  </w:r>
                </w:p>
              </w:tc>
              <w:tc>
                <w:tcPr>
                  <w:tcW w:w="1953" w:type="dxa"/>
                  <w:vMerge w:val="restart"/>
                  <w:vAlign w:val="center"/>
                </w:tcPr>
                <w:p w14:paraId="5EBE35E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固化烘道密闭负压收集+干式过滤+二级活性炭+15m排气筒DA003</w:t>
                  </w:r>
                </w:p>
              </w:tc>
              <w:tc>
                <w:tcPr>
                  <w:tcW w:w="600" w:type="dxa"/>
                  <w:vMerge w:val="restart"/>
                  <w:vAlign w:val="center"/>
                </w:tcPr>
                <w:p w14:paraId="1BE8C3B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80%</w:t>
                  </w:r>
                </w:p>
              </w:tc>
              <w:tc>
                <w:tcPr>
                  <w:tcW w:w="642" w:type="dxa"/>
                  <w:vMerge w:val="restart"/>
                  <w:vAlign w:val="center"/>
                </w:tcPr>
                <w:p w14:paraId="1B938A1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b w:val="0"/>
                      <w:color w:val="auto"/>
                      <w:sz w:val="21"/>
                      <w:szCs w:val="21"/>
                      <w:highlight w:val="none"/>
                      <w:lang w:val="en-US" w:eastAsia="zh-CN"/>
                    </w:rPr>
                    <w:t>36</w:t>
                  </w:r>
                  <w:r>
                    <w:rPr>
                      <w:rFonts w:hint="default" w:ascii="Times New Roman" w:hAnsi="Times New Roman" w:eastAsia="宋体" w:cs="Times New Roman"/>
                      <w:b w:val="0"/>
                      <w:color w:val="auto"/>
                      <w:sz w:val="21"/>
                      <w:szCs w:val="21"/>
                      <w:highlight w:val="none"/>
                    </w:rPr>
                    <w:t>%</w:t>
                  </w:r>
                </w:p>
              </w:tc>
              <w:tc>
                <w:tcPr>
                  <w:tcW w:w="780" w:type="dxa"/>
                  <w:vAlign w:val="center"/>
                </w:tcPr>
                <w:p w14:paraId="6B4163F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有组织</w:t>
                  </w:r>
                </w:p>
              </w:tc>
              <w:tc>
                <w:tcPr>
                  <w:tcW w:w="825" w:type="dxa"/>
                  <w:vAlign w:val="center"/>
                </w:tcPr>
                <w:p w14:paraId="669C9E5E">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0.0276</w:t>
                  </w:r>
                </w:p>
              </w:tc>
              <w:tc>
                <w:tcPr>
                  <w:tcW w:w="825" w:type="dxa"/>
                  <w:vAlign w:val="center"/>
                </w:tcPr>
                <w:p w14:paraId="0FD56795">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0.0115</w:t>
                  </w:r>
                </w:p>
              </w:tc>
              <w:tc>
                <w:tcPr>
                  <w:tcW w:w="713" w:type="dxa"/>
                  <w:vAlign w:val="center"/>
                </w:tcPr>
                <w:p w14:paraId="6A50A0EB">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1.15</w:t>
                  </w:r>
                </w:p>
              </w:tc>
            </w:tr>
            <w:tr w14:paraId="4411A47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continue"/>
                  <w:vAlign w:val="center"/>
                </w:tcPr>
                <w:p w14:paraId="4EBF498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99" w:type="dxa"/>
                  <w:vMerge w:val="continue"/>
                  <w:vAlign w:val="center"/>
                </w:tcPr>
                <w:p w14:paraId="00FBB33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75" w:type="dxa"/>
                  <w:vMerge w:val="continue"/>
                  <w:vAlign w:val="center"/>
                </w:tcPr>
                <w:p w14:paraId="7B7F29F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953" w:type="dxa"/>
                  <w:vMerge w:val="continue"/>
                  <w:vAlign w:val="center"/>
                </w:tcPr>
                <w:p w14:paraId="6B0E25D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00" w:type="dxa"/>
                  <w:vMerge w:val="continue"/>
                  <w:vAlign w:val="center"/>
                </w:tcPr>
                <w:p w14:paraId="441F0E3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42" w:type="dxa"/>
                  <w:vMerge w:val="continue"/>
                  <w:vAlign w:val="center"/>
                </w:tcPr>
                <w:p w14:paraId="0E337EF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780" w:type="dxa"/>
                  <w:vAlign w:val="center"/>
                </w:tcPr>
                <w:p w14:paraId="740E997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无组织</w:t>
                  </w:r>
                </w:p>
              </w:tc>
              <w:tc>
                <w:tcPr>
                  <w:tcW w:w="825" w:type="dxa"/>
                  <w:vAlign w:val="center"/>
                </w:tcPr>
                <w:p w14:paraId="506F085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0.0108</w:t>
                  </w:r>
                </w:p>
              </w:tc>
              <w:tc>
                <w:tcPr>
                  <w:tcW w:w="825" w:type="dxa"/>
                  <w:vAlign w:val="center"/>
                </w:tcPr>
                <w:p w14:paraId="26DF7F6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0.0045</w:t>
                  </w:r>
                </w:p>
              </w:tc>
              <w:tc>
                <w:tcPr>
                  <w:tcW w:w="713" w:type="dxa"/>
                  <w:vAlign w:val="center"/>
                </w:tcPr>
                <w:p w14:paraId="6BDE05A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r>
            <w:tr w14:paraId="31769F0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restart"/>
                  <w:vAlign w:val="center"/>
                </w:tcPr>
                <w:p w14:paraId="015B16E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水性漆喷涂、流平、烘干</w:t>
                  </w:r>
                </w:p>
              </w:tc>
              <w:tc>
                <w:tcPr>
                  <w:tcW w:w="699" w:type="dxa"/>
                  <w:vMerge w:val="restart"/>
                  <w:vAlign w:val="center"/>
                </w:tcPr>
                <w:p w14:paraId="4E2FB24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非甲烷总烃</w:t>
                  </w:r>
                </w:p>
              </w:tc>
              <w:tc>
                <w:tcPr>
                  <w:tcW w:w="675" w:type="dxa"/>
                  <w:vMerge w:val="restart"/>
                  <w:vAlign w:val="center"/>
                </w:tcPr>
                <w:p w14:paraId="13FD52D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0.695</w:t>
                  </w:r>
                </w:p>
              </w:tc>
              <w:tc>
                <w:tcPr>
                  <w:tcW w:w="1953" w:type="dxa"/>
                  <w:vMerge w:val="restart"/>
                  <w:vAlign w:val="center"/>
                </w:tcPr>
                <w:p w14:paraId="5871C63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密闭负压收集+干式过滤+二级活性炭+15m排气筒DA003</w:t>
                  </w:r>
                </w:p>
              </w:tc>
              <w:tc>
                <w:tcPr>
                  <w:tcW w:w="600" w:type="dxa"/>
                  <w:vMerge w:val="restart"/>
                  <w:vAlign w:val="center"/>
                </w:tcPr>
                <w:p w14:paraId="67994BA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80%</w:t>
                  </w:r>
                </w:p>
              </w:tc>
              <w:tc>
                <w:tcPr>
                  <w:tcW w:w="642" w:type="dxa"/>
                  <w:vMerge w:val="restart"/>
                  <w:vAlign w:val="center"/>
                </w:tcPr>
                <w:p w14:paraId="47F1345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b w:val="0"/>
                      <w:color w:val="auto"/>
                      <w:sz w:val="21"/>
                      <w:szCs w:val="21"/>
                      <w:highlight w:val="none"/>
                      <w:lang w:val="en-US" w:eastAsia="zh-CN"/>
                    </w:rPr>
                    <w:t>36</w:t>
                  </w:r>
                  <w:r>
                    <w:rPr>
                      <w:rFonts w:hint="default" w:ascii="Times New Roman" w:hAnsi="Times New Roman" w:eastAsia="宋体" w:cs="Times New Roman"/>
                      <w:b w:val="0"/>
                      <w:color w:val="auto"/>
                      <w:sz w:val="21"/>
                      <w:szCs w:val="21"/>
                      <w:highlight w:val="none"/>
                    </w:rPr>
                    <w:t>%</w:t>
                  </w:r>
                </w:p>
              </w:tc>
              <w:tc>
                <w:tcPr>
                  <w:tcW w:w="780" w:type="dxa"/>
                  <w:vAlign w:val="center"/>
                </w:tcPr>
                <w:p w14:paraId="39CB474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有组织</w:t>
                  </w:r>
                </w:p>
              </w:tc>
              <w:tc>
                <w:tcPr>
                  <w:tcW w:w="825" w:type="dxa"/>
                  <w:vAlign w:val="center"/>
                </w:tcPr>
                <w:p w14:paraId="5774FED1">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0.3558</w:t>
                  </w:r>
                </w:p>
              </w:tc>
              <w:tc>
                <w:tcPr>
                  <w:tcW w:w="825" w:type="dxa"/>
                  <w:vAlign w:val="center"/>
                </w:tcPr>
                <w:p w14:paraId="47AA5AB0">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0.1483</w:t>
                  </w:r>
                </w:p>
              </w:tc>
              <w:tc>
                <w:tcPr>
                  <w:tcW w:w="713" w:type="dxa"/>
                  <w:vAlign w:val="center"/>
                </w:tcPr>
                <w:p w14:paraId="61FB8FC1">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14.83</w:t>
                  </w:r>
                </w:p>
              </w:tc>
            </w:tr>
            <w:tr w14:paraId="203DA4D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continue"/>
                  <w:vAlign w:val="center"/>
                </w:tcPr>
                <w:p w14:paraId="3497B9C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99" w:type="dxa"/>
                  <w:vMerge w:val="continue"/>
                  <w:vAlign w:val="center"/>
                </w:tcPr>
                <w:p w14:paraId="74E81B4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75" w:type="dxa"/>
                  <w:vMerge w:val="continue"/>
                  <w:vAlign w:val="center"/>
                </w:tcPr>
                <w:p w14:paraId="450D976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953" w:type="dxa"/>
                  <w:vMerge w:val="continue"/>
                  <w:vAlign w:val="center"/>
                </w:tcPr>
                <w:p w14:paraId="4F26BA3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00" w:type="dxa"/>
                  <w:vMerge w:val="continue"/>
                  <w:vAlign w:val="center"/>
                </w:tcPr>
                <w:p w14:paraId="667E349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42" w:type="dxa"/>
                  <w:vMerge w:val="continue"/>
                  <w:vAlign w:val="center"/>
                </w:tcPr>
                <w:p w14:paraId="22BD363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780" w:type="dxa"/>
                  <w:vAlign w:val="center"/>
                </w:tcPr>
                <w:p w14:paraId="1831F87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无组织</w:t>
                  </w:r>
                </w:p>
              </w:tc>
              <w:tc>
                <w:tcPr>
                  <w:tcW w:w="825" w:type="dxa"/>
                  <w:vAlign w:val="center"/>
                </w:tcPr>
                <w:p w14:paraId="55CC74C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0.139</w:t>
                  </w:r>
                </w:p>
              </w:tc>
              <w:tc>
                <w:tcPr>
                  <w:tcW w:w="825" w:type="dxa"/>
                  <w:vAlign w:val="center"/>
                </w:tcPr>
                <w:p w14:paraId="50146DF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0.0579</w:t>
                  </w:r>
                </w:p>
              </w:tc>
              <w:tc>
                <w:tcPr>
                  <w:tcW w:w="713" w:type="dxa"/>
                  <w:vAlign w:val="center"/>
                </w:tcPr>
                <w:p w14:paraId="467E211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r>
            <w:tr w14:paraId="5EBA6A3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continue"/>
                  <w:vAlign w:val="center"/>
                </w:tcPr>
                <w:p w14:paraId="4DCEA90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99" w:type="dxa"/>
                  <w:vMerge w:val="restart"/>
                  <w:vAlign w:val="center"/>
                </w:tcPr>
                <w:p w14:paraId="554263A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漆雾（颗粒物）</w:t>
                  </w:r>
                </w:p>
              </w:tc>
              <w:tc>
                <w:tcPr>
                  <w:tcW w:w="675" w:type="dxa"/>
                  <w:vMerge w:val="restart"/>
                  <w:vAlign w:val="center"/>
                </w:tcPr>
                <w:p w14:paraId="424FDB5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0.42</w:t>
                  </w:r>
                </w:p>
              </w:tc>
              <w:tc>
                <w:tcPr>
                  <w:tcW w:w="1953" w:type="dxa"/>
                  <w:vMerge w:val="restart"/>
                  <w:vAlign w:val="center"/>
                </w:tcPr>
                <w:p w14:paraId="4CC2C3A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干式</w:t>
                  </w:r>
                  <w:r>
                    <w:rPr>
                      <w:rFonts w:hint="default" w:ascii="Times New Roman" w:hAnsi="Times New Roman" w:cs="Times New Roman"/>
                      <w:b w:val="0"/>
                      <w:color w:val="auto"/>
                      <w:sz w:val="21"/>
                      <w:szCs w:val="21"/>
                      <w:highlight w:val="none"/>
                      <w:lang w:eastAsia="zh-CN"/>
                    </w:rPr>
                    <w:t>纸盒</w:t>
                  </w:r>
                  <w:r>
                    <w:rPr>
                      <w:rFonts w:hint="default" w:ascii="Times New Roman" w:hAnsi="Times New Roman" w:eastAsia="宋体" w:cs="Times New Roman"/>
                      <w:b w:val="0"/>
                      <w:color w:val="auto"/>
                      <w:sz w:val="21"/>
                      <w:szCs w:val="21"/>
                      <w:highlight w:val="none"/>
                    </w:rPr>
                    <w:t>过滤</w:t>
                  </w:r>
                </w:p>
              </w:tc>
              <w:tc>
                <w:tcPr>
                  <w:tcW w:w="600" w:type="dxa"/>
                  <w:vMerge w:val="restart"/>
                  <w:vAlign w:val="center"/>
                </w:tcPr>
                <w:p w14:paraId="0BF5A50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80%</w:t>
                  </w:r>
                </w:p>
              </w:tc>
              <w:tc>
                <w:tcPr>
                  <w:tcW w:w="642" w:type="dxa"/>
                  <w:vMerge w:val="restart"/>
                  <w:vAlign w:val="center"/>
                </w:tcPr>
                <w:p w14:paraId="5E9955E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95%</w:t>
                  </w:r>
                </w:p>
              </w:tc>
              <w:tc>
                <w:tcPr>
                  <w:tcW w:w="780" w:type="dxa"/>
                  <w:vAlign w:val="center"/>
                </w:tcPr>
                <w:p w14:paraId="04869A4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有组织</w:t>
                  </w:r>
                </w:p>
              </w:tc>
              <w:tc>
                <w:tcPr>
                  <w:tcW w:w="825" w:type="dxa"/>
                  <w:vAlign w:val="center"/>
                </w:tcPr>
                <w:p w14:paraId="565425B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0.017</w:t>
                  </w:r>
                </w:p>
              </w:tc>
              <w:tc>
                <w:tcPr>
                  <w:tcW w:w="825" w:type="dxa"/>
                  <w:vAlign w:val="center"/>
                </w:tcPr>
                <w:p w14:paraId="2D8CD60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0.0071</w:t>
                  </w:r>
                </w:p>
              </w:tc>
              <w:tc>
                <w:tcPr>
                  <w:tcW w:w="713" w:type="dxa"/>
                  <w:vAlign w:val="center"/>
                </w:tcPr>
                <w:p w14:paraId="25DC2BE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0.71</w:t>
                  </w:r>
                </w:p>
              </w:tc>
            </w:tr>
            <w:tr w14:paraId="4F8AE78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continue"/>
                  <w:vAlign w:val="center"/>
                </w:tcPr>
                <w:p w14:paraId="17CDE6C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99" w:type="dxa"/>
                  <w:vMerge w:val="continue"/>
                  <w:vAlign w:val="center"/>
                </w:tcPr>
                <w:p w14:paraId="109608C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75" w:type="dxa"/>
                  <w:vMerge w:val="continue"/>
                  <w:vAlign w:val="center"/>
                </w:tcPr>
                <w:p w14:paraId="6FB6FFC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953" w:type="dxa"/>
                  <w:vMerge w:val="continue"/>
                  <w:vAlign w:val="center"/>
                </w:tcPr>
                <w:p w14:paraId="2F557A8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00" w:type="dxa"/>
                  <w:vMerge w:val="continue"/>
                  <w:vAlign w:val="center"/>
                </w:tcPr>
                <w:p w14:paraId="694304C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42" w:type="dxa"/>
                  <w:vMerge w:val="continue"/>
                  <w:vAlign w:val="center"/>
                </w:tcPr>
                <w:p w14:paraId="34A6840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780" w:type="dxa"/>
                  <w:vAlign w:val="center"/>
                </w:tcPr>
                <w:p w14:paraId="6B1C0BF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无组织</w:t>
                  </w:r>
                </w:p>
              </w:tc>
              <w:tc>
                <w:tcPr>
                  <w:tcW w:w="825" w:type="dxa"/>
                  <w:vAlign w:val="center"/>
                </w:tcPr>
                <w:p w14:paraId="63D107C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0.084</w:t>
                  </w:r>
                </w:p>
              </w:tc>
              <w:tc>
                <w:tcPr>
                  <w:tcW w:w="825" w:type="dxa"/>
                  <w:vAlign w:val="center"/>
                </w:tcPr>
                <w:p w14:paraId="6A94103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0.035</w:t>
                  </w:r>
                </w:p>
              </w:tc>
              <w:tc>
                <w:tcPr>
                  <w:tcW w:w="713" w:type="dxa"/>
                  <w:vAlign w:val="center"/>
                </w:tcPr>
                <w:p w14:paraId="5690B32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r>
            <w:tr w14:paraId="0B53D70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restart"/>
                  <w:vAlign w:val="center"/>
                </w:tcPr>
                <w:p w14:paraId="5128057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天然气燃烧</w:t>
                  </w:r>
                </w:p>
              </w:tc>
              <w:tc>
                <w:tcPr>
                  <w:tcW w:w="699" w:type="dxa"/>
                  <w:vAlign w:val="center"/>
                </w:tcPr>
                <w:p w14:paraId="09E34D6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颗粒物</w:t>
                  </w:r>
                </w:p>
              </w:tc>
              <w:tc>
                <w:tcPr>
                  <w:tcW w:w="675" w:type="dxa"/>
                  <w:vAlign w:val="center"/>
                </w:tcPr>
                <w:p w14:paraId="39FE6A2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0.0</w:t>
                  </w:r>
                  <w:r>
                    <w:rPr>
                      <w:rFonts w:hint="default" w:ascii="Times New Roman" w:hAnsi="Times New Roman" w:cs="Times New Roman"/>
                      <w:b w:val="0"/>
                      <w:color w:val="auto"/>
                      <w:sz w:val="21"/>
                      <w:szCs w:val="21"/>
                      <w:highlight w:val="none"/>
                      <w:lang w:val="en-US" w:eastAsia="zh-CN"/>
                    </w:rPr>
                    <w:t>1144</w:t>
                  </w:r>
                </w:p>
              </w:tc>
              <w:tc>
                <w:tcPr>
                  <w:tcW w:w="1953" w:type="dxa"/>
                  <w:vAlign w:val="center"/>
                </w:tcPr>
                <w:p w14:paraId="2F119E96">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天然气炉直接加热，燃烧废气与固化/烘干有机废气合并，经干式过滤+二级活性炭吸附+15m排气筒DA003排放</w:t>
                  </w:r>
                </w:p>
              </w:tc>
              <w:tc>
                <w:tcPr>
                  <w:tcW w:w="600" w:type="dxa"/>
                  <w:vAlign w:val="center"/>
                </w:tcPr>
                <w:p w14:paraId="5598D332">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100%</w:t>
                  </w:r>
                </w:p>
              </w:tc>
              <w:tc>
                <w:tcPr>
                  <w:tcW w:w="642" w:type="dxa"/>
                  <w:vAlign w:val="center"/>
                </w:tcPr>
                <w:p w14:paraId="15B839DD">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w:t>
                  </w:r>
                </w:p>
              </w:tc>
              <w:tc>
                <w:tcPr>
                  <w:tcW w:w="780" w:type="dxa"/>
                  <w:vAlign w:val="center"/>
                </w:tcPr>
                <w:p w14:paraId="3C0B61BB">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有组织</w:t>
                  </w:r>
                </w:p>
              </w:tc>
              <w:tc>
                <w:tcPr>
                  <w:tcW w:w="825" w:type="dxa"/>
                  <w:vAlign w:val="center"/>
                </w:tcPr>
                <w:p w14:paraId="3375AE01">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w:t>
                  </w:r>
                  <w:r>
                    <w:rPr>
                      <w:rFonts w:hint="default" w:ascii="Times New Roman" w:hAnsi="Times New Roman" w:cs="Times New Roman"/>
                      <w:b w:val="0"/>
                      <w:color w:val="auto"/>
                      <w:sz w:val="21"/>
                      <w:szCs w:val="21"/>
                      <w:highlight w:val="none"/>
                      <w:lang w:val="en-US" w:eastAsia="zh-CN"/>
                    </w:rPr>
                    <w:t>1144</w:t>
                  </w:r>
                </w:p>
              </w:tc>
              <w:tc>
                <w:tcPr>
                  <w:tcW w:w="825" w:type="dxa"/>
                  <w:vAlign w:val="center"/>
                </w:tcPr>
                <w:p w14:paraId="654F74B0">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0.00</w:t>
                  </w:r>
                  <w:r>
                    <w:rPr>
                      <w:rFonts w:hint="default" w:ascii="Times New Roman" w:hAnsi="Times New Roman" w:cs="Times New Roman"/>
                      <w:color w:val="auto"/>
                      <w:highlight w:val="none"/>
                      <w:lang w:val="en-US" w:eastAsia="zh-CN"/>
                    </w:rPr>
                    <w:t>477</w:t>
                  </w:r>
                </w:p>
              </w:tc>
              <w:tc>
                <w:tcPr>
                  <w:tcW w:w="713" w:type="dxa"/>
                  <w:vAlign w:val="center"/>
                </w:tcPr>
                <w:p w14:paraId="7317D630">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highlight w:val="none"/>
                    </w:rPr>
                    <w:t>0.48</w:t>
                  </w:r>
                </w:p>
              </w:tc>
            </w:tr>
            <w:tr w14:paraId="0F691A2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45" w:type="dxa"/>
                  <w:vMerge w:val="continue"/>
                  <w:vAlign w:val="center"/>
                </w:tcPr>
                <w:p w14:paraId="2790274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99" w:type="dxa"/>
                  <w:vAlign w:val="center"/>
                </w:tcPr>
                <w:p w14:paraId="23EAE06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SO₂</w:t>
                  </w:r>
                </w:p>
              </w:tc>
              <w:tc>
                <w:tcPr>
                  <w:tcW w:w="675" w:type="dxa"/>
                  <w:vAlign w:val="center"/>
                </w:tcPr>
                <w:p w14:paraId="691A2F8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0.0016</w:t>
                  </w:r>
                </w:p>
              </w:tc>
              <w:tc>
                <w:tcPr>
                  <w:tcW w:w="1953" w:type="dxa"/>
                  <w:vAlign w:val="center"/>
                </w:tcPr>
                <w:p w14:paraId="34F3B9EF">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天然气炉直接加热，燃烧废气与固化/烘干有机废气合并，经干式过滤+二级活性炭吸附+15m排气筒DA003排放</w:t>
                  </w:r>
                </w:p>
              </w:tc>
              <w:tc>
                <w:tcPr>
                  <w:tcW w:w="600" w:type="dxa"/>
                  <w:vAlign w:val="center"/>
                </w:tcPr>
                <w:p w14:paraId="012C0EB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100%</w:t>
                  </w:r>
                </w:p>
              </w:tc>
              <w:tc>
                <w:tcPr>
                  <w:tcW w:w="642" w:type="dxa"/>
                  <w:vAlign w:val="center"/>
                </w:tcPr>
                <w:p w14:paraId="1D2F786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0</w:t>
                  </w:r>
                </w:p>
              </w:tc>
              <w:tc>
                <w:tcPr>
                  <w:tcW w:w="780" w:type="dxa"/>
                  <w:vAlign w:val="center"/>
                </w:tcPr>
                <w:p w14:paraId="4E27661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有组织</w:t>
                  </w:r>
                </w:p>
              </w:tc>
              <w:tc>
                <w:tcPr>
                  <w:tcW w:w="825" w:type="dxa"/>
                  <w:vAlign w:val="center"/>
                </w:tcPr>
                <w:p w14:paraId="7D4B99F3">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0.0016</w:t>
                  </w:r>
                </w:p>
              </w:tc>
              <w:tc>
                <w:tcPr>
                  <w:tcW w:w="825" w:type="dxa"/>
                  <w:vAlign w:val="center"/>
                </w:tcPr>
                <w:p w14:paraId="681D233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0.000</w:t>
                  </w:r>
                  <w:r>
                    <w:rPr>
                      <w:rFonts w:hint="default" w:ascii="Times New Roman" w:hAnsi="Times New Roman" w:cs="Times New Roman"/>
                      <w:b w:val="0"/>
                      <w:color w:val="auto"/>
                      <w:sz w:val="21"/>
                      <w:szCs w:val="21"/>
                      <w:highlight w:val="none"/>
                      <w:lang w:val="en-US" w:eastAsia="zh-CN"/>
                    </w:rPr>
                    <w:t>6</w:t>
                  </w:r>
                  <w:r>
                    <w:rPr>
                      <w:rFonts w:hint="default" w:ascii="Times New Roman" w:hAnsi="Times New Roman" w:eastAsia="宋体" w:cs="Times New Roman"/>
                      <w:b w:val="0"/>
                      <w:color w:val="auto"/>
                      <w:sz w:val="21"/>
                      <w:szCs w:val="21"/>
                      <w:highlight w:val="none"/>
                    </w:rPr>
                    <w:t>7</w:t>
                  </w:r>
                </w:p>
              </w:tc>
              <w:tc>
                <w:tcPr>
                  <w:tcW w:w="713" w:type="dxa"/>
                  <w:vAlign w:val="center"/>
                </w:tcPr>
                <w:p w14:paraId="46EDE5E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0.07</w:t>
                  </w:r>
                </w:p>
              </w:tc>
            </w:tr>
            <w:tr w14:paraId="0D02AEA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continue"/>
                  <w:vAlign w:val="center"/>
                </w:tcPr>
                <w:p w14:paraId="6B8B91A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99" w:type="dxa"/>
                  <w:vAlign w:val="center"/>
                </w:tcPr>
                <w:p w14:paraId="16AC162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NOₓ</w:t>
                  </w:r>
                </w:p>
              </w:tc>
              <w:tc>
                <w:tcPr>
                  <w:tcW w:w="675" w:type="dxa"/>
                  <w:vAlign w:val="center"/>
                </w:tcPr>
                <w:p w14:paraId="7C20253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0.</w:t>
                  </w:r>
                  <w:r>
                    <w:rPr>
                      <w:rFonts w:hint="default" w:ascii="Times New Roman" w:hAnsi="Times New Roman" w:cs="Times New Roman"/>
                      <w:b w:val="0"/>
                      <w:color w:val="auto"/>
                      <w:sz w:val="21"/>
                      <w:szCs w:val="21"/>
                      <w:highlight w:val="none"/>
                      <w:lang w:val="en-US" w:eastAsia="zh-CN"/>
                    </w:rPr>
                    <w:t>0748</w:t>
                  </w:r>
                </w:p>
              </w:tc>
              <w:tc>
                <w:tcPr>
                  <w:tcW w:w="1953" w:type="dxa"/>
                  <w:vAlign w:val="center"/>
                </w:tcPr>
                <w:p w14:paraId="636825D2">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低氮燃烧，天然气炉直接加热，燃烧废气与固化/烘干有机废气合并，经干式过滤+二级活性炭吸附+15m排气筒DA003排放</w:t>
                  </w:r>
                </w:p>
              </w:tc>
              <w:tc>
                <w:tcPr>
                  <w:tcW w:w="600" w:type="dxa"/>
                  <w:vAlign w:val="center"/>
                </w:tcPr>
                <w:p w14:paraId="4FB5DDF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100%</w:t>
                  </w:r>
                </w:p>
              </w:tc>
              <w:tc>
                <w:tcPr>
                  <w:tcW w:w="642" w:type="dxa"/>
                  <w:vAlign w:val="center"/>
                </w:tcPr>
                <w:p w14:paraId="3EEE811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b w:val="0"/>
                      <w:color w:val="auto"/>
                      <w:sz w:val="21"/>
                      <w:szCs w:val="21"/>
                      <w:highlight w:val="none"/>
                      <w:lang w:val="en-US" w:eastAsia="zh-CN"/>
                    </w:rPr>
                    <w:t>0</w:t>
                  </w:r>
                </w:p>
              </w:tc>
              <w:tc>
                <w:tcPr>
                  <w:tcW w:w="780" w:type="dxa"/>
                  <w:vAlign w:val="center"/>
                </w:tcPr>
                <w:p w14:paraId="18E9DCE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有组织</w:t>
                  </w:r>
                </w:p>
              </w:tc>
              <w:tc>
                <w:tcPr>
                  <w:tcW w:w="825" w:type="dxa"/>
                  <w:vAlign w:val="center"/>
                </w:tcPr>
                <w:p w14:paraId="3A2C86DC">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w:t>
                  </w:r>
                  <w:r>
                    <w:rPr>
                      <w:rFonts w:hint="default" w:ascii="Times New Roman" w:hAnsi="Times New Roman" w:cs="Times New Roman"/>
                      <w:b w:val="0"/>
                      <w:color w:val="auto"/>
                      <w:sz w:val="21"/>
                      <w:szCs w:val="21"/>
                      <w:highlight w:val="none"/>
                      <w:lang w:val="en-US" w:eastAsia="zh-CN"/>
                    </w:rPr>
                    <w:t>0748</w:t>
                  </w:r>
                </w:p>
              </w:tc>
              <w:tc>
                <w:tcPr>
                  <w:tcW w:w="825" w:type="dxa"/>
                  <w:vAlign w:val="center"/>
                </w:tcPr>
                <w:p w14:paraId="17CF41D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0.0</w:t>
                  </w:r>
                  <w:r>
                    <w:rPr>
                      <w:rFonts w:hint="default" w:ascii="Times New Roman" w:hAnsi="Times New Roman" w:cs="Times New Roman"/>
                      <w:b w:val="0"/>
                      <w:color w:val="auto"/>
                      <w:sz w:val="21"/>
                      <w:szCs w:val="21"/>
                      <w:highlight w:val="none"/>
                      <w:lang w:val="en-US" w:eastAsia="zh-CN"/>
                    </w:rPr>
                    <w:t>3117</w:t>
                  </w:r>
                </w:p>
              </w:tc>
              <w:tc>
                <w:tcPr>
                  <w:tcW w:w="713" w:type="dxa"/>
                  <w:vAlign w:val="center"/>
                </w:tcPr>
                <w:p w14:paraId="4AE595F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 w:val="0"/>
                      <w:color w:val="auto"/>
                      <w:sz w:val="21"/>
                      <w:szCs w:val="21"/>
                      <w:highlight w:val="none"/>
                      <w:lang w:val="en-US" w:eastAsia="zh-CN"/>
                    </w:rPr>
                    <w:t>3.12</w:t>
                  </w:r>
                </w:p>
              </w:tc>
            </w:tr>
            <w:tr w14:paraId="32222D9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Align w:val="center"/>
                </w:tcPr>
                <w:p w14:paraId="4EB3A64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电泳及电泳烘干</w:t>
                  </w:r>
                </w:p>
              </w:tc>
              <w:tc>
                <w:tcPr>
                  <w:tcW w:w="699" w:type="dxa"/>
                  <w:vAlign w:val="center"/>
                </w:tcPr>
                <w:p w14:paraId="5F05F49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非甲烷总烃</w:t>
                  </w:r>
                </w:p>
              </w:tc>
              <w:tc>
                <w:tcPr>
                  <w:tcW w:w="675" w:type="dxa"/>
                  <w:vAlign w:val="center"/>
                </w:tcPr>
                <w:p w14:paraId="3470395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0.161</w:t>
                  </w:r>
                </w:p>
              </w:tc>
              <w:tc>
                <w:tcPr>
                  <w:tcW w:w="1953" w:type="dxa"/>
                  <w:vAlign w:val="center"/>
                </w:tcPr>
                <w:p w14:paraId="02B5065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密闭负压收集+干式过滤+二级活性炭+15m排气筒DA003</w:t>
                  </w:r>
                </w:p>
              </w:tc>
              <w:tc>
                <w:tcPr>
                  <w:tcW w:w="600" w:type="dxa"/>
                  <w:vAlign w:val="center"/>
                </w:tcPr>
                <w:p w14:paraId="317D63C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80%</w:t>
                  </w:r>
                </w:p>
              </w:tc>
              <w:tc>
                <w:tcPr>
                  <w:tcW w:w="642" w:type="dxa"/>
                  <w:vAlign w:val="center"/>
                </w:tcPr>
                <w:p w14:paraId="67D96B0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r>
                    <w:rPr>
                      <w:rFonts w:hint="eastAsia" w:ascii="Times New Roman" w:hAnsi="Times New Roman" w:cs="Times New Roman"/>
                      <w:color w:val="auto"/>
                      <w:sz w:val="21"/>
                      <w:szCs w:val="21"/>
                      <w:highlight w:val="none"/>
                      <w:lang w:val="en-US" w:eastAsia="zh-CN"/>
                    </w:rPr>
                    <w:t>36</w:t>
                  </w:r>
                  <w:r>
                    <w:rPr>
                      <w:rFonts w:hint="default" w:ascii="Times New Roman" w:hAnsi="Times New Roman" w:eastAsia="宋体" w:cs="Times New Roman"/>
                      <w:color w:val="auto"/>
                      <w:sz w:val="21"/>
                      <w:szCs w:val="21"/>
                      <w:highlight w:val="none"/>
                    </w:rPr>
                    <w:t>%</w:t>
                  </w:r>
                </w:p>
              </w:tc>
              <w:tc>
                <w:tcPr>
                  <w:tcW w:w="780" w:type="dxa"/>
                  <w:vAlign w:val="center"/>
                </w:tcPr>
                <w:p w14:paraId="1843655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825" w:type="dxa"/>
                  <w:vAlign w:val="center"/>
                </w:tcPr>
                <w:p w14:paraId="390E985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0.0824</w:t>
                  </w:r>
                </w:p>
              </w:tc>
              <w:tc>
                <w:tcPr>
                  <w:tcW w:w="825" w:type="dxa"/>
                  <w:vAlign w:val="center"/>
                </w:tcPr>
                <w:p w14:paraId="2045345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0.0343</w:t>
                  </w:r>
                </w:p>
              </w:tc>
              <w:tc>
                <w:tcPr>
                  <w:tcW w:w="713" w:type="dxa"/>
                  <w:vAlign w:val="center"/>
                </w:tcPr>
                <w:p w14:paraId="767D48F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3.43</w:t>
                  </w:r>
                </w:p>
              </w:tc>
            </w:tr>
            <w:tr w14:paraId="1AF493B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Align w:val="center"/>
                </w:tcPr>
                <w:p w14:paraId="5D071E2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99" w:type="dxa"/>
                  <w:vAlign w:val="center"/>
                </w:tcPr>
                <w:p w14:paraId="1C4D27C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p>
              </w:tc>
              <w:tc>
                <w:tcPr>
                  <w:tcW w:w="675" w:type="dxa"/>
                  <w:vAlign w:val="center"/>
                </w:tcPr>
                <w:p w14:paraId="66D10B0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p>
              </w:tc>
              <w:tc>
                <w:tcPr>
                  <w:tcW w:w="1953" w:type="dxa"/>
                  <w:vAlign w:val="center"/>
                </w:tcPr>
                <w:p w14:paraId="598AE97A">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color w:val="auto"/>
                      <w:sz w:val="21"/>
                      <w:szCs w:val="21"/>
                      <w:highlight w:val="none"/>
                    </w:rPr>
                  </w:pPr>
                </w:p>
              </w:tc>
              <w:tc>
                <w:tcPr>
                  <w:tcW w:w="600" w:type="dxa"/>
                  <w:vAlign w:val="center"/>
                </w:tcPr>
                <w:p w14:paraId="71572AF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p>
              </w:tc>
              <w:tc>
                <w:tcPr>
                  <w:tcW w:w="642" w:type="dxa"/>
                  <w:vAlign w:val="center"/>
                </w:tcPr>
                <w:p w14:paraId="0BD041C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p>
              </w:tc>
              <w:tc>
                <w:tcPr>
                  <w:tcW w:w="780" w:type="dxa"/>
                  <w:vAlign w:val="center"/>
                </w:tcPr>
                <w:p w14:paraId="2E0A73D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无组织</w:t>
                  </w:r>
                </w:p>
              </w:tc>
              <w:tc>
                <w:tcPr>
                  <w:tcW w:w="825" w:type="dxa"/>
                  <w:vAlign w:val="center"/>
                </w:tcPr>
                <w:p w14:paraId="481FB23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0.0322</w:t>
                  </w:r>
                </w:p>
              </w:tc>
              <w:tc>
                <w:tcPr>
                  <w:tcW w:w="825" w:type="dxa"/>
                  <w:vAlign w:val="center"/>
                </w:tcPr>
                <w:p w14:paraId="19EB3DD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0.0134</w:t>
                  </w:r>
                </w:p>
              </w:tc>
              <w:tc>
                <w:tcPr>
                  <w:tcW w:w="713" w:type="dxa"/>
                  <w:vAlign w:val="center"/>
                </w:tcPr>
                <w:p w14:paraId="7B087FB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w:t>
                  </w:r>
                </w:p>
              </w:tc>
            </w:tr>
            <w:tr w14:paraId="222AA59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restart"/>
                  <w:vAlign w:val="center"/>
                </w:tcPr>
                <w:p w14:paraId="3677AC0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合计</w:t>
                  </w:r>
                </w:p>
              </w:tc>
              <w:tc>
                <w:tcPr>
                  <w:tcW w:w="699" w:type="dxa"/>
                  <w:vAlign w:val="center"/>
                </w:tcPr>
                <w:p w14:paraId="6B9B85E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颗粒物</w:t>
                  </w:r>
                </w:p>
              </w:tc>
              <w:tc>
                <w:tcPr>
                  <w:tcW w:w="675" w:type="dxa"/>
                  <w:vAlign w:val="center"/>
                </w:tcPr>
                <w:p w14:paraId="1870F32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17.87</w:t>
                  </w:r>
                </w:p>
              </w:tc>
              <w:tc>
                <w:tcPr>
                  <w:tcW w:w="1953" w:type="dxa"/>
                  <w:vAlign w:val="center"/>
                </w:tcPr>
                <w:p w14:paraId="494E5C2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600" w:type="dxa"/>
                  <w:vAlign w:val="center"/>
                </w:tcPr>
                <w:p w14:paraId="483059E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642" w:type="dxa"/>
                  <w:vAlign w:val="center"/>
                </w:tcPr>
                <w:p w14:paraId="4860B1A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780" w:type="dxa"/>
                  <w:vAlign w:val="center"/>
                </w:tcPr>
                <w:p w14:paraId="15E1F8D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有组织+无组织</w:t>
                  </w:r>
                </w:p>
              </w:tc>
              <w:tc>
                <w:tcPr>
                  <w:tcW w:w="825" w:type="dxa"/>
                  <w:vAlign w:val="center"/>
                </w:tcPr>
                <w:p w14:paraId="651FE374">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1.033</w:t>
                  </w:r>
                </w:p>
              </w:tc>
              <w:tc>
                <w:tcPr>
                  <w:tcW w:w="825" w:type="dxa"/>
                  <w:vAlign w:val="center"/>
                </w:tcPr>
                <w:p w14:paraId="644D73E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713" w:type="dxa"/>
                  <w:vAlign w:val="center"/>
                </w:tcPr>
                <w:p w14:paraId="5A4763E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r>
            <w:tr w14:paraId="48AB859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continue"/>
                  <w:vAlign w:val="center"/>
                </w:tcPr>
                <w:p w14:paraId="6BFF291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99" w:type="dxa"/>
                  <w:vAlign w:val="center"/>
                </w:tcPr>
                <w:p w14:paraId="3CEF251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非甲烷总烃</w:t>
                  </w:r>
                </w:p>
              </w:tc>
              <w:tc>
                <w:tcPr>
                  <w:tcW w:w="675" w:type="dxa"/>
                  <w:vAlign w:val="center"/>
                </w:tcPr>
                <w:p w14:paraId="1CA9EF5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0.910</w:t>
                  </w:r>
                </w:p>
              </w:tc>
              <w:tc>
                <w:tcPr>
                  <w:tcW w:w="1953" w:type="dxa"/>
                  <w:vAlign w:val="center"/>
                </w:tcPr>
                <w:p w14:paraId="355329F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600" w:type="dxa"/>
                  <w:vAlign w:val="center"/>
                </w:tcPr>
                <w:p w14:paraId="05C067F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642" w:type="dxa"/>
                  <w:vAlign w:val="center"/>
                </w:tcPr>
                <w:p w14:paraId="2C91B44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780" w:type="dxa"/>
                  <w:vAlign w:val="center"/>
                </w:tcPr>
                <w:p w14:paraId="373F9EC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有组织+无组织</w:t>
                  </w:r>
                </w:p>
              </w:tc>
              <w:tc>
                <w:tcPr>
                  <w:tcW w:w="825" w:type="dxa"/>
                  <w:vAlign w:val="center"/>
                </w:tcPr>
                <w:p w14:paraId="3F97A147">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0.648</w:t>
                  </w:r>
                </w:p>
              </w:tc>
              <w:tc>
                <w:tcPr>
                  <w:tcW w:w="825" w:type="dxa"/>
                  <w:vAlign w:val="center"/>
                </w:tcPr>
                <w:p w14:paraId="04C34C3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713" w:type="dxa"/>
                  <w:vAlign w:val="center"/>
                </w:tcPr>
                <w:p w14:paraId="569635A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r>
            <w:tr w14:paraId="2EC19BE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continue"/>
                  <w:vAlign w:val="center"/>
                </w:tcPr>
                <w:p w14:paraId="7AF3C11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99" w:type="dxa"/>
                  <w:vAlign w:val="center"/>
                </w:tcPr>
                <w:p w14:paraId="098E0A9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SO₂</w:t>
                  </w:r>
                </w:p>
              </w:tc>
              <w:tc>
                <w:tcPr>
                  <w:tcW w:w="675" w:type="dxa"/>
                  <w:vAlign w:val="center"/>
                </w:tcPr>
                <w:p w14:paraId="680E8EC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0.0016</w:t>
                  </w:r>
                </w:p>
              </w:tc>
              <w:tc>
                <w:tcPr>
                  <w:tcW w:w="1953" w:type="dxa"/>
                  <w:vAlign w:val="center"/>
                </w:tcPr>
                <w:p w14:paraId="67743FF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600" w:type="dxa"/>
                  <w:vAlign w:val="center"/>
                </w:tcPr>
                <w:p w14:paraId="7D03FED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642" w:type="dxa"/>
                  <w:vAlign w:val="center"/>
                </w:tcPr>
                <w:p w14:paraId="7D9D8AE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780" w:type="dxa"/>
                  <w:vAlign w:val="center"/>
                </w:tcPr>
                <w:p w14:paraId="6DA8C5E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有组织</w:t>
                  </w:r>
                </w:p>
              </w:tc>
              <w:tc>
                <w:tcPr>
                  <w:tcW w:w="825" w:type="dxa"/>
                  <w:vAlign w:val="center"/>
                </w:tcPr>
                <w:p w14:paraId="35D9E39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0.0016</w:t>
                  </w:r>
                </w:p>
              </w:tc>
              <w:tc>
                <w:tcPr>
                  <w:tcW w:w="825" w:type="dxa"/>
                  <w:vAlign w:val="center"/>
                </w:tcPr>
                <w:p w14:paraId="21E6B17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713" w:type="dxa"/>
                  <w:vAlign w:val="center"/>
                </w:tcPr>
                <w:p w14:paraId="1352E2B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r>
            <w:tr w14:paraId="46078AB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45" w:type="dxa"/>
                  <w:vMerge w:val="continue"/>
                  <w:vAlign w:val="center"/>
                </w:tcPr>
                <w:p w14:paraId="167A683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699" w:type="dxa"/>
                  <w:vAlign w:val="center"/>
                </w:tcPr>
                <w:p w14:paraId="7E42C19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NOₓ</w:t>
                  </w:r>
                </w:p>
              </w:tc>
              <w:tc>
                <w:tcPr>
                  <w:tcW w:w="675" w:type="dxa"/>
                  <w:vAlign w:val="center"/>
                </w:tcPr>
                <w:p w14:paraId="22B27E6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w:t>
                  </w:r>
                  <w:r>
                    <w:rPr>
                      <w:rFonts w:hint="default" w:ascii="Times New Roman" w:hAnsi="Times New Roman" w:cs="Times New Roman"/>
                      <w:b w:val="0"/>
                      <w:color w:val="auto"/>
                      <w:sz w:val="21"/>
                      <w:szCs w:val="21"/>
                      <w:highlight w:val="none"/>
                      <w:lang w:val="en-US" w:eastAsia="zh-CN"/>
                    </w:rPr>
                    <w:t>0748</w:t>
                  </w:r>
                </w:p>
              </w:tc>
              <w:tc>
                <w:tcPr>
                  <w:tcW w:w="1953" w:type="dxa"/>
                  <w:vAlign w:val="center"/>
                </w:tcPr>
                <w:p w14:paraId="704EEFC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600" w:type="dxa"/>
                  <w:vAlign w:val="center"/>
                </w:tcPr>
                <w:p w14:paraId="3E2AA75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642" w:type="dxa"/>
                  <w:vAlign w:val="center"/>
                </w:tcPr>
                <w:p w14:paraId="3AA135E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780" w:type="dxa"/>
                  <w:vAlign w:val="center"/>
                </w:tcPr>
                <w:p w14:paraId="2D80534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有组织</w:t>
                  </w:r>
                </w:p>
              </w:tc>
              <w:tc>
                <w:tcPr>
                  <w:tcW w:w="825" w:type="dxa"/>
                  <w:vAlign w:val="center"/>
                </w:tcPr>
                <w:p w14:paraId="4A2AA16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0.</w:t>
                  </w:r>
                  <w:r>
                    <w:rPr>
                      <w:rFonts w:hint="default" w:ascii="Times New Roman" w:hAnsi="Times New Roman" w:cs="Times New Roman"/>
                      <w:b w:val="0"/>
                      <w:color w:val="auto"/>
                      <w:sz w:val="21"/>
                      <w:szCs w:val="21"/>
                      <w:highlight w:val="none"/>
                      <w:lang w:val="en-US" w:eastAsia="zh-CN"/>
                    </w:rPr>
                    <w:t>0748</w:t>
                  </w:r>
                </w:p>
              </w:tc>
              <w:tc>
                <w:tcPr>
                  <w:tcW w:w="825" w:type="dxa"/>
                  <w:vAlign w:val="center"/>
                </w:tcPr>
                <w:p w14:paraId="5539688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713" w:type="dxa"/>
                  <w:vAlign w:val="center"/>
                </w:tcPr>
                <w:p w14:paraId="16EA90B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r>
          </w:tbl>
          <w:p w14:paraId="439694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b/>
                <w:bCs/>
                <w:color w:val="auto"/>
                <w:kern w:val="0"/>
                <w:sz w:val="24"/>
                <w:szCs w:val="24"/>
                <w:highlight w:val="none"/>
                <w:lang w:val="en-US" w:eastAsia="zh-CN" w:bidi="ar"/>
              </w:rPr>
              <w:t>2.</w:t>
            </w:r>
            <w:r>
              <w:rPr>
                <w:rFonts w:hint="default" w:ascii="Times New Roman" w:hAnsi="Times New Roman" w:eastAsia="宋体" w:cs="Times New Roman"/>
                <w:b/>
                <w:color w:val="auto"/>
                <w:sz w:val="24"/>
                <w:highlight w:val="none"/>
              </w:rPr>
              <w:t>废气治理措施及排放口设置</w:t>
            </w:r>
          </w:p>
          <w:p w14:paraId="21C8C37C">
            <w:pPr>
              <w:keepNext w:val="0"/>
              <w:keepLines w:val="0"/>
              <w:suppressLineNumbers w:val="0"/>
              <w:spacing w:before="120" w:beforeAutospacing="0" w:after="80" w:afterAutospacing="0" w:line="240" w:lineRule="auto"/>
              <w:ind w:left="0" w:right="0"/>
              <w:jc w:val="center"/>
              <w:rPr>
                <w:rFonts w:hint="default" w:ascii="Times New Roman" w:hAnsi="Times New Roman" w:cs="Times New Roman"/>
                <w:color w:val="auto"/>
                <w:sz w:val="24"/>
                <w:szCs w:val="24"/>
                <w:highlight w:val="none"/>
              </w:rPr>
            </w:pPr>
            <w:r>
              <w:rPr>
                <w:rFonts w:hint="default" w:ascii="Times New Roman" w:hAnsi="Times New Roman" w:eastAsia="宋体" w:cs="Times New Roman"/>
                <w:b/>
                <w:color w:val="auto"/>
                <w:sz w:val="24"/>
                <w:szCs w:val="24"/>
                <w:highlight w:val="none"/>
              </w:rPr>
              <w:t>表4-</w:t>
            </w:r>
            <w:r>
              <w:rPr>
                <w:rFonts w:hint="default" w:ascii="Times New Roman" w:hAnsi="Times New Roman"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 xml:space="preserve"> 废气治理措施及排放口设置一览表</w:t>
            </w:r>
          </w:p>
          <w:tbl>
            <w:tblPr>
              <w:tblStyle w:val="32"/>
              <w:tblW w:w="8275"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1338"/>
              <w:gridCol w:w="929"/>
              <w:gridCol w:w="1267"/>
              <w:gridCol w:w="1436"/>
              <w:gridCol w:w="1013"/>
              <w:gridCol w:w="759"/>
              <w:gridCol w:w="676"/>
            </w:tblGrid>
            <w:tr w14:paraId="3F79C4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828" w:hRule="atLeast"/>
                <w:tblHeader/>
                <w:jc w:val="center"/>
              </w:trPr>
              <w:tc>
                <w:tcPr>
                  <w:tcW w:w="857" w:type="dxa"/>
                  <w:vAlign w:val="center"/>
                </w:tcPr>
                <w:p w14:paraId="6C19B67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排放口编号</w:t>
                  </w:r>
                </w:p>
              </w:tc>
              <w:tc>
                <w:tcPr>
                  <w:tcW w:w="1338" w:type="dxa"/>
                  <w:vAlign w:val="center"/>
                </w:tcPr>
                <w:p w14:paraId="5F4F9A4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对应产污环节</w:t>
                  </w:r>
                </w:p>
              </w:tc>
              <w:tc>
                <w:tcPr>
                  <w:tcW w:w="929" w:type="dxa"/>
                  <w:vAlign w:val="center"/>
                </w:tcPr>
                <w:p w14:paraId="06A07EB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污染物</w:t>
                  </w:r>
                </w:p>
              </w:tc>
              <w:tc>
                <w:tcPr>
                  <w:tcW w:w="1267" w:type="dxa"/>
                  <w:vAlign w:val="center"/>
                </w:tcPr>
                <w:p w14:paraId="1D3457A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收集方式</w:t>
                  </w:r>
                </w:p>
              </w:tc>
              <w:tc>
                <w:tcPr>
                  <w:tcW w:w="1436" w:type="dxa"/>
                  <w:vAlign w:val="center"/>
                </w:tcPr>
                <w:p w14:paraId="39EF55C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治理措施</w:t>
                  </w:r>
                </w:p>
              </w:tc>
              <w:tc>
                <w:tcPr>
                  <w:tcW w:w="1013" w:type="dxa"/>
                  <w:vAlign w:val="center"/>
                </w:tcPr>
                <w:p w14:paraId="7A05611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排气筒参数</w:t>
                  </w:r>
                </w:p>
              </w:tc>
              <w:tc>
                <w:tcPr>
                  <w:tcW w:w="759" w:type="dxa"/>
                  <w:vAlign w:val="center"/>
                </w:tcPr>
                <w:p w14:paraId="61026FC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风量</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m³/h</w:t>
                  </w:r>
                  <w:r>
                    <w:rPr>
                      <w:rFonts w:hint="eastAsia" w:cs="Times New Roman"/>
                      <w:b/>
                      <w:color w:val="auto"/>
                      <w:sz w:val="21"/>
                      <w:szCs w:val="21"/>
                      <w:highlight w:val="none"/>
                      <w:lang w:eastAsia="zh-CN"/>
                    </w:rPr>
                    <w:t>）</w:t>
                  </w:r>
                </w:p>
              </w:tc>
              <w:tc>
                <w:tcPr>
                  <w:tcW w:w="676" w:type="dxa"/>
                  <w:vAlign w:val="center"/>
                </w:tcPr>
                <w:p w14:paraId="5D3C932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运行时间</w:t>
                  </w:r>
                </w:p>
              </w:tc>
            </w:tr>
            <w:tr w14:paraId="6F2C3CD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037" w:hRule="atLeast"/>
                <w:jc w:val="center"/>
              </w:trPr>
              <w:tc>
                <w:tcPr>
                  <w:tcW w:w="857" w:type="dxa"/>
                  <w:vAlign w:val="center"/>
                </w:tcPr>
                <w:p w14:paraId="596C879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DA001</w:t>
                  </w:r>
                </w:p>
              </w:tc>
              <w:tc>
                <w:tcPr>
                  <w:tcW w:w="1338" w:type="dxa"/>
                  <w:vAlign w:val="center"/>
                </w:tcPr>
                <w:p w14:paraId="102C363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抛丸预处理</w:t>
                  </w:r>
                </w:p>
              </w:tc>
              <w:tc>
                <w:tcPr>
                  <w:tcW w:w="929" w:type="dxa"/>
                  <w:vAlign w:val="center"/>
                </w:tcPr>
                <w:p w14:paraId="49476C8B">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颗粒物</w:t>
                  </w:r>
                </w:p>
              </w:tc>
              <w:tc>
                <w:tcPr>
                  <w:tcW w:w="1267" w:type="dxa"/>
                  <w:vAlign w:val="center"/>
                </w:tcPr>
                <w:p w14:paraId="2EBD9DD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抛丸机全密闭负压收集</w:t>
                  </w:r>
                </w:p>
              </w:tc>
              <w:tc>
                <w:tcPr>
                  <w:tcW w:w="1436" w:type="dxa"/>
                  <w:vAlign w:val="center"/>
                </w:tcPr>
                <w:p w14:paraId="36DA0FA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脉冲布袋除尘器（效率≥99%）</w:t>
                  </w:r>
                </w:p>
              </w:tc>
              <w:tc>
                <w:tcPr>
                  <w:tcW w:w="1013" w:type="dxa"/>
                  <w:vAlign w:val="center"/>
                </w:tcPr>
                <w:p w14:paraId="50C33E5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15m高，出口内径0.4m</w:t>
                  </w:r>
                </w:p>
              </w:tc>
              <w:tc>
                <w:tcPr>
                  <w:tcW w:w="759" w:type="dxa"/>
                  <w:vAlign w:val="center"/>
                </w:tcPr>
                <w:p w14:paraId="03AEA50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6000</w:t>
                  </w:r>
                </w:p>
              </w:tc>
              <w:tc>
                <w:tcPr>
                  <w:tcW w:w="676" w:type="dxa"/>
                  <w:vAlign w:val="center"/>
                </w:tcPr>
                <w:p w14:paraId="56D5F86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2400h/a</w:t>
                  </w:r>
                </w:p>
              </w:tc>
            </w:tr>
            <w:tr w14:paraId="71F1804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51" w:hRule="atLeast"/>
                <w:jc w:val="center"/>
              </w:trPr>
              <w:tc>
                <w:tcPr>
                  <w:tcW w:w="857" w:type="dxa"/>
                  <w:vAlign w:val="center"/>
                </w:tcPr>
                <w:p w14:paraId="214E8AE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DA002</w:t>
                  </w:r>
                </w:p>
              </w:tc>
              <w:tc>
                <w:tcPr>
                  <w:tcW w:w="1338" w:type="dxa"/>
                  <w:vAlign w:val="center"/>
                </w:tcPr>
                <w:p w14:paraId="62CDD269">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静电粉末喷涂</w:t>
                  </w:r>
                </w:p>
              </w:tc>
              <w:tc>
                <w:tcPr>
                  <w:tcW w:w="929" w:type="dxa"/>
                  <w:vAlign w:val="center"/>
                </w:tcPr>
                <w:p w14:paraId="1CE63500">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颗粒物</w:t>
                  </w:r>
                </w:p>
              </w:tc>
              <w:tc>
                <w:tcPr>
                  <w:tcW w:w="1267" w:type="dxa"/>
                  <w:vAlign w:val="center"/>
                </w:tcPr>
                <w:p w14:paraId="3D0907FE">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密闭喷粉房收集</w:t>
                  </w:r>
                </w:p>
              </w:tc>
              <w:tc>
                <w:tcPr>
                  <w:tcW w:w="1436" w:type="dxa"/>
                  <w:vAlign w:val="center"/>
                </w:tcPr>
                <w:p w14:paraId="2200BD32">
                  <w:pPr>
                    <w:keepNext w:val="0"/>
                    <w:keepLines w:val="0"/>
                    <w:suppressLineNumbers w:val="0"/>
                    <w:spacing w:before="40" w:beforeAutospacing="0" w:after="40" w:afterAutospacing="0" w:line="240" w:lineRule="auto"/>
                    <w:ind w:left="0" w:leftChars="0" w:right="0" w:rightChars="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旋风除尘器+滤筒除尘器（效率≥99%），回收粉末回用</w:t>
                  </w:r>
                </w:p>
              </w:tc>
              <w:tc>
                <w:tcPr>
                  <w:tcW w:w="1013" w:type="dxa"/>
                  <w:vAlign w:val="center"/>
                </w:tcPr>
                <w:p w14:paraId="62B8606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15m高，出口内径0.5m</w:t>
                  </w:r>
                </w:p>
              </w:tc>
              <w:tc>
                <w:tcPr>
                  <w:tcW w:w="759" w:type="dxa"/>
                  <w:vAlign w:val="center"/>
                </w:tcPr>
                <w:p w14:paraId="7C373A4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8000</w:t>
                  </w:r>
                </w:p>
              </w:tc>
              <w:tc>
                <w:tcPr>
                  <w:tcW w:w="676" w:type="dxa"/>
                  <w:vAlign w:val="center"/>
                </w:tcPr>
                <w:p w14:paraId="510E956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2400h/a</w:t>
                  </w:r>
                </w:p>
              </w:tc>
            </w:tr>
            <w:tr w14:paraId="65A8ACE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468" w:hRule="atLeast"/>
                <w:jc w:val="center"/>
              </w:trPr>
              <w:tc>
                <w:tcPr>
                  <w:tcW w:w="857" w:type="dxa"/>
                  <w:vAlign w:val="center"/>
                </w:tcPr>
                <w:p w14:paraId="4248DC9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DA003</w:t>
                  </w:r>
                </w:p>
              </w:tc>
              <w:tc>
                <w:tcPr>
                  <w:tcW w:w="1338" w:type="dxa"/>
                  <w:vAlign w:val="center"/>
                </w:tcPr>
                <w:p w14:paraId="6B319B99">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粉末固化、水性漆喷涂流平烘干、天然气燃烧（及远期电泳烘干）</w:t>
                  </w:r>
                </w:p>
              </w:tc>
              <w:tc>
                <w:tcPr>
                  <w:tcW w:w="929" w:type="dxa"/>
                  <w:vAlign w:val="center"/>
                </w:tcPr>
                <w:p w14:paraId="7D6F61A5">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非甲烷总烃、颗粒物（漆雾及燃烧）、SO₂、NOₓ</w:t>
                  </w:r>
                </w:p>
              </w:tc>
              <w:tc>
                <w:tcPr>
                  <w:tcW w:w="1267" w:type="dxa"/>
                  <w:vAlign w:val="center"/>
                </w:tcPr>
                <w:p w14:paraId="62A4FFD6">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固化烘道及喷涂房密闭负压收集</w:t>
                  </w:r>
                </w:p>
              </w:tc>
              <w:tc>
                <w:tcPr>
                  <w:tcW w:w="1436" w:type="dxa"/>
                  <w:vAlign w:val="center"/>
                </w:tcPr>
                <w:p w14:paraId="5989C0B2">
                  <w:pPr>
                    <w:keepNext w:val="0"/>
                    <w:keepLines w:val="0"/>
                    <w:suppressLineNumbers w:val="0"/>
                    <w:spacing w:before="40" w:beforeAutospacing="0" w:after="40" w:afterAutospacing="0" w:line="240" w:lineRule="auto"/>
                    <w:ind w:left="0" w:leftChars="0" w:right="0" w:rightChars="0" w:firstLine="0" w:firstLineChars="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lang w:val="en-US" w:eastAsia="zh-CN"/>
                    </w:rPr>
                    <w:t>干式纸盒+干式过滤+二级活性炭吸附（VOCs效率≥36%）</w:t>
                  </w:r>
                </w:p>
              </w:tc>
              <w:tc>
                <w:tcPr>
                  <w:tcW w:w="1013" w:type="dxa"/>
                  <w:vAlign w:val="center"/>
                </w:tcPr>
                <w:p w14:paraId="740332D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15m高，出口内径0.6m</w:t>
                  </w:r>
                </w:p>
              </w:tc>
              <w:tc>
                <w:tcPr>
                  <w:tcW w:w="759" w:type="dxa"/>
                  <w:vAlign w:val="center"/>
                </w:tcPr>
                <w:p w14:paraId="76D2BCA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10000</w:t>
                  </w:r>
                </w:p>
              </w:tc>
              <w:tc>
                <w:tcPr>
                  <w:tcW w:w="676" w:type="dxa"/>
                  <w:vAlign w:val="center"/>
                </w:tcPr>
                <w:p w14:paraId="63E064B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2400h/a</w:t>
                  </w:r>
                </w:p>
              </w:tc>
            </w:tr>
          </w:tbl>
          <w:p w14:paraId="434971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cs="Times New Roman"/>
                <w:color w:val="auto"/>
                <w:highlight w:val="none"/>
              </w:rPr>
            </w:pPr>
            <w:r>
              <w:rPr>
                <w:rFonts w:hint="default" w:ascii="Times New Roman" w:hAnsi="Times New Roman" w:eastAsia="宋体" w:cs="Times New Roman"/>
                <w:b/>
                <w:color w:val="auto"/>
                <w:sz w:val="24"/>
                <w:highlight w:val="none"/>
                <w:lang w:val="en-US" w:eastAsia="zh-CN"/>
              </w:rPr>
              <w:t>3.</w:t>
            </w:r>
            <w:r>
              <w:rPr>
                <w:rFonts w:hint="default" w:ascii="Times New Roman" w:hAnsi="Times New Roman" w:eastAsia="宋体" w:cs="Times New Roman"/>
                <w:b/>
                <w:color w:val="auto"/>
                <w:sz w:val="24"/>
                <w:highlight w:val="none"/>
              </w:rPr>
              <w:t>废气达标排放分析</w:t>
            </w:r>
          </w:p>
          <w:p w14:paraId="7A8996B5">
            <w:pPr>
              <w:keepNext w:val="0"/>
              <w:keepLines w:val="0"/>
              <w:suppressLineNumbers w:val="0"/>
              <w:spacing w:before="120" w:beforeAutospacing="0" w:after="80" w:afterAutospacing="0" w:line="240" w:lineRule="auto"/>
              <w:ind w:left="0" w:right="0"/>
              <w:jc w:val="center"/>
              <w:rPr>
                <w:rFonts w:hint="default" w:ascii="Times New Roman" w:hAnsi="Times New Roman" w:cs="Times New Roman"/>
                <w:color w:val="auto"/>
                <w:sz w:val="24"/>
                <w:szCs w:val="24"/>
                <w:highlight w:val="none"/>
              </w:rPr>
            </w:pPr>
            <w:r>
              <w:rPr>
                <w:rFonts w:hint="default" w:ascii="Times New Roman" w:hAnsi="Times New Roman" w:eastAsia="宋体" w:cs="Times New Roman"/>
                <w:b/>
                <w:color w:val="auto"/>
                <w:sz w:val="24"/>
                <w:szCs w:val="24"/>
                <w:highlight w:val="none"/>
              </w:rPr>
              <w:t>表4-</w:t>
            </w:r>
            <w:r>
              <w:rPr>
                <w:rFonts w:hint="default" w:ascii="Times New Roman" w:hAnsi="Times New Roman" w:cs="Times New Roman"/>
                <w:b/>
                <w:color w:val="auto"/>
                <w:sz w:val="24"/>
                <w:szCs w:val="24"/>
                <w:highlight w:val="none"/>
                <w:lang w:val="en-US" w:eastAsia="zh-CN"/>
              </w:rPr>
              <w:t>3</w:t>
            </w:r>
            <w:r>
              <w:rPr>
                <w:rFonts w:hint="default" w:ascii="Times New Roman" w:hAnsi="Times New Roman" w:eastAsia="宋体" w:cs="Times New Roman"/>
                <w:b/>
                <w:color w:val="auto"/>
                <w:sz w:val="24"/>
                <w:szCs w:val="24"/>
                <w:highlight w:val="none"/>
              </w:rPr>
              <w:t xml:space="preserve">  废气有组织排放达标分析表</w:t>
            </w:r>
          </w:p>
          <w:tbl>
            <w:tblPr>
              <w:tblStyle w:val="32"/>
              <w:tblW w:w="8416"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947"/>
              <w:gridCol w:w="1157"/>
              <w:gridCol w:w="1157"/>
              <w:gridCol w:w="1157"/>
              <w:gridCol w:w="949"/>
              <w:gridCol w:w="2102"/>
              <w:gridCol w:w="947"/>
            </w:tblGrid>
            <w:tr w14:paraId="065A65D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37" w:hRule="atLeast"/>
                <w:tblHeader/>
                <w:jc w:val="center"/>
              </w:trPr>
              <w:tc>
                <w:tcPr>
                  <w:tcW w:w="947" w:type="dxa"/>
                  <w:vAlign w:val="center"/>
                </w:tcPr>
                <w:p w14:paraId="4ABBACA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排放口</w:t>
                  </w:r>
                </w:p>
              </w:tc>
              <w:tc>
                <w:tcPr>
                  <w:tcW w:w="1157" w:type="dxa"/>
                  <w:vAlign w:val="center"/>
                </w:tcPr>
                <w:p w14:paraId="7C1538E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污染物</w:t>
                  </w:r>
                </w:p>
              </w:tc>
              <w:tc>
                <w:tcPr>
                  <w:tcW w:w="1157" w:type="dxa"/>
                  <w:vAlign w:val="center"/>
                </w:tcPr>
                <w:p w14:paraId="2210950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排放速率</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kg/h</w:t>
                  </w:r>
                  <w:r>
                    <w:rPr>
                      <w:rFonts w:hint="eastAsia" w:cs="Times New Roman"/>
                      <w:b/>
                      <w:color w:val="auto"/>
                      <w:sz w:val="21"/>
                      <w:szCs w:val="21"/>
                      <w:highlight w:val="none"/>
                      <w:lang w:eastAsia="zh-CN"/>
                    </w:rPr>
                    <w:t>）</w:t>
                  </w:r>
                </w:p>
              </w:tc>
              <w:tc>
                <w:tcPr>
                  <w:tcW w:w="1157" w:type="dxa"/>
                  <w:vAlign w:val="center"/>
                </w:tcPr>
                <w:p w14:paraId="01C2070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排放浓度</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mg/m³</w:t>
                  </w:r>
                  <w:r>
                    <w:rPr>
                      <w:rFonts w:hint="eastAsia" w:cs="Times New Roman"/>
                      <w:b/>
                      <w:color w:val="auto"/>
                      <w:sz w:val="21"/>
                      <w:szCs w:val="21"/>
                      <w:highlight w:val="none"/>
                      <w:lang w:eastAsia="zh-CN"/>
                    </w:rPr>
                    <w:t>）</w:t>
                  </w:r>
                </w:p>
              </w:tc>
              <w:tc>
                <w:tcPr>
                  <w:tcW w:w="949" w:type="dxa"/>
                  <w:vAlign w:val="center"/>
                </w:tcPr>
                <w:p w14:paraId="55F2BCD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标准限值</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mg/m³</w:t>
                  </w:r>
                  <w:r>
                    <w:rPr>
                      <w:rFonts w:hint="eastAsia" w:cs="Times New Roman"/>
                      <w:b/>
                      <w:color w:val="auto"/>
                      <w:sz w:val="21"/>
                      <w:szCs w:val="21"/>
                      <w:highlight w:val="none"/>
                      <w:lang w:eastAsia="zh-CN"/>
                    </w:rPr>
                    <w:t>）</w:t>
                  </w:r>
                </w:p>
              </w:tc>
              <w:tc>
                <w:tcPr>
                  <w:tcW w:w="2102" w:type="dxa"/>
                  <w:vAlign w:val="center"/>
                </w:tcPr>
                <w:p w14:paraId="424F8D7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标准来源</w:t>
                  </w:r>
                </w:p>
              </w:tc>
              <w:tc>
                <w:tcPr>
                  <w:tcW w:w="947" w:type="dxa"/>
                  <w:vAlign w:val="center"/>
                </w:tcPr>
                <w:p w14:paraId="036A7D6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达标情况</w:t>
                  </w:r>
                </w:p>
              </w:tc>
            </w:tr>
            <w:tr w14:paraId="7FF83B3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947" w:type="dxa"/>
                  <w:vAlign w:val="center"/>
                </w:tcPr>
                <w:p w14:paraId="2550399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DA001</w:t>
                  </w:r>
                </w:p>
              </w:tc>
              <w:tc>
                <w:tcPr>
                  <w:tcW w:w="1157" w:type="dxa"/>
                  <w:vAlign w:val="center"/>
                </w:tcPr>
                <w:p w14:paraId="008B2DB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颗粒物</w:t>
                  </w:r>
                </w:p>
              </w:tc>
              <w:tc>
                <w:tcPr>
                  <w:tcW w:w="1157" w:type="dxa"/>
                  <w:vAlign w:val="center"/>
                </w:tcPr>
                <w:p w14:paraId="0FA38DFC">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0.0161</w:t>
                  </w:r>
                </w:p>
              </w:tc>
              <w:tc>
                <w:tcPr>
                  <w:tcW w:w="1157" w:type="dxa"/>
                  <w:vAlign w:val="center"/>
                </w:tcPr>
                <w:p w14:paraId="44B70EDB">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2.68</w:t>
                  </w:r>
                </w:p>
              </w:tc>
              <w:tc>
                <w:tcPr>
                  <w:tcW w:w="949" w:type="dxa"/>
                  <w:vAlign w:val="center"/>
                </w:tcPr>
                <w:p w14:paraId="2C89747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120</w:t>
                  </w:r>
                </w:p>
              </w:tc>
              <w:tc>
                <w:tcPr>
                  <w:tcW w:w="2102" w:type="dxa"/>
                  <w:vMerge w:val="restart"/>
                  <w:vAlign w:val="center"/>
                </w:tcPr>
                <w:p w14:paraId="288A8F3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8"/>
                      <w:sz w:val="21"/>
                      <w:szCs w:val="21"/>
                      <w:highlight w:val="none"/>
                    </w:rPr>
                    <w:t>《大气污染物综合排放</w:t>
                  </w:r>
                  <w:r>
                    <w:rPr>
                      <w:rFonts w:hint="default" w:ascii="Times New Roman" w:hAnsi="Times New Roman" w:cs="Times New Roman"/>
                      <w:color w:val="auto"/>
                      <w:spacing w:val="3"/>
                      <w:sz w:val="21"/>
                      <w:szCs w:val="21"/>
                      <w:highlight w:val="none"/>
                    </w:rPr>
                    <w:t>标准》</w:t>
                  </w:r>
                  <w:r>
                    <w:rPr>
                      <w:rFonts w:hint="default" w:ascii="Times New Roman" w:hAnsi="Times New Roman" w:cs="Times New Roman"/>
                      <w:color w:val="auto"/>
                      <w:spacing w:val="25"/>
                      <w:sz w:val="21"/>
                      <w:szCs w:val="21"/>
                      <w:highlight w:val="none"/>
                    </w:rPr>
                    <w:t xml:space="preserve"> </w:t>
                  </w:r>
                  <w:r>
                    <w:rPr>
                      <w:rFonts w:hint="eastAsia" w:cs="Times New Roman"/>
                      <w:color w:val="auto"/>
                      <w:spacing w:val="25"/>
                      <w:sz w:val="21"/>
                      <w:szCs w:val="21"/>
                      <w:highlight w:val="none"/>
                      <w:lang w:eastAsia="zh-CN"/>
                    </w:rPr>
                    <w:t>（</w:t>
                  </w:r>
                  <w:r>
                    <w:rPr>
                      <w:rFonts w:hint="default" w:ascii="Times New Roman" w:hAnsi="Times New Roman" w:eastAsia="Times New Roman" w:cs="Times New Roman"/>
                      <w:color w:val="auto"/>
                      <w:sz w:val="21"/>
                      <w:szCs w:val="21"/>
                      <w:highlight w:val="none"/>
                    </w:rPr>
                    <w:t>GB</w:t>
                  </w:r>
                  <w:r>
                    <w:rPr>
                      <w:rFonts w:hint="default" w:ascii="Times New Roman" w:hAnsi="Times New Roman" w:eastAsia="Times New Roman" w:cs="Times New Roman"/>
                      <w:color w:val="auto"/>
                      <w:spacing w:val="3"/>
                      <w:sz w:val="21"/>
                      <w:szCs w:val="21"/>
                      <w:highlight w:val="none"/>
                    </w:rPr>
                    <w:t>16297-</w:t>
                  </w:r>
                  <w:r>
                    <w:rPr>
                      <w:rFonts w:hint="default" w:ascii="Times New Roman" w:hAnsi="Times New Roman" w:eastAsia="Times New Roman" w:cs="Times New Roman"/>
                      <w:color w:val="auto"/>
                      <w:spacing w:val="-28"/>
                      <w:sz w:val="21"/>
                      <w:szCs w:val="21"/>
                      <w:highlight w:val="none"/>
                    </w:rPr>
                    <w:t xml:space="preserve"> </w:t>
                  </w:r>
                  <w:r>
                    <w:rPr>
                      <w:rFonts w:hint="default" w:ascii="Times New Roman" w:hAnsi="Times New Roman" w:eastAsia="Times New Roman" w:cs="Times New Roman"/>
                      <w:color w:val="auto"/>
                      <w:spacing w:val="3"/>
                      <w:sz w:val="21"/>
                      <w:szCs w:val="21"/>
                      <w:highlight w:val="none"/>
                    </w:rPr>
                    <w:t>1996</w:t>
                  </w:r>
                  <w:r>
                    <w:rPr>
                      <w:rFonts w:hint="eastAsia" w:cs="Times New Roman"/>
                      <w:color w:val="auto"/>
                      <w:spacing w:val="25"/>
                      <w:sz w:val="21"/>
                      <w:szCs w:val="21"/>
                      <w:highlight w:val="none"/>
                      <w:lang w:eastAsia="zh-CN"/>
                    </w:rPr>
                    <w:t>）</w:t>
                  </w:r>
                </w:p>
              </w:tc>
              <w:tc>
                <w:tcPr>
                  <w:tcW w:w="947" w:type="dxa"/>
                  <w:vAlign w:val="center"/>
                </w:tcPr>
                <w:p w14:paraId="0FB4E25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r w14:paraId="46D6C71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947" w:type="dxa"/>
                  <w:vAlign w:val="center"/>
                </w:tcPr>
                <w:p w14:paraId="61043AD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DA002</w:t>
                  </w:r>
                </w:p>
              </w:tc>
              <w:tc>
                <w:tcPr>
                  <w:tcW w:w="1157" w:type="dxa"/>
                  <w:vAlign w:val="center"/>
                </w:tcPr>
                <w:p w14:paraId="0D1CA20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颗粒物</w:t>
                  </w:r>
                </w:p>
              </w:tc>
              <w:tc>
                <w:tcPr>
                  <w:tcW w:w="1157" w:type="dxa"/>
                  <w:vAlign w:val="center"/>
                </w:tcPr>
                <w:p w14:paraId="64A283A4">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0.0534</w:t>
                  </w:r>
                </w:p>
              </w:tc>
              <w:tc>
                <w:tcPr>
                  <w:tcW w:w="1157" w:type="dxa"/>
                  <w:vAlign w:val="center"/>
                </w:tcPr>
                <w:p w14:paraId="35D6842A">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6.68</w:t>
                  </w:r>
                </w:p>
              </w:tc>
              <w:tc>
                <w:tcPr>
                  <w:tcW w:w="949" w:type="dxa"/>
                  <w:vAlign w:val="center"/>
                </w:tcPr>
                <w:p w14:paraId="20B026A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120</w:t>
                  </w:r>
                </w:p>
              </w:tc>
              <w:tc>
                <w:tcPr>
                  <w:tcW w:w="2102" w:type="dxa"/>
                  <w:vMerge w:val="continue"/>
                  <w:vAlign w:val="center"/>
                </w:tcPr>
                <w:p w14:paraId="1A0F034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7" w:type="dxa"/>
                  <w:vAlign w:val="center"/>
                </w:tcPr>
                <w:p w14:paraId="7E487D2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r w14:paraId="581262F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947" w:type="dxa"/>
                  <w:vMerge w:val="restart"/>
                  <w:vAlign w:val="center"/>
                </w:tcPr>
                <w:p w14:paraId="4D4E2C7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DA003</w:t>
                  </w:r>
                </w:p>
              </w:tc>
              <w:tc>
                <w:tcPr>
                  <w:tcW w:w="1157" w:type="dxa"/>
                  <w:vAlign w:val="center"/>
                </w:tcPr>
                <w:p w14:paraId="173F884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非甲烷总烃</w:t>
                  </w:r>
                </w:p>
              </w:tc>
              <w:tc>
                <w:tcPr>
                  <w:tcW w:w="1157" w:type="dxa"/>
                  <w:vAlign w:val="center"/>
                </w:tcPr>
                <w:p w14:paraId="61DEC738">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0.1941</w:t>
                  </w:r>
                </w:p>
              </w:tc>
              <w:tc>
                <w:tcPr>
                  <w:tcW w:w="1157" w:type="dxa"/>
                  <w:vAlign w:val="center"/>
                </w:tcPr>
                <w:p w14:paraId="4453758D">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19.41</w:t>
                  </w:r>
                </w:p>
              </w:tc>
              <w:tc>
                <w:tcPr>
                  <w:tcW w:w="949" w:type="dxa"/>
                  <w:vAlign w:val="center"/>
                </w:tcPr>
                <w:p w14:paraId="6ED0700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50</w:t>
                  </w:r>
                </w:p>
              </w:tc>
              <w:tc>
                <w:tcPr>
                  <w:tcW w:w="2102" w:type="dxa"/>
                  <w:vAlign w:val="center"/>
                </w:tcPr>
                <w:p w14:paraId="2AD182E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b w:val="0"/>
                      <w:bCs/>
                      <w:color w:val="auto"/>
                      <w:sz w:val="21"/>
                      <w:szCs w:val="21"/>
                      <w:highlight w:val="none"/>
                      <w:lang w:eastAsia="zh-CN"/>
                    </w:rPr>
                    <w:t>《挥发性有机物排放控制标准》（DB61/T1061-2017）</w:t>
                  </w:r>
                </w:p>
              </w:tc>
              <w:tc>
                <w:tcPr>
                  <w:tcW w:w="947" w:type="dxa"/>
                  <w:vAlign w:val="center"/>
                </w:tcPr>
                <w:p w14:paraId="33DE91B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r w14:paraId="4E6D3EC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947" w:type="dxa"/>
                  <w:vMerge w:val="continue"/>
                  <w:vAlign w:val="center"/>
                </w:tcPr>
                <w:p w14:paraId="5271044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57" w:type="dxa"/>
                  <w:vAlign w:val="center"/>
                </w:tcPr>
                <w:p w14:paraId="75D8C9A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颗粒物（漆雾及燃烧）</w:t>
                  </w:r>
                </w:p>
              </w:tc>
              <w:tc>
                <w:tcPr>
                  <w:tcW w:w="1157" w:type="dxa"/>
                  <w:vAlign w:val="center"/>
                </w:tcPr>
                <w:p w14:paraId="7DE36A99">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0.01187</w:t>
                  </w:r>
                </w:p>
              </w:tc>
              <w:tc>
                <w:tcPr>
                  <w:tcW w:w="1157" w:type="dxa"/>
                  <w:vAlign w:val="center"/>
                </w:tcPr>
                <w:p w14:paraId="2C204BB2">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1.19</w:t>
                  </w:r>
                </w:p>
              </w:tc>
              <w:tc>
                <w:tcPr>
                  <w:tcW w:w="949" w:type="dxa"/>
                  <w:vAlign w:val="center"/>
                </w:tcPr>
                <w:p w14:paraId="3AAC02E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30</w:t>
                  </w:r>
                </w:p>
              </w:tc>
              <w:tc>
                <w:tcPr>
                  <w:tcW w:w="2102" w:type="dxa"/>
                  <w:vMerge w:val="restart"/>
                  <w:vAlign w:val="center"/>
                </w:tcPr>
                <w:p w14:paraId="2803C4B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b w:val="0"/>
                      <w:bCs/>
                      <w:color w:val="auto"/>
                      <w:sz w:val="21"/>
                      <w:szCs w:val="21"/>
                      <w:highlight w:val="none"/>
                      <w:lang w:eastAsia="zh-CN"/>
                    </w:rPr>
                    <w:t>《陕西省工业炉窑大气污染综合治理实施方案》（陕环函〔2019〕247号）相关要求</w:t>
                  </w:r>
                </w:p>
              </w:tc>
              <w:tc>
                <w:tcPr>
                  <w:tcW w:w="947" w:type="dxa"/>
                  <w:vAlign w:val="center"/>
                </w:tcPr>
                <w:p w14:paraId="69E27B1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r w14:paraId="067A0C4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947" w:type="dxa"/>
                  <w:vMerge w:val="continue"/>
                  <w:vAlign w:val="center"/>
                </w:tcPr>
                <w:p w14:paraId="16C5FCF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57" w:type="dxa"/>
                  <w:vAlign w:val="center"/>
                </w:tcPr>
                <w:p w14:paraId="6F86585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SO₂</w:t>
                  </w:r>
                </w:p>
              </w:tc>
              <w:tc>
                <w:tcPr>
                  <w:tcW w:w="1157" w:type="dxa"/>
                  <w:vAlign w:val="center"/>
                </w:tcPr>
                <w:p w14:paraId="45E860C0">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0.00067</w:t>
                  </w:r>
                </w:p>
              </w:tc>
              <w:tc>
                <w:tcPr>
                  <w:tcW w:w="1157" w:type="dxa"/>
                  <w:vAlign w:val="center"/>
                </w:tcPr>
                <w:p w14:paraId="430F0602">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0.07</w:t>
                  </w:r>
                </w:p>
              </w:tc>
              <w:tc>
                <w:tcPr>
                  <w:tcW w:w="949" w:type="dxa"/>
                  <w:vAlign w:val="center"/>
                </w:tcPr>
                <w:p w14:paraId="619ADD4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200</w:t>
                  </w:r>
                </w:p>
              </w:tc>
              <w:tc>
                <w:tcPr>
                  <w:tcW w:w="2102" w:type="dxa"/>
                  <w:vMerge w:val="continue"/>
                  <w:vAlign w:val="center"/>
                </w:tcPr>
                <w:p w14:paraId="7F058CD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7" w:type="dxa"/>
                  <w:vAlign w:val="center"/>
                </w:tcPr>
                <w:p w14:paraId="23D8BBE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r w14:paraId="4E009C0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8" w:hRule="atLeast"/>
                <w:jc w:val="center"/>
              </w:trPr>
              <w:tc>
                <w:tcPr>
                  <w:tcW w:w="947" w:type="dxa"/>
                  <w:vMerge w:val="continue"/>
                  <w:vAlign w:val="center"/>
                </w:tcPr>
                <w:p w14:paraId="6EC262B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157" w:type="dxa"/>
                  <w:vAlign w:val="center"/>
                </w:tcPr>
                <w:p w14:paraId="3E49803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NOₓ</w:t>
                  </w:r>
                </w:p>
              </w:tc>
              <w:tc>
                <w:tcPr>
                  <w:tcW w:w="1157" w:type="dxa"/>
                  <w:vAlign w:val="center"/>
                </w:tcPr>
                <w:p w14:paraId="2B834280">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0.03117</w:t>
                  </w:r>
                </w:p>
              </w:tc>
              <w:tc>
                <w:tcPr>
                  <w:tcW w:w="1157" w:type="dxa"/>
                  <w:vAlign w:val="center"/>
                </w:tcPr>
                <w:p w14:paraId="3DEDDC3E">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3.12</w:t>
                  </w:r>
                </w:p>
              </w:tc>
              <w:tc>
                <w:tcPr>
                  <w:tcW w:w="949" w:type="dxa"/>
                  <w:vAlign w:val="center"/>
                </w:tcPr>
                <w:p w14:paraId="112FA9B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300</w:t>
                  </w:r>
                </w:p>
              </w:tc>
              <w:tc>
                <w:tcPr>
                  <w:tcW w:w="2102" w:type="dxa"/>
                  <w:vMerge w:val="continue"/>
                  <w:vAlign w:val="center"/>
                </w:tcPr>
                <w:p w14:paraId="2483B40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7" w:type="dxa"/>
                  <w:vAlign w:val="center"/>
                </w:tcPr>
                <w:p w14:paraId="5B2C85A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bl>
          <w:p w14:paraId="6B40A646">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eastAsia="宋体" w:cs="Times New Roman"/>
                <w:b w:val="0"/>
                <w:color w:val="auto"/>
                <w:sz w:val="24"/>
                <w:highlight w:val="none"/>
              </w:rPr>
              <w:t>由表4-</w:t>
            </w:r>
            <w:r>
              <w:rPr>
                <w:rFonts w:hint="default" w:ascii="Times New Roman" w:hAnsi="Times New Roman" w:cs="Times New Roman"/>
                <w:b w:val="0"/>
                <w:color w:val="auto"/>
                <w:sz w:val="24"/>
                <w:highlight w:val="none"/>
                <w:lang w:val="en-US" w:eastAsia="zh-CN"/>
              </w:rPr>
              <w:t>3</w:t>
            </w:r>
            <w:r>
              <w:rPr>
                <w:rFonts w:hint="default" w:ascii="Times New Roman" w:hAnsi="Times New Roman" w:eastAsia="宋体" w:cs="Times New Roman"/>
                <w:b w:val="0"/>
                <w:color w:val="auto"/>
                <w:sz w:val="24"/>
                <w:highlight w:val="none"/>
              </w:rPr>
              <w:t>可知，本项目各排气筒废气污染物排放浓度均满足相应标准限值要求，可达标排放。</w:t>
            </w:r>
          </w:p>
          <w:p w14:paraId="3E9AE3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b/>
                <w:bCs/>
                <w:color w:val="auto"/>
                <w:kern w:val="0"/>
                <w:sz w:val="24"/>
                <w:szCs w:val="24"/>
                <w:highlight w:val="none"/>
                <w:lang w:val="en-US" w:eastAsia="zh-CN" w:bidi="ar"/>
              </w:rPr>
              <w:t>4.</w:t>
            </w:r>
            <w:r>
              <w:rPr>
                <w:rFonts w:hint="default" w:ascii="Times New Roman" w:hAnsi="Times New Roman" w:eastAsia="宋体" w:cs="Times New Roman"/>
                <w:b/>
                <w:color w:val="auto"/>
                <w:sz w:val="24"/>
                <w:highlight w:val="none"/>
              </w:rPr>
              <w:t>无组织排放控制措施</w:t>
            </w:r>
          </w:p>
          <w:p w14:paraId="056A2936">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rPr>
              <w:t>（1）抛丸机全密闭运行，喷粉在密闭喷粉房内进行，喷粉房进、出口设置软帘，减少无组织逸散；</w:t>
            </w:r>
          </w:p>
          <w:p w14:paraId="4153CE92">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rPr>
              <w:t>（2）固化烘道、水性漆喷涂房、流平烘干段密闭负压收集，车间保持微负压，提高废气收集效率；</w:t>
            </w:r>
          </w:p>
          <w:p w14:paraId="0F96B793">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rPr>
              <w:t>（3）含VOCs原辅材料（水性漆、擦洗剂等）储存于密闭容器中并存放于C区原料库房，</w:t>
            </w:r>
            <w:r>
              <w:rPr>
                <w:rFonts w:hint="eastAsia" w:cs="Times New Roman"/>
                <w:b w:val="0"/>
                <w:color w:val="auto"/>
                <w:sz w:val="24"/>
                <w:highlight w:val="none"/>
                <w:lang w:val="en-US" w:eastAsia="zh-CN"/>
              </w:rPr>
              <w:t>原料库房为</w:t>
            </w:r>
            <w:r>
              <w:rPr>
                <w:rFonts w:hint="default" w:ascii="Times New Roman" w:hAnsi="Times New Roman" w:eastAsia="宋体" w:cs="Times New Roman"/>
                <w:b w:val="0"/>
                <w:color w:val="auto"/>
                <w:sz w:val="24"/>
                <w:highlight w:val="none"/>
              </w:rPr>
              <w:t>密闭负压</w:t>
            </w:r>
            <w:r>
              <w:rPr>
                <w:rFonts w:hint="eastAsia" w:cs="Times New Roman"/>
                <w:b w:val="0"/>
                <w:color w:val="auto"/>
                <w:sz w:val="24"/>
                <w:highlight w:val="none"/>
                <w:lang w:eastAsia="zh-CN"/>
              </w:rPr>
              <w:t>，</w:t>
            </w:r>
            <w:r>
              <w:rPr>
                <w:rFonts w:hint="default" w:ascii="Times New Roman" w:hAnsi="Times New Roman" w:eastAsia="宋体" w:cs="Times New Roman"/>
                <w:b w:val="0"/>
                <w:color w:val="auto"/>
                <w:sz w:val="24"/>
                <w:highlight w:val="none"/>
              </w:rPr>
              <w:t>随取随用、用后及时加盖密封，减少无组织挥发；</w:t>
            </w:r>
          </w:p>
          <w:p w14:paraId="6A6F273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rPr>
              <w:t>（4）粉末涂料采用袋装密闭存放，投料、清理过程轻拿轻放，车间地面定期清扫，避免二次扬尘；</w:t>
            </w:r>
          </w:p>
          <w:p w14:paraId="5D9DF254">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eastAsia="宋体" w:cs="Times New Roman"/>
                <w:b w:val="0"/>
                <w:color w:val="auto"/>
                <w:sz w:val="24"/>
                <w:highlight w:val="none"/>
              </w:rPr>
              <w:t>（5）加强车间通风管理，落实《挥发性有机物无组织排放控制标准》（GB37822-2019）各项控制要求。采取上述措施后，厂界无组织颗粒物、非甲烷总烃浓度可满足GB16297-1996表2（颗粒物1.0mg/m³）及DB61/T1061-2017表3（非甲烷总烃3.0mg/m³）企业边界监控点浓度限值要求。</w:t>
            </w:r>
          </w:p>
          <w:p w14:paraId="3CADD2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cs="Times New Roman"/>
                <w:b/>
                <w:bCs/>
                <w:color w:val="auto"/>
                <w:kern w:val="0"/>
                <w:sz w:val="24"/>
                <w:szCs w:val="24"/>
                <w:highlight w:val="none"/>
                <w:lang w:val="en-US" w:eastAsia="zh-CN" w:bidi="ar"/>
              </w:rPr>
              <w:t>5.</w:t>
            </w:r>
            <w:r>
              <w:rPr>
                <w:rFonts w:hint="default" w:ascii="Times New Roman" w:hAnsi="Times New Roman" w:eastAsia="宋体" w:cs="Times New Roman"/>
                <w:b/>
                <w:bCs/>
                <w:color w:val="auto"/>
                <w:kern w:val="0"/>
                <w:sz w:val="24"/>
                <w:szCs w:val="24"/>
                <w:highlight w:val="none"/>
                <w:lang w:val="en-US" w:eastAsia="zh-CN" w:bidi="ar"/>
              </w:rPr>
              <w:t>非正常情况分析</w:t>
            </w:r>
          </w:p>
          <w:p w14:paraId="196916C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非正常工况主要指废气治理设施故障（如布袋破损、活性炭饱和失效未及时更换、风机故障等）导致废气未经有效处理直接排放的情况。非正常工况下，DA001、DA002颗粒物及DA003非甲烷总烃排放浓度将明显升高。为防范非正常排放，采取以下措施：</w:t>
            </w:r>
          </w:p>
          <w:p w14:paraId="72E4AB46">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①加强废气治理设施日常巡检维护，建立运行台账；</w:t>
            </w:r>
          </w:p>
          <w:p w14:paraId="18F5221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②活性炭建立定期更换制度（一般3~6个月更换一次，视废气浓度调整），更换记录存档备查；</w:t>
            </w:r>
          </w:p>
          <w:p w14:paraId="0F38B058">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③布袋除尘器定期检查更换滤袋，破损及时修复；</w:t>
            </w:r>
          </w:p>
          <w:p w14:paraId="759A28C4">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④治理设施故障时立即停产检修，严禁带故障运行；</w:t>
            </w:r>
          </w:p>
          <w:p w14:paraId="0438DAED">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highlight w:val="none"/>
                <w:lang w:val="en-US" w:eastAsia="zh-CN"/>
              </w:rPr>
              <w:t>⑤对DA001、DA002、DA003三个排气筒均定期委托监测，及时发现异常。</w:t>
            </w:r>
          </w:p>
          <w:p w14:paraId="464B45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cs="Times New Roman"/>
                <w:b/>
                <w:bCs/>
                <w:color w:val="auto"/>
                <w:kern w:val="0"/>
                <w:sz w:val="24"/>
                <w:szCs w:val="24"/>
                <w:highlight w:val="none"/>
                <w:lang w:val="en-US" w:eastAsia="zh-CN" w:bidi="ar"/>
              </w:rPr>
              <w:t>6.</w:t>
            </w:r>
            <w:r>
              <w:rPr>
                <w:rFonts w:hint="default" w:ascii="Times New Roman" w:hAnsi="Times New Roman" w:eastAsia="宋体" w:cs="Times New Roman"/>
                <w:b/>
                <w:bCs/>
                <w:color w:val="auto"/>
                <w:kern w:val="0"/>
                <w:sz w:val="24"/>
                <w:szCs w:val="24"/>
                <w:highlight w:val="none"/>
                <w:lang w:val="en-US" w:eastAsia="zh-CN" w:bidi="ar"/>
              </w:rPr>
              <w:t>环境影响分析</w:t>
            </w:r>
          </w:p>
          <w:p w14:paraId="168CB18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本项目运营期各废气达标排放情况如下：</w:t>
            </w:r>
          </w:p>
          <w:p w14:paraId="7D177C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①抛丸粉尘经抛丸机全密闭负压收集（收集效率98%）后由脉冲布袋除尘器处理（除尘效率99%），处理后颗粒物排放浓度约2.68mg/m³，经15m排气筒（DA001）排放，满足《大气污染物综合排放标准》（GB16297-1996）表2新污染源二级标准限值（颗粒物≤120mg/m³、15m排气筒排放速率≤3.5kg/h）；</w:t>
            </w:r>
          </w:p>
          <w:p w14:paraId="31BA8A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②喷粉粉尘经密闭喷粉房收集（收集效率95%）后由“旋风除尘器+滤筒除尘器”净化回收（去除效率99%），经15m排气筒（DA002）排放，颗粒物排放满足GB16297-1996表2二级标准限值；</w:t>
            </w:r>
          </w:p>
          <w:p w14:paraId="68B426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③粉末固化废气、水性漆喷涂（流平、烘干）有机废气及远期电泳烘干废气经密闭负压收集（收集效率80%）后由</w:t>
            </w:r>
            <w:r>
              <w:rPr>
                <w:rFonts w:hint="default" w:ascii="Times New Roman" w:hAnsi="Times New Roman" w:cs="Times New Roman"/>
                <w:bCs/>
                <w:color w:val="auto"/>
                <w:sz w:val="24"/>
                <w:szCs w:val="32"/>
                <w:highlight w:val="none"/>
                <w:lang w:eastAsia="zh-CN"/>
              </w:rPr>
              <w:t>“</w:t>
            </w:r>
            <w:r>
              <w:rPr>
                <w:rFonts w:hint="default" w:ascii="Times New Roman" w:hAnsi="Times New Roman" w:cs="Times New Roman"/>
                <w:bCs/>
                <w:color w:val="auto"/>
                <w:sz w:val="24"/>
                <w:szCs w:val="32"/>
                <w:highlight w:val="none"/>
              </w:rPr>
              <w:t>干式过滤+二级活性炭吸附</w:t>
            </w:r>
            <w:r>
              <w:rPr>
                <w:rFonts w:hint="default" w:ascii="Times New Roman" w:hAnsi="Times New Roman" w:cs="Times New Roman"/>
                <w:bCs/>
                <w:color w:val="auto"/>
                <w:sz w:val="24"/>
                <w:szCs w:val="32"/>
                <w:highlight w:val="none"/>
                <w:lang w:eastAsia="zh-CN"/>
              </w:rPr>
              <w:t>”</w:t>
            </w:r>
            <w:r>
              <w:rPr>
                <w:rFonts w:hint="default" w:ascii="Times New Roman" w:hAnsi="Times New Roman" w:eastAsia="宋体" w:cs="Times New Roman"/>
                <w:color w:val="auto"/>
                <w:kern w:val="0"/>
                <w:sz w:val="24"/>
                <w:szCs w:val="24"/>
                <w:highlight w:val="none"/>
                <w:lang w:val="en-US" w:eastAsia="zh-CN" w:bidi="ar"/>
              </w:rPr>
              <w:t>装置处理（VOCs去除效率36%，按《关于加强重污染天气应对夯实应急减排措施的通知》（陕环发〔2023〕59号）一级蜂窝活性炭去除效率20%计、两级串联合计36%），经15m排气筒（DA003）排放，非甲烷总烃排放满足《挥发性有机物排放控制标准》（DB61/T1061-2017）表1表面涂装行业限值（非甲烷总烃≤50mg/m³）要求，喷涂漆雾经干式</w:t>
            </w:r>
            <w:r>
              <w:rPr>
                <w:rFonts w:hint="default" w:ascii="Times New Roman" w:hAnsi="Times New Roman" w:cs="Times New Roman"/>
                <w:color w:val="auto"/>
                <w:kern w:val="0"/>
                <w:sz w:val="24"/>
                <w:szCs w:val="24"/>
                <w:highlight w:val="none"/>
                <w:lang w:val="en-US" w:eastAsia="zh-CN" w:bidi="ar"/>
              </w:rPr>
              <w:t>纸盒</w:t>
            </w:r>
            <w:r>
              <w:rPr>
                <w:rFonts w:hint="default" w:ascii="Times New Roman" w:hAnsi="Times New Roman" w:eastAsia="宋体" w:cs="Times New Roman"/>
                <w:color w:val="auto"/>
                <w:kern w:val="0"/>
                <w:sz w:val="24"/>
                <w:szCs w:val="24"/>
                <w:highlight w:val="none"/>
                <w:lang w:val="en-US" w:eastAsia="zh-CN" w:bidi="ar"/>
              </w:rPr>
              <w:t>过滤（去除效率95%）后随DA003排放，颗粒物亦满足GB16297-1996表2二级标准，拦截的漆渣及更换的废</w:t>
            </w:r>
            <w:r>
              <w:rPr>
                <w:rFonts w:hint="default" w:ascii="Times New Roman" w:hAnsi="Times New Roman" w:cs="Times New Roman"/>
                <w:color w:val="auto"/>
                <w:kern w:val="0"/>
                <w:sz w:val="24"/>
                <w:szCs w:val="24"/>
                <w:highlight w:val="none"/>
                <w:lang w:val="en-US" w:eastAsia="zh-CN" w:bidi="ar"/>
              </w:rPr>
              <w:t>纸盒</w:t>
            </w:r>
            <w:r>
              <w:rPr>
                <w:rFonts w:hint="default" w:ascii="Times New Roman" w:hAnsi="Times New Roman" w:eastAsia="宋体" w:cs="Times New Roman"/>
                <w:color w:val="auto"/>
                <w:kern w:val="0"/>
                <w:sz w:val="24"/>
                <w:szCs w:val="24"/>
                <w:highlight w:val="none"/>
                <w:lang w:val="en-US" w:eastAsia="zh-CN" w:bidi="ar"/>
              </w:rPr>
              <w:t>按危险废物交有资质单位处置；</w:t>
            </w:r>
          </w:p>
          <w:p w14:paraId="7CA1D6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④固化烘道及水分烘干炉、固化炉天然气采用直接加热（低氮燃烧控制NOₓ），燃烧废气经DA003排气筒（与固化/烘干有机废气合并）排放，颗粒物、SO₂、NOₓ排放满足《陕西省工业炉窑大气污染综合治理实施方案》限值要求（颗粒物≤30mg/m³、SO₂≤200mg/m³、NOₓ≤300mg/m³）；</w:t>
            </w:r>
          </w:p>
          <w:p w14:paraId="595D5A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⑤无组织排放方面，厂界颗粒物浓度满足GB16297-1996表2无组织排放监控浓度限值（周界外浓度最高点≤1.0mg/m³），厂界非甲烷总烃满足DB61/T1061-2017表3企业边界监控点浓度限值（≤3mg/m³），厂区内非甲烷总烃无组织排放满足《挥发性有机物无组织排放控制标准》（GB37822-2019）附录A特别排放限值要求。</w:t>
            </w:r>
          </w:p>
          <w:p w14:paraId="7C1A36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cs="Times New Roman"/>
                <w:b/>
                <w:color w:val="auto"/>
                <w:sz w:val="24"/>
                <w:szCs w:val="32"/>
                <w:highlight w:val="none"/>
                <w:lang w:eastAsia="zh-CN"/>
              </w:rPr>
            </w:pPr>
            <w:r>
              <w:rPr>
                <w:rFonts w:hint="default" w:ascii="Times New Roman" w:hAnsi="Times New Roman" w:eastAsia="宋体" w:cs="Times New Roman"/>
                <w:color w:val="auto"/>
                <w:kern w:val="0"/>
                <w:sz w:val="24"/>
                <w:szCs w:val="24"/>
                <w:highlight w:val="none"/>
                <w:lang w:val="en-US" w:eastAsia="zh-CN" w:bidi="ar"/>
              </w:rPr>
              <w:t>综上，本项目各废气污染源经有效收集治理后均可达标排放，治理措施技术可行、运行可靠，对周边大气环境影响可接受。</w:t>
            </w:r>
          </w:p>
          <w:p w14:paraId="4E67F870">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二、</w:t>
            </w:r>
            <w:r>
              <w:rPr>
                <w:rFonts w:hint="default" w:ascii="Times New Roman" w:hAnsi="Times New Roman" w:cs="Times New Roman"/>
                <w:b/>
                <w:bCs/>
                <w:color w:val="auto"/>
                <w:sz w:val="24"/>
                <w:highlight w:val="none"/>
                <w:lang w:val="en-US" w:eastAsia="zh-CN"/>
              </w:rPr>
              <w:t>水环境影响分析</w:t>
            </w:r>
          </w:p>
          <w:p w14:paraId="23333E4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bCs w:val="0"/>
                <w:smallCaps w:val="0"/>
                <w:color w:val="auto"/>
                <w:spacing w:val="0"/>
                <w:position w:val="0"/>
                <w:sz w:val="24"/>
                <w:highlight w:val="none"/>
                <w:lang w:val="en-US" w:eastAsia="zh-CN"/>
              </w:rPr>
            </w:pPr>
            <w:r>
              <w:rPr>
                <w:rFonts w:hint="default" w:ascii="Times New Roman" w:hAnsi="Times New Roman" w:cs="Times New Roman"/>
                <w:b/>
                <w:bCs w:val="0"/>
                <w:smallCaps w:val="0"/>
                <w:color w:val="auto"/>
                <w:spacing w:val="0"/>
                <w:position w:val="0"/>
                <w:sz w:val="24"/>
                <w:highlight w:val="none"/>
                <w:lang w:val="en-US" w:eastAsia="zh-CN"/>
              </w:rPr>
              <w:t>1.</w:t>
            </w:r>
            <w:r>
              <w:rPr>
                <w:rFonts w:hint="default" w:ascii="Times New Roman" w:hAnsi="Times New Roman" w:eastAsia="宋体" w:cs="Times New Roman"/>
                <w:b/>
                <w:bCs w:val="0"/>
                <w:smallCaps w:val="0"/>
                <w:color w:val="auto"/>
                <w:spacing w:val="0"/>
                <w:position w:val="0"/>
                <w:sz w:val="24"/>
                <w:highlight w:val="none"/>
                <w:lang w:val="en-US" w:eastAsia="zh-CN"/>
              </w:rPr>
              <w:t>废水产生及排放情况</w:t>
            </w:r>
          </w:p>
          <w:p w14:paraId="38FB07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pacing w:val="0"/>
                <w:sz w:val="24"/>
                <w:szCs w:val="24"/>
                <w:highlight w:val="none"/>
                <w:lang w:val="en-US" w:eastAsia="zh-CN"/>
              </w:rPr>
            </w:pPr>
            <w:r>
              <w:rPr>
                <w:rFonts w:hint="default" w:ascii="Times New Roman" w:hAnsi="Times New Roman" w:cs="Times New Roman"/>
                <w:smallCaps w:val="0"/>
                <w:color w:val="auto"/>
                <w:spacing w:val="0"/>
                <w:position w:val="0"/>
                <w:sz w:val="24"/>
                <w:szCs w:val="24"/>
                <w:highlight w:val="none"/>
                <w:lang w:val="en-US" w:eastAsia="zh-CN"/>
              </w:rPr>
              <w:t>根据前文水平衡分析，生活污水水质参照《排放源统计调查产排污核算方法和系数手册》生活源产污系数，经厂区化粪池处理后定期清掏外运；清洗废水水质类比同类型金属前处理（脱脂水洗）废水，电泳废水水质类比同类型阴极电泳生产线纯水精洗废水，经废水处理站（混凝沉淀+MBR+砂滤）处理后，回用水质满足《城市污水再生利用 城市杂用水水质》（GB/T 18920-2020）道路清扫、绿化用水要求，全部回用于厂区洒扫，不外排。</w:t>
            </w:r>
          </w:p>
          <w:p w14:paraId="005BF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pacing w:val="0"/>
                <w:sz w:val="24"/>
                <w:szCs w:val="24"/>
                <w:highlight w:val="none"/>
                <w:lang w:val="en-US" w:eastAsia="zh-CN"/>
              </w:rPr>
            </w:pPr>
            <w:r>
              <w:rPr>
                <w:rFonts w:hint="default" w:ascii="Times New Roman" w:hAnsi="Times New Roman" w:cs="Times New Roman"/>
                <w:color w:val="auto"/>
                <w:spacing w:val="0"/>
                <w:sz w:val="24"/>
                <w:szCs w:val="24"/>
                <w:highlight w:val="none"/>
                <w:lang w:val="en-US" w:eastAsia="zh-CN"/>
              </w:rPr>
              <w:t>本项目生活污水及生产废水产排情况见下表。</w:t>
            </w:r>
          </w:p>
          <w:p w14:paraId="5619C5EC">
            <w:pPr>
              <w:pStyle w:val="88"/>
              <w:keepNext w:val="0"/>
              <w:keepLines w:val="0"/>
              <w:suppressLineNumbers w:val="0"/>
              <w:spacing w:before="0" w:beforeAutospacing="0" w:after="0" w:afterAutospacing="0" w:line="240" w:lineRule="auto"/>
              <w:ind w:left="0" w:right="0" w:firstLine="482"/>
              <w:jc w:val="center"/>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sz w:val="24"/>
                <w:szCs w:val="24"/>
                <w:highlight w:val="none"/>
              </w:rPr>
              <w:t>表4-4  运营期废水产排情况一览表</w:t>
            </w:r>
          </w:p>
          <w:tbl>
            <w:tblPr>
              <w:tblStyle w:val="32"/>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782"/>
              <w:gridCol w:w="825"/>
              <w:gridCol w:w="945"/>
              <w:gridCol w:w="1110"/>
              <w:gridCol w:w="1185"/>
              <w:gridCol w:w="1083"/>
              <w:gridCol w:w="1440"/>
            </w:tblGrid>
            <w:tr w14:paraId="329F019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82" w:type="dxa"/>
                  <w:vAlign w:val="center"/>
                </w:tcPr>
                <w:p w14:paraId="7C75F34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废水类别</w:t>
                  </w:r>
                </w:p>
              </w:tc>
              <w:tc>
                <w:tcPr>
                  <w:tcW w:w="825" w:type="dxa"/>
                  <w:vAlign w:val="center"/>
                </w:tcPr>
                <w:p w14:paraId="74CDCCB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产生量</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m³/a</w:t>
                  </w:r>
                  <w:r>
                    <w:rPr>
                      <w:rFonts w:hint="eastAsia" w:cs="Times New Roman"/>
                      <w:b/>
                      <w:color w:val="auto"/>
                      <w:sz w:val="21"/>
                      <w:szCs w:val="21"/>
                      <w:highlight w:val="none"/>
                      <w:lang w:eastAsia="zh-CN"/>
                    </w:rPr>
                    <w:t>）</w:t>
                  </w:r>
                </w:p>
              </w:tc>
              <w:tc>
                <w:tcPr>
                  <w:tcW w:w="945" w:type="dxa"/>
                  <w:vAlign w:val="center"/>
                </w:tcPr>
                <w:p w14:paraId="6791E3F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污染物</w:t>
                  </w:r>
                </w:p>
              </w:tc>
              <w:tc>
                <w:tcPr>
                  <w:tcW w:w="1110" w:type="dxa"/>
                  <w:vAlign w:val="center"/>
                </w:tcPr>
                <w:p w14:paraId="3A679DB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产生浓度</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mg/L</w:t>
                  </w:r>
                  <w:r>
                    <w:rPr>
                      <w:rFonts w:hint="eastAsia" w:cs="Times New Roman"/>
                      <w:b/>
                      <w:color w:val="auto"/>
                      <w:sz w:val="21"/>
                      <w:szCs w:val="21"/>
                      <w:highlight w:val="none"/>
                      <w:lang w:eastAsia="zh-CN"/>
                    </w:rPr>
                    <w:t>）</w:t>
                  </w:r>
                </w:p>
              </w:tc>
              <w:tc>
                <w:tcPr>
                  <w:tcW w:w="1185" w:type="dxa"/>
                  <w:vAlign w:val="center"/>
                </w:tcPr>
                <w:p w14:paraId="7A7036F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产生量</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t/a</w:t>
                  </w:r>
                  <w:r>
                    <w:rPr>
                      <w:rFonts w:hint="eastAsia" w:cs="Times New Roman"/>
                      <w:b/>
                      <w:color w:val="auto"/>
                      <w:sz w:val="21"/>
                      <w:szCs w:val="21"/>
                      <w:highlight w:val="none"/>
                      <w:lang w:eastAsia="zh-CN"/>
                    </w:rPr>
                    <w:t>）</w:t>
                  </w:r>
                </w:p>
              </w:tc>
              <w:tc>
                <w:tcPr>
                  <w:tcW w:w="1083" w:type="dxa"/>
                  <w:vAlign w:val="center"/>
                </w:tcPr>
                <w:p w14:paraId="7129C76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治理措施</w:t>
                  </w:r>
                </w:p>
              </w:tc>
              <w:tc>
                <w:tcPr>
                  <w:tcW w:w="1440" w:type="dxa"/>
                  <w:vAlign w:val="center"/>
                </w:tcPr>
                <w:p w14:paraId="1EA78DB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排放去向</w:t>
                  </w:r>
                </w:p>
              </w:tc>
            </w:tr>
            <w:tr w14:paraId="6DAF02D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restart"/>
                  <w:vAlign w:val="center"/>
                </w:tcPr>
                <w:p w14:paraId="3794470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生活污水</w:t>
                  </w:r>
                </w:p>
              </w:tc>
              <w:tc>
                <w:tcPr>
                  <w:tcW w:w="825" w:type="dxa"/>
                  <w:vMerge w:val="restart"/>
                  <w:vAlign w:val="center"/>
                </w:tcPr>
                <w:p w14:paraId="03EF745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1</w:t>
                  </w:r>
                  <w:r>
                    <w:rPr>
                      <w:rFonts w:hint="default" w:ascii="Times New Roman" w:hAnsi="Times New Roman" w:eastAsia="宋体" w:cs="Times New Roman"/>
                      <w:b w:val="0"/>
                      <w:color w:val="auto"/>
                      <w:sz w:val="21"/>
                      <w:szCs w:val="21"/>
                      <w:highlight w:val="none"/>
                      <w:lang w:val="en-US" w:eastAsia="zh-CN"/>
                    </w:rPr>
                    <w:t>68</w:t>
                  </w:r>
                </w:p>
              </w:tc>
              <w:tc>
                <w:tcPr>
                  <w:tcW w:w="945" w:type="dxa"/>
                  <w:vAlign w:val="center"/>
                </w:tcPr>
                <w:p w14:paraId="36BF2EE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COD</w:t>
                  </w:r>
                </w:p>
              </w:tc>
              <w:tc>
                <w:tcPr>
                  <w:tcW w:w="1110" w:type="dxa"/>
                  <w:vAlign w:val="center"/>
                </w:tcPr>
                <w:p w14:paraId="5C221F6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320</w:t>
                  </w:r>
                </w:p>
              </w:tc>
              <w:tc>
                <w:tcPr>
                  <w:tcW w:w="1185" w:type="dxa"/>
                  <w:vAlign w:val="center"/>
                </w:tcPr>
                <w:p w14:paraId="1F15258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0.0538</w:t>
                  </w:r>
                </w:p>
              </w:tc>
              <w:tc>
                <w:tcPr>
                  <w:tcW w:w="1083" w:type="dxa"/>
                  <w:vMerge w:val="restart"/>
                  <w:vAlign w:val="center"/>
                </w:tcPr>
                <w:p w14:paraId="2965B8C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化粪池</w:t>
                  </w:r>
                </w:p>
              </w:tc>
              <w:tc>
                <w:tcPr>
                  <w:tcW w:w="1440" w:type="dxa"/>
                  <w:vMerge w:val="restart"/>
                  <w:vAlign w:val="center"/>
                </w:tcPr>
                <w:p w14:paraId="5E4B49C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定期清掏外运</w:t>
                  </w:r>
                </w:p>
              </w:tc>
            </w:tr>
            <w:tr w14:paraId="677FC7D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09E5EBC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0932FE1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050EA67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BOD₅</w:t>
                  </w:r>
                </w:p>
              </w:tc>
              <w:tc>
                <w:tcPr>
                  <w:tcW w:w="1110" w:type="dxa"/>
                  <w:vAlign w:val="center"/>
                </w:tcPr>
                <w:p w14:paraId="7A6D563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160</w:t>
                  </w:r>
                </w:p>
              </w:tc>
              <w:tc>
                <w:tcPr>
                  <w:tcW w:w="1185" w:type="dxa"/>
                  <w:vAlign w:val="center"/>
                </w:tcPr>
                <w:p w14:paraId="30D8AF1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0.0269</w:t>
                  </w:r>
                </w:p>
              </w:tc>
              <w:tc>
                <w:tcPr>
                  <w:tcW w:w="1083" w:type="dxa"/>
                  <w:vMerge w:val="continue"/>
                  <w:vAlign w:val="center"/>
                </w:tcPr>
                <w:p w14:paraId="60DE72B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440" w:type="dxa"/>
                  <w:vMerge w:val="continue"/>
                  <w:vAlign w:val="center"/>
                </w:tcPr>
                <w:p w14:paraId="2B498E3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5DCD3CE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455E45A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368344D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6322258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SS</w:t>
                  </w:r>
                </w:p>
              </w:tc>
              <w:tc>
                <w:tcPr>
                  <w:tcW w:w="1110" w:type="dxa"/>
                  <w:vAlign w:val="center"/>
                </w:tcPr>
                <w:p w14:paraId="2C40983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200</w:t>
                  </w:r>
                </w:p>
              </w:tc>
              <w:tc>
                <w:tcPr>
                  <w:tcW w:w="1185" w:type="dxa"/>
                  <w:vAlign w:val="center"/>
                </w:tcPr>
                <w:p w14:paraId="41672EB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0.0336</w:t>
                  </w:r>
                </w:p>
              </w:tc>
              <w:tc>
                <w:tcPr>
                  <w:tcW w:w="1083" w:type="dxa"/>
                  <w:vMerge w:val="continue"/>
                  <w:vAlign w:val="center"/>
                </w:tcPr>
                <w:p w14:paraId="6AFDAB4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440" w:type="dxa"/>
                  <w:vMerge w:val="continue"/>
                  <w:vAlign w:val="center"/>
                </w:tcPr>
                <w:p w14:paraId="62A8654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1722667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56DA676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307C0C0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0E4960B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NH₃-N</w:t>
                  </w:r>
                </w:p>
              </w:tc>
              <w:tc>
                <w:tcPr>
                  <w:tcW w:w="1110" w:type="dxa"/>
                  <w:vAlign w:val="center"/>
                </w:tcPr>
                <w:p w14:paraId="4C4037D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25</w:t>
                  </w:r>
                </w:p>
              </w:tc>
              <w:tc>
                <w:tcPr>
                  <w:tcW w:w="1185" w:type="dxa"/>
                  <w:vAlign w:val="center"/>
                </w:tcPr>
                <w:p w14:paraId="5B23ADF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0.0042</w:t>
                  </w:r>
                </w:p>
              </w:tc>
              <w:tc>
                <w:tcPr>
                  <w:tcW w:w="1083" w:type="dxa"/>
                  <w:vMerge w:val="continue"/>
                  <w:vAlign w:val="center"/>
                </w:tcPr>
                <w:p w14:paraId="7B5937B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440" w:type="dxa"/>
                  <w:vMerge w:val="continue"/>
                  <w:vAlign w:val="center"/>
                </w:tcPr>
                <w:p w14:paraId="725D2CF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428363C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restart"/>
                  <w:vAlign w:val="center"/>
                </w:tcPr>
                <w:p w14:paraId="3B3349F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清洗废水（擦洗后水洗废水）</w:t>
                  </w:r>
                </w:p>
              </w:tc>
              <w:tc>
                <w:tcPr>
                  <w:tcW w:w="825" w:type="dxa"/>
                  <w:vMerge w:val="restart"/>
                  <w:vAlign w:val="center"/>
                </w:tcPr>
                <w:p w14:paraId="477EA4A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450</w:t>
                  </w:r>
                </w:p>
              </w:tc>
              <w:tc>
                <w:tcPr>
                  <w:tcW w:w="945" w:type="dxa"/>
                  <w:vAlign w:val="center"/>
                </w:tcPr>
                <w:p w14:paraId="4ADEE01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COD</w:t>
                  </w:r>
                </w:p>
              </w:tc>
              <w:tc>
                <w:tcPr>
                  <w:tcW w:w="1110" w:type="dxa"/>
                  <w:vAlign w:val="center"/>
                </w:tcPr>
                <w:p w14:paraId="506C41F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800</w:t>
                  </w:r>
                </w:p>
              </w:tc>
              <w:tc>
                <w:tcPr>
                  <w:tcW w:w="1185" w:type="dxa"/>
                  <w:vAlign w:val="center"/>
                </w:tcPr>
                <w:p w14:paraId="5030FC5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0.36</w:t>
                  </w:r>
                </w:p>
              </w:tc>
              <w:tc>
                <w:tcPr>
                  <w:tcW w:w="1083" w:type="dxa"/>
                  <w:vMerge w:val="restart"/>
                  <w:vAlign w:val="center"/>
                </w:tcPr>
                <w:p w14:paraId="222D11D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废水处理站（调节+混凝沉淀+MBR+砂滤）</w:t>
                  </w:r>
                </w:p>
              </w:tc>
              <w:tc>
                <w:tcPr>
                  <w:tcW w:w="1440" w:type="dxa"/>
                  <w:vMerge w:val="restart"/>
                  <w:vAlign w:val="center"/>
                </w:tcPr>
                <w:p w14:paraId="30E9BB8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处理后回用于厂区洒扫</w:t>
                  </w:r>
                </w:p>
              </w:tc>
            </w:tr>
            <w:tr w14:paraId="57C4D04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7829386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4D8D8E7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7744F62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BOD₅</w:t>
                  </w:r>
                </w:p>
              </w:tc>
              <w:tc>
                <w:tcPr>
                  <w:tcW w:w="1110" w:type="dxa"/>
                  <w:vAlign w:val="center"/>
                </w:tcPr>
                <w:p w14:paraId="155625A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300</w:t>
                  </w:r>
                </w:p>
              </w:tc>
              <w:tc>
                <w:tcPr>
                  <w:tcW w:w="1185" w:type="dxa"/>
                  <w:vAlign w:val="center"/>
                </w:tcPr>
                <w:p w14:paraId="5699547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0.135</w:t>
                  </w:r>
                </w:p>
              </w:tc>
              <w:tc>
                <w:tcPr>
                  <w:tcW w:w="1083" w:type="dxa"/>
                  <w:vMerge w:val="continue"/>
                  <w:vAlign w:val="center"/>
                </w:tcPr>
                <w:p w14:paraId="1530A84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440" w:type="dxa"/>
                  <w:vMerge w:val="continue"/>
                  <w:vAlign w:val="center"/>
                </w:tcPr>
                <w:p w14:paraId="7B0E094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585F550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4F57641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40F9C3A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255D962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SS</w:t>
                  </w:r>
                </w:p>
              </w:tc>
              <w:tc>
                <w:tcPr>
                  <w:tcW w:w="1110" w:type="dxa"/>
                  <w:vAlign w:val="center"/>
                </w:tcPr>
                <w:p w14:paraId="0EF2023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300</w:t>
                  </w:r>
                </w:p>
              </w:tc>
              <w:tc>
                <w:tcPr>
                  <w:tcW w:w="1185" w:type="dxa"/>
                  <w:vAlign w:val="center"/>
                </w:tcPr>
                <w:p w14:paraId="67F78A4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0.135</w:t>
                  </w:r>
                </w:p>
              </w:tc>
              <w:tc>
                <w:tcPr>
                  <w:tcW w:w="1083" w:type="dxa"/>
                  <w:vMerge w:val="continue"/>
                  <w:vAlign w:val="center"/>
                </w:tcPr>
                <w:p w14:paraId="7E5A9B1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440" w:type="dxa"/>
                  <w:vMerge w:val="continue"/>
                  <w:vAlign w:val="center"/>
                </w:tcPr>
                <w:p w14:paraId="0EE07D4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1923BC3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459E783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4D0E412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0D33909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NH₃-N</w:t>
                  </w:r>
                </w:p>
              </w:tc>
              <w:tc>
                <w:tcPr>
                  <w:tcW w:w="1110" w:type="dxa"/>
                  <w:vAlign w:val="center"/>
                </w:tcPr>
                <w:p w14:paraId="7BC9089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50</w:t>
                  </w:r>
                </w:p>
              </w:tc>
              <w:tc>
                <w:tcPr>
                  <w:tcW w:w="1185" w:type="dxa"/>
                  <w:vAlign w:val="center"/>
                </w:tcPr>
                <w:p w14:paraId="374FBFB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0.0225</w:t>
                  </w:r>
                </w:p>
              </w:tc>
              <w:tc>
                <w:tcPr>
                  <w:tcW w:w="1083" w:type="dxa"/>
                  <w:vMerge w:val="continue"/>
                  <w:vAlign w:val="center"/>
                </w:tcPr>
                <w:p w14:paraId="363066B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440" w:type="dxa"/>
                  <w:vMerge w:val="continue"/>
                  <w:vAlign w:val="center"/>
                </w:tcPr>
                <w:p w14:paraId="4E9A8AC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5027675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103E7B4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658DAFB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7343B0A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石油类</w:t>
                  </w:r>
                </w:p>
              </w:tc>
              <w:tc>
                <w:tcPr>
                  <w:tcW w:w="1110" w:type="dxa"/>
                  <w:vAlign w:val="center"/>
                </w:tcPr>
                <w:p w14:paraId="6A66408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30</w:t>
                  </w:r>
                </w:p>
              </w:tc>
              <w:tc>
                <w:tcPr>
                  <w:tcW w:w="1185" w:type="dxa"/>
                  <w:vAlign w:val="center"/>
                </w:tcPr>
                <w:p w14:paraId="41F7D03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0.0135</w:t>
                  </w:r>
                </w:p>
              </w:tc>
              <w:tc>
                <w:tcPr>
                  <w:tcW w:w="1083" w:type="dxa"/>
                  <w:vMerge w:val="continue"/>
                  <w:vAlign w:val="center"/>
                </w:tcPr>
                <w:p w14:paraId="58C3412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440" w:type="dxa"/>
                  <w:vMerge w:val="continue"/>
                  <w:vAlign w:val="center"/>
                </w:tcPr>
                <w:p w14:paraId="31023C6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535F602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3AB8255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165A867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79E6071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LAS</w:t>
                  </w:r>
                </w:p>
              </w:tc>
              <w:tc>
                <w:tcPr>
                  <w:tcW w:w="1110" w:type="dxa"/>
                  <w:vAlign w:val="center"/>
                </w:tcPr>
                <w:p w14:paraId="06C11FB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20</w:t>
                  </w:r>
                </w:p>
              </w:tc>
              <w:tc>
                <w:tcPr>
                  <w:tcW w:w="1185" w:type="dxa"/>
                  <w:vAlign w:val="center"/>
                </w:tcPr>
                <w:p w14:paraId="011D52A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0.009</w:t>
                  </w:r>
                </w:p>
              </w:tc>
              <w:tc>
                <w:tcPr>
                  <w:tcW w:w="1083" w:type="dxa"/>
                  <w:vMerge w:val="continue"/>
                  <w:vAlign w:val="center"/>
                </w:tcPr>
                <w:p w14:paraId="3ED9F6A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440" w:type="dxa"/>
                  <w:vMerge w:val="continue"/>
                  <w:vAlign w:val="center"/>
                </w:tcPr>
                <w:p w14:paraId="18569B4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6FD66C2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restart"/>
                  <w:vAlign w:val="center"/>
                </w:tcPr>
                <w:p w14:paraId="63EE495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纯水制备浓水</w:t>
                  </w:r>
                </w:p>
              </w:tc>
              <w:tc>
                <w:tcPr>
                  <w:tcW w:w="825" w:type="dxa"/>
                  <w:vMerge w:val="restart"/>
                  <w:vAlign w:val="center"/>
                </w:tcPr>
                <w:p w14:paraId="26398B3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180</w:t>
                  </w:r>
                </w:p>
              </w:tc>
              <w:tc>
                <w:tcPr>
                  <w:tcW w:w="945" w:type="dxa"/>
                  <w:vAlign w:val="center"/>
                </w:tcPr>
                <w:p w14:paraId="2B78B01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COD</w:t>
                  </w:r>
                </w:p>
              </w:tc>
              <w:tc>
                <w:tcPr>
                  <w:tcW w:w="1110" w:type="dxa"/>
                  <w:vAlign w:val="center"/>
                </w:tcPr>
                <w:p w14:paraId="17CEBF4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50</w:t>
                  </w:r>
                </w:p>
              </w:tc>
              <w:tc>
                <w:tcPr>
                  <w:tcW w:w="1185" w:type="dxa"/>
                  <w:vAlign w:val="center"/>
                </w:tcPr>
                <w:p w14:paraId="761E943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0.009</w:t>
                  </w:r>
                </w:p>
              </w:tc>
              <w:tc>
                <w:tcPr>
                  <w:tcW w:w="1083" w:type="dxa"/>
                  <w:vMerge w:val="restart"/>
                  <w:vAlign w:val="center"/>
                </w:tcPr>
                <w:p w14:paraId="3CCA34E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清净下水，回用</w:t>
                  </w:r>
                </w:p>
              </w:tc>
              <w:tc>
                <w:tcPr>
                  <w:tcW w:w="1440" w:type="dxa"/>
                  <w:vMerge w:val="restart"/>
                  <w:vAlign w:val="center"/>
                </w:tcPr>
                <w:p w14:paraId="5D71B88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回用于厂区绿化洒扫</w:t>
                  </w:r>
                </w:p>
              </w:tc>
            </w:tr>
            <w:tr w14:paraId="7D24BF8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1A852E6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1CFE7A9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01B570D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SS</w:t>
                  </w:r>
                </w:p>
              </w:tc>
              <w:tc>
                <w:tcPr>
                  <w:tcW w:w="1110" w:type="dxa"/>
                  <w:vAlign w:val="center"/>
                </w:tcPr>
                <w:p w14:paraId="4F4BD19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50</w:t>
                  </w:r>
                </w:p>
              </w:tc>
              <w:tc>
                <w:tcPr>
                  <w:tcW w:w="1185" w:type="dxa"/>
                  <w:vAlign w:val="center"/>
                </w:tcPr>
                <w:p w14:paraId="61C3A12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0.009</w:t>
                  </w:r>
                </w:p>
              </w:tc>
              <w:tc>
                <w:tcPr>
                  <w:tcW w:w="1083" w:type="dxa"/>
                  <w:vMerge w:val="continue"/>
                  <w:vAlign w:val="center"/>
                </w:tcPr>
                <w:p w14:paraId="246C52F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440" w:type="dxa"/>
                  <w:vMerge w:val="continue"/>
                  <w:vAlign w:val="center"/>
                </w:tcPr>
                <w:p w14:paraId="1A8B636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4F87E14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restart"/>
                  <w:vAlign w:val="center"/>
                </w:tcPr>
                <w:p w14:paraId="6C0D994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电泳废水（电泳前处理及纯水精洗废水）</w:t>
                  </w:r>
                </w:p>
              </w:tc>
              <w:tc>
                <w:tcPr>
                  <w:tcW w:w="825" w:type="dxa"/>
                  <w:vMerge w:val="restart"/>
                  <w:vAlign w:val="center"/>
                </w:tcPr>
                <w:p w14:paraId="2A41839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90</w:t>
                  </w:r>
                </w:p>
              </w:tc>
              <w:tc>
                <w:tcPr>
                  <w:tcW w:w="945" w:type="dxa"/>
                  <w:vAlign w:val="center"/>
                </w:tcPr>
                <w:p w14:paraId="6574319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COD</w:t>
                  </w:r>
                </w:p>
              </w:tc>
              <w:tc>
                <w:tcPr>
                  <w:tcW w:w="1110" w:type="dxa"/>
                  <w:vAlign w:val="center"/>
                </w:tcPr>
                <w:p w14:paraId="72E15E1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300</w:t>
                  </w:r>
                </w:p>
              </w:tc>
              <w:tc>
                <w:tcPr>
                  <w:tcW w:w="1185" w:type="dxa"/>
                  <w:vAlign w:val="center"/>
                </w:tcPr>
                <w:p w14:paraId="21453C4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0.027</w:t>
                  </w:r>
                </w:p>
              </w:tc>
              <w:tc>
                <w:tcPr>
                  <w:tcW w:w="1083" w:type="dxa"/>
                  <w:vMerge w:val="restart"/>
                  <w:vAlign w:val="center"/>
                </w:tcPr>
                <w:p w14:paraId="5F744F7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废水处理站（调节+混凝沉淀+MBR+砂滤）</w:t>
                  </w:r>
                </w:p>
              </w:tc>
              <w:tc>
                <w:tcPr>
                  <w:tcW w:w="1440" w:type="dxa"/>
                  <w:vMerge w:val="restart"/>
                  <w:vAlign w:val="center"/>
                </w:tcPr>
                <w:p w14:paraId="2EDD810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处理后回用于厂区洒扫</w:t>
                  </w:r>
                </w:p>
              </w:tc>
            </w:tr>
            <w:tr w14:paraId="6E9CD38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245EFBE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728B513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7E48F1B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SS</w:t>
                  </w:r>
                </w:p>
              </w:tc>
              <w:tc>
                <w:tcPr>
                  <w:tcW w:w="1110" w:type="dxa"/>
                  <w:vAlign w:val="center"/>
                </w:tcPr>
                <w:p w14:paraId="124EE55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150</w:t>
                  </w:r>
                </w:p>
              </w:tc>
              <w:tc>
                <w:tcPr>
                  <w:tcW w:w="1185" w:type="dxa"/>
                  <w:vAlign w:val="center"/>
                </w:tcPr>
                <w:p w14:paraId="6A023F2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0.0135</w:t>
                  </w:r>
                </w:p>
              </w:tc>
              <w:tc>
                <w:tcPr>
                  <w:tcW w:w="1083" w:type="dxa"/>
                  <w:vMerge w:val="continue"/>
                  <w:vAlign w:val="center"/>
                </w:tcPr>
                <w:p w14:paraId="650BEC3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440" w:type="dxa"/>
                  <w:vMerge w:val="continue"/>
                  <w:vAlign w:val="center"/>
                </w:tcPr>
                <w:p w14:paraId="06E61EC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72F7B90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106F5C9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67D3D9B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7A68C77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石油类</w:t>
                  </w:r>
                </w:p>
              </w:tc>
              <w:tc>
                <w:tcPr>
                  <w:tcW w:w="1110" w:type="dxa"/>
                  <w:vAlign w:val="center"/>
                </w:tcPr>
                <w:p w14:paraId="129885A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15</w:t>
                  </w:r>
                </w:p>
              </w:tc>
              <w:tc>
                <w:tcPr>
                  <w:tcW w:w="1185" w:type="dxa"/>
                  <w:vAlign w:val="center"/>
                </w:tcPr>
                <w:p w14:paraId="1D9C637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0.00135</w:t>
                  </w:r>
                </w:p>
              </w:tc>
              <w:tc>
                <w:tcPr>
                  <w:tcW w:w="1083" w:type="dxa"/>
                  <w:vMerge w:val="continue"/>
                  <w:vAlign w:val="center"/>
                </w:tcPr>
                <w:p w14:paraId="681ABCE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440" w:type="dxa"/>
                  <w:vMerge w:val="continue"/>
                  <w:vAlign w:val="center"/>
                </w:tcPr>
                <w:p w14:paraId="1048C93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0EA878E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3CF897F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554FCBF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7E8B7B9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NH₃-N</w:t>
                  </w:r>
                </w:p>
              </w:tc>
              <w:tc>
                <w:tcPr>
                  <w:tcW w:w="1110" w:type="dxa"/>
                  <w:vAlign w:val="center"/>
                </w:tcPr>
                <w:p w14:paraId="3E37239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15</w:t>
                  </w:r>
                </w:p>
              </w:tc>
              <w:tc>
                <w:tcPr>
                  <w:tcW w:w="1185" w:type="dxa"/>
                  <w:vAlign w:val="center"/>
                </w:tcPr>
                <w:p w14:paraId="3C7EC57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0.00135</w:t>
                  </w:r>
                </w:p>
              </w:tc>
              <w:tc>
                <w:tcPr>
                  <w:tcW w:w="1083" w:type="dxa"/>
                  <w:vMerge w:val="continue"/>
                  <w:vAlign w:val="center"/>
                </w:tcPr>
                <w:p w14:paraId="3DC27C9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1440" w:type="dxa"/>
                  <w:vMerge w:val="continue"/>
                  <w:vAlign w:val="center"/>
                </w:tcPr>
                <w:p w14:paraId="5BF4397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r>
            <w:tr w14:paraId="7ADB60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Align w:val="center"/>
                </w:tcPr>
                <w:p w14:paraId="67230CD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车间地面清洁水</w:t>
                  </w:r>
                </w:p>
              </w:tc>
              <w:tc>
                <w:tcPr>
                  <w:tcW w:w="825" w:type="dxa"/>
                  <w:vAlign w:val="center"/>
                </w:tcPr>
                <w:p w14:paraId="7570589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60</w:t>
                  </w:r>
                </w:p>
              </w:tc>
              <w:tc>
                <w:tcPr>
                  <w:tcW w:w="945" w:type="dxa"/>
                  <w:vAlign w:val="center"/>
                </w:tcPr>
                <w:p w14:paraId="7BA45D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highlight w:val="none"/>
                    </w:rPr>
                    <w:t>COD</w:t>
                  </w:r>
                </w:p>
              </w:tc>
              <w:tc>
                <w:tcPr>
                  <w:tcW w:w="1110" w:type="dxa"/>
                  <w:vAlign w:val="center"/>
                </w:tcPr>
                <w:p w14:paraId="5B33B1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highlight w:val="none"/>
                    </w:rPr>
                    <w:t>100</w:t>
                  </w:r>
                </w:p>
              </w:tc>
              <w:tc>
                <w:tcPr>
                  <w:tcW w:w="1185" w:type="dxa"/>
                  <w:vAlign w:val="center"/>
                </w:tcPr>
                <w:p w14:paraId="50429B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highlight w:val="none"/>
                    </w:rPr>
                    <w:t>0.006</w:t>
                  </w:r>
                </w:p>
              </w:tc>
              <w:tc>
                <w:tcPr>
                  <w:tcW w:w="1083" w:type="dxa"/>
                  <w:vAlign w:val="center"/>
                </w:tcPr>
                <w:p w14:paraId="6E0BEA6D">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废水处理站（调节+混凝沉淀+MBR+砂滤）</w:t>
                  </w:r>
                </w:p>
              </w:tc>
              <w:tc>
                <w:tcPr>
                  <w:tcW w:w="1440" w:type="dxa"/>
                  <w:vAlign w:val="center"/>
                </w:tcPr>
                <w:p w14:paraId="236476C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处理后回用于厂区洒扫</w:t>
                  </w:r>
                </w:p>
              </w:tc>
            </w:tr>
            <w:tr w14:paraId="3302536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Align w:val="center"/>
                </w:tcPr>
                <w:p w14:paraId="62816AC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循环冷却系统排污</w:t>
                  </w:r>
                </w:p>
              </w:tc>
              <w:tc>
                <w:tcPr>
                  <w:tcW w:w="825" w:type="dxa"/>
                  <w:vAlign w:val="center"/>
                </w:tcPr>
                <w:p w14:paraId="1995A18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150</w:t>
                  </w:r>
                </w:p>
              </w:tc>
              <w:tc>
                <w:tcPr>
                  <w:tcW w:w="945" w:type="dxa"/>
                  <w:vAlign w:val="center"/>
                </w:tcPr>
                <w:p w14:paraId="201BF27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highlight w:val="none"/>
                    </w:rPr>
                    <w:t>COD</w:t>
                  </w:r>
                </w:p>
              </w:tc>
              <w:tc>
                <w:tcPr>
                  <w:tcW w:w="1110" w:type="dxa"/>
                  <w:vAlign w:val="center"/>
                </w:tcPr>
                <w:p w14:paraId="05EE239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highlight w:val="none"/>
                    </w:rPr>
                    <w:t>90</w:t>
                  </w:r>
                </w:p>
              </w:tc>
              <w:tc>
                <w:tcPr>
                  <w:tcW w:w="1185" w:type="dxa"/>
                  <w:vAlign w:val="center"/>
                </w:tcPr>
                <w:p w14:paraId="43F196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highlight w:val="none"/>
                    </w:rPr>
                    <w:t>0.0135</w:t>
                  </w:r>
                </w:p>
              </w:tc>
              <w:tc>
                <w:tcPr>
                  <w:tcW w:w="1083" w:type="dxa"/>
                  <w:vAlign w:val="center"/>
                </w:tcPr>
                <w:p w14:paraId="3CC85C1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清净下水，回用</w:t>
                  </w:r>
                </w:p>
              </w:tc>
              <w:tc>
                <w:tcPr>
                  <w:tcW w:w="1440" w:type="dxa"/>
                  <w:vAlign w:val="center"/>
                </w:tcPr>
                <w:p w14:paraId="428897E0">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回用于厂区绿化洒扫</w:t>
                  </w:r>
                </w:p>
              </w:tc>
            </w:tr>
            <w:tr w14:paraId="07091DC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restart"/>
                  <w:vAlign w:val="center"/>
                </w:tcPr>
                <w:p w14:paraId="1C8C8B5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合计</w:t>
                  </w:r>
                </w:p>
              </w:tc>
              <w:tc>
                <w:tcPr>
                  <w:tcW w:w="825" w:type="dxa"/>
                  <w:vMerge w:val="restart"/>
                  <w:vAlign w:val="center"/>
                </w:tcPr>
                <w:p w14:paraId="4C28B774">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1098</w:t>
                  </w:r>
                </w:p>
              </w:tc>
              <w:tc>
                <w:tcPr>
                  <w:tcW w:w="945" w:type="dxa"/>
                  <w:vAlign w:val="center"/>
                </w:tcPr>
                <w:p w14:paraId="07123B0D">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COD</w:t>
                  </w:r>
                </w:p>
              </w:tc>
              <w:tc>
                <w:tcPr>
                  <w:tcW w:w="1110" w:type="dxa"/>
                  <w:vAlign w:val="center"/>
                </w:tcPr>
                <w:p w14:paraId="2FD42902">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1185" w:type="dxa"/>
                  <w:vAlign w:val="center"/>
                </w:tcPr>
                <w:p w14:paraId="78565E7F">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0.4693</w:t>
                  </w:r>
                </w:p>
              </w:tc>
              <w:tc>
                <w:tcPr>
                  <w:tcW w:w="1083" w:type="dxa"/>
                  <w:vAlign w:val="center"/>
                </w:tcPr>
                <w:p w14:paraId="33DC42E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1440" w:type="dxa"/>
                  <w:vAlign w:val="center"/>
                </w:tcPr>
                <w:p w14:paraId="5CD75FB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r>
            <w:tr w14:paraId="573A706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1782" w:type="dxa"/>
                  <w:vMerge w:val="continue"/>
                  <w:vAlign w:val="center"/>
                </w:tcPr>
                <w:p w14:paraId="0155E57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825" w:type="dxa"/>
                  <w:vMerge w:val="continue"/>
                  <w:vAlign w:val="center"/>
                </w:tcPr>
                <w:p w14:paraId="09CB39C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p>
              </w:tc>
              <w:tc>
                <w:tcPr>
                  <w:tcW w:w="945" w:type="dxa"/>
                  <w:vAlign w:val="center"/>
                </w:tcPr>
                <w:p w14:paraId="68B964F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NH₃-N</w:t>
                  </w:r>
                </w:p>
              </w:tc>
              <w:tc>
                <w:tcPr>
                  <w:tcW w:w="1110" w:type="dxa"/>
                  <w:vAlign w:val="center"/>
                </w:tcPr>
                <w:p w14:paraId="2B265D5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1185" w:type="dxa"/>
                  <w:vAlign w:val="center"/>
                </w:tcPr>
                <w:p w14:paraId="0785374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0.02</w:t>
                  </w:r>
                  <w:r>
                    <w:rPr>
                      <w:rFonts w:hint="default" w:ascii="Times New Roman" w:hAnsi="Times New Roman" w:eastAsia="宋体" w:cs="Times New Roman"/>
                      <w:b w:val="0"/>
                      <w:color w:val="auto"/>
                      <w:sz w:val="21"/>
                      <w:szCs w:val="21"/>
                      <w:highlight w:val="none"/>
                      <w:lang w:val="en-US" w:eastAsia="zh-CN"/>
                    </w:rPr>
                    <w:t>81</w:t>
                  </w:r>
                </w:p>
              </w:tc>
              <w:tc>
                <w:tcPr>
                  <w:tcW w:w="1083" w:type="dxa"/>
                  <w:vAlign w:val="center"/>
                </w:tcPr>
                <w:p w14:paraId="31C33E3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1440" w:type="dxa"/>
                  <w:vAlign w:val="center"/>
                </w:tcPr>
                <w:p w14:paraId="32328CD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r>
          </w:tbl>
          <w:p w14:paraId="58333D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smallCaps w:val="0"/>
                <w:color w:val="auto"/>
                <w:spacing w:val="0"/>
                <w:kern w:val="2"/>
                <w:position w:val="0"/>
                <w:sz w:val="24"/>
                <w:szCs w:val="24"/>
                <w:highlight w:val="none"/>
                <w:lang w:val="en-US" w:eastAsia="zh-CN" w:bidi="ar-SA"/>
              </w:rPr>
            </w:pPr>
            <w:r>
              <w:rPr>
                <w:rFonts w:hint="default" w:ascii="Times New Roman" w:hAnsi="Times New Roman" w:eastAsia="宋体" w:cs="Times New Roman"/>
                <w:smallCaps w:val="0"/>
                <w:color w:val="auto"/>
                <w:spacing w:val="0"/>
                <w:kern w:val="2"/>
                <w:position w:val="0"/>
                <w:sz w:val="24"/>
                <w:szCs w:val="24"/>
                <w:highlight w:val="none"/>
                <w:lang w:val="en-US" w:eastAsia="zh-CN" w:bidi="ar-SA"/>
              </w:rPr>
              <w:t>由上表可知，本项目生活污水经化粪池处理后定期清掏外运，生产废水经废水处理站处理后回用水质满足《城市污水再生利用 城市杂用水水质》（GB/T 18920-2020）要求并全部回用于厂区洒扫，全厂废水不外排，对地表水环境无影响。</w:t>
            </w:r>
          </w:p>
          <w:p w14:paraId="196D0444">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smallCaps w:val="0"/>
                <w:color w:val="auto"/>
                <w:spacing w:val="0"/>
                <w:position w:val="0"/>
                <w:sz w:val="24"/>
                <w:szCs w:val="24"/>
                <w:highlight w:val="none"/>
                <w:lang w:val="zh-CN"/>
              </w:rPr>
            </w:pPr>
            <w:r>
              <w:rPr>
                <w:rFonts w:hint="default" w:ascii="Times New Roman" w:hAnsi="Times New Roman" w:eastAsia="宋体" w:cs="Times New Roman"/>
                <w:b/>
                <w:bCs/>
                <w:smallCaps w:val="0"/>
                <w:color w:val="auto"/>
                <w:spacing w:val="0"/>
                <w:position w:val="0"/>
                <w:sz w:val="24"/>
                <w:szCs w:val="24"/>
                <w:highlight w:val="none"/>
                <w:lang w:val="en-US" w:eastAsia="zh-CN"/>
              </w:rPr>
              <w:t>2.废水处理与回用情况</w:t>
            </w:r>
          </w:p>
          <w:p w14:paraId="78AF228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r>
              <w:rPr>
                <w:rFonts w:hint="default" w:ascii="Times New Roman" w:hAnsi="Times New Roman" w:eastAsia="宋体" w:cs="Times New Roman"/>
                <w:b/>
                <w:bCs/>
                <w:smallCaps w:val="0"/>
                <w:color w:val="auto"/>
                <w:spacing w:val="0"/>
                <w:position w:val="0"/>
                <w:sz w:val="24"/>
                <w:szCs w:val="24"/>
                <w:highlight w:val="none"/>
                <w:lang w:val="en-US" w:eastAsia="zh-CN"/>
              </w:rPr>
              <w:t>表4-5  项目废水处理与回用情况表</w:t>
            </w:r>
          </w:p>
          <w:tbl>
            <w:tblPr>
              <w:tblStyle w:val="33"/>
              <w:tblW w:w="8317"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735"/>
              <w:gridCol w:w="908"/>
              <w:gridCol w:w="1260"/>
              <w:gridCol w:w="2550"/>
              <w:gridCol w:w="885"/>
              <w:gridCol w:w="828"/>
              <w:gridCol w:w="1151"/>
            </w:tblGrid>
            <w:tr w14:paraId="4609939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441" w:type="pct"/>
                  <w:vMerge w:val="restart"/>
                  <w:tcBorders>
                    <w:tl2br w:val="nil"/>
                    <w:tr2bl w:val="nil"/>
                  </w:tcBorders>
                  <w:noWrap w:val="0"/>
                  <w:vAlign w:val="center"/>
                </w:tcPr>
                <w:p w14:paraId="5A6BFBA7">
                  <w:pPr>
                    <w:keepNext w:val="0"/>
                    <w:keepLines w:val="0"/>
                    <w:widowControl/>
                    <w:suppressLineNumbers w:val="0"/>
                    <w:spacing w:before="0" w:beforeAutospacing="0" w:after="0" w:afterAutospacing="0"/>
                    <w:ind w:left="0" w:right="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序号</w:t>
                  </w:r>
                </w:p>
              </w:tc>
              <w:tc>
                <w:tcPr>
                  <w:tcW w:w="545" w:type="pct"/>
                  <w:vMerge w:val="restart"/>
                  <w:tcBorders>
                    <w:tl2br w:val="nil"/>
                    <w:tr2bl w:val="nil"/>
                  </w:tcBorders>
                  <w:noWrap w:val="0"/>
                  <w:vAlign w:val="center"/>
                </w:tcPr>
                <w:p w14:paraId="388C532C">
                  <w:pPr>
                    <w:keepNext w:val="0"/>
                    <w:keepLines w:val="0"/>
                    <w:widowControl/>
                    <w:suppressLineNumbers w:val="0"/>
                    <w:spacing w:before="0" w:beforeAutospacing="0" w:after="0" w:afterAutospacing="0"/>
                    <w:ind w:left="0" w:right="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编号</w:t>
                  </w:r>
                </w:p>
              </w:tc>
              <w:tc>
                <w:tcPr>
                  <w:tcW w:w="757" w:type="pct"/>
                  <w:vMerge w:val="restart"/>
                  <w:tcBorders>
                    <w:tl2br w:val="nil"/>
                    <w:tr2bl w:val="nil"/>
                  </w:tcBorders>
                  <w:noWrap w:val="0"/>
                  <w:vAlign w:val="center"/>
                </w:tcPr>
                <w:p w14:paraId="682B3E01">
                  <w:pPr>
                    <w:keepNext w:val="0"/>
                    <w:keepLines w:val="0"/>
                    <w:widowControl/>
                    <w:suppressLineNumbers w:val="0"/>
                    <w:spacing w:before="0" w:beforeAutospacing="0" w:after="0" w:afterAutospacing="0"/>
                    <w:ind w:left="0" w:right="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排放口名称</w:t>
                  </w:r>
                </w:p>
              </w:tc>
              <w:tc>
                <w:tcPr>
                  <w:tcW w:w="1533" w:type="pct"/>
                  <w:vMerge w:val="restart"/>
                  <w:tcBorders>
                    <w:tl2br w:val="nil"/>
                    <w:tr2bl w:val="nil"/>
                  </w:tcBorders>
                  <w:noWrap w:val="0"/>
                  <w:vAlign w:val="center"/>
                </w:tcPr>
                <w:p w14:paraId="47AFC11C">
                  <w:pPr>
                    <w:keepNext w:val="0"/>
                    <w:keepLines w:val="0"/>
                    <w:widowControl/>
                    <w:suppressLineNumbers w:val="0"/>
                    <w:spacing w:before="0" w:beforeAutospacing="0" w:after="0" w:afterAutospacing="0"/>
                    <w:ind w:left="0" w:right="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污染物</w:t>
                  </w:r>
                </w:p>
              </w:tc>
              <w:tc>
                <w:tcPr>
                  <w:tcW w:w="532" w:type="pct"/>
                  <w:vMerge w:val="restart"/>
                  <w:tcBorders>
                    <w:tl2br w:val="nil"/>
                    <w:tr2bl w:val="nil"/>
                  </w:tcBorders>
                  <w:noWrap w:val="0"/>
                  <w:vAlign w:val="center"/>
                </w:tcPr>
                <w:p w14:paraId="3DD6C620">
                  <w:pPr>
                    <w:keepNext w:val="0"/>
                    <w:keepLines w:val="0"/>
                    <w:widowControl/>
                    <w:suppressLineNumbers w:val="0"/>
                    <w:spacing w:before="0" w:beforeAutospacing="0" w:after="0" w:afterAutospacing="0"/>
                    <w:ind w:left="0" w:right="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排放方式</w:t>
                  </w:r>
                </w:p>
              </w:tc>
              <w:tc>
                <w:tcPr>
                  <w:tcW w:w="497" w:type="pct"/>
                  <w:vMerge w:val="restart"/>
                  <w:tcBorders>
                    <w:tl2br w:val="nil"/>
                    <w:tr2bl w:val="nil"/>
                  </w:tcBorders>
                  <w:noWrap w:val="0"/>
                  <w:vAlign w:val="center"/>
                </w:tcPr>
                <w:p w14:paraId="4333B8AB">
                  <w:pPr>
                    <w:keepNext w:val="0"/>
                    <w:keepLines w:val="0"/>
                    <w:widowControl/>
                    <w:suppressLineNumbers w:val="0"/>
                    <w:spacing w:before="0" w:beforeAutospacing="0" w:after="0" w:afterAutospacing="0"/>
                    <w:ind w:left="0" w:right="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排放去向</w:t>
                  </w:r>
                </w:p>
              </w:tc>
              <w:tc>
                <w:tcPr>
                  <w:tcW w:w="691" w:type="pct"/>
                  <w:vMerge w:val="restart"/>
                  <w:tcBorders>
                    <w:tl2br w:val="nil"/>
                    <w:tr2bl w:val="nil"/>
                  </w:tcBorders>
                  <w:noWrap w:val="0"/>
                  <w:vAlign w:val="center"/>
                </w:tcPr>
                <w:p w14:paraId="160BE763">
                  <w:pPr>
                    <w:keepNext w:val="0"/>
                    <w:keepLines w:val="0"/>
                    <w:widowControl/>
                    <w:suppressLineNumbers w:val="0"/>
                    <w:spacing w:before="0" w:beforeAutospacing="0" w:after="0" w:afterAutospacing="0"/>
                    <w:ind w:left="0" w:right="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排放规律</w:t>
                  </w:r>
                </w:p>
              </w:tc>
            </w:tr>
            <w:tr w14:paraId="5CD8B8C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441" w:type="pct"/>
                  <w:vMerge w:val="continue"/>
                  <w:tcBorders>
                    <w:tl2br w:val="nil"/>
                    <w:tr2bl w:val="nil"/>
                  </w:tcBorders>
                  <w:noWrap w:val="0"/>
                  <w:vAlign w:val="center"/>
                </w:tcPr>
                <w:p w14:paraId="6BE5B5EF">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mallCaps w:val="0"/>
                      <w:color w:val="auto"/>
                      <w:spacing w:val="0"/>
                      <w:position w:val="0"/>
                      <w:sz w:val="21"/>
                      <w:szCs w:val="21"/>
                      <w:highlight w:val="none"/>
                    </w:rPr>
                  </w:pPr>
                </w:p>
              </w:tc>
              <w:tc>
                <w:tcPr>
                  <w:tcW w:w="545" w:type="pct"/>
                  <w:vMerge w:val="continue"/>
                  <w:tcBorders>
                    <w:tl2br w:val="nil"/>
                    <w:tr2bl w:val="nil"/>
                  </w:tcBorders>
                  <w:noWrap w:val="0"/>
                  <w:vAlign w:val="center"/>
                </w:tcPr>
                <w:p w14:paraId="1DE27039">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mallCaps w:val="0"/>
                      <w:color w:val="auto"/>
                      <w:spacing w:val="0"/>
                      <w:position w:val="0"/>
                      <w:sz w:val="21"/>
                      <w:szCs w:val="21"/>
                      <w:highlight w:val="none"/>
                    </w:rPr>
                  </w:pPr>
                </w:p>
              </w:tc>
              <w:tc>
                <w:tcPr>
                  <w:tcW w:w="757" w:type="pct"/>
                  <w:vMerge w:val="continue"/>
                  <w:tcBorders>
                    <w:tl2br w:val="nil"/>
                    <w:tr2bl w:val="nil"/>
                  </w:tcBorders>
                  <w:noWrap w:val="0"/>
                  <w:vAlign w:val="center"/>
                </w:tcPr>
                <w:p w14:paraId="7E26C3F2">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mallCaps w:val="0"/>
                      <w:color w:val="auto"/>
                      <w:spacing w:val="0"/>
                      <w:position w:val="0"/>
                      <w:sz w:val="21"/>
                      <w:szCs w:val="21"/>
                      <w:highlight w:val="none"/>
                    </w:rPr>
                  </w:pPr>
                </w:p>
              </w:tc>
              <w:tc>
                <w:tcPr>
                  <w:tcW w:w="1533" w:type="pct"/>
                  <w:vMerge w:val="continue"/>
                  <w:tcBorders>
                    <w:tl2br w:val="nil"/>
                    <w:tr2bl w:val="nil"/>
                  </w:tcBorders>
                  <w:noWrap w:val="0"/>
                  <w:vAlign w:val="center"/>
                </w:tcPr>
                <w:p w14:paraId="7FECC218">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mallCaps w:val="0"/>
                      <w:color w:val="auto"/>
                      <w:spacing w:val="0"/>
                      <w:position w:val="0"/>
                      <w:sz w:val="21"/>
                      <w:szCs w:val="21"/>
                      <w:highlight w:val="none"/>
                    </w:rPr>
                  </w:pPr>
                </w:p>
              </w:tc>
              <w:tc>
                <w:tcPr>
                  <w:tcW w:w="532" w:type="pct"/>
                  <w:vMerge w:val="continue"/>
                  <w:tcBorders>
                    <w:tl2br w:val="nil"/>
                    <w:tr2bl w:val="nil"/>
                  </w:tcBorders>
                  <w:noWrap w:val="0"/>
                  <w:vAlign w:val="center"/>
                </w:tcPr>
                <w:p w14:paraId="63F514D9">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mallCaps w:val="0"/>
                      <w:color w:val="auto"/>
                      <w:spacing w:val="0"/>
                      <w:position w:val="0"/>
                      <w:sz w:val="21"/>
                      <w:szCs w:val="21"/>
                      <w:highlight w:val="none"/>
                    </w:rPr>
                  </w:pPr>
                </w:p>
              </w:tc>
              <w:tc>
                <w:tcPr>
                  <w:tcW w:w="497" w:type="pct"/>
                  <w:vMerge w:val="continue"/>
                  <w:tcBorders>
                    <w:tl2br w:val="nil"/>
                    <w:tr2bl w:val="nil"/>
                  </w:tcBorders>
                  <w:noWrap w:val="0"/>
                  <w:vAlign w:val="center"/>
                </w:tcPr>
                <w:p w14:paraId="14056A10">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mallCaps w:val="0"/>
                      <w:color w:val="auto"/>
                      <w:spacing w:val="0"/>
                      <w:position w:val="0"/>
                      <w:sz w:val="21"/>
                      <w:szCs w:val="21"/>
                      <w:highlight w:val="none"/>
                    </w:rPr>
                  </w:pPr>
                </w:p>
              </w:tc>
              <w:tc>
                <w:tcPr>
                  <w:tcW w:w="691" w:type="pct"/>
                  <w:vMerge w:val="continue"/>
                  <w:tcBorders>
                    <w:tl2br w:val="nil"/>
                    <w:tr2bl w:val="nil"/>
                  </w:tcBorders>
                  <w:noWrap w:val="0"/>
                  <w:vAlign w:val="center"/>
                </w:tcPr>
                <w:p w14:paraId="3FEFCD4A">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mallCaps w:val="0"/>
                      <w:color w:val="auto"/>
                      <w:spacing w:val="0"/>
                      <w:position w:val="0"/>
                      <w:sz w:val="21"/>
                      <w:szCs w:val="21"/>
                      <w:highlight w:val="none"/>
                    </w:rPr>
                  </w:pPr>
                </w:p>
              </w:tc>
            </w:tr>
            <w:tr w14:paraId="19C382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49" w:hRule="atLeast"/>
                <w:jc w:val="center"/>
              </w:trPr>
              <w:tc>
                <w:tcPr>
                  <w:tcW w:w="441" w:type="pct"/>
                  <w:tcBorders>
                    <w:tl2br w:val="nil"/>
                    <w:tr2bl w:val="nil"/>
                  </w:tcBorders>
                  <w:noWrap w:val="0"/>
                  <w:vAlign w:val="center"/>
                </w:tcPr>
                <w:p w14:paraId="2A3ACC9F">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mallCaps w:val="0"/>
                      <w:color w:val="auto"/>
                      <w:spacing w:val="0"/>
                      <w:position w:val="0"/>
                      <w:sz w:val="21"/>
                      <w:szCs w:val="21"/>
                      <w:highlight w:val="none"/>
                    </w:rPr>
                  </w:pPr>
                  <w:r>
                    <w:rPr>
                      <w:rFonts w:hint="default" w:ascii="Times New Roman" w:hAnsi="Times New Roman" w:cs="Times New Roman"/>
                      <w:smallCaps w:val="0"/>
                      <w:color w:val="auto"/>
                      <w:spacing w:val="0"/>
                      <w:position w:val="0"/>
                      <w:sz w:val="21"/>
                      <w:szCs w:val="21"/>
                      <w:highlight w:val="none"/>
                    </w:rPr>
                    <w:t>1</w:t>
                  </w:r>
                </w:p>
              </w:tc>
              <w:tc>
                <w:tcPr>
                  <w:tcW w:w="545" w:type="pct"/>
                  <w:tcBorders>
                    <w:tl2br w:val="nil"/>
                    <w:tr2bl w:val="nil"/>
                  </w:tcBorders>
                  <w:noWrap w:val="0"/>
                  <w:vAlign w:val="center"/>
                </w:tcPr>
                <w:p w14:paraId="6D6E2EEA">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mallCaps w:val="0"/>
                      <w:color w:val="auto"/>
                      <w:spacing w:val="0"/>
                      <w:position w:val="0"/>
                      <w:sz w:val="21"/>
                      <w:szCs w:val="21"/>
                      <w:highlight w:val="none"/>
                    </w:rPr>
                  </w:pPr>
                  <w:r>
                    <w:rPr>
                      <w:rFonts w:hint="default" w:ascii="Times New Roman" w:hAnsi="Times New Roman" w:cs="Times New Roman"/>
                      <w:smallCaps w:val="0"/>
                      <w:color w:val="auto"/>
                      <w:spacing w:val="0"/>
                      <w:position w:val="0"/>
                      <w:sz w:val="21"/>
                      <w:szCs w:val="21"/>
                      <w:highlight w:val="none"/>
                    </w:rPr>
                    <w:t>DW001</w:t>
                  </w:r>
                </w:p>
              </w:tc>
              <w:tc>
                <w:tcPr>
                  <w:tcW w:w="757" w:type="pct"/>
                  <w:tcBorders>
                    <w:tl2br w:val="nil"/>
                    <w:tr2bl w:val="nil"/>
                  </w:tcBorders>
                  <w:noWrap w:val="0"/>
                  <w:vAlign w:val="center"/>
                </w:tcPr>
                <w:p w14:paraId="571F71D9">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mallCaps w:val="0"/>
                      <w:color w:val="auto"/>
                      <w:spacing w:val="0"/>
                      <w:position w:val="0"/>
                      <w:sz w:val="21"/>
                      <w:szCs w:val="21"/>
                      <w:highlight w:val="none"/>
                    </w:rPr>
                  </w:pPr>
                  <w:r>
                    <w:rPr>
                      <w:rFonts w:hint="default" w:ascii="Times New Roman" w:hAnsi="Times New Roman" w:eastAsia="宋体" w:cs="Times New Roman"/>
                      <w:bCs/>
                      <w:smallCaps w:val="0"/>
                      <w:color w:val="auto"/>
                      <w:spacing w:val="0"/>
                      <w:position w:val="0"/>
                      <w:sz w:val="21"/>
                      <w:szCs w:val="21"/>
                      <w:highlight w:val="none"/>
                      <w:lang w:val="en-US" w:eastAsia="zh-CN"/>
                    </w:rPr>
                    <w:t>厂区总排口</w:t>
                  </w:r>
                </w:p>
              </w:tc>
              <w:tc>
                <w:tcPr>
                  <w:tcW w:w="1533" w:type="pct"/>
                  <w:tcBorders>
                    <w:tl2br w:val="nil"/>
                    <w:tr2bl w:val="nil"/>
                  </w:tcBorders>
                  <w:noWrap w:val="0"/>
                  <w:vAlign w:val="center"/>
                </w:tcPr>
                <w:p w14:paraId="7CFDC671">
                  <w:pPr>
                    <w:keepNext w:val="0"/>
                    <w:keepLines w:val="0"/>
                    <w:pageBreakBefore w:val="0"/>
                    <w:widowControl w:val="0"/>
                    <w:suppressLineNumbers w:val="0"/>
                    <w:tabs>
                      <w:tab w:val="left" w:pos="945"/>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cs="Times New Roman"/>
                      <w:smallCaps w:val="0"/>
                      <w:color w:val="auto"/>
                      <w:spacing w:val="0"/>
                      <w:position w:val="0"/>
                      <w:sz w:val="21"/>
                      <w:szCs w:val="21"/>
                      <w:highlight w:val="none"/>
                    </w:rPr>
                    <w:t>COD</w:t>
                  </w:r>
                  <w:r>
                    <w:rPr>
                      <w:rFonts w:hint="default" w:ascii="Times New Roman" w:hAnsi="Times New Roman" w:cs="Times New Roman"/>
                      <w:smallCaps w:val="0"/>
                      <w:color w:val="auto"/>
                      <w:spacing w:val="0"/>
                      <w:position w:val="0"/>
                      <w:sz w:val="21"/>
                      <w:szCs w:val="21"/>
                      <w:highlight w:val="none"/>
                      <w:lang w:eastAsia="zh-CN"/>
                    </w:rPr>
                    <w:t>、</w:t>
                  </w:r>
                  <w:r>
                    <w:rPr>
                      <w:rFonts w:hint="default" w:ascii="Times New Roman" w:hAnsi="Times New Roman" w:cs="Times New Roman"/>
                      <w:smallCaps w:val="0"/>
                      <w:color w:val="auto"/>
                      <w:spacing w:val="0"/>
                      <w:position w:val="0"/>
                      <w:sz w:val="21"/>
                      <w:szCs w:val="21"/>
                      <w:highlight w:val="none"/>
                    </w:rPr>
                    <w:t>BOD</w:t>
                  </w:r>
                  <w:r>
                    <w:rPr>
                      <w:rFonts w:hint="default" w:ascii="Times New Roman" w:hAnsi="Times New Roman" w:cs="Times New Roman"/>
                      <w:smallCaps w:val="0"/>
                      <w:color w:val="auto"/>
                      <w:spacing w:val="0"/>
                      <w:position w:val="0"/>
                      <w:sz w:val="21"/>
                      <w:szCs w:val="21"/>
                      <w:highlight w:val="none"/>
                      <w:vertAlign w:val="subscript"/>
                    </w:rPr>
                    <w:t>5</w:t>
                  </w:r>
                  <w:r>
                    <w:rPr>
                      <w:rFonts w:hint="default" w:ascii="Times New Roman" w:hAnsi="Times New Roman" w:cs="Times New Roman"/>
                      <w:smallCaps w:val="0"/>
                      <w:color w:val="auto"/>
                      <w:spacing w:val="0"/>
                      <w:position w:val="0"/>
                      <w:sz w:val="21"/>
                      <w:szCs w:val="21"/>
                      <w:highlight w:val="none"/>
                      <w:lang w:eastAsia="zh-CN"/>
                    </w:rPr>
                    <w:t>、</w:t>
                  </w:r>
                  <w:r>
                    <w:rPr>
                      <w:rFonts w:hint="default" w:ascii="Times New Roman" w:hAnsi="Times New Roman" w:cs="Times New Roman"/>
                      <w:smallCaps w:val="0"/>
                      <w:color w:val="auto"/>
                      <w:spacing w:val="0"/>
                      <w:position w:val="0"/>
                      <w:sz w:val="21"/>
                      <w:szCs w:val="21"/>
                      <w:highlight w:val="none"/>
                    </w:rPr>
                    <w:t>SS</w:t>
                  </w:r>
                  <w:r>
                    <w:rPr>
                      <w:rFonts w:hint="default" w:ascii="Times New Roman" w:hAnsi="Times New Roman" w:cs="Times New Roman"/>
                      <w:smallCaps w:val="0"/>
                      <w:color w:val="auto"/>
                      <w:spacing w:val="0"/>
                      <w:position w:val="0"/>
                      <w:sz w:val="21"/>
                      <w:szCs w:val="21"/>
                      <w:highlight w:val="none"/>
                      <w:lang w:eastAsia="zh-CN"/>
                    </w:rPr>
                    <w:t>、</w:t>
                  </w:r>
                  <w:r>
                    <w:rPr>
                      <w:rFonts w:hint="default" w:ascii="Times New Roman" w:hAnsi="Times New Roman" w:cs="Times New Roman"/>
                      <w:smallCaps w:val="0"/>
                      <w:color w:val="auto"/>
                      <w:spacing w:val="0"/>
                      <w:position w:val="0"/>
                      <w:sz w:val="21"/>
                      <w:szCs w:val="21"/>
                      <w:highlight w:val="none"/>
                    </w:rPr>
                    <w:t>NH</w:t>
                  </w:r>
                  <w:r>
                    <w:rPr>
                      <w:rFonts w:hint="default" w:ascii="Times New Roman" w:hAnsi="Times New Roman" w:cs="Times New Roman"/>
                      <w:smallCaps w:val="0"/>
                      <w:color w:val="auto"/>
                      <w:spacing w:val="0"/>
                      <w:position w:val="0"/>
                      <w:sz w:val="21"/>
                      <w:szCs w:val="21"/>
                      <w:highlight w:val="none"/>
                      <w:vertAlign w:val="subscript"/>
                    </w:rPr>
                    <w:t>3</w:t>
                  </w:r>
                  <w:r>
                    <w:rPr>
                      <w:rFonts w:hint="default" w:ascii="Times New Roman" w:hAnsi="Times New Roman" w:cs="Times New Roman"/>
                      <w:smallCaps w:val="0"/>
                      <w:color w:val="auto"/>
                      <w:spacing w:val="0"/>
                      <w:position w:val="0"/>
                      <w:sz w:val="21"/>
                      <w:szCs w:val="21"/>
                      <w:highlight w:val="none"/>
                    </w:rPr>
                    <w:t>-N</w:t>
                  </w:r>
                  <w:r>
                    <w:rPr>
                      <w:rFonts w:hint="default" w:ascii="Times New Roman" w:hAnsi="Times New Roman" w:cs="Times New Roman"/>
                      <w:smallCaps w:val="0"/>
                      <w:color w:val="auto"/>
                      <w:spacing w:val="0"/>
                      <w:position w:val="0"/>
                      <w:sz w:val="21"/>
                      <w:szCs w:val="21"/>
                      <w:highlight w:val="none"/>
                      <w:lang w:eastAsia="zh-CN"/>
                    </w:rPr>
                    <w:t>、</w:t>
                  </w:r>
                  <w:r>
                    <w:rPr>
                      <w:rFonts w:hint="default" w:ascii="Times New Roman" w:hAnsi="Times New Roman" w:cs="Times New Roman"/>
                      <w:smallCaps w:val="0"/>
                      <w:color w:val="auto"/>
                      <w:spacing w:val="0"/>
                      <w:position w:val="0"/>
                      <w:sz w:val="21"/>
                      <w:szCs w:val="21"/>
                      <w:highlight w:val="none"/>
                    </w:rPr>
                    <w:t>总磷</w:t>
                  </w:r>
                  <w:r>
                    <w:rPr>
                      <w:rFonts w:hint="default" w:ascii="Times New Roman" w:hAnsi="Times New Roman" w:cs="Times New Roman"/>
                      <w:smallCaps w:val="0"/>
                      <w:color w:val="auto"/>
                      <w:spacing w:val="0"/>
                      <w:position w:val="0"/>
                      <w:sz w:val="21"/>
                      <w:szCs w:val="21"/>
                      <w:highlight w:val="none"/>
                      <w:lang w:eastAsia="zh-CN"/>
                    </w:rPr>
                    <w:t>、</w:t>
                  </w:r>
                  <w:r>
                    <w:rPr>
                      <w:rFonts w:hint="default" w:ascii="Times New Roman" w:hAnsi="Times New Roman" w:cs="Times New Roman"/>
                      <w:smallCaps w:val="0"/>
                      <w:color w:val="auto"/>
                      <w:spacing w:val="0"/>
                      <w:position w:val="0"/>
                      <w:sz w:val="21"/>
                      <w:szCs w:val="21"/>
                      <w:highlight w:val="none"/>
                    </w:rPr>
                    <w:t>总氮</w:t>
                  </w:r>
                  <w:r>
                    <w:rPr>
                      <w:rFonts w:hint="default" w:ascii="Times New Roman" w:hAnsi="Times New Roman" w:cs="Times New Roman"/>
                      <w:smallCaps w:val="0"/>
                      <w:color w:val="auto"/>
                      <w:spacing w:val="0"/>
                      <w:position w:val="0"/>
                      <w:sz w:val="21"/>
                      <w:szCs w:val="21"/>
                      <w:highlight w:val="none"/>
                      <w:lang w:eastAsia="zh-CN"/>
                    </w:rPr>
                    <w:t>、</w:t>
                  </w:r>
                  <w:r>
                    <w:rPr>
                      <w:rFonts w:hint="default" w:ascii="Times New Roman" w:hAnsi="Times New Roman" w:eastAsia="宋体" w:cs="Times New Roman"/>
                      <w:b w:val="0"/>
                      <w:color w:val="auto"/>
                      <w:sz w:val="21"/>
                      <w:szCs w:val="21"/>
                      <w:highlight w:val="none"/>
                    </w:rPr>
                    <w:t>石油类</w:t>
                  </w:r>
                  <w:r>
                    <w:rPr>
                      <w:rFonts w:hint="default" w:ascii="Times New Roman" w:hAnsi="Times New Roman" w:cs="Times New Roman"/>
                      <w:b w:val="0"/>
                      <w:color w:val="auto"/>
                      <w:sz w:val="21"/>
                      <w:szCs w:val="21"/>
                      <w:highlight w:val="none"/>
                      <w:lang w:eastAsia="zh-CN"/>
                    </w:rPr>
                    <w:t>、</w:t>
                  </w:r>
                  <w:r>
                    <w:rPr>
                      <w:rFonts w:hint="default" w:ascii="Times New Roman" w:hAnsi="Times New Roman" w:eastAsia="宋体" w:cs="Times New Roman"/>
                      <w:b w:val="0"/>
                      <w:color w:val="auto"/>
                      <w:sz w:val="21"/>
                      <w:szCs w:val="21"/>
                      <w:highlight w:val="none"/>
                    </w:rPr>
                    <w:t>LAS</w:t>
                  </w:r>
                </w:p>
              </w:tc>
              <w:tc>
                <w:tcPr>
                  <w:tcW w:w="532" w:type="pct"/>
                  <w:tcBorders>
                    <w:tl2br w:val="nil"/>
                    <w:tr2bl w:val="nil"/>
                  </w:tcBorders>
                  <w:noWrap w:val="0"/>
                  <w:vAlign w:val="center"/>
                </w:tcPr>
                <w:p w14:paraId="3F738543">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smallCaps w:val="0"/>
                      <w:color w:val="auto"/>
                      <w:spacing w:val="0"/>
                      <w:position w:val="0"/>
                      <w:sz w:val="21"/>
                      <w:szCs w:val="21"/>
                      <w:highlight w:val="none"/>
                    </w:rPr>
                  </w:pPr>
                  <w:r>
                    <w:rPr>
                      <w:rFonts w:hint="default" w:ascii="Times New Roman" w:hAnsi="Times New Roman" w:cs="Times New Roman"/>
                      <w:smallCaps w:val="0"/>
                      <w:color w:val="auto"/>
                      <w:spacing w:val="0"/>
                      <w:position w:val="0"/>
                      <w:sz w:val="21"/>
                      <w:szCs w:val="21"/>
                      <w:highlight w:val="none"/>
                      <w:lang w:val="en-US" w:eastAsia="zh-CN"/>
                    </w:rPr>
                    <w:t>不外排</w:t>
                  </w:r>
                </w:p>
              </w:tc>
              <w:tc>
                <w:tcPr>
                  <w:tcW w:w="497" w:type="pct"/>
                  <w:tcBorders>
                    <w:tl2br w:val="nil"/>
                    <w:tr2bl w:val="nil"/>
                  </w:tcBorders>
                  <w:noWrap w:val="0"/>
                  <w:vAlign w:val="center"/>
                </w:tcPr>
                <w:p w14:paraId="013CD6D4">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cs="Times New Roman"/>
                      <w:smallCaps w:val="0"/>
                      <w:color w:val="auto"/>
                      <w:spacing w:val="0"/>
                      <w:position w:val="0"/>
                      <w:sz w:val="21"/>
                      <w:szCs w:val="21"/>
                      <w:highlight w:val="none"/>
                      <w:lang w:val="en-US" w:eastAsia="zh-CN"/>
                    </w:rPr>
                    <w:t>全部回用于厂区洒扫</w:t>
                  </w:r>
                </w:p>
              </w:tc>
              <w:tc>
                <w:tcPr>
                  <w:tcW w:w="691" w:type="pct"/>
                  <w:tcBorders>
                    <w:tl2br w:val="nil"/>
                    <w:tr2bl w:val="nil"/>
                  </w:tcBorders>
                  <w:noWrap w:val="0"/>
                  <w:vAlign w:val="center"/>
                </w:tcPr>
                <w:p w14:paraId="633A4D45">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smallCaps w:val="0"/>
                      <w:color w:val="auto"/>
                      <w:spacing w:val="0"/>
                      <w:position w:val="0"/>
                      <w:sz w:val="21"/>
                      <w:szCs w:val="21"/>
                      <w:highlight w:val="none"/>
                      <w:lang w:val="en-US" w:eastAsia="zh-CN"/>
                    </w:rPr>
                  </w:pPr>
                  <w:r>
                    <w:rPr>
                      <w:rFonts w:hint="eastAsia" w:cs="Times New Roman"/>
                      <w:smallCaps w:val="0"/>
                      <w:color w:val="auto"/>
                      <w:spacing w:val="0"/>
                      <w:position w:val="0"/>
                      <w:sz w:val="21"/>
                      <w:szCs w:val="21"/>
                      <w:highlight w:val="none"/>
                      <w:lang w:val="en-US" w:eastAsia="zh-CN"/>
                    </w:rPr>
                    <w:t>不外排</w:t>
                  </w:r>
                </w:p>
              </w:tc>
            </w:tr>
          </w:tbl>
          <w:p w14:paraId="32FE867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r>
              <w:rPr>
                <w:rFonts w:hint="default" w:ascii="Times New Roman" w:hAnsi="Times New Roman" w:cs="Times New Roman"/>
                <w:b/>
                <w:bCs/>
                <w:smallCaps w:val="0"/>
                <w:color w:val="auto"/>
                <w:spacing w:val="0"/>
                <w:position w:val="0"/>
                <w:sz w:val="24"/>
                <w:szCs w:val="24"/>
                <w:highlight w:val="none"/>
                <w:lang w:val="en-US" w:eastAsia="zh-CN"/>
              </w:rPr>
              <w:t>3.废水回用可行性分析</w:t>
            </w:r>
          </w:p>
          <w:p w14:paraId="02B30F91">
            <w:pPr>
              <w:keepNext w:val="0"/>
              <w:keepLines w:val="0"/>
              <w:suppressLineNumbers w:val="0"/>
              <w:spacing w:before="120" w:beforeAutospacing="0" w:after="80" w:afterAutospacing="0" w:line="240" w:lineRule="auto"/>
              <w:ind w:left="0" w:right="0"/>
              <w:jc w:val="center"/>
              <w:rPr>
                <w:rFonts w:hint="default" w:ascii="Times New Roman" w:hAnsi="Times New Roman" w:cs="Times New Roman"/>
                <w:color w:val="auto"/>
                <w:sz w:val="24"/>
                <w:szCs w:val="24"/>
                <w:highlight w:val="none"/>
              </w:rPr>
            </w:pPr>
            <w:r>
              <w:rPr>
                <w:rFonts w:hint="default" w:ascii="Times New Roman" w:hAnsi="Times New Roman" w:eastAsia="宋体" w:cs="Times New Roman"/>
                <w:b/>
                <w:color w:val="auto"/>
                <w:sz w:val="24"/>
                <w:szCs w:val="24"/>
                <w:highlight w:val="none"/>
              </w:rPr>
              <w:t>表4-6  废水回用达标分析表</w:t>
            </w:r>
          </w:p>
          <w:tbl>
            <w:tblPr>
              <w:tblStyle w:val="32"/>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534"/>
              <w:gridCol w:w="1562"/>
              <w:gridCol w:w="1004"/>
              <w:gridCol w:w="1116"/>
              <w:gridCol w:w="1562"/>
              <w:gridCol w:w="1620"/>
            </w:tblGrid>
            <w:tr w14:paraId="24688FF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28" w:hRule="atLeast"/>
                <w:tblHeader/>
                <w:jc w:val="center"/>
              </w:trPr>
              <w:tc>
                <w:tcPr>
                  <w:tcW w:w="1534" w:type="dxa"/>
                  <w:vAlign w:val="center"/>
                </w:tcPr>
                <w:p w14:paraId="1BF80A1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污染物</w:t>
                  </w:r>
                </w:p>
              </w:tc>
              <w:tc>
                <w:tcPr>
                  <w:tcW w:w="1562" w:type="dxa"/>
                  <w:vAlign w:val="center"/>
                </w:tcPr>
                <w:p w14:paraId="74C8955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清洗废水进水浓度</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mg/L</w:t>
                  </w:r>
                  <w:r>
                    <w:rPr>
                      <w:rFonts w:hint="eastAsia" w:cs="Times New Roman"/>
                      <w:b/>
                      <w:color w:val="auto"/>
                      <w:sz w:val="21"/>
                      <w:szCs w:val="21"/>
                      <w:highlight w:val="none"/>
                      <w:lang w:eastAsia="zh-CN"/>
                    </w:rPr>
                    <w:t>）</w:t>
                  </w:r>
                </w:p>
              </w:tc>
              <w:tc>
                <w:tcPr>
                  <w:tcW w:w="1004" w:type="dxa"/>
                  <w:vAlign w:val="center"/>
                </w:tcPr>
                <w:p w14:paraId="582CBFF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处理效率</w:t>
                  </w:r>
                </w:p>
              </w:tc>
              <w:tc>
                <w:tcPr>
                  <w:tcW w:w="1116" w:type="dxa"/>
                  <w:vAlign w:val="center"/>
                </w:tcPr>
                <w:p w14:paraId="2A9B709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出水浓度</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mg/L</w:t>
                  </w:r>
                  <w:r>
                    <w:rPr>
                      <w:rFonts w:hint="eastAsia" w:cs="Times New Roman"/>
                      <w:b/>
                      <w:color w:val="auto"/>
                      <w:sz w:val="21"/>
                      <w:szCs w:val="21"/>
                      <w:highlight w:val="none"/>
                      <w:lang w:eastAsia="zh-CN"/>
                    </w:rPr>
                    <w:t>）</w:t>
                  </w:r>
                </w:p>
              </w:tc>
              <w:tc>
                <w:tcPr>
                  <w:tcW w:w="1562" w:type="dxa"/>
                  <w:vAlign w:val="center"/>
                </w:tcPr>
                <w:p w14:paraId="62D2385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GB/T 18920-2020回用标准</w:t>
                  </w:r>
                  <w:r>
                    <w:rPr>
                      <w:rFonts w:hint="eastAsia"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mg/L</w:t>
                  </w:r>
                  <w:r>
                    <w:rPr>
                      <w:rFonts w:hint="eastAsia" w:cs="Times New Roman"/>
                      <w:b/>
                      <w:color w:val="auto"/>
                      <w:sz w:val="21"/>
                      <w:szCs w:val="21"/>
                      <w:highlight w:val="none"/>
                      <w:lang w:eastAsia="zh-CN"/>
                    </w:rPr>
                    <w:t>）</w:t>
                  </w:r>
                </w:p>
              </w:tc>
              <w:tc>
                <w:tcPr>
                  <w:tcW w:w="1620" w:type="dxa"/>
                  <w:vAlign w:val="center"/>
                </w:tcPr>
                <w:p w14:paraId="5171D6D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color w:val="auto"/>
                      <w:sz w:val="21"/>
                      <w:szCs w:val="21"/>
                      <w:highlight w:val="none"/>
                    </w:rPr>
                    <w:t>达标情况</w:t>
                  </w:r>
                </w:p>
              </w:tc>
            </w:tr>
            <w:tr w14:paraId="0BBE3D4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1534" w:type="dxa"/>
                  <w:vAlign w:val="center"/>
                </w:tcPr>
                <w:p w14:paraId="0A1EE52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COD</w:t>
                  </w:r>
                </w:p>
              </w:tc>
              <w:tc>
                <w:tcPr>
                  <w:tcW w:w="1562" w:type="dxa"/>
                  <w:vAlign w:val="center"/>
                </w:tcPr>
                <w:p w14:paraId="245E7CE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800</w:t>
                  </w:r>
                </w:p>
              </w:tc>
              <w:tc>
                <w:tcPr>
                  <w:tcW w:w="1004" w:type="dxa"/>
                  <w:vAlign w:val="center"/>
                </w:tcPr>
                <w:p w14:paraId="55FEC29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90%</w:t>
                  </w:r>
                </w:p>
              </w:tc>
              <w:tc>
                <w:tcPr>
                  <w:tcW w:w="1116" w:type="dxa"/>
                  <w:vAlign w:val="center"/>
                </w:tcPr>
                <w:p w14:paraId="0DD803B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80</w:t>
                  </w:r>
                </w:p>
              </w:tc>
              <w:tc>
                <w:tcPr>
                  <w:tcW w:w="1562" w:type="dxa"/>
                  <w:vAlign w:val="center"/>
                </w:tcPr>
                <w:p w14:paraId="777337D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1620" w:type="dxa"/>
                  <w:vAlign w:val="center"/>
                </w:tcPr>
                <w:p w14:paraId="225C636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r w14:paraId="5BDD68C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1534" w:type="dxa"/>
                  <w:vAlign w:val="center"/>
                </w:tcPr>
                <w:p w14:paraId="18A8E2A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BOD₅</w:t>
                  </w:r>
                </w:p>
              </w:tc>
              <w:tc>
                <w:tcPr>
                  <w:tcW w:w="1562" w:type="dxa"/>
                  <w:vAlign w:val="center"/>
                </w:tcPr>
                <w:p w14:paraId="3A2AC6B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300</w:t>
                  </w:r>
                </w:p>
              </w:tc>
              <w:tc>
                <w:tcPr>
                  <w:tcW w:w="1004" w:type="dxa"/>
                  <w:vAlign w:val="center"/>
                </w:tcPr>
                <w:p w14:paraId="1F35DF7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97%</w:t>
                  </w:r>
                </w:p>
              </w:tc>
              <w:tc>
                <w:tcPr>
                  <w:tcW w:w="1116" w:type="dxa"/>
                  <w:vAlign w:val="center"/>
                </w:tcPr>
                <w:p w14:paraId="68A3D89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9</w:t>
                  </w:r>
                </w:p>
              </w:tc>
              <w:tc>
                <w:tcPr>
                  <w:tcW w:w="1562" w:type="dxa"/>
                  <w:vAlign w:val="center"/>
                </w:tcPr>
                <w:p w14:paraId="0F13B2C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10</w:t>
                  </w:r>
                </w:p>
              </w:tc>
              <w:tc>
                <w:tcPr>
                  <w:tcW w:w="1620" w:type="dxa"/>
                  <w:vAlign w:val="center"/>
                </w:tcPr>
                <w:p w14:paraId="40E707B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r w14:paraId="63B3F9F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1534" w:type="dxa"/>
                  <w:vAlign w:val="center"/>
                </w:tcPr>
                <w:p w14:paraId="7712A28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SS</w:t>
                  </w:r>
                </w:p>
              </w:tc>
              <w:tc>
                <w:tcPr>
                  <w:tcW w:w="1562" w:type="dxa"/>
                  <w:vAlign w:val="center"/>
                </w:tcPr>
                <w:p w14:paraId="1B7C5FB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300</w:t>
                  </w:r>
                </w:p>
              </w:tc>
              <w:tc>
                <w:tcPr>
                  <w:tcW w:w="1004" w:type="dxa"/>
                  <w:vAlign w:val="center"/>
                </w:tcPr>
                <w:p w14:paraId="02FCFC5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96.7%</w:t>
                  </w:r>
                </w:p>
              </w:tc>
              <w:tc>
                <w:tcPr>
                  <w:tcW w:w="1116" w:type="dxa"/>
                  <w:vAlign w:val="center"/>
                </w:tcPr>
                <w:p w14:paraId="7172876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10</w:t>
                  </w:r>
                </w:p>
              </w:tc>
              <w:tc>
                <w:tcPr>
                  <w:tcW w:w="1562" w:type="dxa"/>
                  <w:vAlign w:val="center"/>
                </w:tcPr>
                <w:p w14:paraId="1BED64B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10</w:t>
                  </w:r>
                </w:p>
              </w:tc>
              <w:tc>
                <w:tcPr>
                  <w:tcW w:w="1620" w:type="dxa"/>
                  <w:vAlign w:val="center"/>
                </w:tcPr>
                <w:p w14:paraId="52CD5C7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r w14:paraId="30AF8BD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1534" w:type="dxa"/>
                  <w:vAlign w:val="center"/>
                </w:tcPr>
                <w:p w14:paraId="4D6E01D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NH₃-N</w:t>
                  </w:r>
                </w:p>
              </w:tc>
              <w:tc>
                <w:tcPr>
                  <w:tcW w:w="1562" w:type="dxa"/>
                  <w:vAlign w:val="center"/>
                </w:tcPr>
                <w:p w14:paraId="7E3F39A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50</w:t>
                  </w:r>
                </w:p>
              </w:tc>
              <w:tc>
                <w:tcPr>
                  <w:tcW w:w="1004" w:type="dxa"/>
                  <w:vAlign w:val="center"/>
                </w:tcPr>
                <w:p w14:paraId="0ECB0AE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90%</w:t>
                  </w:r>
                </w:p>
              </w:tc>
              <w:tc>
                <w:tcPr>
                  <w:tcW w:w="1116" w:type="dxa"/>
                  <w:vAlign w:val="center"/>
                </w:tcPr>
                <w:p w14:paraId="533BAD4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5</w:t>
                  </w:r>
                </w:p>
              </w:tc>
              <w:tc>
                <w:tcPr>
                  <w:tcW w:w="1562" w:type="dxa"/>
                  <w:vAlign w:val="center"/>
                </w:tcPr>
                <w:p w14:paraId="730014C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8</w:t>
                  </w:r>
                </w:p>
              </w:tc>
              <w:tc>
                <w:tcPr>
                  <w:tcW w:w="1620" w:type="dxa"/>
                  <w:vAlign w:val="center"/>
                </w:tcPr>
                <w:p w14:paraId="248DD6C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r w14:paraId="71CAFB8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1534" w:type="dxa"/>
                  <w:vAlign w:val="center"/>
                </w:tcPr>
                <w:p w14:paraId="643C667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石油类</w:t>
                  </w:r>
                </w:p>
              </w:tc>
              <w:tc>
                <w:tcPr>
                  <w:tcW w:w="1562" w:type="dxa"/>
                  <w:vAlign w:val="center"/>
                </w:tcPr>
                <w:p w14:paraId="5071D4E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30</w:t>
                  </w:r>
                </w:p>
              </w:tc>
              <w:tc>
                <w:tcPr>
                  <w:tcW w:w="1004" w:type="dxa"/>
                  <w:vAlign w:val="center"/>
                </w:tcPr>
                <w:p w14:paraId="2FEF792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90%</w:t>
                  </w:r>
                </w:p>
              </w:tc>
              <w:tc>
                <w:tcPr>
                  <w:tcW w:w="1116" w:type="dxa"/>
                  <w:vAlign w:val="center"/>
                </w:tcPr>
                <w:p w14:paraId="01DDB8A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3</w:t>
                  </w:r>
                </w:p>
              </w:tc>
              <w:tc>
                <w:tcPr>
                  <w:tcW w:w="1562" w:type="dxa"/>
                  <w:vAlign w:val="center"/>
                </w:tcPr>
                <w:p w14:paraId="5EFAFDA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1620" w:type="dxa"/>
                  <w:vAlign w:val="center"/>
                </w:tcPr>
                <w:p w14:paraId="43563CA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r w14:paraId="2A9D4B7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04" w:hRule="atLeast"/>
                <w:jc w:val="center"/>
              </w:trPr>
              <w:tc>
                <w:tcPr>
                  <w:tcW w:w="1534" w:type="dxa"/>
                  <w:vAlign w:val="center"/>
                </w:tcPr>
                <w:p w14:paraId="391AA70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LAS</w:t>
                  </w:r>
                </w:p>
              </w:tc>
              <w:tc>
                <w:tcPr>
                  <w:tcW w:w="1562" w:type="dxa"/>
                  <w:vAlign w:val="center"/>
                </w:tcPr>
                <w:p w14:paraId="2BB192E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20</w:t>
                  </w:r>
                </w:p>
              </w:tc>
              <w:tc>
                <w:tcPr>
                  <w:tcW w:w="1004" w:type="dxa"/>
                  <w:vAlign w:val="center"/>
                </w:tcPr>
                <w:p w14:paraId="6F1A456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98%</w:t>
                  </w:r>
                </w:p>
              </w:tc>
              <w:tc>
                <w:tcPr>
                  <w:tcW w:w="1116" w:type="dxa"/>
                  <w:vAlign w:val="center"/>
                </w:tcPr>
                <w:p w14:paraId="6E2A0CC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0.4</w:t>
                  </w:r>
                </w:p>
              </w:tc>
              <w:tc>
                <w:tcPr>
                  <w:tcW w:w="1562" w:type="dxa"/>
                  <w:vAlign w:val="center"/>
                </w:tcPr>
                <w:p w14:paraId="0516EEE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0.5</w:t>
                  </w:r>
                </w:p>
              </w:tc>
              <w:tc>
                <w:tcPr>
                  <w:tcW w:w="1620" w:type="dxa"/>
                  <w:vAlign w:val="center"/>
                </w:tcPr>
                <w:p w14:paraId="0504C42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r w14:paraId="71015BF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34" w:hRule="atLeast"/>
                <w:jc w:val="center"/>
              </w:trPr>
              <w:tc>
                <w:tcPr>
                  <w:tcW w:w="1534" w:type="dxa"/>
                  <w:vAlign w:val="center"/>
                </w:tcPr>
                <w:p w14:paraId="1855509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pH</w:t>
                  </w:r>
                </w:p>
              </w:tc>
              <w:tc>
                <w:tcPr>
                  <w:tcW w:w="1562" w:type="dxa"/>
                  <w:vAlign w:val="center"/>
                </w:tcPr>
                <w:p w14:paraId="6E17648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7~10</w:t>
                  </w:r>
                </w:p>
              </w:tc>
              <w:tc>
                <w:tcPr>
                  <w:tcW w:w="1004" w:type="dxa"/>
                  <w:vAlign w:val="center"/>
                </w:tcPr>
                <w:p w14:paraId="0A2A565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w:t>
                  </w:r>
                </w:p>
              </w:tc>
              <w:tc>
                <w:tcPr>
                  <w:tcW w:w="1116" w:type="dxa"/>
                  <w:vAlign w:val="center"/>
                </w:tcPr>
                <w:p w14:paraId="498D94D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6.5~9</w:t>
                  </w:r>
                </w:p>
              </w:tc>
              <w:tc>
                <w:tcPr>
                  <w:tcW w:w="1562" w:type="dxa"/>
                  <w:vAlign w:val="center"/>
                </w:tcPr>
                <w:p w14:paraId="2D152EA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6.0~9.0</w:t>
                  </w:r>
                </w:p>
              </w:tc>
              <w:tc>
                <w:tcPr>
                  <w:tcW w:w="1620" w:type="dxa"/>
                  <w:vAlign w:val="center"/>
                </w:tcPr>
                <w:p w14:paraId="16B7A41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达标</w:t>
                  </w:r>
                </w:p>
              </w:tc>
            </w:tr>
          </w:tbl>
          <w:p w14:paraId="2CC8AF81">
            <w:pPr>
              <w:pStyle w:val="19"/>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0"/>
                <w:highlight w:val="none"/>
                <w:lang w:val="en-US" w:eastAsia="zh-CN"/>
              </w:rPr>
            </w:pPr>
            <w:r>
              <w:rPr>
                <w:rFonts w:hint="default" w:ascii="Times New Roman" w:hAnsi="Times New Roman" w:eastAsia="宋体" w:cs="Times New Roman"/>
                <w:smallCaps w:val="0"/>
                <w:color w:val="auto"/>
                <w:spacing w:val="0"/>
                <w:kern w:val="0"/>
                <w:position w:val="0"/>
                <w:sz w:val="24"/>
                <w:szCs w:val="20"/>
                <w:highlight w:val="none"/>
                <w:lang w:val="en-US" w:eastAsia="zh-CN"/>
              </w:rPr>
              <w:t>生活污水经化粪池处理后定期清掏外运，不外排；生产废水经废水处理站（混凝沉淀+MBR+砂滤）处理后，各项指标满足《城市污水再生利用 城市杂用水水质》（GB/T 18920-2020）道路清扫、绿化用水要求，全部回用于厂区洒扫。回用水量大于厂区基础洒扫需求，多余水量经回用水池调蓄，用于厂区绿化浇灌、道路抑尘等，全部在厂区内消纳，不外排。</w:t>
            </w:r>
          </w:p>
          <w:p w14:paraId="60C09753">
            <w:pPr>
              <w:pStyle w:val="19"/>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0"/>
                <w:highlight w:val="none"/>
                <w:lang w:val="en-US" w:eastAsia="zh-CN"/>
              </w:rPr>
            </w:pPr>
            <w:r>
              <w:rPr>
                <w:rFonts w:hint="default" w:ascii="Times New Roman" w:hAnsi="Times New Roman" w:eastAsia="宋体" w:cs="Times New Roman"/>
                <w:smallCaps w:val="0"/>
                <w:color w:val="auto"/>
                <w:spacing w:val="0"/>
                <w:kern w:val="0"/>
                <w:position w:val="0"/>
                <w:sz w:val="24"/>
                <w:szCs w:val="20"/>
                <w:highlight w:val="none"/>
                <w:lang w:val="en-US" w:eastAsia="zh-CN"/>
              </w:rPr>
              <w:t>本项目实行雨污分流。全厂废水均不外排：生活污水经化粪池（依托厂房已建）处理后定期清掏外运；清洗废水（擦洗后水洗废水）、电泳废水（电泳前处理及纯水精洗废水）及车间地面清洁水经厂区自建废水处理站（处理规模5m³/d）处理后全部回用于厂区洒扫；纯水制备浓水、循环冷却系统排污为低浓度清净下水，回用于厂区绿化洒扫。全厂无废水外排口，不排入园区污水管网，不直接排入地表水体。</w:t>
            </w:r>
          </w:p>
          <w:p w14:paraId="371AA8FD">
            <w:pPr>
              <w:pStyle w:val="19"/>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0"/>
                <w:highlight w:val="none"/>
                <w:lang w:val="en-US" w:eastAsia="zh-CN"/>
              </w:rPr>
            </w:pPr>
            <w:r>
              <w:rPr>
                <w:rFonts w:hint="default" w:ascii="Times New Roman" w:hAnsi="Times New Roman" w:eastAsia="宋体" w:cs="Times New Roman"/>
                <w:smallCaps w:val="0"/>
                <w:color w:val="auto"/>
                <w:spacing w:val="0"/>
                <w:kern w:val="0"/>
                <w:position w:val="0"/>
                <w:sz w:val="24"/>
                <w:szCs w:val="20"/>
                <w:highlight w:val="none"/>
                <w:lang w:val="en-US" w:eastAsia="zh-CN"/>
              </w:rPr>
              <w:t>厂区自建废水处理站处理规模5m³/d，处理工艺为“收集池→调节池（中和、混凝）→混凝沉淀池→MBR膜生物反应器→砂滤→回用水池”，主要处理单元：废水收集池（兼调节）、反应池（投加PAC、PAM混凝絮凝）、斜管沉淀池、MBR膜生物反应器（生物降解+膜固液分离）、砂滤装置，设计去除效率：COD≥90%、BOD₅≥97%、SS≥96%、氨氮≥90%、石油类≥90%、LAS≥98%。清洗废水、电泳废水经处理后出水满足《城市污水再生利用 城市杂用水水质》（GB/T 18920-2020）道路清扫、绿化用水要求，全部回用于厂区洒扫。</w:t>
            </w:r>
          </w:p>
          <w:p w14:paraId="7905FB6F">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smallCaps w:val="0"/>
                <w:color w:val="auto"/>
                <w:spacing w:val="0"/>
                <w:kern w:val="0"/>
                <w:position w:val="0"/>
                <w:sz w:val="24"/>
                <w:szCs w:val="20"/>
                <w:highlight w:val="none"/>
                <w:lang w:val="en-US" w:eastAsia="zh-CN"/>
              </w:rPr>
            </w:pPr>
            <w:r>
              <w:rPr>
                <w:rFonts w:hint="default" w:ascii="Times New Roman" w:hAnsi="Times New Roman" w:eastAsia="宋体" w:cs="Times New Roman"/>
                <w:b/>
                <w:bCs/>
                <w:smallCaps w:val="0"/>
                <w:color w:val="auto"/>
                <w:spacing w:val="0"/>
                <w:kern w:val="0"/>
                <w:position w:val="0"/>
                <w:sz w:val="24"/>
                <w:szCs w:val="20"/>
                <w:highlight w:val="none"/>
                <w:lang w:val="en-US" w:eastAsia="zh-CN"/>
              </w:rPr>
              <w:t>4.水环境影响分析</w:t>
            </w:r>
          </w:p>
          <w:p w14:paraId="65D37592">
            <w:pPr>
              <w:pStyle w:val="19"/>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smallCaps w:val="0"/>
                <w:color w:val="auto"/>
                <w:spacing w:val="0"/>
                <w:position w:val="0"/>
                <w:sz w:val="22"/>
                <w:szCs w:val="22"/>
                <w:highlight w:val="none"/>
                <w:lang w:val="en-US" w:eastAsia="zh-CN"/>
              </w:rPr>
            </w:pPr>
            <w:r>
              <w:rPr>
                <w:rFonts w:hint="default" w:ascii="Times New Roman" w:hAnsi="Times New Roman" w:cs="Times New Roman"/>
                <w:smallCaps w:val="0"/>
                <w:color w:val="auto"/>
                <w:spacing w:val="0"/>
                <w:kern w:val="0"/>
                <w:position w:val="0"/>
                <w:sz w:val="24"/>
                <w:szCs w:val="20"/>
                <w:highlight w:val="none"/>
                <w:lang w:val="en-US" w:eastAsia="zh-CN"/>
              </w:rPr>
              <w:t>本项目全厂废水不外排：生活污水经化粪池处理后定期清掏外运，生产废水（清洗、电泳及车间地面清洁水合计600m³/a）经废水处理站处理后全部回用于厂区洒扫，纯水制备浓水、循环冷却系统排污为低浓度清净下水回用于厂区绿化洒扫，无废水外排口。回用水全部在厂区内蒸发、入渗消纳，不排入地表水体；项目周边500m范围内无地表水环境保护目标，废水不外排对周边地表水环境无不利影响。在严格落实废水处理设施运行维护、雨污分流及事故防范措施的前提下，项目水环境影响可接受。</w:t>
            </w:r>
          </w:p>
          <w:p w14:paraId="3CD1AD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smallCaps w:val="0"/>
                <w:color w:val="auto"/>
                <w:spacing w:val="0"/>
                <w:position w:val="0"/>
                <w:sz w:val="24"/>
                <w:szCs w:val="24"/>
                <w:highlight w:val="none"/>
                <w:lang w:val="en-US" w:eastAsia="zh-CN"/>
              </w:rPr>
            </w:pPr>
            <w:r>
              <w:rPr>
                <w:rFonts w:hint="default" w:ascii="Times New Roman" w:hAnsi="Times New Roman" w:cs="Times New Roman"/>
                <w:b/>
                <w:smallCaps w:val="0"/>
                <w:color w:val="auto"/>
                <w:spacing w:val="0"/>
                <w:kern w:val="0"/>
                <w:position w:val="0"/>
                <w:sz w:val="24"/>
                <w:szCs w:val="24"/>
                <w:highlight w:val="none"/>
                <w:lang w:val="en-US" w:eastAsia="zh-CN"/>
              </w:rPr>
              <w:t>三、</w:t>
            </w:r>
            <w:r>
              <w:rPr>
                <w:rFonts w:hint="default" w:ascii="Times New Roman" w:hAnsi="Times New Roman" w:cs="Times New Roman"/>
                <w:b/>
                <w:smallCaps w:val="0"/>
                <w:color w:val="auto"/>
                <w:spacing w:val="0"/>
                <w:kern w:val="0"/>
                <w:position w:val="0"/>
                <w:sz w:val="24"/>
                <w:szCs w:val="24"/>
                <w:highlight w:val="none"/>
              </w:rPr>
              <w:t>噪声环境影响及治理措施</w:t>
            </w:r>
          </w:p>
          <w:p w14:paraId="7FD7CD6A">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smallCaps w:val="0"/>
                <w:color w:val="auto"/>
                <w:spacing w:val="0"/>
                <w:position w:val="0"/>
                <w:sz w:val="24"/>
                <w:szCs w:val="24"/>
                <w:highlight w:val="none"/>
                <w:lang w:val="en-US" w:eastAsia="zh-CN"/>
              </w:rPr>
            </w:pPr>
            <w:r>
              <w:rPr>
                <w:rFonts w:hint="default" w:ascii="Times New Roman" w:hAnsi="Times New Roman" w:eastAsia="宋体" w:cs="Times New Roman"/>
                <w:b/>
                <w:bCs/>
                <w:smallCaps w:val="0"/>
                <w:color w:val="auto"/>
                <w:spacing w:val="0"/>
                <w:position w:val="0"/>
                <w:sz w:val="24"/>
                <w:szCs w:val="24"/>
                <w:highlight w:val="none"/>
                <w:lang w:val="en-US" w:eastAsia="zh-CN"/>
              </w:rPr>
              <w:t>1.噪声源统计</w:t>
            </w:r>
          </w:p>
          <w:p w14:paraId="087CCDFD">
            <w:pPr>
              <w:keepNext w:val="0"/>
              <w:keepLines w:val="0"/>
              <w:suppressLineNumbers w:val="0"/>
              <w:tabs>
                <w:tab w:val="left" w:pos="3285"/>
              </w:tabs>
              <w:spacing w:before="0" w:beforeAutospacing="0" w:after="0" w:afterAutospacing="0" w:line="360" w:lineRule="auto"/>
              <w:ind w:left="0" w:right="0" w:firstLine="480" w:firstLineChars="200"/>
              <w:rPr>
                <w:rFonts w:hint="default" w:ascii="Times New Roman" w:hAnsi="Times New Roman" w:cs="Times New Roman"/>
                <w:color w:val="auto"/>
                <w:sz w:val="24"/>
                <w:szCs w:val="32"/>
                <w:highlight w:val="none"/>
              </w:rPr>
            </w:pPr>
            <w:r>
              <w:rPr>
                <w:rFonts w:hint="default" w:ascii="Times New Roman" w:hAnsi="Times New Roman" w:eastAsia="宋体" w:cs="Times New Roman"/>
                <w:b w:val="0"/>
                <w:bCs w:val="0"/>
                <w:smallCaps w:val="0"/>
                <w:color w:val="auto"/>
                <w:spacing w:val="0"/>
                <w:position w:val="0"/>
                <w:sz w:val="24"/>
                <w:szCs w:val="24"/>
                <w:highlight w:val="none"/>
              </w:rPr>
              <w:t>本项目主要噪声源为抛丸机、除尘风机、空压机、水泵、打磨机、喷砂/抛丸配套风机及电泳线设备等，源强80~100dB(A</w:t>
            </w:r>
            <w:r>
              <w:rPr>
                <w:rFonts w:hint="eastAsia" w:cs="Times New Roman"/>
                <w:b w:val="0"/>
                <w:bCs w:val="0"/>
                <w:smallCaps w:val="0"/>
                <w:color w:val="auto"/>
                <w:spacing w:val="0"/>
                <w:position w:val="0"/>
                <w:sz w:val="24"/>
                <w:szCs w:val="24"/>
                <w:highlight w:val="none"/>
                <w:lang w:eastAsia="zh-CN"/>
              </w:rPr>
              <w:t>）</w:t>
            </w:r>
            <w:r>
              <w:rPr>
                <w:rFonts w:hint="default" w:ascii="Times New Roman" w:hAnsi="Times New Roman" w:eastAsia="宋体" w:cs="Times New Roman"/>
                <w:b w:val="0"/>
                <w:bCs w:val="0"/>
                <w:smallCaps w:val="0"/>
                <w:color w:val="auto"/>
                <w:spacing w:val="0"/>
                <w:position w:val="0"/>
                <w:sz w:val="24"/>
                <w:szCs w:val="24"/>
                <w:highlight w:val="none"/>
              </w:rPr>
              <w:t>。</w:t>
            </w:r>
            <w:r>
              <w:rPr>
                <w:rFonts w:hint="default" w:ascii="Times New Roman" w:hAnsi="Times New Roman" w:eastAsia="宋体" w:cs="Times New Roman"/>
                <w:b w:val="0"/>
                <w:bCs w:val="0"/>
                <w:smallCaps w:val="0"/>
                <w:color w:val="auto"/>
                <w:spacing w:val="0"/>
                <w:position w:val="0"/>
                <w:sz w:val="24"/>
                <w:szCs w:val="24"/>
                <w:highlight w:val="none"/>
                <w:lang w:val="en-US" w:eastAsia="zh-CN"/>
              </w:rPr>
              <w:t>本项目以</w:t>
            </w:r>
            <w:r>
              <w:rPr>
                <w:rFonts w:hint="default" w:ascii="Times New Roman" w:hAnsi="Times New Roman" w:eastAsia="宋体" w:cs="Times New Roman"/>
                <w:smallCaps w:val="0"/>
                <w:color w:val="auto"/>
                <w:spacing w:val="0"/>
                <w:position w:val="0"/>
                <w:sz w:val="24"/>
                <w:highlight w:val="none"/>
                <w:lang w:val="en-US" w:eastAsia="zh-CN"/>
              </w:rPr>
              <w:t>所在厂房作为厂界，生产设备均位于室内，</w:t>
            </w:r>
            <w:r>
              <w:rPr>
                <w:rFonts w:hint="default" w:ascii="Times New Roman" w:hAnsi="Times New Roman" w:eastAsia="宋体" w:cs="Times New Roman"/>
                <w:b w:val="0"/>
                <w:bCs w:val="0"/>
                <w:smallCaps w:val="0"/>
                <w:color w:val="auto"/>
                <w:spacing w:val="0"/>
                <w:position w:val="0"/>
                <w:sz w:val="24"/>
                <w:szCs w:val="24"/>
                <w:highlight w:val="none"/>
              </w:rPr>
              <w:t>采取</w:t>
            </w:r>
            <w:r>
              <w:rPr>
                <w:rFonts w:hint="default" w:ascii="Times New Roman" w:hAnsi="Times New Roman" w:eastAsia="宋体" w:cs="Times New Roman"/>
                <w:smallCaps w:val="0"/>
                <w:color w:val="auto"/>
                <w:spacing w:val="0"/>
                <w:position w:val="0"/>
                <w:sz w:val="24"/>
                <w:highlight w:val="none"/>
                <w:lang w:val="en-US" w:eastAsia="en-US"/>
              </w:rPr>
              <w:t>合理布局、选用低噪声设备</w:t>
            </w:r>
            <w:r>
              <w:rPr>
                <w:rFonts w:hint="default" w:ascii="Times New Roman" w:hAnsi="Times New Roman" w:eastAsia="宋体" w:cs="Times New Roman"/>
                <w:smallCaps w:val="0"/>
                <w:color w:val="auto"/>
                <w:spacing w:val="0"/>
                <w:position w:val="0"/>
                <w:sz w:val="24"/>
                <w:highlight w:val="none"/>
                <w:lang w:val="en-US" w:eastAsia="zh-CN"/>
              </w:rPr>
              <w:t>，</w:t>
            </w:r>
            <w:r>
              <w:rPr>
                <w:rFonts w:hint="default" w:ascii="Times New Roman" w:hAnsi="Times New Roman" w:eastAsia="宋体" w:cs="Times New Roman"/>
                <w:smallCaps w:val="0"/>
                <w:color w:val="auto"/>
                <w:spacing w:val="0"/>
                <w:position w:val="0"/>
                <w:sz w:val="24"/>
                <w:highlight w:val="none"/>
                <w:lang w:val="en-US" w:eastAsia="en-US"/>
              </w:rPr>
              <w:t>隔声</w:t>
            </w:r>
            <w:r>
              <w:rPr>
                <w:rFonts w:hint="default" w:ascii="Times New Roman" w:hAnsi="Times New Roman" w:eastAsia="宋体" w:cs="Times New Roman"/>
                <w:smallCaps w:val="0"/>
                <w:color w:val="auto"/>
                <w:spacing w:val="0"/>
                <w:position w:val="0"/>
                <w:sz w:val="24"/>
                <w:highlight w:val="none"/>
                <w:lang w:val="en-US" w:eastAsia="zh-CN"/>
              </w:rPr>
              <w:t>、</w:t>
            </w:r>
            <w:r>
              <w:rPr>
                <w:rFonts w:hint="default" w:ascii="Times New Roman" w:hAnsi="Times New Roman" w:eastAsia="宋体" w:cs="Times New Roman"/>
                <w:smallCaps w:val="0"/>
                <w:color w:val="auto"/>
                <w:spacing w:val="0"/>
                <w:position w:val="0"/>
                <w:sz w:val="24"/>
                <w:highlight w:val="none"/>
                <w:lang w:val="en-US" w:eastAsia="en-US"/>
              </w:rPr>
              <w:t>减振</w:t>
            </w:r>
            <w:r>
              <w:rPr>
                <w:rFonts w:hint="default" w:ascii="Times New Roman" w:hAnsi="Times New Roman" w:eastAsia="宋体" w:cs="Times New Roman"/>
                <w:smallCaps w:val="0"/>
                <w:color w:val="auto"/>
                <w:spacing w:val="0"/>
                <w:position w:val="0"/>
                <w:sz w:val="24"/>
                <w:highlight w:val="none"/>
                <w:lang w:val="en-US" w:eastAsia="zh-CN"/>
              </w:rPr>
              <w:t>等措施，主要设备噪声值见下表：</w:t>
            </w:r>
          </w:p>
        </w:tc>
      </w:tr>
    </w:tbl>
    <w:p w14:paraId="4CC53158">
      <w:pPr>
        <w:pStyle w:val="29"/>
        <w:spacing w:before="0" w:beforeAutospacing="0" w:after="0" w:afterAutospacing="0" w:line="360" w:lineRule="auto"/>
        <w:jc w:val="both"/>
        <w:outlineLvl w:val="0"/>
        <w:rPr>
          <w:rFonts w:hint="default" w:ascii="Times New Roman" w:hAnsi="Times New Roman" w:cs="Times New Roman"/>
          <w:snapToGrid w:val="0"/>
          <w:color w:val="auto"/>
          <w:sz w:val="30"/>
          <w:szCs w:val="30"/>
          <w:highlight w:val="none"/>
        </w:rPr>
        <w:sectPr>
          <w:pgSz w:w="11906" w:h="16838"/>
          <w:pgMar w:top="1701" w:right="1531" w:bottom="1701" w:left="1531" w:header="851" w:footer="992" w:gutter="0"/>
          <w:pgBorders>
            <w:top w:val="none" w:sz="0" w:space="0"/>
            <w:left w:val="none" w:sz="0" w:space="0"/>
            <w:bottom w:val="none" w:sz="0" w:space="0"/>
            <w:right w:val="none" w:sz="0" w:space="0"/>
          </w:pgBorders>
          <w:cols w:space="425" w:num="1"/>
          <w:docGrid w:type="lines" w:linePitch="312" w:charSpace="0"/>
        </w:sectPr>
      </w:pP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
        <w:gridCol w:w="13018"/>
      </w:tblGrid>
      <w:tr w14:paraId="6A1B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7" w:hRule="atLeast"/>
        </w:trPr>
        <w:tc>
          <w:tcPr>
            <w:tcW w:w="634" w:type="dxa"/>
          </w:tcPr>
          <w:p w14:paraId="5E3D4929">
            <w:pPr>
              <w:pStyle w:val="29"/>
              <w:keepNext w:val="0"/>
              <w:keepLines w:val="0"/>
              <w:suppressLineNumbers w:val="0"/>
              <w:spacing w:before="0" w:beforeAutospacing="0" w:after="0" w:afterAutospacing="0" w:line="360" w:lineRule="auto"/>
              <w:ind w:left="0" w:right="0"/>
              <w:jc w:val="both"/>
              <w:outlineLvl w:val="0"/>
              <w:rPr>
                <w:rFonts w:hint="default" w:ascii="Times New Roman" w:hAnsi="Times New Roman" w:cs="Times New Roman"/>
                <w:snapToGrid w:val="0"/>
                <w:color w:val="auto"/>
                <w:sz w:val="30"/>
                <w:szCs w:val="30"/>
                <w:highlight w:val="none"/>
                <w:vertAlign w:val="baseline"/>
              </w:rPr>
            </w:pPr>
          </w:p>
        </w:tc>
        <w:tc>
          <w:tcPr>
            <w:tcW w:w="13018" w:type="dxa"/>
          </w:tcPr>
          <w:p w14:paraId="34EE414D">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smallCaps w:val="0"/>
                <w:color w:val="auto"/>
                <w:spacing w:val="0"/>
                <w:position w:val="0"/>
                <w:sz w:val="24"/>
                <w:szCs w:val="24"/>
                <w:highlight w:val="none"/>
                <w:lang w:val="en-US" w:eastAsia="zh-CN"/>
              </w:rPr>
            </w:pPr>
            <w:r>
              <w:rPr>
                <w:rFonts w:hint="default" w:ascii="Times New Roman" w:hAnsi="Times New Roman" w:eastAsia="宋体" w:cs="Times New Roman"/>
                <w:b/>
                <w:bCs/>
                <w:smallCaps w:val="0"/>
                <w:color w:val="auto"/>
                <w:spacing w:val="0"/>
                <w:position w:val="0"/>
                <w:sz w:val="24"/>
                <w:szCs w:val="24"/>
                <w:highlight w:val="none"/>
                <w:lang w:val="en-US" w:eastAsia="zh-CN"/>
              </w:rPr>
              <w:t>表4-</w:t>
            </w:r>
            <w:r>
              <w:rPr>
                <w:rFonts w:hint="default" w:ascii="Times New Roman" w:hAnsi="Times New Roman" w:cs="Times New Roman"/>
                <w:b/>
                <w:bCs/>
                <w:smallCaps w:val="0"/>
                <w:color w:val="auto"/>
                <w:spacing w:val="0"/>
                <w:position w:val="0"/>
                <w:sz w:val="24"/>
                <w:szCs w:val="24"/>
                <w:highlight w:val="none"/>
                <w:lang w:val="en-US" w:eastAsia="zh-CN"/>
              </w:rPr>
              <w:t>7</w:t>
            </w:r>
            <w:r>
              <w:rPr>
                <w:rFonts w:hint="default" w:ascii="Times New Roman" w:hAnsi="Times New Roman" w:eastAsia="宋体" w:cs="Times New Roman"/>
                <w:b/>
                <w:bCs/>
                <w:smallCaps w:val="0"/>
                <w:color w:val="auto"/>
                <w:spacing w:val="0"/>
                <w:position w:val="0"/>
                <w:sz w:val="24"/>
                <w:szCs w:val="24"/>
                <w:highlight w:val="none"/>
                <w:lang w:val="en-US" w:eastAsia="zh-CN"/>
              </w:rPr>
              <w:t xml:space="preserve">  工业企业噪声源强调查清单（室内）</w:t>
            </w:r>
          </w:p>
          <w:tbl>
            <w:tblPr>
              <w:tblStyle w:val="32"/>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24"/>
              <w:gridCol w:w="1401"/>
              <w:gridCol w:w="913"/>
              <w:gridCol w:w="775"/>
              <w:gridCol w:w="765"/>
              <w:gridCol w:w="450"/>
              <w:gridCol w:w="468"/>
              <w:gridCol w:w="432"/>
              <w:gridCol w:w="419"/>
              <w:gridCol w:w="399"/>
              <w:gridCol w:w="399"/>
              <w:gridCol w:w="445"/>
              <w:gridCol w:w="399"/>
              <w:gridCol w:w="419"/>
              <w:gridCol w:w="419"/>
              <w:gridCol w:w="445"/>
              <w:gridCol w:w="496"/>
              <w:gridCol w:w="685"/>
              <w:gridCol w:w="399"/>
              <w:gridCol w:w="442"/>
              <w:gridCol w:w="405"/>
              <w:gridCol w:w="446"/>
              <w:gridCol w:w="827"/>
            </w:tblGrid>
            <w:tr w14:paraId="656A4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vMerge w:val="restart"/>
                  <w:noWrap w:val="0"/>
                  <w:vAlign w:val="center"/>
                </w:tcPr>
                <w:p w14:paraId="3378A922">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smallCaps w:val="0"/>
                      <w:color w:val="auto"/>
                      <w:spacing w:val="0"/>
                      <w:position w:val="0"/>
                      <w:sz w:val="21"/>
                      <w:szCs w:val="21"/>
                      <w:highlight w:val="none"/>
                      <w:lang w:val="en-US" w:eastAsia="zh-CN"/>
                    </w:rPr>
                  </w:pPr>
                  <w:r>
                    <w:rPr>
                      <w:rFonts w:hint="default" w:ascii="Times New Roman" w:hAnsi="Times New Roman" w:eastAsia="宋体" w:cs="Times New Roman"/>
                      <w:b/>
                      <w:bCs w:val="0"/>
                      <w:smallCaps w:val="0"/>
                      <w:color w:val="auto"/>
                      <w:spacing w:val="0"/>
                      <w:position w:val="0"/>
                      <w:sz w:val="21"/>
                      <w:szCs w:val="21"/>
                      <w:highlight w:val="none"/>
                      <w:lang w:val="en-US" w:eastAsia="zh-CN"/>
                    </w:rPr>
                    <w:t>序号</w:t>
                  </w:r>
                </w:p>
              </w:tc>
              <w:tc>
                <w:tcPr>
                  <w:tcW w:w="548" w:type="pct"/>
                  <w:vMerge w:val="restart"/>
                  <w:noWrap w:val="0"/>
                  <w:vAlign w:val="center"/>
                </w:tcPr>
                <w:p w14:paraId="4AEB7AD2">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smallCaps w:val="0"/>
                      <w:color w:val="auto"/>
                      <w:spacing w:val="0"/>
                      <w:position w:val="0"/>
                      <w:sz w:val="21"/>
                      <w:szCs w:val="21"/>
                      <w:highlight w:val="none"/>
                      <w:lang w:val="en-US" w:eastAsia="en-US"/>
                    </w:rPr>
                  </w:pPr>
                  <w:r>
                    <w:rPr>
                      <w:rFonts w:hint="default" w:ascii="Times New Roman" w:hAnsi="Times New Roman" w:eastAsia="宋体" w:cs="Times New Roman"/>
                      <w:b/>
                      <w:bCs w:val="0"/>
                      <w:smallCaps w:val="0"/>
                      <w:color w:val="auto"/>
                      <w:spacing w:val="0"/>
                      <w:position w:val="0"/>
                      <w:sz w:val="21"/>
                      <w:szCs w:val="21"/>
                      <w:highlight w:val="none"/>
                      <w:lang w:val="en-US" w:eastAsia="zh-CN"/>
                    </w:rPr>
                    <w:t>声源名称</w:t>
                  </w:r>
                </w:p>
              </w:tc>
              <w:tc>
                <w:tcPr>
                  <w:tcW w:w="357" w:type="pct"/>
                  <w:vMerge w:val="restart"/>
                  <w:noWrap w:val="0"/>
                  <w:vAlign w:val="center"/>
                </w:tcPr>
                <w:p w14:paraId="6FD2A1B3">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smallCaps w:val="0"/>
                      <w:color w:val="auto"/>
                      <w:spacing w:val="0"/>
                      <w:position w:val="0"/>
                      <w:sz w:val="21"/>
                      <w:szCs w:val="21"/>
                      <w:highlight w:val="none"/>
                      <w:lang w:val="en-US" w:eastAsia="zh-CN"/>
                    </w:rPr>
                  </w:pPr>
                  <w:r>
                    <w:rPr>
                      <w:rFonts w:hint="default" w:ascii="Times New Roman" w:hAnsi="Times New Roman" w:eastAsia="宋体" w:cs="Times New Roman"/>
                      <w:b/>
                      <w:bCs w:val="0"/>
                      <w:smallCaps w:val="0"/>
                      <w:color w:val="auto"/>
                      <w:spacing w:val="0"/>
                      <w:position w:val="0"/>
                      <w:sz w:val="21"/>
                      <w:szCs w:val="21"/>
                      <w:highlight w:val="none"/>
                      <w:lang w:val="en-US" w:eastAsia="zh-CN"/>
                    </w:rPr>
                    <w:t>数量/台</w:t>
                  </w:r>
                </w:p>
              </w:tc>
              <w:tc>
                <w:tcPr>
                  <w:tcW w:w="303" w:type="pct"/>
                  <w:vMerge w:val="restart"/>
                  <w:noWrap w:val="0"/>
                  <w:vAlign w:val="center"/>
                </w:tcPr>
                <w:p w14:paraId="67F92467">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smallCaps w:val="0"/>
                      <w:color w:val="auto"/>
                      <w:spacing w:val="0"/>
                      <w:position w:val="0"/>
                      <w:sz w:val="21"/>
                      <w:szCs w:val="21"/>
                      <w:highlight w:val="none"/>
                      <w:lang w:val="en-US" w:eastAsia="zh-CN"/>
                    </w:rPr>
                  </w:pPr>
                  <w:r>
                    <w:rPr>
                      <w:rFonts w:hint="default" w:ascii="Times New Roman" w:hAnsi="Times New Roman" w:eastAsia="宋体" w:cs="Times New Roman"/>
                      <w:b/>
                      <w:bCs w:val="0"/>
                      <w:smallCaps w:val="0"/>
                      <w:color w:val="auto"/>
                      <w:spacing w:val="0"/>
                      <w:position w:val="0"/>
                      <w:sz w:val="21"/>
                      <w:szCs w:val="21"/>
                      <w:highlight w:val="none"/>
                      <w:lang w:val="en-US" w:eastAsia="zh-CN"/>
                    </w:rPr>
                    <w:t>距离声源1m处声压级/dB（A</w:t>
                  </w:r>
                  <w:r>
                    <w:rPr>
                      <w:rFonts w:hint="default" w:ascii="Times New Roman" w:hAnsi="Times New Roman" w:cs="Times New Roman"/>
                      <w:b/>
                      <w:bCs w:val="0"/>
                      <w:smallCaps w:val="0"/>
                      <w:color w:val="auto"/>
                      <w:spacing w:val="0"/>
                      <w:position w:val="0"/>
                      <w:sz w:val="21"/>
                      <w:szCs w:val="21"/>
                      <w:highlight w:val="none"/>
                      <w:lang w:val="en-US" w:eastAsia="zh-CN"/>
                    </w:rPr>
                    <w:t>）</w:t>
                  </w:r>
                </w:p>
              </w:tc>
              <w:tc>
                <w:tcPr>
                  <w:tcW w:w="299" w:type="pct"/>
                  <w:vMerge w:val="restart"/>
                  <w:noWrap w:val="0"/>
                  <w:vAlign w:val="center"/>
                </w:tcPr>
                <w:p w14:paraId="40AE887E">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smallCaps w:val="0"/>
                      <w:color w:val="auto"/>
                      <w:spacing w:val="0"/>
                      <w:position w:val="0"/>
                      <w:sz w:val="21"/>
                      <w:szCs w:val="21"/>
                      <w:highlight w:val="none"/>
                    </w:rPr>
                  </w:pPr>
                  <w:r>
                    <w:rPr>
                      <w:rFonts w:hint="default" w:ascii="Times New Roman" w:hAnsi="Times New Roman" w:eastAsia="宋体" w:cs="Times New Roman"/>
                      <w:b/>
                      <w:bCs w:val="0"/>
                      <w:smallCaps w:val="0"/>
                      <w:color w:val="auto"/>
                      <w:spacing w:val="0"/>
                      <w:position w:val="0"/>
                      <w:sz w:val="21"/>
                      <w:szCs w:val="21"/>
                      <w:highlight w:val="none"/>
                    </w:rPr>
                    <w:t>治理</w:t>
                  </w:r>
                </w:p>
                <w:p w14:paraId="172DCA79">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bCs w:val="0"/>
                      <w:smallCaps w:val="0"/>
                      <w:color w:val="auto"/>
                      <w:spacing w:val="0"/>
                      <w:position w:val="0"/>
                      <w:sz w:val="21"/>
                      <w:szCs w:val="21"/>
                      <w:highlight w:val="none"/>
                    </w:rPr>
                  </w:pPr>
                  <w:r>
                    <w:rPr>
                      <w:rFonts w:hint="default" w:ascii="Times New Roman" w:hAnsi="Times New Roman" w:eastAsia="宋体" w:cs="Times New Roman"/>
                      <w:b/>
                      <w:bCs w:val="0"/>
                      <w:smallCaps w:val="0"/>
                      <w:color w:val="auto"/>
                      <w:spacing w:val="0"/>
                      <w:position w:val="0"/>
                      <w:sz w:val="21"/>
                      <w:szCs w:val="21"/>
                      <w:highlight w:val="none"/>
                    </w:rPr>
                    <w:t>措施</w:t>
                  </w:r>
                </w:p>
              </w:tc>
              <w:tc>
                <w:tcPr>
                  <w:tcW w:w="528" w:type="pct"/>
                  <w:gridSpan w:val="3"/>
                  <w:noWrap w:val="0"/>
                  <w:vAlign w:val="center"/>
                </w:tcPr>
                <w:p w14:paraId="05ED797A">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rPr>
                  </w:pPr>
                  <w:r>
                    <w:rPr>
                      <w:rFonts w:hint="default" w:ascii="Times New Roman" w:hAnsi="Times New Roman" w:eastAsia="宋体" w:cs="Times New Roman"/>
                      <w:b/>
                      <w:bCs w:val="0"/>
                      <w:smallCaps w:val="0"/>
                      <w:color w:val="auto"/>
                      <w:spacing w:val="0"/>
                      <w:position w:val="0"/>
                      <w:sz w:val="21"/>
                      <w:szCs w:val="21"/>
                      <w:highlight w:val="none"/>
                    </w:rPr>
                    <w:t>空间相对位置</w:t>
                  </w:r>
                </w:p>
              </w:tc>
              <w:tc>
                <w:tcPr>
                  <w:tcW w:w="650" w:type="pct"/>
                  <w:gridSpan w:val="4"/>
                  <w:vMerge w:val="restart"/>
                  <w:noWrap w:val="0"/>
                  <w:vAlign w:val="center"/>
                </w:tcPr>
                <w:p w14:paraId="4FACA94A">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lang w:eastAsia="zh-CN"/>
                    </w:rPr>
                  </w:pPr>
                  <w:r>
                    <w:rPr>
                      <w:rFonts w:hint="default" w:ascii="Times New Roman" w:hAnsi="Times New Roman" w:eastAsia="宋体" w:cs="Times New Roman"/>
                      <w:b/>
                      <w:bCs w:val="0"/>
                      <w:smallCaps w:val="0"/>
                      <w:color w:val="auto"/>
                      <w:spacing w:val="0"/>
                      <w:position w:val="0"/>
                      <w:sz w:val="21"/>
                      <w:szCs w:val="21"/>
                      <w:highlight w:val="none"/>
                    </w:rPr>
                    <w:t>距室内边界距离</w:t>
                  </w:r>
                  <w:r>
                    <w:rPr>
                      <w:rFonts w:hint="default" w:ascii="Times New Roman" w:hAnsi="Times New Roman" w:eastAsia="宋体" w:cs="Times New Roman"/>
                      <w:b/>
                      <w:bCs w:val="0"/>
                      <w:smallCaps w:val="0"/>
                      <w:color w:val="auto"/>
                      <w:spacing w:val="0"/>
                      <w:position w:val="0"/>
                      <w:sz w:val="21"/>
                      <w:szCs w:val="21"/>
                      <w:highlight w:val="none"/>
                      <w:lang w:eastAsia="zh-CN"/>
                    </w:rPr>
                    <w:t>（</w:t>
                  </w:r>
                  <w:r>
                    <w:rPr>
                      <w:rFonts w:hint="default" w:ascii="Times New Roman" w:hAnsi="Times New Roman" w:eastAsia="宋体" w:cs="Times New Roman"/>
                      <w:b/>
                      <w:bCs w:val="0"/>
                      <w:smallCaps w:val="0"/>
                      <w:color w:val="auto"/>
                      <w:spacing w:val="0"/>
                      <w:position w:val="0"/>
                      <w:sz w:val="21"/>
                      <w:szCs w:val="21"/>
                      <w:highlight w:val="none"/>
                    </w:rPr>
                    <w:t>m</w:t>
                  </w:r>
                  <w:r>
                    <w:rPr>
                      <w:rFonts w:hint="default" w:ascii="Times New Roman" w:hAnsi="Times New Roman" w:eastAsia="宋体" w:cs="Times New Roman"/>
                      <w:b/>
                      <w:bCs w:val="0"/>
                      <w:smallCaps w:val="0"/>
                      <w:color w:val="auto"/>
                      <w:spacing w:val="0"/>
                      <w:position w:val="0"/>
                      <w:sz w:val="21"/>
                      <w:szCs w:val="21"/>
                      <w:highlight w:val="none"/>
                      <w:lang w:eastAsia="zh-CN"/>
                    </w:rPr>
                    <w:t>）</w:t>
                  </w:r>
                </w:p>
              </w:tc>
              <w:tc>
                <w:tcPr>
                  <w:tcW w:w="658" w:type="pct"/>
                  <w:gridSpan w:val="4"/>
                  <w:vMerge w:val="restart"/>
                  <w:noWrap w:val="0"/>
                  <w:vAlign w:val="center"/>
                </w:tcPr>
                <w:p w14:paraId="160329C9">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lang w:eastAsia="zh-CN"/>
                    </w:rPr>
                  </w:pPr>
                  <w:r>
                    <w:rPr>
                      <w:rFonts w:hint="default" w:ascii="Times New Roman" w:hAnsi="Times New Roman" w:eastAsia="宋体" w:cs="Times New Roman"/>
                      <w:b/>
                      <w:bCs w:val="0"/>
                      <w:smallCaps w:val="0"/>
                      <w:color w:val="auto"/>
                      <w:spacing w:val="0"/>
                      <w:position w:val="0"/>
                      <w:sz w:val="21"/>
                      <w:szCs w:val="21"/>
                      <w:highlight w:val="none"/>
                    </w:rPr>
                    <w:t>室内边界声级/dB</w:t>
                  </w:r>
                  <w:r>
                    <w:rPr>
                      <w:rFonts w:hint="default" w:ascii="Times New Roman" w:hAnsi="Times New Roman" w:eastAsia="宋体" w:cs="Times New Roman"/>
                      <w:b/>
                      <w:bCs w:val="0"/>
                      <w:smallCaps w:val="0"/>
                      <w:color w:val="auto"/>
                      <w:spacing w:val="0"/>
                      <w:position w:val="0"/>
                      <w:sz w:val="21"/>
                      <w:szCs w:val="21"/>
                      <w:highlight w:val="none"/>
                      <w:lang w:eastAsia="zh-CN"/>
                    </w:rPr>
                    <w:t>（</w:t>
                  </w:r>
                  <w:r>
                    <w:rPr>
                      <w:rFonts w:hint="default" w:ascii="Times New Roman" w:hAnsi="Times New Roman" w:eastAsia="宋体" w:cs="Times New Roman"/>
                      <w:b/>
                      <w:bCs w:val="0"/>
                      <w:smallCaps w:val="0"/>
                      <w:color w:val="auto"/>
                      <w:spacing w:val="0"/>
                      <w:position w:val="0"/>
                      <w:sz w:val="21"/>
                      <w:szCs w:val="21"/>
                      <w:highlight w:val="none"/>
                    </w:rPr>
                    <w:t>A</w:t>
                  </w:r>
                  <w:r>
                    <w:rPr>
                      <w:rFonts w:hint="default" w:ascii="Times New Roman" w:hAnsi="Times New Roman" w:eastAsia="宋体" w:cs="Times New Roman"/>
                      <w:b/>
                      <w:bCs w:val="0"/>
                      <w:smallCaps w:val="0"/>
                      <w:color w:val="auto"/>
                      <w:spacing w:val="0"/>
                      <w:position w:val="0"/>
                      <w:sz w:val="21"/>
                      <w:szCs w:val="21"/>
                      <w:highlight w:val="none"/>
                      <w:lang w:eastAsia="zh-CN"/>
                    </w:rPr>
                    <w:t>）</w:t>
                  </w:r>
                </w:p>
              </w:tc>
              <w:tc>
                <w:tcPr>
                  <w:tcW w:w="194" w:type="pct"/>
                  <w:vMerge w:val="restart"/>
                  <w:noWrap w:val="0"/>
                  <w:vAlign w:val="center"/>
                </w:tcPr>
                <w:p w14:paraId="7F936D26">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rPr>
                  </w:pPr>
                  <w:r>
                    <w:rPr>
                      <w:rFonts w:hint="default" w:ascii="Times New Roman" w:hAnsi="Times New Roman" w:eastAsia="宋体" w:cs="Times New Roman"/>
                      <w:b/>
                      <w:bCs w:val="0"/>
                      <w:smallCaps w:val="0"/>
                      <w:color w:val="auto"/>
                      <w:spacing w:val="0"/>
                      <w:position w:val="0"/>
                      <w:sz w:val="21"/>
                      <w:szCs w:val="21"/>
                      <w:highlight w:val="none"/>
                    </w:rPr>
                    <w:t>运行时段</w:t>
                  </w:r>
                </w:p>
              </w:tc>
              <w:tc>
                <w:tcPr>
                  <w:tcW w:w="268" w:type="pct"/>
                  <w:vMerge w:val="restart"/>
                  <w:noWrap w:val="0"/>
                  <w:vAlign w:val="center"/>
                </w:tcPr>
                <w:p w14:paraId="1FC3193B">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rPr>
                  </w:pPr>
                  <w:r>
                    <w:rPr>
                      <w:rFonts w:hint="default" w:ascii="Times New Roman" w:hAnsi="Times New Roman" w:eastAsia="宋体" w:cs="Times New Roman"/>
                      <w:b/>
                      <w:bCs w:val="0"/>
                      <w:smallCaps w:val="0"/>
                      <w:color w:val="auto"/>
                      <w:spacing w:val="0"/>
                      <w:position w:val="0"/>
                      <w:sz w:val="21"/>
                      <w:szCs w:val="21"/>
                      <w:highlight w:val="none"/>
                    </w:rPr>
                    <w:t>建筑物插入损失/dB（A）</w:t>
                  </w:r>
                </w:p>
              </w:tc>
              <w:tc>
                <w:tcPr>
                  <w:tcW w:w="984" w:type="pct"/>
                  <w:gridSpan w:val="5"/>
                  <w:noWrap w:val="0"/>
                  <w:vAlign w:val="center"/>
                </w:tcPr>
                <w:p w14:paraId="12B863FF">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rPr>
                  </w:pPr>
                  <w:r>
                    <w:rPr>
                      <w:rFonts w:hint="default" w:ascii="Times New Roman" w:hAnsi="Times New Roman" w:eastAsia="宋体" w:cs="Times New Roman"/>
                      <w:b/>
                      <w:bCs w:val="0"/>
                      <w:smallCaps w:val="0"/>
                      <w:color w:val="auto"/>
                      <w:spacing w:val="0"/>
                      <w:position w:val="0"/>
                      <w:sz w:val="21"/>
                      <w:szCs w:val="21"/>
                      <w:highlight w:val="none"/>
                    </w:rPr>
                    <w:t>建筑物外噪声</w:t>
                  </w:r>
                </w:p>
              </w:tc>
            </w:tr>
            <w:tr w14:paraId="1726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vMerge w:val="continue"/>
                  <w:noWrap w:val="0"/>
                  <w:vAlign w:val="center"/>
                </w:tcPr>
                <w:p w14:paraId="0D4213DD">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lang w:val="en-US" w:eastAsia="zh-CN"/>
                    </w:rPr>
                  </w:pPr>
                </w:p>
              </w:tc>
              <w:tc>
                <w:tcPr>
                  <w:tcW w:w="548" w:type="pct"/>
                  <w:vMerge w:val="continue"/>
                  <w:noWrap w:val="0"/>
                  <w:vAlign w:val="center"/>
                </w:tcPr>
                <w:p w14:paraId="7B78D381">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lang w:val="en-US" w:eastAsia="zh-CN"/>
                    </w:rPr>
                  </w:pPr>
                </w:p>
              </w:tc>
              <w:tc>
                <w:tcPr>
                  <w:tcW w:w="357" w:type="pct"/>
                  <w:vMerge w:val="continue"/>
                  <w:noWrap w:val="0"/>
                  <w:vAlign w:val="center"/>
                </w:tcPr>
                <w:p w14:paraId="4157CDE0">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lang w:val="en-US" w:eastAsia="zh-CN"/>
                    </w:rPr>
                  </w:pPr>
                </w:p>
              </w:tc>
              <w:tc>
                <w:tcPr>
                  <w:tcW w:w="303" w:type="pct"/>
                  <w:vMerge w:val="continue"/>
                  <w:noWrap w:val="0"/>
                  <w:vAlign w:val="center"/>
                </w:tcPr>
                <w:p w14:paraId="25FF78CA">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lang w:val="en-US" w:eastAsia="zh-CN"/>
                    </w:rPr>
                  </w:pPr>
                </w:p>
              </w:tc>
              <w:tc>
                <w:tcPr>
                  <w:tcW w:w="299" w:type="pct"/>
                  <w:vMerge w:val="continue"/>
                  <w:noWrap w:val="0"/>
                  <w:vAlign w:val="center"/>
                </w:tcPr>
                <w:p w14:paraId="5EC3A4CD">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rPr>
                  </w:pPr>
                </w:p>
              </w:tc>
              <w:tc>
                <w:tcPr>
                  <w:tcW w:w="176" w:type="pct"/>
                  <w:vMerge w:val="restart"/>
                  <w:noWrap w:val="0"/>
                  <w:vAlign w:val="center"/>
                </w:tcPr>
                <w:p w14:paraId="4E6741BB">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rPr>
                  </w:pPr>
                  <w:r>
                    <w:rPr>
                      <w:rFonts w:hint="default" w:ascii="Times New Roman" w:hAnsi="Times New Roman" w:eastAsia="宋体" w:cs="Times New Roman"/>
                      <w:b/>
                      <w:bCs w:val="0"/>
                      <w:smallCaps w:val="0"/>
                      <w:color w:val="auto"/>
                      <w:spacing w:val="0"/>
                      <w:position w:val="0"/>
                      <w:sz w:val="21"/>
                      <w:szCs w:val="21"/>
                      <w:highlight w:val="none"/>
                    </w:rPr>
                    <w:t>x</w:t>
                  </w:r>
                </w:p>
              </w:tc>
              <w:tc>
                <w:tcPr>
                  <w:tcW w:w="183" w:type="pct"/>
                  <w:vMerge w:val="restart"/>
                  <w:noWrap w:val="0"/>
                  <w:vAlign w:val="center"/>
                </w:tcPr>
                <w:p w14:paraId="6BC68347">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rPr>
                  </w:pPr>
                  <w:r>
                    <w:rPr>
                      <w:rFonts w:hint="default" w:ascii="Times New Roman" w:hAnsi="Times New Roman" w:eastAsia="宋体" w:cs="Times New Roman"/>
                      <w:b/>
                      <w:bCs w:val="0"/>
                      <w:smallCaps w:val="0"/>
                      <w:color w:val="auto"/>
                      <w:spacing w:val="0"/>
                      <w:position w:val="0"/>
                      <w:sz w:val="21"/>
                      <w:szCs w:val="21"/>
                      <w:highlight w:val="none"/>
                    </w:rPr>
                    <w:t>y</w:t>
                  </w:r>
                </w:p>
              </w:tc>
              <w:tc>
                <w:tcPr>
                  <w:tcW w:w="169" w:type="pct"/>
                  <w:vMerge w:val="restart"/>
                  <w:noWrap w:val="0"/>
                  <w:vAlign w:val="center"/>
                </w:tcPr>
                <w:p w14:paraId="71A234C2">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rPr>
                  </w:pPr>
                  <w:r>
                    <w:rPr>
                      <w:rFonts w:hint="default" w:ascii="Times New Roman" w:hAnsi="Times New Roman" w:eastAsia="宋体" w:cs="Times New Roman"/>
                      <w:b/>
                      <w:bCs w:val="0"/>
                      <w:smallCaps w:val="0"/>
                      <w:color w:val="auto"/>
                      <w:spacing w:val="0"/>
                      <w:position w:val="0"/>
                      <w:sz w:val="21"/>
                      <w:szCs w:val="21"/>
                      <w:highlight w:val="none"/>
                    </w:rPr>
                    <w:t>z</w:t>
                  </w:r>
                </w:p>
              </w:tc>
              <w:tc>
                <w:tcPr>
                  <w:tcW w:w="650" w:type="pct"/>
                  <w:gridSpan w:val="4"/>
                  <w:vMerge w:val="continue"/>
                  <w:noWrap w:val="0"/>
                  <w:vAlign w:val="center"/>
                </w:tcPr>
                <w:p w14:paraId="1135045B">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rPr>
                  </w:pPr>
                </w:p>
              </w:tc>
              <w:tc>
                <w:tcPr>
                  <w:tcW w:w="658" w:type="pct"/>
                  <w:gridSpan w:val="4"/>
                  <w:vMerge w:val="continue"/>
                  <w:noWrap w:val="0"/>
                  <w:vAlign w:val="center"/>
                </w:tcPr>
                <w:p w14:paraId="1308C9A2">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rPr>
                  </w:pPr>
                </w:p>
              </w:tc>
              <w:tc>
                <w:tcPr>
                  <w:tcW w:w="194" w:type="pct"/>
                  <w:vMerge w:val="continue"/>
                  <w:noWrap w:val="0"/>
                  <w:vAlign w:val="center"/>
                </w:tcPr>
                <w:p w14:paraId="4A2F0682">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rPr>
                  </w:pPr>
                </w:p>
              </w:tc>
              <w:tc>
                <w:tcPr>
                  <w:tcW w:w="268" w:type="pct"/>
                  <w:vMerge w:val="continue"/>
                  <w:noWrap w:val="0"/>
                  <w:vAlign w:val="center"/>
                </w:tcPr>
                <w:p w14:paraId="1BC356E9">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rPr>
                  </w:pPr>
                </w:p>
              </w:tc>
              <w:tc>
                <w:tcPr>
                  <w:tcW w:w="661" w:type="pct"/>
                  <w:gridSpan w:val="4"/>
                  <w:noWrap w:val="0"/>
                  <w:vAlign w:val="center"/>
                </w:tcPr>
                <w:p w14:paraId="2B632056">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lang w:eastAsia="zh-CN"/>
                    </w:rPr>
                  </w:pPr>
                  <w:r>
                    <w:rPr>
                      <w:rFonts w:hint="default" w:ascii="Times New Roman" w:hAnsi="Times New Roman" w:eastAsia="宋体" w:cs="Times New Roman"/>
                      <w:b/>
                      <w:bCs w:val="0"/>
                      <w:smallCaps w:val="0"/>
                      <w:color w:val="auto"/>
                      <w:spacing w:val="0"/>
                      <w:position w:val="0"/>
                      <w:sz w:val="21"/>
                      <w:szCs w:val="21"/>
                      <w:highlight w:val="none"/>
                    </w:rPr>
                    <w:t>声压级/dB</w:t>
                  </w:r>
                  <w:r>
                    <w:rPr>
                      <w:rFonts w:hint="default" w:ascii="Times New Roman" w:hAnsi="Times New Roman" w:eastAsia="宋体" w:cs="Times New Roman"/>
                      <w:b/>
                      <w:bCs w:val="0"/>
                      <w:smallCaps w:val="0"/>
                      <w:color w:val="auto"/>
                      <w:spacing w:val="0"/>
                      <w:position w:val="0"/>
                      <w:sz w:val="21"/>
                      <w:szCs w:val="21"/>
                      <w:highlight w:val="none"/>
                      <w:lang w:eastAsia="zh-CN"/>
                    </w:rPr>
                    <w:t>（</w:t>
                  </w:r>
                  <w:r>
                    <w:rPr>
                      <w:rFonts w:hint="default" w:ascii="Times New Roman" w:hAnsi="Times New Roman" w:eastAsia="宋体" w:cs="Times New Roman"/>
                      <w:b/>
                      <w:bCs w:val="0"/>
                      <w:smallCaps w:val="0"/>
                      <w:color w:val="auto"/>
                      <w:spacing w:val="0"/>
                      <w:position w:val="0"/>
                      <w:sz w:val="21"/>
                      <w:szCs w:val="21"/>
                      <w:highlight w:val="none"/>
                    </w:rPr>
                    <w:t>A</w:t>
                  </w:r>
                  <w:r>
                    <w:rPr>
                      <w:rFonts w:hint="default" w:ascii="Times New Roman" w:hAnsi="Times New Roman" w:eastAsia="宋体" w:cs="Times New Roman"/>
                      <w:b/>
                      <w:bCs w:val="0"/>
                      <w:smallCaps w:val="0"/>
                      <w:color w:val="auto"/>
                      <w:spacing w:val="0"/>
                      <w:position w:val="0"/>
                      <w:sz w:val="21"/>
                      <w:szCs w:val="21"/>
                      <w:highlight w:val="none"/>
                      <w:lang w:eastAsia="zh-CN"/>
                    </w:rPr>
                    <w:t>）</w:t>
                  </w:r>
                </w:p>
              </w:tc>
              <w:tc>
                <w:tcPr>
                  <w:tcW w:w="323" w:type="pct"/>
                  <w:vMerge w:val="restart"/>
                  <w:noWrap w:val="0"/>
                  <w:vAlign w:val="center"/>
                </w:tcPr>
                <w:p w14:paraId="61BB6923">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b/>
                      <w:bCs w:val="0"/>
                      <w:smallCaps w:val="0"/>
                      <w:color w:val="auto"/>
                      <w:spacing w:val="0"/>
                      <w:position w:val="0"/>
                      <w:sz w:val="21"/>
                      <w:szCs w:val="21"/>
                      <w:highlight w:val="none"/>
                      <w:lang w:eastAsia="zh-CN"/>
                    </w:rPr>
                  </w:pPr>
                  <w:r>
                    <w:rPr>
                      <w:rFonts w:hint="default" w:ascii="Times New Roman" w:hAnsi="Times New Roman" w:eastAsia="宋体" w:cs="Times New Roman"/>
                      <w:b/>
                      <w:bCs w:val="0"/>
                      <w:smallCaps w:val="0"/>
                      <w:color w:val="auto"/>
                      <w:spacing w:val="0"/>
                      <w:position w:val="0"/>
                      <w:sz w:val="21"/>
                      <w:szCs w:val="21"/>
                      <w:highlight w:val="none"/>
                    </w:rPr>
                    <w:t>建筑物外距离</w:t>
                  </w:r>
                  <w:r>
                    <w:rPr>
                      <w:rFonts w:hint="default" w:ascii="Times New Roman" w:hAnsi="Times New Roman" w:eastAsia="宋体" w:cs="Times New Roman"/>
                      <w:b/>
                      <w:bCs w:val="0"/>
                      <w:smallCaps w:val="0"/>
                      <w:color w:val="auto"/>
                      <w:spacing w:val="0"/>
                      <w:position w:val="0"/>
                      <w:sz w:val="21"/>
                      <w:szCs w:val="21"/>
                      <w:highlight w:val="none"/>
                      <w:lang w:eastAsia="zh-CN"/>
                    </w:rPr>
                    <w:t>（</w:t>
                  </w:r>
                  <w:r>
                    <w:rPr>
                      <w:rFonts w:hint="default" w:ascii="Times New Roman" w:hAnsi="Times New Roman" w:eastAsia="宋体" w:cs="Times New Roman"/>
                      <w:b/>
                      <w:bCs w:val="0"/>
                      <w:smallCaps w:val="0"/>
                      <w:color w:val="auto"/>
                      <w:spacing w:val="0"/>
                      <w:position w:val="0"/>
                      <w:sz w:val="21"/>
                      <w:szCs w:val="21"/>
                      <w:highlight w:val="none"/>
                    </w:rPr>
                    <w:t>m</w:t>
                  </w:r>
                  <w:r>
                    <w:rPr>
                      <w:rFonts w:hint="default" w:ascii="Times New Roman" w:hAnsi="Times New Roman" w:eastAsia="宋体" w:cs="Times New Roman"/>
                      <w:b/>
                      <w:bCs w:val="0"/>
                      <w:smallCaps w:val="0"/>
                      <w:color w:val="auto"/>
                      <w:spacing w:val="0"/>
                      <w:position w:val="0"/>
                      <w:sz w:val="21"/>
                      <w:szCs w:val="21"/>
                      <w:highlight w:val="none"/>
                      <w:lang w:eastAsia="zh-CN"/>
                    </w:rPr>
                    <w:t>）</w:t>
                  </w:r>
                </w:p>
              </w:tc>
            </w:tr>
            <w:tr w14:paraId="185B5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vMerge w:val="continue"/>
                  <w:noWrap w:val="0"/>
                  <w:vAlign w:val="center"/>
                </w:tcPr>
                <w:p w14:paraId="581A2C80">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p>
              </w:tc>
              <w:tc>
                <w:tcPr>
                  <w:tcW w:w="548" w:type="pct"/>
                  <w:vMerge w:val="continue"/>
                  <w:noWrap w:val="0"/>
                  <w:vAlign w:val="center"/>
                </w:tcPr>
                <w:p w14:paraId="64A8CE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smallCaps w:val="0"/>
                      <w:color w:val="auto"/>
                      <w:spacing w:val="0"/>
                      <w:kern w:val="0"/>
                      <w:position w:val="0"/>
                      <w:sz w:val="21"/>
                      <w:szCs w:val="21"/>
                      <w:highlight w:val="none"/>
                      <w:u w:val="none"/>
                      <w:lang w:val="en-US" w:eastAsia="zh-CN" w:bidi="ar"/>
                    </w:rPr>
                  </w:pPr>
                </w:p>
              </w:tc>
              <w:tc>
                <w:tcPr>
                  <w:tcW w:w="357" w:type="pct"/>
                  <w:vMerge w:val="continue"/>
                  <w:noWrap w:val="0"/>
                  <w:vAlign w:val="center"/>
                </w:tcPr>
                <w:p w14:paraId="021A14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smallCaps w:val="0"/>
                      <w:color w:val="auto"/>
                      <w:spacing w:val="0"/>
                      <w:kern w:val="0"/>
                      <w:position w:val="0"/>
                      <w:sz w:val="21"/>
                      <w:szCs w:val="21"/>
                      <w:highlight w:val="none"/>
                      <w:u w:val="none"/>
                      <w:lang w:val="en-US" w:eastAsia="zh-CN" w:bidi="ar"/>
                    </w:rPr>
                  </w:pPr>
                </w:p>
              </w:tc>
              <w:tc>
                <w:tcPr>
                  <w:tcW w:w="303" w:type="pct"/>
                  <w:vMerge w:val="continue"/>
                  <w:noWrap w:val="0"/>
                  <w:vAlign w:val="center"/>
                </w:tcPr>
                <w:p w14:paraId="042D13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smallCaps w:val="0"/>
                      <w:color w:val="auto"/>
                      <w:spacing w:val="0"/>
                      <w:kern w:val="0"/>
                      <w:position w:val="0"/>
                      <w:sz w:val="21"/>
                      <w:szCs w:val="21"/>
                      <w:highlight w:val="none"/>
                      <w:u w:val="none"/>
                      <w:lang w:val="en-US" w:eastAsia="zh-CN" w:bidi="ar"/>
                    </w:rPr>
                  </w:pPr>
                </w:p>
              </w:tc>
              <w:tc>
                <w:tcPr>
                  <w:tcW w:w="299" w:type="pct"/>
                  <w:vMerge w:val="continue"/>
                  <w:noWrap w:val="0"/>
                  <w:vAlign w:val="center"/>
                </w:tcPr>
                <w:p w14:paraId="239F5D5B">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smallCaps w:val="0"/>
                      <w:color w:val="auto"/>
                      <w:spacing w:val="0"/>
                      <w:kern w:val="0"/>
                      <w:position w:val="0"/>
                      <w:sz w:val="21"/>
                      <w:szCs w:val="21"/>
                      <w:highlight w:val="none"/>
                    </w:rPr>
                  </w:pPr>
                </w:p>
              </w:tc>
              <w:tc>
                <w:tcPr>
                  <w:tcW w:w="176" w:type="pct"/>
                  <w:vMerge w:val="continue"/>
                  <w:noWrap w:val="0"/>
                  <w:vAlign w:val="center"/>
                </w:tcPr>
                <w:p w14:paraId="40C55A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smallCaps w:val="0"/>
                      <w:color w:val="auto"/>
                      <w:spacing w:val="0"/>
                      <w:kern w:val="0"/>
                      <w:position w:val="0"/>
                      <w:sz w:val="21"/>
                      <w:szCs w:val="21"/>
                      <w:highlight w:val="none"/>
                      <w:u w:val="none"/>
                      <w:lang w:val="en-US" w:eastAsia="zh-CN" w:bidi="ar"/>
                    </w:rPr>
                  </w:pPr>
                </w:p>
              </w:tc>
              <w:tc>
                <w:tcPr>
                  <w:tcW w:w="183" w:type="pct"/>
                  <w:vMerge w:val="continue"/>
                  <w:noWrap w:val="0"/>
                  <w:vAlign w:val="center"/>
                </w:tcPr>
                <w:p w14:paraId="256F20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i w:val="0"/>
                      <w:iCs w:val="0"/>
                      <w:smallCaps w:val="0"/>
                      <w:color w:val="auto"/>
                      <w:spacing w:val="0"/>
                      <w:kern w:val="0"/>
                      <w:position w:val="0"/>
                      <w:sz w:val="21"/>
                      <w:szCs w:val="21"/>
                      <w:highlight w:val="none"/>
                      <w:u w:val="none"/>
                      <w:lang w:val="en-US" w:eastAsia="zh-CN" w:bidi="ar"/>
                    </w:rPr>
                  </w:pPr>
                </w:p>
              </w:tc>
              <w:tc>
                <w:tcPr>
                  <w:tcW w:w="169" w:type="pct"/>
                  <w:vMerge w:val="continue"/>
                  <w:noWrap w:val="0"/>
                  <w:vAlign w:val="center"/>
                </w:tcPr>
                <w:p w14:paraId="37F6A85A">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smallCaps w:val="0"/>
                      <w:color w:val="auto"/>
                      <w:spacing w:val="0"/>
                      <w:kern w:val="2"/>
                      <w:position w:val="0"/>
                      <w:sz w:val="21"/>
                      <w:szCs w:val="21"/>
                      <w:highlight w:val="none"/>
                      <w:lang w:val="en-US" w:eastAsia="zh-CN" w:bidi="ar-SA"/>
                    </w:rPr>
                  </w:pPr>
                </w:p>
              </w:tc>
              <w:tc>
                <w:tcPr>
                  <w:tcW w:w="164" w:type="pct"/>
                  <w:noWrap w:val="0"/>
                  <w:vAlign w:val="center"/>
                </w:tcPr>
                <w:p w14:paraId="2CB880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b/>
                      <w:bCs w:val="0"/>
                      <w:smallCaps w:val="0"/>
                      <w:color w:val="auto"/>
                      <w:spacing w:val="0"/>
                      <w:kern w:val="2"/>
                      <w:position w:val="0"/>
                      <w:sz w:val="21"/>
                      <w:szCs w:val="21"/>
                      <w:highlight w:val="none"/>
                      <w:lang w:val="en-US" w:eastAsia="zh-CN" w:bidi="ar-SA"/>
                    </w:rPr>
                    <w:t>东</w:t>
                  </w:r>
                </w:p>
              </w:tc>
              <w:tc>
                <w:tcPr>
                  <w:tcW w:w="156" w:type="pct"/>
                  <w:noWrap w:val="0"/>
                  <w:vAlign w:val="center"/>
                </w:tcPr>
                <w:p w14:paraId="35BC7F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pPr>
                  <w: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t>南</w:t>
                  </w:r>
                </w:p>
              </w:tc>
              <w:tc>
                <w:tcPr>
                  <w:tcW w:w="156" w:type="pct"/>
                  <w:noWrap w:val="0"/>
                  <w:vAlign w:val="center"/>
                </w:tcPr>
                <w:p w14:paraId="5EF3F6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pPr>
                  <w: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t>西</w:t>
                  </w:r>
                </w:p>
              </w:tc>
              <w:tc>
                <w:tcPr>
                  <w:tcW w:w="174" w:type="pct"/>
                  <w:noWrap w:val="0"/>
                  <w:vAlign w:val="center"/>
                </w:tcPr>
                <w:p w14:paraId="2F8EF2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pPr>
                  <w: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t>北</w:t>
                  </w:r>
                </w:p>
              </w:tc>
              <w:tc>
                <w:tcPr>
                  <w:tcW w:w="156" w:type="pct"/>
                  <w:noWrap w:val="0"/>
                  <w:vAlign w:val="center"/>
                </w:tcPr>
                <w:p w14:paraId="7DB334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pPr>
                  <w:r>
                    <w:rPr>
                      <w:rFonts w:hint="default" w:ascii="Times New Roman" w:hAnsi="Times New Roman" w:eastAsia="宋体" w:cs="Times New Roman"/>
                      <w:b/>
                      <w:bCs w:val="0"/>
                      <w:smallCaps w:val="0"/>
                      <w:color w:val="auto"/>
                      <w:spacing w:val="0"/>
                      <w:kern w:val="2"/>
                      <w:position w:val="0"/>
                      <w:sz w:val="21"/>
                      <w:szCs w:val="21"/>
                      <w:highlight w:val="none"/>
                      <w:lang w:val="en-US" w:eastAsia="zh-CN" w:bidi="ar-SA"/>
                    </w:rPr>
                    <w:t>东</w:t>
                  </w:r>
                </w:p>
              </w:tc>
              <w:tc>
                <w:tcPr>
                  <w:tcW w:w="164" w:type="pct"/>
                  <w:noWrap w:val="0"/>
                  <w:vAlign w:val="center"/>
                </w:tcPr>
                <w:p w14:paraId="6BA056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pPr>
                  <w: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t>南</w:t>
                  </w:r>
                </w:p>
              </w:tc>
              <w:tc>
                <w:tcPr>
                  <w:tcW w:w="164" w:type="pct"/>
                  <w:noWrap w:val="0"/>
                  <w:vAlign w:val="center"/>
                </w:tcPr>
                <w:p w14:paraId="2F34BC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pPr>
                  <w: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t>西</w:t>
                  </w:r>
                </w:p>
              </w:tc>
              <w:tc>
                <w:tcPr>
                  <w:tcW w:w="174" w:type="pct"/>
                  <w:noWrap w:val="0"/>
                  <w:vAlign w:val="center"/>
                </w:tcPr>
                <w:p w14:paraId="1B319A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pPr>
                  <w: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t>北</w:t>
                  </w:r>
                </w:p>
              </w:tc>
              <w:tc>
                <w:tcPr>
                  <w:tcW w:w="194" w:type="pct"/>
                  <w:vMerge w:val="continue"/>
                  <w:noWrap w:val="0"/>
                  <w:vAlign w:val="center"/>
                </w:tcPr>
                <w:p w14:paraId="236CD3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pPr>
                </w:p>
              </w:tc>
              <w:tc>
                <w:tcPr>
                  <w:tcW w:w="268" w:type="pct"/>
                  <w:vMerge w:val="continue"/>
                  <w:noWrap w:val="0"/>
                  <w:vAlign w:val="center"/>
                </w:tcPr>
                <w:p w14:paraId="147A22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pPr>
                </w:p>
              </w:tc>
              <w:tc>
                <w:tcPr>
                  <w:tcW w:w="156" w:type="pct"/>
                  <w:noWrap w:val="0"/>
                  <w:vAlign w:val="center"/>
                </w:tcPr>
                <w:p w14:paraId="2FF7CF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bCs w:val="0"/>
                      <w:smallCaps w:val="0"/>
                      <w:color w:val="auto"/>
                      <w:spacing w:val="0"/>
                      <w:position w:val="0"/>
                      <w:sz w:val="21"/>
                      <w:szCs w:val="21"/>
                      <w:highlight w:val="none"/>
                      <w:lang w:val="en-US" w:eastAsia="zh-CN"/>
                    </w:rPr>
                  </w:pPr>
                  <w:r>
                    <w:rPr>
                      <w:rFonts w:hint="default" w:ascii="Times New Roman" w:hAnsi="Times New Roman" w:eastAsia="宋体" w:cs="Times New Roman"/>
                      <w:b/>
                      <w:bCs w:val="0"/>
                      <w:smallCaps w:val="0"/>
                      <w:color w:val="auto"/>
                      <w:spacing w:val="0"/>
                      <w:kern w:val="2"/>
                      <w:position w:val="0"/>
                      <w:sz w:val="21"/>
                      <w:szCs w:val="21"/>
                      <w:highlight w:val="none"/>
                      <w:lang w:val="en-US" w:eastAsia="zh-CN" w:bidi="ar-SA"/>
                    </w:rPr>
                    <w:t>东</w:t>
                  </w:r>
                </w:p>
              </w:tc>
              <w:tc>
                <w:tcPr>
                  <w:tcW w:w="173" w:type="pct"/>
                  <w:noWrap w:val="0"/>
                  <w:vAlign w:val="center"/>
                </w:tcPr>
                <w:p w14:paraId="33CF51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bCs w:val="0"/>
                      <w:smallCaps w:val="0"/>
                      <w:color w:val="auto"/>
                      <w:spacing w:val="0"/>
                      <w:position w:val="0"/>
                      <w:sz w:val="21"/>
                      <w:szCs w:val="21"/>
                      <w:highlight w:val="none"/>
                      <w:lang w:val="en-US" w:eastAsia="zh-CN"/>
                    </w:rPr>
                  </w:pPr>
                  <w: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t>南</w:t>
                  </w:r>
                </w:p>
              </w:tc>
              <w:tc>
                <w:tcPr>
                  <w:tcW w:w="158" w:type="pct"/>
                  <w:noWrap w:val="0"/>
                  <w:vAlign w:val="center"/>
                </w:tcPr>
                <w:p w14:paraId="7F9F47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bCs w:val="0"/>
                      <w:smallCaps w:val="0"/>
                      <w:color w:val="auto"/>
                      <w:spacing w:val="0"/>
                      <w:position w:val="0"/>
                      <w:sz w:val="21"/>
                      <w:szCs w:val="21"/>
                      <w:highlight w:val="none"/>
                      <w:lang w:val="en-US" w:eastAsia="zh-CN"/>
                    </w:rPr>
                  </w:pPr>
                  <w: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t>西</w:t>
                  </w:r>
                </w:p>
              </w:tc>
              <w:tc>
                <w:tcPr>
                  <w:tcW w:w="174" w:type="pct"/>
                  <w:noWrap w:val="0"/>
                  <w:vAlign w:val="center"/>
                </w:tcPr>
                <w:p w14:paraId="43A1AE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bCs w:val="0"/>
                      <w:smallCaps w:val="0"/>
                      <w:color w:val="auto"/>
                      <w:spacing w:val="0"/>
                      <w:position w:val="0"/>
                      <w:sz w:val="21"/>
                      <w:szCs w:val="21"/>
                      <w:highlight w:val="none"/>
                      <w:lang w:val="en-US" w:eastAsia="zh-CN"/>
                    </w:rPr>
                  </w:pPr>
                  <w:r>
                    <w:rPr>
                      <w:rFonts w:hint="default" w:ascii="Times New Roman" w:hAnsi="Times New Roman" w:eastAsia="宋体" w:cs="Times New Roman"/>
                      <w:b/>
                      <w:bCs w:val="0"/>
                      <w:smallCaps w:val="0"/>
                      <w:color w:val="auto"/>
                      <w:spacing w:val="0"/>
                      <w:kern w:val="21"/>
                      <w:position w:val="0"/>
                      <w:sz w:val="21"/>
                      <w:szCs w:val="21"/>
                      <w:highlight w:val="none"/>
                      <w:lang w:val="en-US" w:eastAsia="zh-CN" w:bidi="ar-SA"/>
                    </w:rPr>
                    <w:t>北</w:t>
                  </w:r>
                </w:p>
              </w:tc>
              <w:tc>
                <w:tcPr>
                  <w:tcW w:w="323" w:type="pct"/>
                  <w:vMerge w:val="continue"/>
                  <w:noWrap w:val="0"/>
                  <w:vAlign w:val="center"/>
                </w:tcPr>
                <w:p w14:paraId="6692DF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bCs w:val="0"/>
                      <w:smallCaps w:val="0"/>
                      <w:color w:val="auto"/>
                      <w:spacing w:val="0"/>
                      <w:position w:val="0"/>
                      <w:sz w:val="21"/>
                      <w:szCs w:val="21"/>
                      <w:highlight w:val="none"/>
                      <w:lang w:val="en-US" w:eastAsia="zh-CN"/>
                    </w:rPr>
                  </w:pPr>
                </w:p>
              </w:tc>
            </w:tr>
            <w:tr w14:paraId="6375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noWrap w:val="0"/>
                  <w:vAlign w:val="center"/>
                </w:tcPr>
                <w:p w14:paraId="570DB8FD">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t>1</w:t>
                  </w:r>
                </w:p>
              </w:tc>
              <w:tc>
                <w:tcPr>
                  <w:tcW w:w="548" w:type="pct"/>
                  <w:noWrap w:val="0"/>
                  <w:vAlign w:val="center"/>
                </w:tcPr>
                <w:p w14:paraId="09E186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抛丸机</w:t>
                  </w:r>
                </w:p>
              </w:tc>
              <w:tc>
                <w:tcPr>
                  <w:tcW w:w="357" w:type="pct"/>
                  <w:noWrap w:val="0"/>
                  <w:vAlign w:val="center"/>
                </w:tcPr>
                <w:p w14:paraId="2781A8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1</w:t>
                  </w:r>
                </w:p>
              </w:tc>
              <w:tc>
                <w:tcPr>
                  <w:tcW w:w="775" w:type="dxa"/>
                  <w:noWrap w:val="0"/>
                  <w:vAlign w:val="center"/>
                </w:tcPr>
                <w:p w14:paraId="7B16D81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88</w:t>
                  </w:r>
                </w:p>
              </w:tc>
              <w:tc>
                <w:tcPr>
                  <w:tcW w:w="299" w:type="pct"/>
                  <w:vMerge w:val="restart"/>
                  <w:noWrap w:val="0"/>
                  <w:vAlign w:val="center"/>
                </w:tcPr>
                <w:p w14:paraId="391CBE01">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smallCaps w:val="0"/>
                      <w:color w:val="auto"/>
                      <w:spacing w:val="0"/>
                      <w:position w:val="0"/>
                      <w:sz w:val="21"/>
                      <w:szCs w:val="21"/>
                      <w:highlight w:val="none"/>
                    </w:rPr>
                  </w:pPr>
                  <w:r>
                    <w:rPr>
                      <w:rFonts w:hint="default" w:ascii="Times New Roman" w:hAnsi="Times New Roman" w:cs="Times New Roman"/>
                      <w:color w:val="auto"/>
                      <w:highlight w:val="none"/>
                    </w:rPr>
                    <w:t>低噪声设备、基础减振、厂房隔声；除尘风机及配套风机设消声器</w:t>
                  </w:r>
                </w:p>
              </w:tc>
              <w:tc>
                <w:tcPr>
                  <w:tcW w:w="450" w:type="dxa"/>
                  <w:noWrap w:val="0"/>
                  <w:vAlign w:val="center"/>
                </w:tcPr>
                <w:p w14:paraId="7D8D722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26</w:t>
                  </w:r>
                </w:p>
              </w:tc>
              <w:tc>
                <w:tcPr>
                  <w:tcW w:w="468" w:type="dxa"/>
                  <w:noWrap w:val="0"/>
                  <w:vAlign w:val="center"/>
                </w:tcPr>
                <w:p w14:paraId="60DF9D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8</w:t>
                  </w:r>
                </w:p>
              </w:tc>
              <w:tc>
                <w:tcPr>
                  <w:tcW w:w="432" w:type="dxa"/>
                  <w:noWrap w:val="0"/>
                  <w:vAlign w:val="center"/>
                </w:tcPr>
                <w:p w14:paraId="15DC35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1.2</w:t>
                  </w:r>
                </w:p>
              </w:tc>
              <w:tc>
                <w:tcPr>
                  <w:tcW w:w="419" w:type="dxa"/>
                  <w:noWrap w:val="0"/>
                  <w:vAlign w:val="center"/>
                </w:tcPr>
                <w:p w14:paraId="4B4B45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7</w:t>
                  </w:r>
                </w:p>
              </w:tc>
              <w:tc>
                <w:tcPr>
                  <w:tcW w:w="399" w:type="dxa"/>
                  <w:noWrap w:val="0"/>
                  <w:vAlign w:val="center"/>
                </w:tcPr>
                <w:p w14:paraId="0880E7C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41</w:t>
                  </w:r>
                </w:p>
              </w:tc>
              <w:tc>
                <w:tcPr>
                  <w:tcW w:w="399" w:type="dxa"/>
                  <w:noWrap w:val="0"/>
                  <w:vAlign w:val="center"/>
                </w:tcPr>
                <w:p w14:paraId="21FB5D9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59</w:t>
                  </w:r>
                </w:p>
              </w:tc>
              <w:tc>
                <w:tcPr>
                  <w:tcW w:w="445" w:type="dxa"/>
                  <w:noWrap w:val="0"/>
                  <w:vAlign w:val="center"/>
                </w:tcPr>
                <w:p w14:paraId="4619891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25</w:t>
                  </w:r>
                </w:p>
              </w:tc>
              <w:tc>
                <w:tcPr>
                  <w:tcW w:w="399" w:type="dxa"/>
                  <w:noWrap w:val="0"/>
                  <w:vAlign w:val="center"/>
                </w:tcPr>
                <w:p w14:paraId="13D1C7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71.1</w:t>
                  </w:r>
                </w:p>
              </w:tc>
              <w:tc>
                <w:tcPr>
                  <w:tcW w:w="419" w:type="dxa"/>
                  <w:noWrap w:val="0"/>
                  <w:vAlign w:val="center"/>
                </w:tcPr>
                <w:p w14:paraId="6E243D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55.7</w:t>
                  </w:r>
                </w:p>
              </w:tc>
              <w:tc>
                <w:tcPr>
                  <w:tcW w:w="419" w:type="dxa"/>
                  <w:noWrap w:val="0"/>
                  <w:vAlign w:val="center"/>
                </w:tcPr>
                <w:p w14:paraId="28A5C8C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52.6</w:t>
                  </w:r>
                </w:p>
              </w:tc>
              <w:tc>
                <w:tcPr>
                  <w:tcW w:w="445" w:type="dxa"/>
                  <w:noWrap w:val="0"/>
                  <w:vAlign w:val="center"/>
                </w:tcPr>
                <w:p w14:paraId="7B0B543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60.0</w:t>
                  </w:r>
                </w:p>
              </w:tc>
              <w:tc>
                <w:tcPr>
                  <w:tcW w:w="496" w:type="dxa"/>
                  <w:noWrap w:val="0"/>
                  <w:vAlign w:val="center"/>
                </w:tcPr>
                <w:p w14:paraId="703D2D0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昼 8h</w:t>
                  </w:r>
                </w:p>
              </w:tc>
              <w:tc>
                <w:tcPr>
                  <w:tcW w:w="685" w:type="dxa"/>
                  <w:noWrap w:val="0"/>
                  <w:vAlign w:val="center"/>
                </w:tcPr>
                <w:p w14:paraId="0E616A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20</w:t>
                  </w:r>
                </w:p>
              </w:tc>
              <w:tc>
                <w:tcPr>
                  <w:tcW w:w="399" w:type="dxa"/>
                  <w:noWrap w:val="0"/>
                  <w:vAlign w:val="center"/>
                </w:tcPr>
                <w:p w14:paraId="7C004A7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51.1</w:t>
                  </w:r>
                </w:p>
              </w:tc>
              <w:tc>
                <w:tcPr>
                  <w:tcW w:w="442" w:type="dxa"/>
                  <w:noWrap w:val="0"/>
                  <w:vAlign w:val="center"/>
                </w:tcPr>
                <w:p w14:paraId="45FDF89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35.7</w:t>
                  </w:r>
                </w:p>
              </w:tc>
              <w:tc>
                <w:tcPr>
                  <w:tcW w:w="405" w:type="dxa"/>
                  <w:noWrap w:val="0"/>
                  <w:vAlign w:val="center"/>
                </w:tcPr>
                <w:p w14:paraId="4336E2F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32.6</w:t>
                  </w:r>
                </w:p>
              </w:tc>
              <w:tc>
                <w:tcPr>
                  <w:tcW w:w="446" w:type="dxa"/>
                  <w:noWrap w:val="0"/>
                  <w:vAlign w:val="center"/>
                </w:tcPr>
                <w:p w14:paraId="3078711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40.0</w:t>
                  </w:r>
                </w:p>
              </w:tc>
              <w:tc>
                <w:tcPr>
                  <w:tcW w:w="827" w:type="dxa"/>
                  <w:noWrap w:val="0"/>
                  <w:vAlign w:val="center"/>
                </w:tcPr>
                <w:p w14:paraId="3AA160A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1</w:t>
                  </w:r>
                </w:p>
              </w:tc>
            </w:tr>
            <w:tr w14:paraId="28478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noWrap w:val="0"/>
                  <w:vAlign w:val="center"/>
                </w:tcPr>
                <w:p w14:paraId="05ED724B">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t>2</w:t>
                  </w:r>
                </w:p>
              </w:tc>
              <w:tc>
                <w:tcPr>
                  <w:tcW w:w="548" w:type="pct"/>
                  <w:noWrap w:val="0"/>
                  <w:vAlign w:val="center"/>
                </w:tcPr>
                <w:p w14:paraId="62F111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抛丸机</w:t>
                  </w:r>
                </w:p>
              </w:tc>
              <w:tc>
                <w:tcPr>
                  <w:tcW w:w="357" w:type="pct"/>
                  <w:noWrap w:val="0"/>
                  <w:vAlign w:val="center"/>
                </w:tcPr>
                <w:p w14:paraId="4CCA12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1</w:t>
                  </w:r>
                </w:p>
              </w:tc>
              <w:tc>
                <w:tcPr>
                  <w:tcW w:w="775" w:type="dxa"/>
                  <w:noWrap w:val="0"/>
                  <w:vAlign w:val="center"/>
                </w:tcPr>
                <w:p w14:paraId="5C794A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88</w:t>
                  </w:r>
                </w:p>
              </w:tc>
              <w:tc>
                <w:tcPr>
                  <w:tcW w:w="299" w:type="pct"/>
                  <w:vMerge w:val="continue"/>
                  <w:noWrap w:val="0"/>
                  <w:vAlign w:val="center"/>
                </w:tcPr>
                <w:p w14:paraId="31ADFC93">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smallCaps w:val="0"/>
                      <w:color w:val="auto"/>
                      <w:spacing w:val="0"/>
                      <w:position w:val="0"/>
                      <w:sz w:val="21"/>
                      <w:szCs w:val="21"/>
                      <w:highlight w:val="none"/>
                    </w:rPr>
                  </w:pPr>
                </w:p>
              </w:tc>
              <w:tc>
                <w:tcPr>
                  <w:tcW w:w="450" w:type="dxa"/>
                  <w:noWrap w:val="0"/>
                  <w:vAlign w:val="center"/>
                </w:tcPr>
                <w:p w14:paraId="438A56D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-26</w:t>
                  </w:r>
                </w:p>
              </w:tc>
              <w:tc>
                <w:tcPr>
                  <w:tcW w:w="468" w:type="dxa"/>
                  <w:noWrap w:val="0"/>
                  <w:vAlign w:val="center"/>
                </w:tcPr>
                <w:p w14:paraId="60A61C9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26</w:t>
                  </w:r>
                </w:p>
              </w:tc>
              <w:tc>
                <w:tcPr>
                  <w:tcW w:w="432" w:type="dxa"/>
                  <w:noWrap w:val="0"/>
                  <w:vAlign w:val="center"/>
                </w:tcPr>
                <w:p w14:paraId="353DD6B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1.2</w:t>
                  </w:r>
                </w:p>
              </w:tc>
              <w:tc>
                <w:tcPr>
                  <w:tcW w:w="419" w:type="dxa"/>
                  <w:noWrap w:val="0"/>
                  <w:vAlign w:val="center"/>
                </w:tcPr>
                <w:p w14:paraId="6259F1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59</w:t>
                  </w:r>
                </w:p>
              </w:tc>
              <w:tc>
                <w:tcPr>
                  <w:tcW w:w="399" w:type="dxa"/>
                  <w:noWrap w:val="0"/>
                  <w:vAlign w:val="center"/>
                </w:tcPr>
                <w:p w14:paraId="6FB19E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59</w:t>
                  </w:r>
                </w:p>
              </w:tc>
              <w:tc>
                <w:tcPr>
                  <w:tcW w:w="399" w:type="dxa"/>
                  <w:noWrap w:val="0"/>
                  <w:vAlign w:val="center"/>
                </w:tcPr>
                <w:p w14:paraId="7C5B1B6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7</w:t>
                  </w:r>
                </w:p>
              </w:tc>
              <w:tc>
                <w:tcPr>
                  <w:tcW w:w="445" w:type="dxa"/>
                  <w:noWrap w:val="0"/>
                  <w:vAlign w:val="center"/>
                </w:tcPr>
                <w:p w14:paraId="601670F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7</w:t>
                  </w:r>
                </w:p>
              </w:tc>
              <w:tc>
                <w:tcPr>
                  <w:tcW w:w="399" w:type="dxa"/>
                  <w:noWrap w:val="0"/>
                  <w:vAlign w:val="center"/>
                </w:tcPr>
                <w:p w14:paraId="09397F1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52.6</w:t>
                  </w:r>
                </w:p>
              </w:tc>
              <w:tc>
                <w:tcPr>
                  <w:tcW w:w="419" w:type="dxa"/>
                  <w:noWrap w:val="0"/>
                  <w:vAlign w:val="center"/>
                </w:tcPr>
                <w:p w14:paraId="3FF8F2A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52.6</w:t>
                  </w:r>
                </w:p>
              </w:tc>
              <w:tc>
                <w:tcPr>
                  <w:tcW w:w="419" w:type="dxa"/>
                  <w:noWrap w:val="0"/>
                  <w:vAlign w:val="center"/>
                </w:tcPr>
                <w:p w14:paraId="253EC01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71.1</w:t>
                  </w:r>
                </w:p>
              </w:tc>
              <w:tc>
                <w:tcPr>
                  <w:tcW w:w="445" w:type="dxa"/>
                  <w:noWrap w:val="0"/>
                  <w:vAlign w:val="center"/>
                </w:tcPr>
                <w:p w14:paraId="11D0BE5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71.1</w:t>
                  </w:r>
                </w:p>
              </w:tc>
              <w:tc>
                <w:tcPr>
                  <w:tcW w:w="496" w:type="dxa"/>
                  <w:noWrap w:val="0"/>
                  <w:vAlign w:val="center"/>
                </w:tcPr>
                <w:p w14:paraId="747B34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昼 8h</w:t>
                  </w:r>
                </w:p>
              </w:tc>
              <w:tc>
                <w:tcPr>
                  <w:tcW w:w="685" w:type="dxa"/>
                  <w:noWrap w:val="0"/>
                  <w:vAlign w:val="center"/>
                </w:tcPr>
                <w:p w14:paraId="386156E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20</w:t>
                  </w:r>
                </w:p>
              </w:tc>
              <w:tc>
                <w:tcPr>
                  <w:tcW w:w="399" w:type="dxa"/>
                  <w:noWrap w:val="0"/>
                  <w:vAlign w:val="center"/>
                </w:tcPr>
                <w:p w14:paraId="2D8BBB4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32.6</w:t>
                  </w:r>
                </w:p>
              </w:tc>
              <w:tc>
                <w:tcPr>
                  <w:tcW w:w="442" w:type="dxa"/>
                  <w:noWrap w:val="0"/>
                  <w:vAlign w:val="center"/>
                </w:tcPr>
                <w:p w14:paraId="6D06A2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32.6</w:t>
                  </w:r>
                </w:p>
              </w:tc>
              <w:tc>
                <w:tcPr>
                  <w:tcW w:w="405" w:type="dxa"/>
                  <w:noWrap w:val="0"/>
                  <w:vAlign w:val="center"/>
                </w:tcPr>
                <w:p w14:paraId="3F808A8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51.1</w:t>
                  </w:r>
                </w:p>
              </w:tc>
              <w:tc>
                <w:tcPr>
                  <w:tcW w:w="446" w:type="dxa"/>
                  <w:noWrap w:val="0"/>
                  <w:vAlign w:val="center"/>
                </w:tcPr>
                <w:p w14:paraId="2FE630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51.1</w:t>
                  </w:r>
                </w:p>
              </w:tc>
              <w:tc>
                <w:tcPr>
                  <w:tcW w:w="827" w:type="dxa"/>
                  <w:noWrap w:val="0"/>
                  <w:vAlign w:val="center"/>
                </w:tcPr>
                <w:p w14:paraId="67CB790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1</w:t>
                  </w:r>
                </w:p>
              </w:tc>
            </w:tr>
            <w:tr w14:paraId="4847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noWrap w:val="0"/>
                  <w:vAlign w:val="center"/>
                </w:tcPr>
                <w:p w14:paraId="47A93DE8">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t>3</w:t>
                  </w:r>
                </w:p>
              </w:tc>
              <w:tc>
                <w:tcPr>
                  <w:tcW w:w="548" w:type="pct"/>
                  <w:noWrap w:val="0"/>
                  <w:vAlign w:val="center"/>
                </w:tcPr>
                <w:p w14:paraId="509B65C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sz w:val="21"/>
                      <w:szCs w:val="21"/>
                      <w:highlight w:val="none"/>
                    </w:rPr>
                    <w:t>除尘风机</w:t>
                  </w:r>
                </w:p>
              </w:tc>
              <w:tc>
                <w:tcPr>
                  <w:tcW w:w="357" w:type="pct"/>
                  <w:noWrap w:val="0"/>
                  <w:vAlign w:val="center"/>
                </w:tcPr>
                <w:p w14:paraId="316B61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1</w:t>
                  </w:r>
                </w:p>
              </w:tc>
              <w:tc>
                <w:tcPr>
                  <w:tcW w:w="775" w:type="dxa"/>
                  <w:noWrap w:val="0"/>
                  <w:vAlign w:val="center"/>
                </w:tcPr>
                <w:p w14:paraId="2DBD40C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85</w:t>
                  </w:r>
                </w:p>
              </w:tc>
              <w:tc>
                <w:tcPr>
                  <w:tcW w:w="299" w:type="pct"/>
                  <w:vMerge w:val="continue"/>
                  <w:noWrap w:val="0"/>
                  <w:vAlign w:val="center"/>
                </w:tcPr>
                <w:p w14:paraId="0DED1EE6">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smallCaps w:val="0"/>
                      <w:color w:val="auto"/>
                      <w:spacing w:val="0"/>
                      <w:position w:val="0"/>
                      <w:sz w:val="21"/>
                      <w:szCs w:val="21"/>
                      <w:highlight w:val="none"/>
                    </w:rPr>
                  </w:pPr>
                </w:p>
              </w:tc>
              <w:tc>
                <w:tcPr>
                  <w:tcW w:w="450" w:type="dxa"/>
                  <w:noWrap w:val="0"/>
                  <w:vAlign w:val="center"/>
                </w:tcPr>
                <w:p w14:paraId="497BCE9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24</w:t>
                  </w:r>
                </w:p>
              </w:tc>
              <w:tc>
                <w:tcPr>
                  <w:tcW w:w="468" w:type="dxa"/>
                  <w:noWrap w:val="0"/>
                  <w:vAlign w:val="center"/>
                </w:tcPr>
                <w:p w14:paraId="1DDDDE3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8</w:t>
                  </w:r>
                </w:p>
              </w:tc>
              <w:tc>
                <w:tcPr>
                  <w:tcW w:w="432" w:type="dxa"/>
                  <w:noWrap w:val="0"/>
                  <w:vAlign w:val="center"/>
                </w:tcPr>
                <w:p w14:paraId="4C66AF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1.2</w:t>
                  </w:r>
                </w:p>
              </w:tc>
              <w:tc>
                <w:tcPr>
                  <w:tcW w:w="419" w:type="dxa"/>
                  <w:noWrap w:val="0"/>
                  <w:vAlign w:val="center"/>
                </w:tcPr>
                <w:p w14:paraId="3F8996D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9</w:t>
                  </w:r>
                </w:p>
              </w:tc>
              <w:tc>
                <w:tcPr>
                  <w:tcW w:w="399" w:type="dxa"/>
                  <w:noWrap w:val="0"/>
                  <w:vAlign w:val="center"/>
                </w:tcPr>
                <w:p w14:paraId="315510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41</w:t>
                  </w:r>
                </w:p>
              </w:tc>
              <w:tc>
                <w:tcPr>
                  <w:tcW w:w="399" w:type="dxa"/>
                  <w:noWrap w:val="0"/>
                  <w:vAlign w:val="center"/>
                </w:tcPr>
                <w:p w14:paraId="1EE80CB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57</w:t>
                  </w:r>
                </w:p>
              </w:tc>
              <w:tc>
                <w:tcPr>
                  <w:tcW w:w="445" w:type="dxa"/>
                  <w:noWrap w:val="0"/>
                  <w:vAlign w:val="center"/>
                </w:tcPr>
                <w:p w14:paraId="0BE5BD4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25</w:t>
                  </w:r>
                </w:p>
              </w:tc>
              <w:tc>
                <w:tcPr>
                  <w:tcW w:w="399" w:type="dxa"/>
                  <w:noWrap w:val="0"/>
                  <w:vAlign w:val="center"/>
                </w:tcPr>
                <w:p w14:paraId="26A9BFA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65.9</w:t>
                  </w:r>
                </w:p>
              </w:tc>
              <w:tc>
                <w:tcPr>
                  <w:tcW w:w="419" w:type="dxa"/>
                  <w:noWrap w:val="0"/>
                  <w:vAlign w:val="center"/>
                </w:tcPr>
                <w:p w14:paraId="4110DA2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52.7</w:t>
                  </w:r>
                </w:p>
              </w:tc>
              <w:tc>
                <w:tcPr>
                  <w:tcW w:w="419" w:type="dxa"/>
                  <w:noWrap w:val="0"/>
                  <w:vAlign w:val="center"/>
                </w:tcPr>
                <w:p w14:paraId="61C1E14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49.9</w:t>
                  </w:r>
                </w:p>
              </w:tc>
              <w:tc>
                <w:tcPr>
                  <w:tcW w:w="445" w:type="dxa"/>
                  <w:noWrap w:val="0"/>
                  <w:vAlign w:val="center"/>
                </w:tcPr>
                <w:p w14:paraId="4E5385D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57.0</w:t>
                  </w:r>
                </w:p>
              </w:tc>
              <w:tc>
                <w:tcPr>
                  <w:tcW w:w="496" w:type="dxa"/>
                  <w:noWrap w:val="0"/>
                  <w:vAlign w:val="center"/>
                </w:tcPr>
                <w:p w14:paraId="72C7FB2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昼 8h</w:t>
                  </w:r>
                </w:p>
              </w:tc>
              <w:tc>
                <w:tcPr>
                  <w:tcW w:w="685" w:type="dxa"/>
                  <w:noWrap w:val="0"/>
                  <w:vAlign w:val="center"/>
                </w:tcPr>
                <w:p w14:paraId="2E03AF6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20</w:t>
                  </w:r>
                </w:p>
              </w:tc>
              <w:tc>
                <w:tcPr>
                  <w:tcW w:w="399" w:type="dxa"/>
                  <w:noWrap w:val="0"/>
                  <w:vAlign w:val="center"/>
                </w:tcPr>
                <w:p w14:paraId="5CEBAB6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45.9</w:t>
                  </w:r>
                </w:p>
              </w:tc>
              <w:tc>
                <w:tcPr>
                  <w:tcW w:w="442" w:type="dxa"/>
                  <w:noWrap w:val="0"/>
                  <w:vAlign w:val="center"/>
                </w:tcPr>
                <w:p w14:paraId="54D9C8F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32.7</w:t>
                  </w:r>
                </w:p>
              </w:tc>
              <w:tc>
                <w:tcPr>
                  <w:tcW w:w="405" w:type="dxa"/>
                  <w:noWrap w:val="0"/>
                  <w:vAlign w:val="center"/>
                </w:tcPr>
                <w:p w14:paraId="0D55128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29.9</w:t>
                  </w:r>
                </w:p>
              </w:tc>
              <w:tc>
                <w:tcPr>
                  <w:tcW w:w="446" w:type="dxa"/>
                  <w:noWrap w:val="0"/>
                  <w:vAlign w:val="center"/>
                </w:tcPr>
                <w:p w14:paraId="2BAC50E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37.0</w:t>
                  </w:r>
                </w:p>
              </w:tc>
              <w:tc>
                <w:tcPr>
                  <w:tcW w:w="827" w:type="dxa"/>
                  <w:noWrap w:val="0"/>
                  <w:vAlign w:val="center"/>
                </w:tcPr>
                <w:p w14:paraId="41E7013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1</w:t>
                  </w:r>
                </w:p>
              </w:tc>
            </w:tr>
            <w:tr w14:paraId="4EC3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noWrap w:val="0"/>
                  <w:vAlign w:val="center"/>
                </w:tcPr>
                <w:p w14:paraId="7425EB34">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t>4</w:t>
                  </w:r>
                </w:p>
              </w:tc>
              <w:tc>
                <w:tcPr>
                  <w:tcW w:w="548" w:type="pct"/>
                  <w:noWrap w:val="0"/>
                  <w:vAlign w:val="center"/>
                </w:tcPr>
                <w:p w14:paraId="46B50B7E">
                  <w:pPr>
                    <w:pStyle w:val="51"/>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sz w:val="21"/>
                      <w:szCs w:val="21"/>
                      <w:highlight w:val="none"/>
                    </w:rPr>
                    <w:t>除尘风机</w:t>
                  </w:r>
                </w:p>
              </w:tc>
              <w:tc>
                <w:tcPr>
                  <w:tcW w:w="357" w:type="pct"/>
                  <w:noWrap w:val="0"/>
                  <w:vAlign w:val="center"/>
                </w:tcPr>
                <w:p w14:paraId="4FDFEE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1</w:t>
                  </w:r>
                </w:p>
              </w:tc>
              <w:tc>
                <w:tcPr>
                  <w:tcW w:w="775" w:type="dxa"/>
                  <w:noWrap w:val="0"/>
                  <w:vAlign w:val="center"/>
                </w:tcPr>
                <w:p w14:paraId="169E618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85</w:t>
                  </w:r>
                </w:p>
              </w:tc>
              <w:tc>
                <w:tcPr>
                  <w:tcW w:w="299" w:type="pct"/>
                  <w:vMerge w:val="continue"/>
                  <w:noWrap w:val="0"/>
                  <w:vAlign w:val="center"/>
                </w:tcPr>
                <w:p w14:paraId="4E3198E6">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smallCaps w:val="0"/>
                      <w:color w:val="auto"/>
                      <w:spacing w:val="0"/>
                      <w:position w:val="0"/>
                      <w:sz w:val="21"/>
                      <w:szCs w:val="21"/>
                      <w:highlight w:val="none"/>
                    </w:rPr>
                  </w:pPr>
                </w:p>
              </w:tc>
              <w:tc>
                <w:tcPr>
                  <w:tcW w:w="450" w:type="dxa"/>
                  <w:noWrap w:val="0"/>
                  <w:vAlign w:val="center"/>
                </w:tcPr>
                <w:p w14:paraId="2D9829B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-24</w:t>
                  </w:r>
                </w:p>
              </w:tc>
              <w:tc>
                <w:tcPr>
                  <w:tcW w:w="468" w:type="dxa"/>
                  <w:noWrap w:val="0"/>
                  <w:vAlign w:val="center"/>
                </w:tcPr>
                <w:p w14:paraId="2A46F08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24</w:t>
                  </w:r>
                </w:p>
              </w:tc>
              <w:tc>
                <w:tcPr>
                  <w:tcW w:w="432" w:type="dxa"/>
                  <w:noWrap w:val="0"/>
                  <w:vAlign w:val="center"/>
                </w:tcPr>
                <w:p w14:paraId="72B590A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1.2</w:t>
                  </w:r>
                </w:p>
              </w:tc>
              <w:tc>
                <w:tcPr>
                  <w:tcW w:w="419" w:type="dxa"/>
                  <w:noWrap w:val="0"/>
                  <w:vAlign w:val="center"/>
                </w:tcPr>
                <w:p w14:paraId="4F219F5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57</w:t>
                  </w:r>
                </w:p>
              </w:tc>
              <w:tc>
                <w:tcPr>
                  <w:tcW w:w="399" w:type="dxa"/>
                  <w:noWrap w:val="0"/>
                  <w:vAlign w:val="center"/>
                </w:tcPr>
                <w:p w14:paraId="6513AB6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57</w:t>
                  </w:r>
                </w:p>
              </w:tc>
              <w:tc>
                <w:tcPr>
                  <w:tcW w:w="399" w:type="dxa"/>
                  <w:noWrap w:val="0"/>
                  <w:vAlign w:val="center"/>
                </w:tcPr>
                <w:p w14:paraId="5303408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9</w:t>
                  </w:r>
                </w:p>
              </w:tc>
              <w:tc>
                <w:tcPr>
                  <w:tcW w:w="445" w:type="dxa"/>
                  <w:noWrap w:val="0"/>
                  <w:vAlign w:val="center"/>
                </w:tcPr>
                <w:p w14:paraId="7CF0DE0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9</w:t>
                  </w:r>
                </w:p>
              </w:tc>
              <w:tc>
                <w:tcPr>
                  <w:tcW w:w="399" w:type="dxa"/>
                  <w:noWrap w:val="0"/>
                  <w:vAlign w:val="center"/>
                </w:tcPr>
                <w:p w14:paraId="161E74A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49.9</w:t>
                  </w:r>
                </w:p>
              </w:tc>
              <w:tc>
                <w:tcPr>
                  <w:tcW w:w="419" w:type="dxa"/>
                  <w:noWrap w:val="0"/>
                  <w:vAlign w:val="center"/>
                </w:tcPr>
                <w:p w14:paraId="56138A9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49.9</w:t>
                  </w:r>
                </w:p>
              </w:tc>
              <w:tc>
                <w:tcPr>
                  <w:tcW w:w="419" w:type="dxa"/>
                  <w:noWrap w:val="0"/>
                  <w:vAlign w:val="center"/>
                </w:tcPr>
                <w:p w14:paraId="09F0E12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65.9</w:t>
                  </w:r>
                </w:p>
              </w:tc>
              <w:tc>
                <w:tcPr>
                  <w:tcW w:w="445" w:type="dxa"/>
                  <w:noWrap w:val="0"/>
                  <w:vAlign w:val="center"/>
                </w:tcPr>
                <w:p w14:paraId="7210AC1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65.9</w:t>
                  </w:r>
                </w:p>
              </w:tc>
              <w:tc>
                <w:tcPr>
                  <w:tcW w:w="496" w:type="dxa"/>
                  <w:noWrap w:val="0"/>
                  <w:vAlign w:val="center"/>
                </w:tcPr>
                <w:p w14:paraId="6BEEC7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昼 8h</w:t>
                  </w:r>
                </w:p>
              </w:tc>
              <w:tc>
                <w:tcPr>
                  <w:tcW w:w="685" w:type="dxa"/>
                  <w:noWrap w:val="0"/>
                  <w:vAlign w:val="center"/>
                </w:tcPr>
                <w:p w14:paraId="14B12D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20</w:t>
                  </w:r>
                </w:p>
              </w:tc>
              <w:tc>
                <w:tcPr>
                  <w:tcW w:w="399" w:type="dxa"/>
                  <w:noWrap w:val="0"/>
                  <w:vAlign w:val="center"/>
                </w:tcPr>
                <w:p w14:paraId="66C83B2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29.9</w:t>
                  </w:r>
                </w:p>
              </w:tc>
              <w:tc>
                <w:tcPr>
                  <w:tcW w:w="442" w:type="dxa"/>
                  <w:noWrap w:val="0"/>
                  <w:vAlign w:val="center"/>
                </w:tcPr>
                <w:p w14:paraId="031B0DF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29.9</w:t>
                  </w:r>
                </w:p>
              </w:tc>
              <w:tc>
                <w:tcPr>
                  <w:tcW w:w="405" w:type="dxa"/>
                  <w:noWrap w:val="0"/>
                  <w:vAlign w:val="center"/>
                </w:tcPr>
                <w:p w14:paraId="687DB2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45.9</w:t>
                  </w:r>
                </w:p>
              </w:tc>
              <w:tc>
                <w:tcPr>
                  <w:tcW w:w="446" w:type="dxa"/>
                  <w:noWrap w:val="0"/>
                  <w:vAlign w:val="center"/>
                </w:tcPr>
                <w:p w14:paraId="4011A0C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45.9</w:t>
                  </w:r>
                </w:p>
              </w:tc>
              <w:tc>
                <w:tcPr>
                  <w:tcW w:w="827" w:type="dxa"/>
                  <w:noWrap w:val="0"/>
                  <w:vAlign w:val="center"/>
                </w:tcPr>
                <w:p w14:paraId="6C78EE0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1</w:t>
                  </w:r>
                </w:p>
              </w:tc>
            </w:tr>
            <w:tr w14:paraId="4040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noWrap w:val="0"/>
                  <w:vAlign w:val="center"/>
                </w:tcPr>
                <w:p w14:paraId="18D2A2EC">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t>5</w:t>
                  </w:r>
                </w:p>
              </w:tc>
              <w:tc>
                <w:tcPr>
                  <w:tcW w:w="548" w:type="pct"/>
                  <w:noWrap w:val="0"/>
                  <w:vAlign w:val="center"/>
                </w:tcPr>
                <w:p w14:paraId="295D08E8">
                  <w:pPr>
                    <w:pStyle w:val="51"/>
                    <w:keepNext w:val="0"/>
                    <w:keepLines w:val="0"/>
                    <w:suppressLineNumbers w:val="0"/>
                    <w:spacing w:before="0" w:beforeAutospacing="0" w:after="0" w:afterAutospacing="0"/>
                    <w:ind w:left="0" w:right="0"/>
                    <w:jc w:val="center"/>
                    <w:rPr>
                      <w:rFonts w:hint="default" w:ascii="Times New Roman" w:hAnsi="Times New Roman" w:eastAsia="宋体" w:cs="Times New Roman"/>
                      <w:bCs/>
                      <w:smallCaps w:val="0"/>
                      <w:color w:val="auto"/>
                      <w:spacing w:val="0"/>
                      <w:kern w:val="2"/>
                      <w:position w:val="0"/>
                      <w:sz w:val="21"/>
                      <w:szCs w:val="21"/>
                      <w:highlight w:val="none"/>
                      <w:lang w:val="en-US" w:eastAsia="zh-CN" w:bidi="ar-SA"/>
                    </w:rPr>
                  </w:pPr>
                  <w:r>
                    <w:rPr>
                      <w:rFonts w:hint="default" w:ascii="Times New Roman" w:hAnsi="Times New Roman" w:eastAsia="宋体" w:cs="Times New Roman"/>
                      <w:sz w:val="21"/>
                      <w:szCs w:val="21"/>
                      <w:highlight w:val="none"/>
                    </w:rPr>
                    <w:t>除尘风机</w:t>
                  </w:r>
                </w:p>
              </w:tc>
              <w:tc>
                <w:tcPr>
                  <w:tcW w:w="357" w:type="pct"/>
                  <w:noWrap w:val="0"/>
                  <w:vAlign w:val="center"/>
                </w:tcPr>
                <w:p w14:paraId="699E2E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Cs/>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1</w:t>
                  </w:r>
                </w:p>
              </w:tc>
              <w:tc>
                <w:tcPr>
                  <w:tcW w:w="775" w:type="dxa"/>
                  <w:noWrap w:val="0"/>
                  <w:vAlign w:val="center"/>
                </w:tcPr>
                <w:p w14:paraId="6AB0EBB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80</w:t>
                  </w:r>
                </w:p>
              </w:tc>
              <w:tc>
                <w:tcPr>
                  <w:tcW w:w="299" w:type="pct"/>
                  <w:vMerge w:val="continue"/>
                  <w:noWrap w:val="0"/>
                  <w:vAlign w:val="center"/>
                </w:tcPr>
                <w:p w14:paraId="0188D682">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smallCaps w:val="0"/>
                      <w:color w:val="auto"/>
                      <w:spacing w:val="0"/>
                      <w:position w:val="0"/>
                      <w:sz w:val="21"/>
                      <w:szCs w:val="21"/>
                      <w:highlight w:val="none"/>
                    </w:rPr>
                  </w:pPr>
                </w:p>
              </w:tc>
              <w:tc>
                <w:tcPr>
                  <w:tcW w:w="450" w:type="dxa"/>
                  <w:noWrap w:val="0"/>
                  <w:vAlign w:val="center"/>
                </w:tcPr>
                <w:p w14:paraId="48547C9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-24</w:t>
                  </w:r>
                </w:p>
              </w:tc>
              <w:tc>
                <w:tcPr>
                  <w:tcW w:w="468" w:type="dxa"/>
                  <w:noWrap w:val="0"/>
                  <w:vAlign w:val="center"/>
                </w:tcPr>
                <w:p w14:paraId="190B57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-10</w:t>
                  </w:r>
                </w:p>
              </w:tc>
              <w:tc>
                <w:tcPr>
                  <w:tcW w:w="432" w:type="dxa"/>
                  <w:noWrap w:val="0"/>
                  <w:vAlign w:val="center"/>
                </w:tcPr>
                <w:p w14:paraId="2EF3A56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1.2</w:t>
                  </w:r>
                </w:p>
              </w:tc>
              <w:tc>
                <w:tcPr>
                  <w:tcW w:w="419" w:type="dxa"/>
                  <w:noWrap w:val="0"/>
                  <w:vAlign w:val="center"/>
                </w:tcPr>
                <w:p w14:paraId="3D29CBE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57</w:t>
                  </w:r>
                </w:p>
              </w:tc>
              <w:tc>
                <w:tcPr>
                  <w:tcW w:w="399" w:type="dxa"/>
                  <w:noWrap w:val="0"/>
                  <w:vAlign w:val="center"/>
                </w:tcPr>
                <w:p w14:paraId="0AC766D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23</w:t>
                  </w:r>
                </w:p>
              </w:tc>
              <w:tc>
                <w:tcPr>
                  <w:tcW w:w="399" w:type="dxa"/>
                  <w:noWrap w:val="0"/>
                  <w:vAlign w:val="center"/>
                </w:tcPr>
                <w:p w14:paraId="70786A1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9</w:t>
                  </w:r>
                </w:p>
              </w:tc>
              <w:tc>
                <w:tcPr>
                  <w:tcW w:w="445" w:type="dxa"/>
                  <w:noWrap w:val="0"/>
                  <w:vAlign w:val="center"/>
                </w:tcPr>
                <w:p w14:paraId="0F9AAA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43</w:t>
                  </w:r>
                </w:p>
              </w:tc>
              <w:tc>
                <w:tcPr>
                  <w:tcW w:w="399" w:type="dxa"/>
                  <w:noWrap w:val="0"/>
                  <w:vAlign w:val="center"/>
                </w:tcPr>
                <w:p w14:paraId="44C6193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44.9</w:t>
                  </w:r>
                </w:p>
              </w:tc>
              <w:tc>
                <w:tcPr>
                  <w:tcW w:w="419" w:type="dxa"/>
                  <w:noWrap w:val="0"/>
                  <w:vAlign w:val="center"/>
                </w:tcPr>
                <w:p w14:paraId="2DD9F5A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52.8</w:t>
                  </w:r>
                </w:p>
              </w:tc>
              <w:tc>
                <w:tcPr>
                  <w:tcW w:w="419" w:type="dxa"/>
                  <w:noWrap w:val="0"/>
                  <w:vAlign w:val="center"/>
                </w:tcPr>
                <w:p w14:paraId="78738CB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60.9</w:t>
                  </w:r>
                </w:p>
              </w:tc>
              <w:tc>
                <w:tcPr>
                  <w:tcW w:w="445" w:type="dxa"/>
                  <w:noWrap w:val="0"/>
                  <w:vAlign w:val="center"/>
                </w:tcPr>
                <w:p w14:paraId="2D397F2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47.3</w:t>
                  </w:r>
                </w:p>
              </w:tc>
              <w:tc>
                <w:tcPr>
                  <w:tcW w:w="496" w:type="dxa"/>
                  <w:noWrap w:val="0"/>
                  <w:vAlign w:val="center"/>
                </w:tcPr>
                <w:p w14:paraId="00189AA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昼 8h</w:t>
                  </w:r>
                </w:p>
              </w:tc>
              <w:tc>
                <w:tcPr>
                  <w:tcW w:w="685" w:type="dxa"/>
                  <w:noWrap w:val="0"/>
                  <w:vAlign w:val="center"/>
                </w:tcPr>
                <w:p w14:paraId="2246687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20</w:t>
                  </w:r>
                </w:p>
              </w:tc>
              <w:tc>
                <w:tcPr>
                  <w:tcW w:w="399" w:type="dxa"/>
                  <w:noWrap w:val="0"/>
                  <w:vAlign w:val="center"/>
                </w:tcPr>
                <w:p w14:paraId="3601D5F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24.9</w:t>
                  </w:r>
                </w:p>
              </w:tc>
              <w:tc>
                <w:tcPr>
                  <w:tcW w:w="442" w:type="dxa"/>
                  <w:noWrap w:val="0"/>
                  <w:vAlign w:val="center"/>
                </w:tcPr>
                <w:p w14:paraId="6F6E1AF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32.8</w:t>
                  </w:r>
                </w:p>
              </w:tc>
              <w:tc>
                <w:tcPr>
                  <w:tcW w:w="405" w:type="dxa"/>
                  <w:noWrap w:val="0"/>
                  <w:vAlign w:val="center"/>
                </w:tcPr>
                <w:p w14:paraId="60AE125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40.9</w:t>
                  </w:r>
                </w:p>
              </w:tc>
              <w:tc>
                <w:tcPr>
                  <w:tcW w:w="446" w:type="dxa"/>
                  <w:noWrap w:val="0"/>
                  <w:vAlign w:val="center"/>
                </w:tcPr>
                <w:p w14:paraId="74166D5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27.3</w:t>
                  </w:r>
                </w:p>
              </w:tc>
              <w:tc>
                <w:tcPr>
                  <w:tcW w:w="827" w:type="dxa"/>
                  <w:noWrap w:val="0"/>
                  <w:vAlign w:val="center"/>
                </w:tcPr>
                <w:p w14:paraId="62A97BB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w:t>
                  </w:r>
                </w:p>
              </w:tc>
            </w:tr>
            <w:tr w14:paraId="0E98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noWrap w:val="0"/>
                  <w:vAlign w:val="center"/>
                </w:tcPr>
                <w:p w14:paraId="6696EF71">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t>6</w:t>
                  </w:r>
                </w:p>
              </w:tc>
              <w:tc>
                <w:tcPr>
                  <w:tcW w:w="548" w:type="pct"/>
                  <w:noWrap w:val="0"/>
                  <w:vAlign w:val="center"/>
                </w:tcPr>
                <w:p w14:paraId="01E34673">
                  <w:pPr>
                    <w:pStyle w:val="51"/>
                    <w:keepNext w:val="0"/>
                    <w:keepLines w:val="0"/>
                    <w:suppressLineNumbers w:val="0"/>
                    <w:spacing w:before="0" w:beforeAutospacing="0" w:after="0" w:afterAutospacing="0"/>
                    <w:ind w:left="0" w:right="0"/>
                    <w:jc w:val="center"/>
                    <w:rPr>
                      <w:rFonts w:hint="default" w:ascii="Times New Roman" w:hAnsi="Times New Roman" w:eastAsia="宋体" w:cs="Times New Roman"/>
                      <w:bCs/>
                      <w:smallCaps w:val="0"/>
                      <w:color w:val="auto"/>
                      <w:spacing w:val="0"/>
                      <w:kern w:val="2"/>
                      <w:position w:val="0"/>
                      <w:sz w:val="21"/>
                      <w:szCs w:val="21"/>
                      <w:highlight w:val="none"/>
                      <w:lang w:val="en-US" w:eastAsia="zh-CN" w:bidi="ar-SA"/>
                    </w:rPr>
                  </w:pPr>
                  <w:r>
                    <w:rPr>
                      <w:rFonts w:hint="default" w:ascii="Times New Roman" w:hAnsi="Times New Roman" w:eastAsia="宋体" w:cs="Times New Roman"/>
                      <w:sz w:val="21"/>
                      <w:szCs w:val="21"/>
                      <w:highlight w:val="none"/>
                    </w:rPr>
                    <w:t>空压机</w:t>
                  </w:r>
                </w:p>
              </w:tc>
              <w:tc>
                <w:tcPr>
                  <w:tcW w:w="357" w:type="pct"/>
                  <w:noWrap w:val="0"/>
                  <w:vAlign w:val="center"/>
                </w:tcPr>
                <w:p w14:paraId="6F7878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Cs/>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1</w:t>
                  </w:r>
                </w:p>
              </w:tc>
              <w:tc>
                <w:tcPr>
                  <w:tcW w:w="775" w:type="dxa"/>
                  <w:noWrap w:val="0"/>
                  <w:vAlign w:val="center"/>
                </w:tcPr>
                <w:p w14:paraId="579EA49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80</w:t>
                  </w:r>
                </w:p>
              </w:tc>
              <w:tc>
                <w:tcPr>
                  <w:tcW w:w="299" w:type="pct"/>
                  <w:vMerge w:val="continue"/>
                  <w:noWrap w:val="0"/>
                  <w:vAlign w:val="center"/>
                </w:tcPr>
                <w:p w14:paraId="7478D4E5">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smallCaps w:val="0"/>
                      <w:color w:val="auto"/>
                      <w:spacing w:val="0"/>
                      <w:position w:val="0"/>
                      <w:sz w:val="21"/>
                      <w:szCs w:val="21"/>
                      <w:highlight w:val="none"/>
                    </w:rPr>
                  </w:pPr>
                </w:p>
              </w:tc>
              <w:tc>
                <w:tcPr>
                  <w:tcW w:w="450" w:type="dxa"/>
                  <w:noWrap w:val="0"/>
                  <w:vAlign w:val="center"/>
                </w:tcPr>
                <w:p w14:paraId="3A35114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-26</w:t>
                  </w:r>
                </w:p>
              </w:tc>
              <w:tc>
                <w:tcPr>
                  <w:tcW w:w="468" w:type="dxa"/>
                  <w:noWrap w:val="0"/>
                  <w:vAlign w:val="center"/>
                </w:tcPr>
                <w:p w14:paraId="5B8B325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15</w:t>
                  </w:r>
                </w:p>
              </w:tc>
              <w:tc>
                <w:tcPr>
                  <w:tcW w:w="432" w:type="dxa"/>
                  <w:noWrap w:val="0"/>
                  <w:vAlign w:val="center"/>
                </w:tcPr>
                <w:p w14:paraId="11745A2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1.2</w:t>
                  </w:r>
                </w:p>
              </w:tc>
              <w:tc>
                <w:tcPr>
                  <w:tcW w:w="419" w:type="dxa"/>
                  <w:noWrap w:val="0"/>
                  <w:vAlign w:val="center"/>
                </w:tcPr>
                <w:p w14:paraId="6133C54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59</w:t>
                  </w:r>
                </w:p>
              </w:tc>
              <w:tc>
                <w:tcPr>
                  <w:tcW w:w="399" w:type="dxa"/>
                  <w:noWrap w:val="0"/>
                  <w:vAlign w:val="center"/>
                </w:tcPr>
                <w:p w14:paraId="7700209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48</w:t>
                  </w:r>
                </w:p>
              </w:tc>
              <w:tc>
                <w:tcPr>
                  <w:tcW w:w="399" w:type="dxa"/>
                  <w:noWrap w:val="0"/>
                  <w:vAlign w:val="center"/>
                </w:tcPr>
                <w:p w14:paraId="7E710E4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7</w:t>
                  </w:r>
                </w:p>
              </w:tc>
              <w:tc>
                <w:tcPr>
                  <w:tcW w:w="445" w:type="dxa"/>
                  <w:noWrap w:val="0"/>
                  <w:vAlign w:val="center"/>
                </w:tcPr>
                <w:p w14:paraId="12881C0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18</w:t>
                  </w:r>
                </w:p>
              </w:tc>
              <w:tc>
                <w:tcPr>
                  <w:tcW w:w="399" w:type="dxa"/>
                  <w:noWrap w:val="0"/>
                  <w:vAlign w:val="center"/>
                </w:tcPr>
                <w:p w14:paraId="28B424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44.6</w:t>
                  </w:r>
                </w:p>
              </w:tc>
              <w:tc>
                <w:tcPr>
                  <w:tcW w:w="419" w:type="dxa"/>
                  <w:noWrap w:val="0"/>
                  <w:vAlign w:val="center"/>
                </w:tcPr>
                <w:p w14:paraId="728B43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46.4</w:t>
                  </w:r>
                </w:p>
              </w:tc>
              <w:tc>
                <w:tcPr>
                  <w:tcW w:w="419" w:type="dxa"/>
                  <w:noWrap w:val="0"/>
                  <w:vAlign w:val="center"/>
                </w:tcPr>
                <w:p w14:paraId="412B0CD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63.1</w:t>
                  </w:r>
                </w:p>
              </w:tc>
              <w:tc>
                <w:tcPr>
                  <w:tcW w:w="445" w:type="dxa"/>
                  <w:noWrap w:val="0"/>
                  <w:vAlign w:val="center"/>
                </w:tcPr>
                <w:p w14:paraId="0AA4B23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54.9</w:t>
                  </w:r>
                </w:p>
              </w:tc>
              <w:tc>
                <w:tcPr>
                  <w:tcW w:w="496" w:type="dxa"/>
                  <w:noWrap w:val="0"/>
                  <w:vAlign w:val="center"/>
                </w:tcPr>
                <w:p w14:paraId="649951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昼 8h</w:t>
                  </w:r>
                </w:p>
              </w:tc>
              <w:tc>
                <w:tcPr>
                  <w:tcW w:w="685" w:type="dxa"/>
                  <w:noWrap w:val="0"/>
                  <w:vAlign w:val="center"/>
                </w:tcPr>
                <w:p w14:paraId="1713205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20</w:t>
                  </w:r>
                </w:p>
              </w:tc>
              <w:tc>
                <w:tcPr>
                  <w:tcW w:w="399" w:type="dxa"/>
                  <w:noWrap w:val="0"/>
                  <w:vAlign w:val="center"/>
                </w:tcPr>
                <w:p w14:paraId="38D5A59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24.6</w:t>
                  </w:r>
                </w:p>
              </w:tc>
              <w:tc>
                <w:tcPr>
                  <w:tcW w:w="442" w:type="dxa"/>
                  <w:noWrap w:val="0"/>
                  <w:vAlign w:val="center"/>
                </w:tcPr>
                <w:p w14:paraId="6A052BC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26.4</w:t>
                  </w:r>
                </w:p>
              </w:tc>
              <w:tc>
                <w:tcPr>
                  <w:tcW w:w="405" w:type="dxa"/>
                  <w:noWrap w:val="0"/>
                  <w:vAlign w:val="center"/>
                </w:tcPr>
                <w:p w14:paraId="58929FB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43.1</w:t>
                  </w:r>
                </w:p>
              </w:tc>
              <w:tc>
                <w:tcPr>
                  <w:tcW w:w="446" w:type="dxa"/>
                  <w:noWrap w:val="0"/>
                  <w:vAlign w:val="center"/>
                </w:tcPr>
                <w:p w14:paraId="24E66FA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34.9</w:t>
                  </w:r>
                </w:p>
              </w:tc>
              <w:tc>
                <w:tcPr>
                  <w:tcW w:w="827" w:type="dxa"/>
                  <w:noWrap w:val="0"/>
                  <w:vAlign w:val="center"/>
                </w:tcPr>
                <w:p w14:paraId="3FCC432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w:t>
                  </w:r>
                </w:p>
              </w:tc>
            </w:tr>
            <w:tr w14:paraId="315D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noWrap w:val="0"/>
                  <w:vAlign w:val="center"/>
                </w:tcPr>
                <w:p w14:paraId="60E7C5C7">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t>7</w:t>
                  </w:r>
                </w:p>
              </w:tc>
              <w:tc>
                <w:tcPr>
                  <w:tcW w:w="548" w:type="pct"/>
                  <w:noWrap w:val="0"/>
                  <w:vAlign w:val="center"/>
                </w:tcPr>
                <w:p w14:paraId="29A6CF0B">
                  <w:pPr>
                    <w:keepNext w:val="0"/>
                    <w:keepLines w:val="0"/>
                    <w:suppressLineNumbers w:val="0"/>
                    <w:spacing w:before="0" w:beforeAutospacing="0" w:after="0" w:afterAutospacing="0"/>
                    <w:ind w:left="0" w:right="0"/>
                    <w:jc w:val="center"/>
                    <w:rPr>
                      <w:rFonts w:hint="default" w:ascii="Times New Roman" w:hAnsi="Times New Roman" w:eastAsia="宋体" w:cs="Times New Roman"/>
                      <w:bCs/>
                      <w:smallCaps w:val="0"/>
                      <w:color w:val="auto"/>
                      <w:spacing w:val="0"/>
                      <w:kern w:val="2"/>
                      <w:position w:val="0"/>
                      <w:sz w:val="21"/>
                      <w:szCs w:val="21"/>
                      <w:highlight w:val="none"/>
                      <w:lang w:val="en-US" w:eastAsia="zh-CN" w:bidi="ar-SA"/>
                    </w:rPr>
                  </w:pPr>
                  <w:r>
                    <w:rPr>
                      <w:rFonts w:hint="default" w:ascii="Times New Roman" w:hAnsi="Times New Roman" w:eastAsia="宋体" w:cs="Times New Roman"/>
                      <w:sz w:val="21"/>
                      <w:szCs w:val="21"/>
                      <w:highlight w:val="none"/>
                    </w:rPr>
                    <w:t>水泵</w:t>
                  </w:r>
                  <w:r>
                    <w:rPr>
                      <w:rFonts w:hint="default" w:ascii="Times New Roman" w:hAnsi="Times New Roman" w:eastAsia="宋体" w:cs="Times New Roman"/>
                      <w:sz w:val="21"/>
                      <w:szCs w:val="21"/>
                      <w:highlight w:val="none"/>
                      <w:lang w:eastAsia="zh-CN"/>
                    </w:rPr>
                    <w:t>（</w:t>
                  </w:r>
                  <w:r>
                    <w:rPr>
                      <w:rFonts w:hint="default" w:ascii="Times New Roman" w:hAnsi="Times New Roman" w:eastAsia="宋体" w:cs="Times New Roman"/>
                      <w:sz w:val="21"/>
                      <w:szCs w:val="21"/>
                      <w:highlight w:val="none"/>
                      <w:lang w:val="en-US" w:eastAsia="zh-CN"/>
                    </w:rPr>
                    <w:t>多台合并一个</w:t>
                  </w:r>
                  <w:r>
                    <w:rPr>
                      <w:rFonts w:hint="default" w:ascii="Times New Roman" w:hAnsi="Times New Roman" w:eastAsia="宋体" w:cs="Times New Roman"/>
                      <w:sz w:val="21"/>
                      <w:szCs w:val="21"/>
                      <w:highlight w:val="none"/>
                      <w:lang w:eastAsia="zh-CN"/>
                    </w:rPr>
                    <w:t>）</w:t>
                  </w:r>
                </w:p>
              </w:tc>
              <w:tc>
                <w:tcPr>
                  <w:tcW w:w="357" w:type="pct"/>
                  <w:noWrap w:val="0"/>
                  <w:vAlign w:val="center"/>
                </w:tcPr>
                <w:p w14:paraId="5CC6FE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Cs/>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1</w:t>
                  </w:r>
                </w:p>
              </w:tc>
              <w:tc>
                <w:tcPr>
                  <w:tcW w:w="775" w:type="dxa"/>
                  <w:noWrap w:val="0"/>
                  <w:vAlign w:val="center"/>
                </w:tcPr>
                <w:p w14:paraId="3B3DA71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Cs/>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80</w:t>
                  </w:r>
                </w:p>
              </w:tc>
              <w:tc>
                <w:tcPr>
                  <w:tcW w:w="299" w:type="pct"/>
                  <w:vMerge w:val="continue"/>
                  <w:noWrap w:val="0"/>
                  <w:vAlign w:val="center"/>
                </w:tcPr>
                <w:p w14:paraId="1E4FA93D">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smallCaps w:val="0"/>
                      <w:color w:val="auto"/>
                      <w:spacing w:val="0"/>
                      <w:position w:val="0"/>
                      <w:sz w:val="21"/>
                      <w:szCs w:val="21"/>
                      <w:highlight w:val="none"/>
                    </w:rPr>
                  </w:pPr>
                </w:p>
              </w:tc>
              <w:tc>
                <w:tcPr>
                  <w:tcW w:w="450" w:type="dxa"/>
                  <w:noWrap w:val="0"/>
                  <w:vAlign w:val="center"/>
                </w:tcPr>
                <w:p w14:paraId="7688E7F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-26</w:t>
                  </w:r>
                </w:p>
              </w:tc>
              <w:tc>
                <w:tcPr>
                  <w:tcW w:w="468" w:type="dxa"/>
                  <w:noWrap w:val="0"/>
                  <w:vAlign w:val="center"/>
                </w:tcPr>
                <w:p w14:paraId="7CA0000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12</w:t>
                  </w:r>
                </w:p>
              </w:tc>
              <w:tc>
                <w:tcPr>
                  <w:tcW w:w="432" w:type="dxa"/>
                  <w:noWrap w:val="0"/>
                  <w:vAlign w:val="center"/>
                </w:tcPr>
                <w:p w14:paraId="5750E3A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1.2</w:t>
                  </w:r>
                </w:p>
              </w:tc>
              <w:tc>
                <w:tcPr>
                  <w:tcW w:w="419" w:type="dxa"/>
                  <w:noWrap w:val="0"/>
                  <w:vAlign w:val="center"/>
                </w:tcPr>
                <w:p w14:paraId="27E85F8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59</w:t>
                  </w:r>
                </w:p>
              </w:tc>
              <w:tc>
                <w:tcPr>
                  <w:tcW w:w="399" w:type="dxa"/>
                  <w:noWrap w:val="0"/>
                  <w:vAlign w:val="center"/>
                </w:tcPr>
                <w:p w14:paraId="1BA40AE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45</w:t>
                  </w:r>
                </w:p>
              </w:tc>
              <w:tc>
                <w:tcPr>
                  <w:tcW w:w="399" w:type="dxa"/>
                  <w:noWrap w:val="0"/>
                  <w:vAlign w:val="center"/>
                </w:tcPr>
                <w:p w14:paraId="67BCEF4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7</w:t>
                  </w:r>
                </w:p>
              </w:tc>
              <w:tc>
                <w:tcPr>
                  <w:tcW w:w="445" w:type="dxa"/>
                  <w:noWrap w:val="0"/>
                  <w:vAlign w:val="center"/>
                </w:tcPr>
                <w:p w14:paraId="6A21D9C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21</w:t>
                  </w:r>
                </w:p>
              </w:tc>
              <w:tc>
                <w:tcPr>
                  <w:tcW w:w="399" w:type="dxa"/>
                  <w:noWrap w:val="0"/>
                  <w:vAlign w:val="center"/>
                </w:tcPr>
                <w:p w14:paraId="62D252F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44.6</w:t>
                  </w:r>
                </w:p>
              </w:tc>
              <w:tc>
                <w:tcPr>
                  <w:tcW w:w="419" w:type="dxa"/>
                  <w:noWrap w:val="0"/>
                  <w:vAlign w:val="center"/>
                </w:tcPr>
                <w:p w14:paraId="357319C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46.9</w:t>
                  </w:r>
                </w:p>
              </w:tc>
              <w:tc>
                <w:tcPr>
                  <w:tcW w:w="419" w:type="dxa"/>
                  <w:noWrap w:val="0"/>
                  <w:vAlign w:val="center"/>
                </w:tcPr>
                <w:p w14:paraId="356E2B3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63.1</w:t>
                  </w:r>
                </w:p>
              </w:tc>
              <w:tc>
                <w:tcPr>
                  <w:tcW w:w="445" w:type="dxa"/>
                  <w:noWrap w:val="0"/>
                  <w:vAlign w:val="center"/>
                </w:tcPr>
                <w:p w14:paraId="349EB4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53.6</w:t>
                  </w:r>
                </w:p>
              </w:tc>
              <w:tc>
                <w:tcPr>
                  <w:tcW w:w="496" w:type="dxa"/>
                  <w:noWrap w:val="0"/>
                  <w:vAlign w:val="center"/>
                </w:tcPr>
                <w:p w14:paraId="376D702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昼 8h</w:t>
                  </w:r>
                </w:p>
              </w:tc>
              <w:tc>
                <w:tcPr>
                  <w:tcW w:w="685" w:type="dxa"/>
                  <w:noWrap w:val="0"/>
                  <w:vAlign w:val="center"/>
                </w:tcPr>
                <w:p w14:paraId="66F7117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20</w:t>
                  </w:r>
                </w:p>
              </w:tc>
              <w:tc>
                <w:tcPr>
                  <w:tcW w:w="399" w:type="dxa"/>
                  <w:noWrap w:val="0"/>
                  <w:vAlign w:val="center"/>
                </w:tcPr>
                <w:p w14:paraId="025D4E5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24.6</w:t>
                  </w:r>
                </w:p>
              </w:tc>
              <w:tc>
                <w:tcPr>
                  <w:tcW w:w="442" w:type="dxa"/>
                  <w:noWrap w:val="0"/>
                  <w:vAlign w:val="center"/>
                </w:tcPr>
                <w:p w14:paraId="712BC7E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26.9</w:t>
                  </w:r>
                </w:p>
              </w:tc>
              <w:tc>
                <w:tcPr>
                  <w:tcW w:w="405" w:type="dxa"/>
                  <w:noWrap w:val="0"/>
                  <w:vAlign w:val="center"/>
                </w:tcPr>
                <w:p w14:paraId="5564312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43.1</w:t>
                  </w:r>
                </w:p>
              </w:tc>
              <w:tc>
                <w:tcPr>
                  <w:tcW w:w="446" w:type="dxa"/>
                  <w:noWrap w:val="0"/>
                  <w:vAlign w:val="center"/>
                </w:tcPr>
                <w:p w14:paraId="1109E71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33.6</w:t>
                  </w:r>
                </w:p>
              </w:tc>
              <w:tc>
                <w:tcPr>
                  <w:tcW w:w="827" w:type="dxa"/>
                  <w:noWrap w:val="0"/>
                  <w:vAlign w:val="center"/>
                </w:tcPr>
                <w:p w14:paraId="692A314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w:t>
                  </w:r>
                </w:p>
              </w:tc>
            </w:tr>
            <w:tr w14:paraId="396E2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noWrap w:val="0"/>
                  <w:vAlign w:val="center"/>
                </w:tcPr>
                <w:p w14:paraId="741E0840">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8</w:t>
                  </w:r>
                </w:p>
              </w:tc>
              <w:tc>
                <w:tcPr>
                  <w:tcW w:w="548" w:type="pct"/>
                  <w:noWrap w:val="0"/>
                  <w:vAlign w:val="center"/>
                </w:tcPr>
                <w:p w14:paraId="443F89F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pacing w:val="1"/>
                      <w:sz w:val="21"/>
                      <w:szCs w:val="21"/>
                      <w:highlight w:val="none"/>
                      <w:lang w:val="en-US" w:eastAsia="zh-CN"/>
                    </w:rPr>
                  </w:pPr>
                  <w:r>
                    <w:rPr>
                      <w:rFonts w:hint="default" w:ascii="Times New Roman" w:hAnsi="Times New Roman" w:eastAsia="宋体" w:cs="Times New Roman"/>
                      <w:sz w:val="21"/>
                      <w:szCs w:val="21"/>
                      <w:highlight w:val="none"/>
                    </w:rPr>
                    <w:t>打磨机</w:t>
                  </w:r>
                </w:p>
              </w:tc>
              <w:tc>
                <w:tcPr>
                  <w:tcW w:w="357" w:type="pct"/>
                  <w:noWrap w:val="0"/>
                  <w:vAlign w:val="center"/>
                </w:tcPr>
                <w:p w14:paraId="69BE2F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1</w:t>
                  </w:r>
                </w:p>
              </w:tc>
              <w:tc>
                <w:tcPr>
                  <w:tcW w:w="775" w:type="dxa"/>
                  <w:noWrap w:val="0"/>
                  <w:vAlign w:val="center"/>
                </w:tcPr>
                <w:p w14:paraId="74D5EF35">
                  <w:pPr>
                    <w:keepNext w:val="0"/>
                    <w:keepLines w:val="0"/>
                    <w:widowControl/>
                    <w:suppressLineNumbers w:val="0"/>
                    <w:spacing w:before="0" w:beforeAutospacing="0" w:after="0" w:afterAutospacing="0"/>
                    <w:ind w:left="0" w:right="0"/>
                    <w:jc w:val="center"/>
                    <w:rPr>
                      <w:rFonts w:hint="default" w:ascii="Times New Roman" w:hAnsi="Times New Roman" w:cs="Times New Roman"/>
                      <w:bCs/>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85</w:t>
                  </w:r>
                </w:p>
              </w:tc>
              <w:tc>
                <w:tcPr>
                  <w:tcW w:w="299" w:type="pct"/>
                  <w:vMerge w:val="continue"/>
                  <w:noWrap w:val="0"/>
                  <w:vAlign w:val="center"/>
                </w:tcPr>
                <w:p w14:paraId="118DFC99">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smallCaps w:val="0"/>
                      <w:color w:val="auto"/>
                      <w:spacing w:val="0"/>
                      <w:position w:val="0"/>
                      <w:sz w:val="21"/>
                      <w:szCs w:val="21"/>
                      <w:highlight w:val="none"/>
                    </w:rPr>
                  </w:pPr>
                </w:p>
              </w:tc>
              <w:tc>
                <w:tcPr>
                  <w:tcW w:w="450" w:type="dxa"/>
                  <w:noWrap w:val="0"/>
                  <w:vAlign w:val="center"/>
                </w:tcPr>
                <w:p w14:paraId="3AC1208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-26</w:t>
                  </w:r>
                </w:p>
              </w:tc>
              <w:tc>
                <w:tcPr>
                  <w:tcW w:w="468" w:type="dxa"/>
                  <w:noWrap w:val="0"/>
                  <w:vAlign w:val="center"/>
                </w:tcPr>
                <w:p w14:paraId="5C39FEE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-10</w:t>
                  </w:r>
                </w:p>
              </w:tc>
              <w:tc>
                <w:tcPr>
                  <w:tcW w:w="432" w:type="dxa"/>
                  <w:noWrap w:val="0"/>
                  <w:vAlign w:val="center"/>
                </w:tcPr>
                <w:p w14:paraId="5E7BFB1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1.2</w:t>
                  </w:r>
                </w:p>
              </w:tc>
              <w:tc>
                <w:tcPr>
                  <w:tcW w:w="419" w:type="dxa"/>
                  <w:noWrap w:val="0"/>
                  <w:vAlign w:val="center"/>
                </w:tcPr>
                <w:p w14:paraId="3472C28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59</w:t>
                  </w:r>
                </w:p>
              </w:tc>
              <w:tc>
                <w:tcPr>
                  <w:tcW w:w="399" w:type="dxa"/>
                  <w:noWrap w:val="0"/>
                  <w:vAlign w:val="center"/>
                </w:tcPr>
                <w:p w14:paraId="7D4AA23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23</w:t>
                  </w:r>
                </w:p>
              </w:tc>
              <w:tc>
                <w:tcPr>
                  <w:tcW w:w="399" w:type="dxa"/>
                  <w:noWrap w:val="0"/>
                  <w:vAlign w:val="center"/>
                </w:tcPr>
                <w:p w14:paraId="64F883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7</w:t>
                  </w:r>
                </w:p>
              </w:tc>
              <w:tc>
                <w:tcPr>
                  <w:tcW w:w="445" w:type="dxa"/>
                  <w:noWrap w:val="0"/>
                  <w:vAlign w:val="center"/>
                </w:tcPr>
                <w:p w14:paraId="652CC8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43</w:t>
                  </w:r>
                </w:p>
              </w:tc>
              <w:tc>
                <w:tcPr>
                  <w:tcW w:w="399" w:type="dxa"/>
                  <w:noWrap w:val="0"/>
                  <w:vAlign w:val="center"/>
                </w:tcPr>
                <w:p w14:paraId="405746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49.6</w:t>
                  </w:r>
                </w:p>
              </w:tc>
              <w:tc>
                <w:tcPr>
                  <w:tcW w:w="419" w:type="dxa"/>
                  <w:noWrap w:val="0"/>
                  <w:vAlign w:val="center"/>
                </w:tcPr>
                <w:p w14:paraId="5532EF4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57.8</w:t>
                  </w:r>
                </w:p>
              </w:tc>
              <w:tc>
                <w:tcPr>
                  <w:tcW w:w="419" w:type="dxa"/>
                  <w:noWrap w:val="0"/>
                  <w:vAlign w:val="center"/>
                </w:tcPr>
                <w:p w14:paraId="218C426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68.1</w:t>
                  </w:r>
                </w:p>
              </w:tc>
              <w:tc>
                <w:tcPr>
                  <w:tcW w:w="445" w:type="dxa"/>
                  <w:noWrap w:val="0"/>
                  <w:vAlign w:val="center"/>
                </w:tcPr>
                <w:p w14:paraId="4B4866D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52.3</w:t>
                  </w:r>
                </w:p>
              </w:tc>
              <w:tc>
                <w:tcPr>
                  <w:tcW w:w="496" w:type="dxa"/>
                  <w:noWrap w:val="0"/>
                  <w:vAlign w:val="center"/>
                </w:tcPr>
                <w:p w14:paraId="3152116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昼 8h</w:t>
                  </w:r>
                </w:p>
              </w:tc>
              <w:tc>
                <w:tcPr>
                  <w:tcW w:w="685" w:type="dxa"/>
                  <w:noWrap w:val="0"/>
                  <w:vAlign w:val="center"/>
                </w:tcPr>
                <w:p w14:paraId="27AE44B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20</w:t>
                  </w:r>
                </w:p>
              </w:tc>
              <w:tc>
                <w:tcPr>
                  <w:tcW w:w="399" w:type="dxa"/>
                  <w:noWrap w:val="0"/>
                  <w:vAlign w:val="center"/>
                </w:tcPr>
                <w:p w14:paraId="0F54C57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29.6</w:t>
                  </w:r>
                </w:p>
              </w:tc>
              <w:tc>
                <w:tcPr>
                  <w:tcW w:w="442" w:type="dxa"/>
                  <w:noWrap w:val="0"/>
                  <w:vAlign w:val="center"/>
                </w:tcPr>
                <w:p w14:paraId="6E212A5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37.8</w:t>
                  </w:r>
                </w:p>
              </w:tc>
              <w:tc>
                <w:tcPr>
                  <w:tcW w:w="405" w:type="dxa"/>
                  <w:noWrap w:val="0"/>
                  <w:vAlign w:val="center"/>
                </w:tcPr>
                <w:p w14:paraId="1AD905D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48.1</w:t>
                  </w:r>
                </w:p>
              </w:tc>
              <w:tc>
                <w:tcPr>
                  <w:tcW w:w="446" w:type="dxa"/>
                  <w:noWrap w:val="0"/>
                  <w:vAlign w:val="center"/>
                </w:tcPr>
                <w:p w14:paraId="2C7A9D9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32.3</w:t>
                  </w:r>
                </w:p>
              </w:tc>
              <w:tc>
                <w:tcPr>
                  <w:tcW w:w="827" w:type="dxa"/>
                  <w:noWrap w:val="0"/>
                  <w:vAlign w:val="center"/>
                </w:tcPr>
                <w:p w14:paraId="6AE450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1</w:t>
                  </w:r>
                </w:p>
              </w:tc>
            </w:tr>
            <w:tr w14:paraId="08B8B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noWrap w:val="0"/>
                  <w:vAlign w:val="center"/>
                </w:tcPr>
                <w:p w14:paraId="55B6C8F7">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9</w:t>
                  </w:r>
                </w:p>
              </w:tc>
              <w:tc>
                <w:tcPr>
                  <w:tcW w:w="548" w:type="pct"/>
                  <w:noWrap w:val="0"/>
                  <w:vAlign w:val="center"/>
                </w:tcPr>
                <w:p w14:paraId="2DF23C9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pacing w:val="1"/>
                      <w:sz w:val="21"/>
                      <w:szCs w:val="21"/>
                      <w:highlight w:val="none"/>
                      <w:lang w:val="en-US" w:eastAsia="zh-CN"/>
                    </w:rPr>
                  </w:pPr>
                  <w:r>
                    <w:rPr>
                      <w:rFonts w:hint="default" w:ascii="Times New Roman" w:hAnsi="Times New Roman" w:eastAsia="宋体" w:cs="Times New Roman"/>
                      <w:sz w:val="21"/>
                      <w:szCs w:val="21"/>
                      <w:highlight w:val="none"/>
                    </w:rPr>
                    <w:t>喷砂/抛丸配套风机</w:t>
                  </w:r>
                </w:p>
              </w:tc>
              <w:tc>
                <w:tcPr>
                  <w:tcW w:w="357" w:type="pct"/>
                  <w:noWrap w:val="0"/>
                  <w:vAlign w:val="center"/>
                </w:tcPr>
                <w:p w14:paraId="15D761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1</w:t>
                  </w:r>
                </w:p>
              </w:tc>
              <w:tc>
                <w:tcPr>
                  <w:tcW w:w="775" w:type="dxa"/>
                  <w:noWrap w:val="0"/>
                  <w:vAlign w:val="center"/>
                </w:tcPr>
                <w:p w14:paraId="7B9373BA">
                  <w:pPr>
                    <w:keepNext w:val="0"/>
                    <w:keepLines w:val="0"/>
                    <w:widowControl/>
                    <w:suppressLineNumbers w:val="0"/>
                    <w:spacing w:before="0" w:beforeAutospacing="0" w:after="0" w:afterAutospacing="0"/>
                    <w:ind w:left="0" w:right="0"/>
                    <w:jc w:val="center"/>
                    <w:rPr>
                      <w:rFonts w:hint="default" w:ascii="Times New Roman" w:hAnsi="Times New Roman" w:cs="Times New Roman"/>
                      <w:bCs/>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85</w:t>
                  </w:r>
                </w:p>
              </w:tc>
              <w:tc>
                <w:tcPr>
                  <w:tcW w:w="299" w:type="pct"/>
                  <w:vMerge w:val="continue"/>
                  <w:noWrap w:val="0"/>
                  <w:vAlign w:val="center"/>
                </w:tcPr>
                <w:p w14:paraId="27C53E7E">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smallCaps w:val="0"/>
                      <w:color w:val="auto"/>
                      <w:spacing w:val="0"/>
                      <w:position w:val="0"/>
                      <w:sz w:val="21"/>
                      <w:szCs w:val="21"/>
                      <w:highlight w:val="none"/>
                    </w:rPr>
                  </w:pPr>
                </w:p>
              </w:tc>
              <w:tc>
                <w:tcPr>
                  <w:tcW w:w="450" w:type="dxa"/>
                  <w:noWrap w:val="0"/>
                  <w:vAlign w:val="center"/>
                </w:tcPr>
                <w:p w14:paraId="7EFBB9A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26</w:t>
                  </w:r>
                </w:p>
              </w:tc>
              <w:tc>
                <w:tcPr>
                  <w:tcW w:w="468" w:type="dxa"/>
                  <w:noWrap w:val="0"/>
                  <w:vAlign w:val="center"/>
                </w:tcPr>
                <w:p w14:paraId="5C6EE2E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-26</w:t>
                  </w:r>
                </w:p>
              </w:tc>
              <w:tc>
                <w:tcPr>
                  <w:tcW w:w="432" w:type="dxa"/>
                  <w:noWrap w:val="0"/>
                  <w:vAlign w:val="center"/>
                </w:tcPr>
                <w:p w14:paraId="7E9B1245">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1.2</w:t>
                  </w:r>
                </w:p>
              </w:tc>
              <w:tc>
                <w:tcPr>
                  <w:tcW w:w="419" w:type="dxa"/>
                  <w:noWrap w:val="0"/>
                  <w:vAlign w:val="center"/>
                </w:tcPr>
                <w:p w14:paraId="37F8024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7</w:t>
                  </w:r>
                </w:p>
              </w:tc>
              <w:tc>
                <w:tcPr>
                  <w:tcW w:w="399" w:type="dxa"/>
                  <w:noWrap w:val="0"/>
                  <w:vAlign w:val="center"/>
                </w:tcPr>
                <w:p w14:paraId="125A804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7</w:t>
                  </w:r>
                </w:p>
              </w:tc>
              <w:tc>
                <w:tcPr>
                  <w:tcW w:w="399" w:type="dxa"/>
                  <w:noWrap w:val="0"/>
                  <w:vAlign w:val="center"/>
                </w:tcPr>
                <w:p w14:paraId="069D3DF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59</w:t>
                  </w:r>
                </w:p>
              </w:tc>
              <w:tc>
                <w:tcPr>
                  <w:tcW w:w="445" w:type="dxa"/>
                  <w:noWrap w:val="0"/>
                  <w:vAlign w:val="center"/>
                </w:tcPr>
                <w:p w14:paraId="548913C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59</w:t>
                  </w:r>
                </w:p>
              </w:tc>
              <w:tc>
                <w:tcPr>
                  <w:tcW w:w="399" w:type="dxa"/>
                  <w:noWrap w:val="0"/>
                  <w:vAlign w:val="center"/>
                </w:tcPr>
                <w:p w14:paraId="54D0240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68.1</w:t>
                  </w:r>
                </w:p>
              </w:tc>
              <w:tc>
                <w:tcPr>
                  <w:tcW w:w="419" w:type="dxa"/>
                  <w:noWrap w:val="0"/>
                  <w:vAlign w:val="center"/>
                </w:tcPr>
                <w:p w14:paraId="02F74B7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68.1</w:t>
                  </w:r>
                </w:p>
              </w:tc>
              <w:tc>
                <w:tcPr>
                  <w:tcW w:w="419" w:type="dxa"/>
                  <w:noWrap w:val="0"/>
                  <w:vAlign w:val="center"/>
                </w:tcPr>
                <w:p w14:paraId="0D260B8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49.6</w:t>
                  </w:r>
                </w:p>
              </w:tc>
              <w:tc>
                <w:tcPr>
                  <w:tcW w:w="445" w:type="dxa"/>
                  <w:noWrap w:val="0"/>
                  <w:vAlign w:val="center"/>
                </w:tcPr>
                <w:p w14:paraId="3971979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49.6</w:t>
                  </w:r>
                </w:p>
              </w:tc>
              <w:tc>
                <w:tcPr>
                  <w:tcW w:w="496" w:type="dxa"/>
                  <w:noWrap w:val="0"/>
                  <w:vAlign w:val="center"/>
                </w:tcPr>
                <w:p w14:paraId="4EFC982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昼 8h</w:t>
                  </w:r>
                </w:p>
              </w:tc>
              <w:tc>
                <w:tcPr>
                  <w:tcW w:w="685" w:type="dxa"/>
                  <w:noWrap w:val="0"/>
                  <w:vAlign w:val="center"/>
                </w:tcPr>
                <w:p w14:paraId="79AFB309">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20</w:t>
                  </w:r>
                </w:p>
              </w:tc>
              <w:tc>
                <w:tcPr>
                  <w:tcW w:w="399" w:type="dxa"/>
                  <w:noWrap w:val="0"/>
                  <w:vAlign w:val="center"/>
                </w:tcPr>
                <w:p w14:paraId="7231846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48.1</w:t>
                  </w:r>
                </w:p>
              </w:tc>
              <w:tc>
                <w:tcPr>
                  <w:tcW w:w="442" w:type="dxa"/>
                  <w:noWrap w:val="0"/>
                  <w:vAlign w:val="center"/>
                </w:tcPr>
                <w:p w14:paraId="33B0779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48.1</w:t>
                  </w:r>
                </w:p>
              </w:tc>
              <w:tc>
                <w:tcPr>
                  <w:tcW w:w="405" w:type="dxa"/>
                  <w:noWrap w:val="0"/>
                  <w:vAlign w:val="center"/>
                </w:tcPr>
                <w:p w14:paraId="1EB94C3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29.6</w:t>
                  </w:r>
                </w:p>
              </w:tc>
              <w:tc>
                <w:tcPr>
                  <w:tcW w:w="446" w:type="dxa"/>
                  <w:noWrap w:val="0"/>
                  <w:vAlign w:val="center"/>
                </w:tcPr>
                <w:p w14:paraId="09A6C7C6">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29.6</w:t>
                  </w:r>
                </w:p>
              </w:tc>
              <w:tc>
                <w:tcPr>
                  <w:tcW w:w="827" w:type="dxa"/>
                  <w:noWrap w:val="0"/>
                  <w:vAlign w:val="center"/>
                </w:tcPr>
                <w:p w14:paraId="36DFD9F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1</w:t>
                  </w:r>
                </w:p>
              </w:tc>
            </w:tr>
            <w:tr w14:paraId="43B3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205" w:type="pct"/>
                  <w:noWrap w:val="0"/>
                  <w:vAlign w:val="center"/>
                </w:tcPr>
                <w:p w14:paraId="697FC411">
                  <w:pPr>
                    <w:pStyle w:val="53"/>
                    <w:keepNext w:val="0"/>
                    <w:keepLines w:val="0"/>
                    <w:pageBreakBefore w:val="0"/>
                    <w:suppressLineNumbers w:val="0"/>
                    <w:tabs>
                      <w:tab w:val="left" w:pos="1485"/>
                      <w:tab w:val="center" w:pos="4113"/>
                    </w:tabs>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10</w:t>
                  </w:r>
                </w:p>
              </w:tc>
              <w:tc>
                <w:tcPr>
                  <w:tcW w:w="548" w:type="pct"/>
                  <w:noWrap w:val="0"/>
                  <w:vAlign w:val="center"/>
                </w:tcPr>
                <w:p w14:paraId="51B268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sz w:val="21"/>
                      <w:szCs w:val="21"/>
                      <w:highlight w:val="none"/>
                    </w:rPr>
                    <w:t>电泳线设备</w:t>
                  </w:r>
                </w:p>
              </w:tc>
              <w:tc>
                <w:tcPr>
                  <w:tcW w:w="357" w:type="pct"/>
                  <w:noWrap w:val="0"/>
                  <w:vAlign w:val="center"/>
                </w:tcPr>
                <w:p w14:paraId="2D87F3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cs="Times New Roman"/>
                      <w:b w:val="0"/>
                      <w:bCs w:val="0"/>
                      <w:smallCaps w:val="0"/>
                      <w:color w:val="auto"/>
                      <w:spacing w:val="0"/>
                      <w:kern w:val="2"/>
                      <w:position w:val="0"/>
                      <w:sz w:val="21"/>
                      <w:szCs w:val="21"/>
                      <w:highlight w:val="none"/>
                      <w:lang w:val="en-US" w:eastAsia="zh-CN" w:bidi="ar-SA"/>
                    </w:rPr>
                    <w:t>1</w:t>
                  </w:r>
                </w:p>
              </w:tc>
              <w:tc>
                <w:tcPr>
                  <w:tcW w:w="775" w:type="dxa"/>
                  <w:noWrap w:val="0"/>
                  <w:vAlign w:val="center"/>
                </w:tcPr>
                <w:p w14:paraId="75E85CA9">
                  <w:pPr>
                    <w:keepNext w:val="0"/>
                    <w:keepLines w:val="0"/>
                    <w:widowControl/>
                    <w:suppressLineNumbers w:val="0"/>
                    <w:spacing w:before="0" w:beforeAutospacing="0" w:after="0" w:afterAutospacing="0"/>
                    <w:ind w:left="0" w:right="0"/>
                    <w:jc w:val="center"/>
                    <w:rPr>
                      <w:rFonts w:hint="default" w:ascii="Times New Roman" w:hAnsi="Times New Roman" w:cs="Times New Roman"/>
                      <w:bCs/>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80</w:t>
                  </w:r>
                </w:p>
              </w:tc>
              <w:tc>
                <w:tcPr>
                  <w:tcW w:w="299" w:type="pct"/>
                  <w:vMerge w:val="continue"/>
                  <w:noWrap w:val="0"/>
                  <w:vAlign w:val="center"/>
                </w:tcPr>
                <w:p w14:paraId="21B8DDB5">
                  <w:pPr>
                    <w:pStyle w:val="8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rPr>
                      <w:rFonts w:hint="default" w:ascii="Times New Roman" w:hAnsi="Times New Roman" w:eastAsia="宋体" w:cs="Times New Roman"/>
                      <w:smallCaps w:val="0"/>
                      <w:color w:val="auto"/>
                      <w:spacing w:val="0"/>
                      <w:position w:val="0"/>
                      <w:sz w:val="21"/>
                      <w:szCs w:val="21"/>
                      <w:highlight w:val="none"/>
                    </w:rPr>
                  </w:pPr>
                </w:p>
              </w:tc>
              <w:tc>
                <w:tcPr>
                  <w:tcW w:w="450" w:type="dxa"/>
                  <w:noWrap w:val="0"/>
                  <w:vAlign w:val="center"/>
                </w:tcPr>
                <w:p w14:paraId="50B9EFF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0</w:t>
                  </w:r>
                </w:p>
              </w:tc>
              <w:tc>
                <w:tcPr>
                  <w:tcW w:w="468" w:type="dxa"/>
                  <w:noWrap w:val="0"/>
                  <w:vAlign w:val="center"/>
                </w:tcPr>
                <w:p w14:paraId="67EFB7E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0</w:t>
                  </w:r>
                </w:p>
              </w:tc>
              <w:tc>
                <w:tcPr>
                  <w:tcW w:w="432" w:type="dxa"/>
                  <w:noWrap w:val="0"/>
                  <w:vAlign w:val="center"/>
                </w:tcPr>
                <w:p w14:paraId="2039BDE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1.2</w:t>
                  </w:r>
                </w:p>
              </w:tc>
              <w:tc>
                <w:tcPr>
                  <w:tcW w:w="419" w:type="dxa"/>
                  <w:noWrap w:val="0"/>
                  <w:vAlign w:val="center"/>
                </w:tcPr>
                <w:p w14:paraId="78E360E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33</w:t>
                  </w:r>
                </w:p>
              </w:tc>
              <w:tc>
                <w:tcPr>
                  <w:tcW w:w="399" w:type="dxa"/>
                  <w:noWrap w:val="0"/>
                  <w:vAlign w:val="center"/>
                </w:tcPr>
                <w:p w14:paraId="7E60308E">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33</w:t>
                  </w:r>
                </w:p>
              </w:tc>
              <w:tc>
                <w:tcPr>
                  <w:tcW w:w="399" w:type="dxa"/>
                  <w:noWrap w:val="0"/>
                  <w:vAlign w:val="center"/>
                </w:tcPr>
                <w:p w14:paraId="74858A3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33</w:t>
                  </w:r>
                </w:p>
              </w:tc>
              <w:tc>
                <w:tcPr>
                  <w:tcW w:w="445" w:type="dxa"/>
                  <w:noWrap w:val="0"/>
                  <w:vAlign w:val="center"/>
                </w:tcPr>
                <w:p w14:paraId="0CFED22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33</w:t>
                  </w:r>
                </w:p>
              </w:tc>
              <w:tc>
                <w:tcPr>
                  <w:tcW w:w="399" w:type="dxa"/>
                  <w:noWrap w:val="0"/>
                  <w:vAlign w:val="center"/>
                </w:tcPr>
                <w:p w14:paraId="37AD373D">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49.6</w:t>
                  </w:r>
                </w:p>
              </w:tc>
              <w:tc>
                <w:tcPr>
                  <w:tcW w:w="419" w:type="dxa"/>
                  <w:noWrap w:val="0"/>
                  <w:vAlign w:val="center"/>
                </w:tcPr>
                <w:p w14:paraId="6ADDB30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49.6</w:t>
                  </w:r>
                </w:p>
              </w:tc>
              <w:tc>
                <w:tcPr>
                  <w:tcW w:w="419" w:type="dxa"/>
                  <w:noWrap w:val="0"/>
                  <w:vAlign w:val="center"/>
                </w:tcPr>
                <w:p w14:paraId="0F5EDC0F">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49.6</w:t>
                  </w:r>
                </w:p>
              </w:tc>
              <w:tc>
                <w:tcPr>
                  <w:tcW w:w="445" w:type="dxa"/>
                  <w:noWrap w:val="0"/>
                  <w:vAlign w:val="center"/>
                </w:tcPr>
                <w:p w14:paraId="60319D9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49.6</w:t>
                  </w:r>
                </w:p>
              </w:tc>
              <w:tc>
                <w:tcPr>
                  <w:tcW w:w="496" w:type="dxa"/>
                  <w:noWrap w:val="0"/>
                  <w:vAlign w:val="center"/>
                </w:tcPr>
                <w:p w14:paraId="3193BC4B">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昼 8h</w:t>
                  </w:r>
                </w:p>
              </w:tc>
              <w:tc>
                <w:tcPr>
                  <w:tcW w:w="685" w:type="dxa"/>
                  <w:noWrap w:val="0"/>
                  <w:vAlign w:val="center"/>
                </w:tcPr>
                <w:p w14:paraId="5AF494EC">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20</w:t>
                  </w:r>
                </w:p>
              </w:tc>
              <w:tc>
                <w:tcPr>
                  <w:tcW w:w="399" w:type="dxa"/>
                  <w:noWrap w:val="0"/>
                  <w:vAlign w:val="center"/>
                </w:tcPr>
                <w:p w14:paraId="1D2A7253">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29.6</w:t>
                  </w:r>
                </w:p>
              </w:tc>
              <w:tc>
                <w:tcPr>
                  <w:tcW w:w="442" w:type="dxa"/>
                  <w:noWrap w:val="0"/>
                  <w:vAlign w:val="center"/>
                </w:tcPr>
                <w:p w14:paraId="4647408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29.6</w:t>
                  </w:r>
                </w:p>
              </w:tc>
              <w:tc>
                <w:tcPr>
                  <w:tcW w:w="405" w:type="dxa"/>
                  <w:noWrap w:val="0"/>
                  <w:vAlign w:val="center"/>
                </w:tcPr>
                <w:p w14:paraId="4B6D46C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29.6</w:t>
                  </w:r>
                </w:p>
              </w:tc>
              <w:tc>
                <w:tcPr>
                  <w:tcW w:w="446" w:type="dxa"/>
                  <w:noWrap w:val="0"/>
                  <w:vAlign w:val="center"/>
                </w:tcPr>
                <w:p w14:paraId="070F32E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bCs w:val="0"/>
                      <w:smallCaps w:val="0"/>
                      <w:color w:val="auto"/>
                      <w:spacing w:val="0"/>
                      <w:kern w:val="2"/>
                      <w:position w:val="0"/>
                      <w:sz w:val="21"/>
                      <w:szCs w:val="21"/>
                      <w:highlight w:val="none"/>
                      <w:lang w:val="en-US" w:eastAsia="zh-CN" w:bidi="ar-SA"/>
                    </w:rPr>
                  </w:pPr>
                  <w:r>
                    <w:rPr>
                      <w:rFonts w:hint="default" w:ascii="Times New Roman" w:hAnsi="Times New Roman" w:eastAsia="宋体" w:cs="Times New Roman"/>
                      <w:kern w:val="0"/>
                      <w:sz w:val="21"/>
                      <w:szCs w:val="21"/>
                      <w:highlight w:val="none"/>
                      <w:lang w:val="en-US" w:eastAsia="zh-CN" w:bidi="ar"/>
                    </w:rPr>
                    <w:t>29.6</w:t>
                  </w:r>
                </w:p>
              </w:tc>
              <w:tc>
                <w:tcPr>
                  <w:tcW w:w="827" w:type="dxa"/>
                  <w:noWrap w:val="0"/>
                  <w:vAlign w:val="center"/>
                </w:tcPr>
                <w:p w14:paraId="1AF10D4A">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kern w:val="0"/>
                      <w:sz w:val="21"/>
                      <w:szCs w:val="21"/>
                      <w:highlight w:val="none"/>
                      <w:lang w:val="en-US" w:eastAsia="zh-CN" w:bidi="ar"/>
                    </w:rPr>
                    <w:t>1</w:t>
                  </w:r>
                </w:p>
              </w:tc>
            </w:tr>
          </w:tbl>
          <w:p w14:paraId="4ED9AFC0">
            <w:pPr>
              <w:pStyle w:val="29"/>
              <w:keepNext w:val="0"/>
              <w:keepLines w:val="0"/>
              <w:suppressLineNumbers w:val="0"/>
              <w:spacing w:before="0" w:beforeAutospacing="0" w:after="0" w:afterAutospacing="0" w:line="360" w:lineRule="auto"/>
              <w:ind w:left="0" w:right="0"/>
              <w:jc w:val="both"/>
              <w:outlineLvl w:val="0"/>
              <w:rPr>
                <w:rFonts w:hint="default" w:ascii="Times New Roman" w:hAnsi="Times New Roman" w:cs="Times New Roman"/>
                <w:snapToGrid w:val="0"/>
                <w:color w:val="auto"/>
                <w:sz w:val="30"/>
                <w:szCs w:val="30"/>
                <w:highlight w:val="none"/>
                <w:vertAlign w:val="baseline"/>
              </w:rPr>
            </w:pPr>
            <w:r>
              <w:rPr>
                <w:rFonts w:hint="default" w:ascii="Times New Roman" w:hAnsi="Times New Roman" w:eastAsia="宋体" w:cs="Times New Roman"/>
                <w:b/>
                <w:bCs/>
                <w:smallCaps w:val="0"/>
                <w:color w:val="auto"/>
                <w:spacing w:val="0"/>
                <w:position w:val="0"/>
                <w:sz w:val="21"/>
                <w:highlight w:val="none"/>
                <w:lang w:eastAsia="en-US"/>
              </w:rPr>
              <w:t>备注：</w:t>
            </w:r>
            <w:r>
              <w:rPr>
                <w:rFonts w:hint="default" w:ascii="Times New Roman" w:hAnsi="Times New Roman" w:eastAsia="宋体" w:cs="Times New Roman"/>
                <w:b w:val="0"/>
                <w:bCs w:val="0"/>
                <w:smallCaps w:val="0"/>
                <w:color w:val="auto"/>
                <w:spacing w:val="0"/>
                <w:position w:val="0"/>
                <w:sz w:val="21"/>
                <w:highlight w:val="none"/>
                <w:lang w:eastAsia="en-US"/>
              </w:rPr>
              <w:t>以生产车间平面几何中心为坐标原点（0,0），X 轴正方向向东、Y 轴正方向向北、Z 轴垂直向上。</w:t>
            </w:r>
          </w:p>
        </w:tc>
      </w:tr>
    </w:tbl>
    <w:p w14:paraId="32DE34CD">
      <w:pPr>
        <w:pStyle w:val="29"/>
        <w:spacing w:before="0" w:beforeAutospacing="0" w:after="0" w:afterAutospacing="0" w:line="360" w:lineRule="auto"/>
        <w:jc w:val="both"/>
        <w:outlineLvl w:val="0"/>
        <w:rPr>
          <w:rFonts w:hint="default" w:ascii="Times New Roman" w:hAnsi="Times New Roman" w:cs="Times New Roman"/>
          <w:snapToGrid w:val="0"/>
          <w:color w:val="auto"/>
          <w:sz w:val="30"/>
          <w:szCs w:val="30"/>
          <w:highlight w:val="none"/>
        </w:rPr>
        <w:sectPr>
          <w:pgSz w:w="16838" w:h="11906" w:orient="landscape"/>
          <w:pgMar w:top="1531" w:right="1701" w:bottom="1531" w:left="1701" w:header="851" w:footer="992" w:gutter="0"/>
          <w:pgBorders>
            <w:top w:val="none" w:sz="0" w:space="0"/>
            <w:left w:val="none" w:sz="0" w:space="0"/>
            <w:bottom w:val="none" w:sz="0" w:space="0"/>
            <w:right w:val="none" w:sz="0" w:space="0"/>
          </w:pgBorders>
          <w:cols w:space="425" w:num="1"/>
          <w:docGrid w:type="lines" w:linePitch="312" w:charSpace="0"/>
        </w:sectPr>
      </w:pP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8522"/>
      </w:tblGrid>
      <w:tr w14:paraId="1253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4" w:hRule="atLeast"/>
        </w:trPr>
        <w:tc>
          <w:tcPr>
            <w:tcW w:w="538" w:type="dxa"/>
          </w:tcPr>
          <w:p w14:paraId="4E8299AA">
            <w:pPr>
              <w:pStyle w:val="29"/>
              <w:keepNext w:val="0"/>
              <w:keepLines w:val="0"/>
              <w:suppressLineNumbers w:val="0"/>
              <w:spacing w:before="0" w:beforeAutospacing="0" w:after="0" w:afterAutospacing="0" w:line="360" w:lineRule="auto"/>
              <w:ind w:left="0" w:right="0"/>
              <w:jc w:val="both"/>
              <w:outlineLvl w:val="0"/>
              <w:rPr>
                <w:rFonts w:hint="default" w:ascii="Times New Roman" w:hAnsi="Times New Roman" w:cs="Times New Roman"/>
                <w:snapToGrid w:val="0"/>
                <w:color w:val="auto"/>
                <w:sz w:val="30"/>
                <w:szCs w:val="30"/>
                <w:highlight w:val="none"/>
                <w:vertAlign w:val="baseline"/>
              </w:rPr>
            </w:pPr>
          </w:p>
        </w:tc>
        <w:tc>
          <w:tcPr>
            <w:tcW w:w="8522" w:type="dxa"/>
          </w:tcPr>
          <w:p w14:paraId="14B1D83C">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bCs/>
                <w:smallCaps w:val="0"/>
                <w:color w:val="auto"/>
                <w:spacing w:val="0"/>
                <w:position w:val="0"/>
                <w:sz w:val="24"/>
                <w:highlight w:val="none"/>
                <w:lang w:val="en-US" w:eastAsia="zh-CN"/>
              </w:rPr>
            </w:pPr>
            <w:r>
              <w:rPr>
                <w:rFonts w:hint="default" w:ascii="Times New Roman" w:hAnsi="Times New Roman" w:eastAsia="宋体" w:cs="Times New Roman"/>
                <w:b/>
                <w:bCs/>
                <w:smallCaps w:val="0"/>
                <w:color w:val="auto"/>
                <w:spacing w:val="0"/>
                <w:position w:val="0"/>
                <w:sz w:val="24"/>
                <w:highlight w:val="none"/>
                <w:lang w:val="en-US" w:eastAsia="zh-CN"/>
              </w:rPr>
              <w:t>2.</w:t>
            </w:r>
            <w:r>
              <w:rPr>
                <w:rFonts w:hint="default" w:ascii="Times New Roman" w:hAnsi="Times New Roman" w:eastAsia="宋体" w:cs="Times New Roman"/>
                <w:b/>
                <w:bCs/>
                <w:smallCaps w:val="0"/>
                <w:color w:val="auto"/>
                <w:spacing w:val="0"/>
                <w:position w:val="0"/>
                <w:sz w:val="24"/>
                <w:highlight w:val="none"/>
                <w:lang w:val="en-US" w:eastAsia="en-US"/>
              </w:rPr>
              <w:t>达标分析</w:t>
            </w:r>
          </w:p>
          <w:p w14:paraId="4A5312B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smallCaps w:val="0"/>
                <w:color w:val="auto"/>
                <w:spacing w:val="0"/>
                <w:position w:val="0"/>
                <w:sz w:val="24"/>
                <w:highlight w:val="none"/>
                <w:lang w:val="en-US" w:eastAsia="zh-CN"/>
              </w:rPr>
            </w:pPr>
            <w:r>
              <w:rPr>
                <w:rFonts w:hint="default" w:ascii="Times New Roman" w:hAnsi="Times New Roman" w:eastAsia="宋体" w:cs="Times New Roman"/>
                <w:smallCaps w:val="0"/>
                <w:color w:val="auto"/>
                <w:spacing w:val="0"/>
                <w:position w:val="0"/>
                <w:sz w:val="24"/>
                <w:highlight w:val="none"/>
                <w:lang w:val="en-US" w:eastAsia="zh-CN"/>
              </w:rPr>
              <w:t>（1）预测模式</w:t>
            </w:r>
          </w:p>
          <w:p w14:paraId="47D77F67">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cs="Times New Roman"/>
                <w:smallCaps w:val="0"/>
                <w:color w:val="auto"/>
                <w:spacing w:val="0"/>
                <w:position w:val="0"/>
                <w:sz w:val="24"/>
                <w:highlight w:val="none"/>
                <w:lang w:val="en-US" w:eastAsia="zh-CN"/>
              </w:rPr>
            </w:pPr>
            <w:r>
              <w:rPr>
                <w:rFonts w:hint="default" w:ascii="Times New Roman" w:hAnsi="Times New Roman" w:eastAsia="宋体" w:cs="Times New Roman"/>
                <w:smallCaps w:val="0"/>
                <w:color w:val="auto"/>
                <w:spacing w:val="0"/>
                <w:position w:val="0"/>
                <w:sz w:val="24"/>
                <w:highlight w:val="none"/>
                <w:lang w:val="en-US" w:eastAsia="en-US"/>
              </w:rPr>
              <w:t>按照《环境影响评价技术导则声环境》（HJ2.4-2021）中推荐模式进行预测。</w:t>
            </w:r>
          </w:p>
          <w:p w14:paraId="4890DF5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lang w:val="en-US" w:eastAsia="zh-CN"/>
              </w:rPr>
              <w:t>A</w:t>
            </w:r>
            <w:r>
              <w:rPr>
                <w:rFonts w:hint="default" w:ascii="Times New Roman" w:hAnsi="Times New Roman" w:cs="Times New Roman"/>
                <w:smallCaps w:val="0"/>
                <w:color w:val="auto"/>
                <w:spacing w:val="0"/>
                <w:position w:val="0"/>
                <w:sz w:val="24"/>
                <w:highlight w:val="none"/>
              </w:rPr>
              <w:t>.室内声源</w:t>
            </w:r>
          </w:p>
          <w:p w14:paraId="3AC4938C">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室内声源由室内向室外传播示意图4-</w:t>
            </w:r>
            <w:r>
              <w:rPr>
                <w:rFonts w:hint="default" w:ascii="Times New Roman" w:hAnsi="Times New Roman" w:cs="Times New Roman"/>
                <w:smallCaps w:val="0"/>
                <w:color w:val="auto"/>
                <w:spacing w:val="0"/>
                <w:position w:val="0"/>
                <w:sz w:val="24"/>
                <w:highlight w:val="none"/>
                <w:lang w:val="en-US" w:eastAsia="zh-CN"/>
              </w:rPr>
              <w:t>2</w:t>
            </w:r>
            <w:r>
              <w:rPr>
                <w:rFonts w:hint="default" w:ascii="Times New Roman" w:hAnsi="Times New Roman" w:cs="Times New Roman"/>
                <w:smallCaps w:val="0"/>
                <w:color w:val="auto"/>
                <w:spacing w:val="0"/>
                <w:position w:val="0"/>
                <w:sz w:val="24"/>
                <w:highlight w:val="none"/>
              </w:rPr>
              <w:t>。</w:t>
            </w:r>
          </w:p>
          <w:p w14:paraId="31B744D0">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cs="Times New Roman"/>
                <w:b/>
                <w:bCs/>
                <w:smallCaps w:val="0"/>
                <w:color w:val="auto"/>
                <w:spacing w:val="0"/>
                <w:position w:val="0"/>
                <w:sz w:val="24"/>
                <w:highlight w:val="none"/>
              </w:rPr>
            </w:pP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drawing>
                <wp:inline distT="0" distB="0" distL="114300" distR="114300">
                  <wp:extent cx="2651125" cy="1003935"/>
                  <wp:effectExtent l="0" t="0" r="0" b="5080"/>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18"/>
                          <a:stretch>
                            <a:fillRect/>
                          </a:stretch>
                        </pic:blipFill>
                        <pic:spPr>
                          <a:xfrm>
                            <a:off x="0" y="0"/>
                            <a:ext cx="2651125" cy="1003935"/>
                          </a:xfrm>
                          <a:prstGeom prst="rect">
                            <a:avLst/>
                          </a:prstGeom>
                          <a:noFill/>
                          <a:ln>
                            <a:noFill/>
                          </a:ln>
                        </pic:spPr>
                      </pic:pic>
                    </a:graphicData>
                  </a:graphic>
                </wp:inline>
              </w:drawing>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"F:\\Administrator\\4-审核审定\\7-资料\\参考\\送审打印  旬邑县年产5000吨再生塑料颗粒建设项目 - 副本\\AppData\\Local\\Temp\\Local 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"F:\\Administrator\\4-审核审定\\7-资料\\参考\\送审打印  旬邑县年产5000吨再生塑料颗粒建设项目 - 副本\\AppData\\Local\\Temp\\Local 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"F:\\Administrator\\4-审核审定\\7-资料\\参考\\送审打印  旬邑县年产5000吨再生塑料颗粒建设项目 - 副本\\AppData\\Local\\Temp\\Local 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"F:\\Administrator\\4-审核审定\\7-资料\\参考\\送审打印  旬邑县年产5000吨再生塑料颗粒建设项目 - 副本\\AppData\\Local\\Temp\\Local 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"F:\\Administrator\\4-审核审定\\7-资料\\参考\\送审打印  旬邑县年产5000吨再生塑料颗粒建设项目 - 副本\\AppData\\Local\\Temp\\Local 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"C:\\Users\\chenxueru\\Administrator\\4-审核审定\\7-资料\\参考\\送审打印  旬邑县年产5000吨再生塑料颗粒建设项目 - 副本\\AppData\\Local\\Temp\\Local 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"C:\\Users\\chenxueru\\Administrator\\4-审核审定\\7-资料\\参考\\送审打印  旬邑县年产5000吨再生塑料颗粒建设项目 - 副本\\AppData\\Local\\Temp\\Local 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"C:\\Users\\chenxueru\\Administrator\\4-审核审定\\7-资料\\参考\\送审打印  旬邑县年产5000吨再生塑料颗粒建设项目 - 副本\\AppData\\Local\\Temp\\Local 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"C:\\Users\\chenxueru\\Administrator\\4-审核审定\\7-资料\\参考\\送审打印  旬邑县年产5000吨再生塑料颗粒建设项目 - 副本\\AppData\\Local\\Temp\\Local 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"C:\\Users\\chenxueru\\AppData\\Administrator\\4-审核审定\\7-资料\\参考\\送审打印  旬邑县年产5000吨再生塑料颗粒建设项目 - 副本\\AppData\\Local\\Temp\\Local 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"C:\\Users\\chenxueru\\AppData\\Roaming\\Microsoft\\4-审核审定\\7-资料\\参考\\送审打印  旬邑县年产5000吨再生塑料颗粒建设项目 - 副本\\AppData\\Local\\Temp\\Local 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"C:\\Users\\chenxueru\\AppData\\Administrator\\4-审核审定\\7-资料\\参考\\送审打印%20%20旬邑县年产5000吨再生塑料颗粒建设项目%20-%20副本\\AppData\\Local\\Temp\\Local%20Settings\\Temp\\ksohtml\\wps30A.tmp.png"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admin\\Administrator\\4-审核审定\\7-资料\\参考\\送审打印%2525252520%2525252520旬邑县年产5000吨再生塑料颗粒建设项目%2525252520-%2525252520副本\\AppData\\Local\\Temp\\Local%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admin\\Administrator\\4-审核审定\\7-资料\\参考\\送审打印%25252525252520%25252525252520旬邑县年产5000吨再生塑料颗粒建设项目%25252525252520-%25252525252520副本\\AppData\\Local\\Temp\\Local%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admin\\Administrator\\4-审核审定\\7-资料\\参考\\送审打印%2525252525252520%2525252525252520旬邑县年产5000吨再生塑料颗粒建设项目%2525252525252520-%2525252525252520副本\\AppData\\Local\\Temp\\Local%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admin\\Administrator\\4-审核审定\\7-资料\\参考\\送审打印%2525252525252520%2525252525252520旬邑县年产5000吨再生塑料颗粒建设项目%2525252525252520-%2525252525252520副本\\AppData\\Local\\Temp\\Local%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Administrator\\4-审核审定\\7-资料\\参考\\送审打印%2525252525252520%2525252525252520旬邑县年产5000吨再生塑料颗粒建设项目%2525252525252520-%2525252525252520副本\\AppData\\Local\\Temp\\Local%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Administrator\\4-审核审定\\7-资料\\参考\\送审打印%2525252525252520%2525252525252520旬邑县年产5000吨再生塑料颗粒建设项目%2525252525252520-%2525252525252520副本\\AppData\\Local\\Temp\\Local%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4-审核审定\\7-资料\\参考\\送审打印%2525252525252520%2525252525252520旬邑县年产5000吨再生塑料颗粒建设项目%2525252525252520-%2525252525252520副本\\AppData\\Local\\Temp\\Local%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4-审核审定\\7-资料\\参考\\送审打印%2525252525252520%2525252525252520旬邑县年产5000吨再生塑料颗粒建设项目%2525252525252520-%2525252525252520副本\\AppData\\Local\\Temp\\Local%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4-审核审定\\7-资料\\参考\\送审打印%2525252525252520%2525252525252520旬邑县年产5000吨再生塑料颗粒建设项目%2525252525252520-%2525252525252520副本\\AppData\\Local\\Temp\\Local%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4-审核审定\\7-资料\\参考\\送审打印%2525252525252520%2525252525252520旬邑县年产5000吨再生塑料颗粒建设项目%2525252525252520-%2525252525252520副本\\AppData\\Local\\Temp\\Local%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4-审核审定\\7-资料\\参考\\送审打印%2525252525252520%2525252525252520旬邑县年产5000吨再生塑料颗粒建设项目%2525252525252520-%2525252525252520副本\\AppData\\Local\\Temp\\Local%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4-审核审定\\7-资料\\参考\\送审打印%2525252525252520%2525252525252520旬邑县年产5000吨再生塑料颗粒建设项目%2525252525252520-%2525252525252520副本\\AppData\\Local\\Temp\\Local%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4-审核审定\\7-资料\\参考\\送审打印%252525252525252520%252525252525252520旬邑县年产5000吨再生塑料颗粒建设项目%252525252525252520-%252525252525252520副本\\AppData\\Local\\Temp\\Local%252525252525252520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4-审核审定\\7-资料\\参考\\送审打印%252525252525252520%252525252525252520旬邑县年产5000吨再生塑料颗粒建设项目%252525252525252520-%252525252525252520副本\\AppData\\Local\\Temp\\Local%252525252525252520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Word\\4-审核审定\\7-资料\\参考\\送审打印%252525252525252520%252525252525252520旬邑县年产5000吨再生塑料颗粒建设项目%252525252525252520-%252525252525252520副本\\AppData\\Local\\Temp\\Local%252525252525252520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34493\\Desktop\\4-审核审定\\7-资料\\参考\\送审打印%252525252525252520%252525252525252520旬邑县年产5000吨再生塑料颗粒建设项目%252525252525252520-%252525252525252520副本\\AppData\\Local\\Temp\\Local%252525252525252520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Word\\4-审核审定\\7-资料\\参考\\送审打印%252525252525252520%252525252525252520旬邑县年产5000吨再生塑料颗粒建设项目%252525252525252520-%252525252525252520副本\\AppData\\Local\\Temp\\Local%252525252525252520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Word\\4-审核审定\\7-资料\\参考\\送审打印%252525252525252520%252525252525252520旬邑县年产5000吨再生塑料颗粒建设项目%252525252525252520-%252525252525252520副本\\AppData\\Local\\Temp\\Local%252525252525252520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Word\\4-审核审定\\7-资料\\参考\\送审打印%252525252525252520%252525252525252520旬邑县年产5000吨再生塑料颗粒建设项目%252525252525252520-%252525252525252520副本\\AppData\\Local\\Temp\\Local%252525252525252520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Word\\4-审核审定\\7-资料\\参考\\送审打印%252525252525252520%252525252525252520旬邑县年产5000吨再生塑料颗粒建设项目%252525252525252520-%252525252525252520副本\\AppData\\Local\\Temp\\Local%252525252525252520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Word\\泰金项目-报批\\4-审核审定\\7-资料\\参考\\送审打印%252525252525252520%252525252525252520旬邑县年产5000吨再生塑料颗粒建设项目%252525252525252520-%252525252525252520副本\\AppData\\Local\\Temp\\Local%252525252525252520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Word\\泰金项目-报批\\4-审核审定\\7-资料\\参考\\送审打印%252525252525252520%252525252525252520旬邑县年产5000吨再生塑料颗粒建设项目%252525252525252520-%252525252525252520副本\\AppData\\Local\\Temp\\Local%252525252525252520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Word\\泰金项目-报批\\4-审核审定\\7-资料\\参考\\送审打印%252525252525252520%252525252525252520旬邑县年产5000吨再生塑料颗粒建设项目%252525252525252520-%252525252525252520副本\\AppData\\Local\\Temp\\Local%252525252525252520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C:\\Users\\chenxueru\\AppData\\Roaming\\Microsoft\\Word\\泰金项目-报批\\4-审核审定\\7-资料\\参考\\送审打印%252525252525252520%252525252525252520旬邑县年产5000吨再生塑料颗粒建设项目%252525252525252520-%252525252525252520副本\\AppData\\Local\\Temp\\Local%252525252525252520Settings\\Temp\\ksohtml\\wps30A.tmp.png" \* MERGEFORMAT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F:\\2022-环评项目\\低成本高效率全解水制氢\\4-审核审定\\7-资料\\参考\\送审打印%252525252525252520%252525252525252520旬邑县年产5000吨再生塑料颗粒建设项目%252525252525252520-%252525252525252520副本\\AppData\\Local\\Temp\\Local%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F:\\2022-环评项目\\低成本高效率全解水制氢\\4-审核审定\\7-资料\\参考\\送审打印%252525252525252520%252525252525252520旬邑县年产5000吨再生塑料颗粒建设项目%252525252525252520-%252525252525252520副本\\AppData\\Local\\Temp\\Local%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F:\\2022-环评项目\\低成本高效率全解水制氢\\4-审核审定\\7-资料\\参考\\送审打印%252525252525252520%252525252525252520旬邑县年产5000吨再生塑料颗粒建设项目%252525252525252520-%252525252525252520副本\\AppData\\Local\\Temp\\Local%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F:\\2022-环评项目\\低成本高效率全解水制氢\\4-审核审定\\7-资料\\参考\\送审打印%252525252525252520%252525252525252520旬邑县年产5000吨再生塑料颗粒建设项目%252525252525252520-%252525252525252520副本\\AppData\\Local\\Temp\\Local%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F:\\2022-环评项目\\低成本高效率全解水制氢\\4-审核审定\\7-资料\\参考\\送审打印%252525252525252520%252525252525252520旬邑县年产5000吨再生塑料颗粒建设项目%252525252525252520-%252525252525252520副本\\AppData\\Local\\Temp\\Local%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 低成本高效率全解水制氢电极材料的研发与示范应用\\2022-B080低成本高效率全解水制氢电极材料的研发与示范应用\\3、环境影响报告表\\4-审核审定\\7-资料\\参考\\送审打印%252525252525252520%252525252525252520旬邑县年产5000吨再生塑料颗粒建设项目%252525252525252520-%252525252525252520副本\\AppData\\Local\\Temp\\Local%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 低成本高效率全解水制氢电极材料的研发与示范应用\\2022-B080低成本高效率全解水制氢电极材料的研发与示范应用\\3、环境影响报告表\\4-审核审定\\7-资料\\参考\\送审打印%252525252525252520%252525252525252520旬邑县年产5000吨再生塑料颗粒建设项目%252525252525252520-%252525252525252520副本\\AppData\\Local\\Temp\\Local%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 低成本高效率全解水制氢电极材料的研发与示范应用\\2022-B080低成本高效率全解水制氢电极材料的研发与示范应用\\3、环境影响报告表\\4-审核审定\\7-资料\\参考\\送审打印%252525252525252520%252525252525252520旬邑县年产5000吨再生塑料颗粒建设项目%252525252525252520-%252525252525252520副本\\AppData\\Local\\Temp\\Local%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 低成本高效率全解水制氢电极材料的研发与示范应用\\2022-B080低成本高效率全解水制氢电极材料的研发与示范应用\\3、环境影响报告表\\4-审核审定\\7-资料\\参考\\送审打印%252525252525252520%252525252525252520旬邑县年产5000吨再生塑料颗粒建设项目%252525252525252520-%252525252525252520副本\\AppData\\Local\\Temp\\Local%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 低成本高效率全解水制氢电极材料的研发与示范应用\\2022-B080低成本高效率全解水制氢电极材料的研发与示范应用\\3、环境影响报告表\\4-审核审定\\7-资料\\参考\\送审打印%252525252525252520%252525252525252520旬邑县年产5000吨再生塑料颗粒建设项目%252525252525252520-%252525252525252520副本\\AppData\\Local\\Temp\\Local%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 低成本高效率全解水制氢电极材料的研发与示范应用\\2022-B080低成本高效率全解水制氢电极材料的研发与示范应用\\3、环境影响报告表\\4-审核审定\\7-资料\\参考\\送审打印%252525252525252520%252525252525252520旬邑县年产5000吨再生塑料颗粒建设项目%252525252525252520-%252525252525252520副本\\AppData\\Local\\Temp\\Local%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2520低成本高效率全解水制氢电极材料的研发与示范应用\\2022-B080低成本高效率全解水制氢电极材料的研发与示范应用\\3、环境影响报告表\\4-审核审定\\7-资料\\参考\\送审打印%2525252525252525252520%2525252525252525252520旬邑县年产5000吨再生塑料颗粒建设项目%2525252525252525252520-%2525252525252525252520副本\\AppData\\Local\\Temp\\Local%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begin"/>
            </w:r>
            <w:r>
              <w:rPr>
                <w:rFonts w:hint="default" w:ascii="Times New Roman" w:hAnsi="Times New Roman" w:cs="Times New Roman"/>
                <w:smallCaps w:val="0"/>
                <w:color w:val="auto"/>
                <w:spacing w:val="0"/>
                <w:position w:val="0"/>
                <w:highlight w:val="none"/>
              </w:rPr>
              <w:instrText xml:space="preserve"> INCLUDEPICTURE  "I:\\报告归档\\2022年报告归档\\1、2022年海蓝报告表\\2022-B080%252520低成本高效率全解水制氢电极材料的研发与示范应用\\2022-B080低成本高效率全解水制氢电极材料的研发与示范应用\\3、环境影响报告表\\4-审核审定\\7-资料\\参考\\送审打印%252525252525252525252520%252525252525252525252520旬邑县年产5000吨再生塑料颗粒建设项目%252525252525252525252520-%252525252525252525252520副本\\AppData\\Local\\Temp\\Local%252525252525252525252520Settings\\Temp\\ksohtml\\wps30A.tmp.png" \* MERGEFORMATINET </w:instrText>
            </w:r>
            <w:r>
              <w:rPr>
                <w:rFonts w:hint="default" w:ascii="Times New Roman" w:hAnsi="Times New Roman" w:cs="Times New Roman"/>
                <w:smallCaps w:val="0"/>
                <w:color w:val="auto"/>
                <w:spacing w:val="0"/>
                <w:position w:val="0"/>
                <w:highlight w:val="none"/>
              </w:rPr>
              <w:fldChar w:fldCharType="separate"/>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r>
              <w:rPr>
                <w:rFonts w:hint="default" w:ascii="Times New Roman" w:hAnsi="Times New Roman" w:cs="Times New Roman"/>
                <w:smallCaps w:val="0"/>
                <w:color w:val="auto"/>
                <w:spacing w:val="0"/>
                <w:position w:val="0"/>
                <w:highlight w:val="none"/>
              </w:rPr>
              <w:fldChar w:fldCharType="end"/>
            </w:r>
          </w:p>
          <w:p w14:paraId="0660B682">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cs="Times New Roman"/>
                <w:b/>
                <w:bCs/>
                <w:smallCaps w:val="0"/>
                <w:color w:val="auto"/>
                <w:spacing w:val="0"/>
                <w:position w:val="0"/>
                <w:sz w:val="24"/>
                <w:highlight w:val="none"/>
              </w:rPr>
            </w:pPr>
            <w:r>
              <w:rPr>
                <w:rFonts w:hint="default" w:ascii="Times New Roman" w:hAnsi="Times New Roman" w:cs="Times New Roman"/>
                <w:b/>
                <w:bCs/>
                <w:smallCaps w:val="0"/>
                <w:color w:val="auto"/>
                <w:spacing w:val="0"/>
                <w:position w:val="0"/>
                <w:sz w:val="24"/>
                <w:highlight w:val="none"/>
              </w:rPr>
              <w:t>图4-</w:t>
            </w:r>
            <w:r>
              <w:rPr>
                <w:rFonts w:hint="default" w:ascii="Times New Roman" w:hAnsi="Times New Roman" w:cs="Times New Roman"/>
                <w:b/>
                <w:bCs/>
                <w:smallCaps w:val="0"/>
                <w:color w:val="auto"/>
                <w:spacing w:val="0"/>
                <w:position w:val="0"/>
                <w:sz w:val="24"/>
                <w:highlight w:val="none"/>
                <w:lang w:val="en-US" w:eastAsia="zh-CN"/>
              </w:rPr>
              <w:t>2</w:t>
            </w:r>
            <w:r>
              <w:rPr>
                <w:rFonts w:hint="default" w:ascii="Times New Roman" w:hAnsi="Times New Roman" w:cs="Times New Roman"/>
                <w:b/>
                <w:bCs/>
                <w:smallCaps w:val="0"/>
                <w:color w:val="auto"/>
                <w:spacing w:val="0"/>
                <w:position w:val="0"/>
                <w:sz w:val="24"/>
                <w:highlight w:val="none"/>
              </w:rPr>
              <w:t xml:space="preserve">  室内声源向室外传播示意图</w:t>
            </w:r>
          </w:p>
          <w:p w14:paraId="1814AB44">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计算室内声源靠近围护结构处产生的声压级：</w:t>
            </w:r>
          </w:p>
          <w:p w14:paraId="20204FBE">
            <w:pPr>
              <w:keepNext w:val="0"/>
              <w:keepLines w:val="0"/>
              <w:suppressLineNumbers w:val="0"/>
              <w:spacing w:before="0" w:beforeAutospacing="0" w:after="0" w:afterAutospacing="0" w:line="360" w:lineRule="auto"/>
              <w:ind w:left="0" w:right="0" w:firstLine="480" w:firstLineChars="200"/>
              <w:jc w:val="center"/>
              <w:rPr>
                <w:rFonts w:hint="default" w:ascii="Times New Roman" w:hAnsi="Times New Roman" w:cs="Times New Roman"/>
                <w:bCs/>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object>
                <v:shape id="_x0000_i1030" o:spt="75" type="#_x0000_t75" style="height:37.6pt;width:136.8pt;" o:ole="t" filled="f" o:preferrelative="t" stroked="f" coordsize="21600,21600">
                  <v:path/>
                  <v:fill on="f" focussize="0,0"/>
                  <v:stroke on="f" joinstyle="miter"/>
                  <v:imagedata r:id="rId20" o:title=""/>
                  <o:lock v:ext="edit" aspectratio="t"/>
                  <w10:wrap type="none"/>
                  <w10:anchorlock/>
                </v:shape>
                <o:OLEObject Type="Embed" ProgID="Equation.DSMT4" ShapeID="_x0000_i1030" DrawAspect="Content" ObjectID="_1468075730" r:id="rId19">
                  <o:LockedField>false</o:LockedField>
                </o:OLEObject>
              </w:object>
            </w:r>
          </w:p>
          <w:p w14:paraId="1966F15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式中：</w:t>
            </w:r>
            <w:r>
              <w:rPr>
                <w:rFonts w:hint="default" w:ascii="Times New Roman" w:hAnsi="Times New Roman" w:cs="Times New Roman"/>
                <w:smallCaps w:val="0"/>
                <w:color w:val="auto"/>
                <w:spacing w:val="0"/>
                <w:position w:val="0"/>
                <w:sz w:val="24"/>
                <w:highlight w:val="none"/>
              </w:rPr>
              <w:object>
                <v:shape id="_x0000_i1031" o:spt="75" type="#_x0000_t75" style="height:16pt;width:12pt;" o:ole="t" filled="f" o:preferrelative="t" stroked="f" coordsize="21600,21600">
                  <v:path/>
                  <v:fill on="f" focussize="0,0"/>
                  <v:stroke on="f" joinstyle="miter"/>
                  <v:imagedata r:id="rId22" o:title=""/>
                  <o:lock v:ext="edit" aspectratio="t"/>
                  <w10:wrap type="none"/>
                  <w10:anchorlock/>
                </v:shape>
                <o:OLEObject Type="Embed" ProgID="Equation.DSMT4" ShapeID="_x0000_i1031" DrawAspect="Content" ObjectID="_1468075731" r:id="rId21">
                  <o:LockedField>false</o:LockedField>
                </o:OLEObject>
              </w:object>
            </w:r>
            <w:r>
              <w:rPr>
                <w:rFonts w:hint="default" w:ascii="Times New Roman" w:hAnsi="Times New Roman" w:cs="Times New Roman"/>
                <w:smallCaps w:val="0"/>
                <w:color w:val="auto"/>
                <w:spacing w:val="0"/>
                <w:position w:val="0"/>
                <w:sz w:val="24"/>
                <w:highlight w:val="none"/>
              </w:rPr>
              <w:t>—指向性因子；</w:t>
            </w:r>
          </w:p>
          <w:p w14:paraId="62D21B00">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i/>
                <w:smallCaps w:val="0"/>
                <w:color w:val="auto"/>
                <w:spacing w:val="0"/>
                <w:position w:val="0"/>
                <w:sz w:val="24"/>
                <w:highlight w:val="none"/>
              </w:rPr>
              <w:t>L</w:t>
            </w:r>
            <w:r>
              <w:rPr>
                <w:rFonts w:hint="default" w:ascii="Times New Roman" w:hAnsi="Times New Roman" w:cs="Times New Roman"/>
                <w:i/>
                <w:smallCaps w:val="0"/>
                <w:color w:val="auto"/>
                <w:spacing w:val="0"/>
                <w:position w:val="0"/>
                <w:sz w:val="24"/>
                <w:highlight w:val="none"/>
                <w:vertAlign w:val="subscript"/>
              </w:rPr>
              <w:t>W</w:t>
            </w:r>
            <w:r>
              <w:rPr>
                <w:rFonts w:hint="default" w:ascii="Times New Roman" w:hAnsi="Times New Roman" w:cs="Times New Roman"/>
                <w:smallCaps w:val="0"/>
                <w:color w:val="auto"/>
                <w:spacing w:val="0"/>
                <w:position w:val="0"/>
                <w:sz w:val="24"/>
                <w:highlight w:val="none"/>
              </w:rPr>
              <w:t>—室内声源声功率级，dB；</w:t>
            </w:r>
          </w:p>
          <w:p w14:paraId="0D374685">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object>
                <v:shape id="_x0000_i1032" o:spt="75" type="#_x0000_t75" style="height:13.6pt;width:12pt;" o:ole="t" filled="f" o:preferrelative="t" stroked="f" coordsize="21600,21600">
                  <v:path/>
                  <v:fill on="f" focussize="0,0"/>
                  <v:stroke on="f" joinstyle="miter"/>
                  <v:imagedata r:id="rId24" o:title=""/>
                  <o:lock v:ext="edit" aspectratio="t"/>
                  <w10:wrap type="none"/>
                  <w10:anchorlock/>
                </v:shape>
                <o:OLEObject Type="Embed" ProgID="Equation.DSMT4" ShapeID="_x0000_i1032" DrawAspect="Content" ObjectID="_1468075732" r:id="rId23">
                  <o:LockedField>false</o:LockedField>
                </o:OLEObject>
              </w:object>
            </w:r>
            <w:r>
              <w:rPr>
                <w:rFonts w:hint="default" w:ascii="Times New Roman" w:hAnsi="Times New Roman" w:cs="Times New Roman"/>
                <w:smallCaps w:val="0"/>
                <w:color w:val="auto"/>
                <w:spacing w:val="0"/>
                <w:position w:val="0"/>
                <w:sz w:val="24"/>
                <w:highlight w:val="none"/>
              </w:rPr>
              <w:t>—房间常数；</w:t>
            </w:r>
          </w:p>
          <w:p w14:paraId="591A402E">
            <w:pPr>
              <w:keepNext w:val="0"/>
              <w:keepLines w:val="0"/>
              <w:suppressLineNumbers w:val="0"/>
              <w:adjustRightInd w:val="0"/>
              <w:snapToGrid w:val="0"/>
              <w:spacing w:before="0" w:beforeAutospacing="0" w:after="0" w:afterAutospacing="0" w:line="360" w:lineRule="auto"/>
              <w:ind w:left="0" w:right="0" w:firstLine="1200" w:firstLineChars="500"/>
              <w:rPr>
                <w:rFonts w:hint="default" w:ascii="Times New Roman" w:hAnsi="Times New Roman" w:cs="Times New Roman"/>
                <w:b/>
                <w:bCs/>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object>
                <v:shape id="_x0000_i1033" o:spt="75" type="#_x0000_t75" style="height:19.2pt;width:11.2pt;" o:ole="t" filled="f" o:preferrelative="t" stroked="f" coordsize="21600,21600">
                  <v:path/>
                  <v:fill on="f" focussize="0,0"/>
                  <v:stroke on="f" joinstyle="miter"/>
                  <v:imagedata r:id="rId26" o:title=""/>
                  <o:lock v:ext="edit" aspectratio="t"/>
                  <w10:wrap type="none"/>
                  <w10:anchorlock/>
                </v:shape>
                <o:OLEObject Type="Embed" ProgID="Equation.DSMT4" ShapeID="_x0000_i1033" DrawAspect="Content" ObjectID="_1468075733" r:id="rId25">
                  <o:LockedField>false</o:LockedField>
                </o:OLEObject>
              </w:object>
            </w:r>
            <w:r>
              <w:rPr>
                <w:rFonts w:hint="default" w:ascii="Times New Roman" w:hAnsi="Times New Roman" w:cs="Times New Roman"/>
                <w:smallCaps w:val="0"/>
                <w:color w:val="auto"/>
                <w:spacing w:val="0"/>
                <w:position w:val="0"/>
                <w:sz w:val="24"/>
                <w:highlight w:val="none"/>
              </w:rPr>
              <w:t>—声源到靠近围护结构某点处的距离，m。</w:t>
            </w:r>
          </w:p>
          <w:p w14:paraId="6B554EC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计算所有室内声源在围护结构处产生的叠加声压级：</w:t>
            </w:r>
          </w:p>
          <w:p w14:paraId="6B548B7E">
            <w:pPr>
              <w:keepNext w:val="0"/>
              <w:keepLines w:val="0"/>
              <w:suppressLineNumbers w:val="0"/>
              <w:adjustRightInd w:val="0"/>
              <w:snapToGrid w:val="0"/>
              <w:spacing w:before="0" w:beforeAutospacing="0" w:after="0" w:afterAutospacing="0" w:line="360" w:lineRule="auto"/>
              <w:ind w:left="0" w:right="0" w:firstLine="200"/>
              <w:jc w:val="center"/>
              <w:rPr>
                <w:rFonts w:hint="default" w:ascii="Times New Roman" w:hAnsi="Times New Roman" w:cs="Times New Roman"/>
                <w:b/>
                <w:bCs/>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object>
                <v:shape id="_x0000_i1034" o:spt="75" type="#_x0000_t75" style="height:37.65pt;width:128pt;" o:ole="t" filled="f" o:preferrelative="t" stroked="f" coordsize="21600,21600">
                  <v:path/>
                  <v:fill on="f" focussize="0,0"/>
                  <v:stroke on="f" joinstyle="miter"/>
                  <v:imagedata r:id="rId28" o:title=""/>
                  <o:lock v:ext="edit" aspectratio="t"/>
                  <w10:wrap type="none"/>
                  <w10:anchorlock/>
                </v:shape>
                <o:OLEObject Type="Embed" ProgID="Equation.DSMT4" ShapeID="_x0000_i1034" DrawAspect="Content" ObjectID="_1468075734" r:id="rId27">
                  <o:LockedField>false</o:LockedField>
                </o:OLEObject>
              </w:object>
            </w:r>
          </w:p>
          <w:p w14:paraId="599B7385">
            <w:pPr>
              <w:keepNext w:val="0"/>
              <w:keepLines w:val="0"/>
              <w:suppressLineNumbers w:val="0"/>
              <w:spacing w:before="0" w:beforeAutospacing="0" w:after="0" w:afterAutospacing="0" w:line="360" w:lineRule="auto"/>
              <w:ind w:left="0" w:right="0" w:firstLine="616" w:firstLineChars="257"/>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式中：</w:t>
            </w:r>
            <w:r>
              <w:rPr>
                <w:rFonts w:hint="default" w:ascii="Times New Roman" w:hAnsi="Times New Roman" w:cs="Times New Roman"/>
                <w:i/>
                <w:smallCaps w:val="0"/>
                <w:color w:val="auto"/>
                <w:spacing w:val="0"/>
                <w:position w:val="0"/>
                <w:sz w:val="24"/>
                <w:highlight w:val="none"/>
              </w:rPr>
              <w:t>L</w:t>
            </w:r>
            <w:r>
              <w:rPr>
                <w:rFonts w:hint="default" w:ascii="Times New Roman" w:hAnsi="Times New Roman" w:cs="Times New Roman"/>
                <w:i/>
                <w:smallCaps w:val="0"/>
                <w:color w:val="auto"/>
                <w:spacing w:val="0"/>
                <w:position w:val="0"/>
                <w:sz w:val="24"/>
                <w:highlight w:val="none"/>
                <w:vertAlign w:val="subscript"/>
              </w:rPr>
              <w:t>p</w:t>
            </w:r>
            <w:r>
              <w:rPr>
                <w:rFonts w:hint="default" w:ascii="Times New Roman" w:hAnsi="Times New Roman" w:cs="Times New Roman"/>
                <w:smallCaps w:val="0"/>
                <w:color w:val="auto"/>
                <w:spacing w:val="0"/>
                <w:position w:val="0"/>
                <w:sz w:val="24"/>
                <w:highlight w:val="none"/>
                <w:vertAlign w:val="subscript"/>
              </w:rPr>
              <w:t>1</w:t>
            </w:r>
            <w:r>
              <w:rPr>
                <w:rFonts w:hint="default" w:ascii="Times New Roman" w:hAnsi="Times New Roman" w:cs="Times New Roman"/>
                <w:smallCaps w:val="0"/>
                <w:color w:val="auto"/>
                <w:spacing w:val="0"/>
                <w:position w:val="0"/>
                <w:sz w:val="24"/>
                <w:highlight w:val="none"/>
              </w:rPr>
              <w:t>(T)—靠近围护结构处室内N个声源的叠加声压级，dB；</w:t>
            </w:r>
          </w:p>
          <w:p w14:paraId="391690B5">
            <w:pPr>
              <w:keepNext w:val="0"/>
              <w:keepLines w:val="0"/>
              <w:suppressLineNumbers w:val="0"/>
              <w:spacing w:before="0" w:beforeAutospacing="0" w:after="0" w:afterAutospacing="0" w:line="360" w:lineRule="auto"/>
              <w:ind w:left="0" w:right="0" w:firstLine="1233" w:firstLineChars="514"/>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i/>
                <w:smallCaps w:val="0"/>
                <w:color w:val="auto"/>
                <w:spacing w:val="0"/>
                <w:position w:val="0"/>
                <w:sz w:val="24"/>
                <w:highlight w:val="none"/>
              </w:rPr>
              <w:t>L</w:t>
            </w:r>
            <w:r>
              <w:rPr>
                <w:rFonts w:hint="default" w:ascii="Times New Roman" w:hAnsi="Times New Roman" w:cs="Times New Roman"/>
                <w:i/>
                <w:smallCaps w:val="0"/>
                <w:color w:val="auto"/>
                <w:spacing w:val="0"/>
                <w:position w:val="0"/>
                <w:sz w:val="24"/>
                <w:highlight w:val="none"/>
                <w:vertAlign w:val="subscript"/>
              </w:rPr>
              <w:t>p1j</w:t>
            </w:r>
            <w:r>
              <w:rPr>
                <w:rFonts w:hint="default" w:ascii="Times New Roman" w:hAnsi="Times New Roman" w:cs="Times New Roman"/>
                <w:smallCaps w:val="0"/>
                <w:color w:val="auto"/>
                <w:spacing w:val="0"/>
                <w:position w:val="0"/>
                <w:sz w:val="24"/>
                <w:highlight w:val="none"/>
              </w:rPr>
              <w:t>(T)—室内j声源声压级，dB；</w:t>
            </w:r>
          </w:p>
          <w:p w14:paraId="1726ED63">
            <w:pPr>
              <w:keepNext w:val="0"/>
              <w:keepLines w:val="0"/>
              <w:suppressLineNumbers w:val="0"/>
              <w:spacing w:before="0" w:beforeAutospacing="0" w:after="0" w:afterAutospacing="0" w:line="360" w:lineRule="auto"/>
              <w:ind w:left="0" w:right="0" w:firstLine="1233" w:firstLineChars="514"/>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N—室内声源总数。</w:t>
            </w:r>
          </w:p>
          <w:p w14:paraId="66235E9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计算靠近室外</w:t>
            </w:r>
            <w:r>
              <w:rPr>
                <w:rFonts w:hint="default" w:ascii="Times New Roman" w:hAnsi="Times New Roman" w:cs="Times New Roman"/>
                <w:smallCaps w:val="0"/>
                <w:color w:val="auto"/>
                <w:spacing w:val="0"/>
                <w:position w:val="0"/>
                <w:sz w:val="24"/>
                <w:highlight w:val="none"/>
                <w:lang w:eastAsia="zh-CN"/>
              </w:rPr>
              <w:t>围护结构</w:t>
            </w:r>
            <w:r>
              <w:rPr>
                <w:rFonts w:hint="default" w:ascii="Times New Roman" w:hAnsi="Times New Roman" w:cs="Times New Roman"/>
                <w:smallCaps w:val="0"/>
                <w:color w:val="auto"/>
                <w:spacing w:val="0"/>
                <w:position w:val="0"/>
                <w:sz w:val="24"/>
                <w:highlight w:val="none"/>
              </w:rPr>
              <w:t>处的声压级：</w:t>
            </w:r>
          </w:p>
          <w:p w14:paraId="7D958E3C">
            <w:pPr>
              <w:keepNext w:val="0"/>
              <w:keepLines w:val="0"/>
              <w:suppressLineNumbers w:val="0"/>
              <w:adjustRightInd w:val="0"/>
              <w:snapToGrid w:val="0"/>
              <w:spacing w:before="0" w:beforeAutospacing="0" w:after="0" w:afterAutospacing="0" w:line="360" w:lineRule="auto"/>
              <w:ind w:left="0" w:right="0" w:firstLine="200"/>
              <w:jc w:val="center"/>
              <w:rPr>
                <w:rFonts w:hint="default" w:ascii="Times New Roman" w:hAnsi="Times New Roman" w:cs="Times New Roman"/>
                <w:b/>
                <w:bCs/>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object>
                <v:shape id="_x0000_i1035" o:spt="75" type="#_x0000_t75" style="height:19.2pt;width:131.2pt;" o:ole="t" filled="f" o:preferrelative="t" stroked="f" coordsize="21600,21600">
                  <v:path/>
                  <v:fill on="f" focussize="0,0"/>
                  <v:stroke on="f" joinstyle="miter"/>
                  <v:imagedata r:id="rId30" o:title=""/>
                  <o:lock v:ext="edit" aspectratio="t"/>
                  <w10:wrap type="none"/>
                  <w10:anchorlock/>
                </v:shape>
                <o:OLEObject Type="Embed" ProgID="Equation.DSMT4" ShapeID="_x0000_i1035" DrawAspect="Content" ObjectID="_1468075735" r:id="rId29">
                  <o:LockedField>false</o:LockedField>
                </o:OLEObject>
              </w:object>
            </w:r>
          </w:p>
          <w:p w14:paraId="6AF7698F">
            <w:pPr>
              <w:keepNext w:val="0"/>
              <w:keepLines w:val="0"/>
              <w:suppressLineNumbers w:val="0"/>
              <w:spacing w:before="0" w:beforeAutospacing="0" w:after="0" w:afterAutospacing="0" w:line="360" w:lineRule="auto"/>
              <w:ind w:left="0" w:right="0" w:firstLine="720" w:firstLineChars="30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式中：</w:t>
            </w:r>
            <w:r>
              <w:rPr>
                <w:rFonts w:hint="default" w:ascii="Times New Roman" w:hAnsi="Times New Roman" w:cs="Times New Roman"/>
                <w:i/>
                <w:smallCaps w:val="0"/>
                <w:color w:val="auto"/>
                <w:spacing w:val="0"/>
                <w:position w:val="0"/>
                <w:sz w:val="24"/>
                <w:highlight w:val="none"/>
              </w:rPr>
              <w:t>L</w:t>
            </w:r>
            <w:r>
              <w:rPr>
                <w:rFonts w:hint="default" w:ascii="Times New Roman" w:hAnsi="Times New Roman" w:cs="Times New Roman"/>
                <w:i/>
                <w:smallCaps w:val="0"/>
                <w:color w:val="auto"/>
                <w:spacing w:val="0"/>
                <w:position w:val="0"/>
                <w:sz w:val="24"/>
                <w:highlight w:val="none"/>
                <w:vertAlign w:val="subscript"/>
              </w:rPr>
              <w:t>p</w:t>
            </w:r>
            <w:r>
              <w:rPr>
                <w:rFonts w:hint="default" w:ascii="Times New Roman" w:hAnsi="Times New Roman" w:cs="Times New Roman"/>
                <w:smallCaps w:val="0"/>
                <w:color w:val="auto"/>
                <w:spacing w:val="0"/>
                <w:position w:val="0"/>
                <w:sz w:val="24"/>
                <w:highlight w:val="none"/>
                <w:vertAlign w:val="subscript"/>
              </w:rPr>
              <w:t>2i</w:t>
            </w:r>
            <w:r>
              <w:rPr>
                <w:rFonts w:hint="default" w:ascii="Times New Roman" w:hAnsi="Times New Roman" w:cs="Times New Roman"/>
                <w:smallCaps w:val="0"/>
                <w:color w:val="auto"/>
                <w:spacing w:val="0"/>
                <w:position w:val="0"/>
                <w:sz w:val="24"/>
                <w:highlight w:val="none"/>
              </w:rPr>
              <w:t>(T)—靠近围护结构处室内N个声源的叠加声压级，dB；</w:t>
            </w:r>
          </w:p>
          <w:p w14:paraId="4EC0AE1C">
            <w:pPr>
              <w:keepNext w:val="0"/>
              <w:keepLines w:val="0"/>
              <w:suppressLineNumbers w:val="0"/>
              <w:spacing w:before="0" w:beforeAutospacing="0" w:after="0" w:afterAutospacing="0" w:line="360" w:lineRule="auto"/>
              <w:ind w:left="0" w:right="0" w:firstLine="1440" w:firstLineChars="60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i/>
                <w:smallCaps w:val="0"/>
                <w:color w:val="auto"/>
                <w:spacing w:val="0"/>
                <w:position w:val="0"/>
                <w:sz w:val="24"/>
                <w:highlight w:val="none"/>
              </w:rPr>
              <w:t>TL</w:t>
            </w:r>
            <w:r>
              <w:rPr>
                <w:rFonts w:hint="default" w:ascii="Times New Roman" w:hAnsi="Times New Roman" w:cs="Times New Roman"/>
                <w:smallCaps w:val="0"/>
                <w:color w:val="auto"/>
                <w:spacing w:val="0"/>
                <w:position w:val="0"/>
                <w:sz w:val="24"/>
                <w:highlight w:val="none"/>
              </w:rPr>
              <w:t>—围护结构的隔声量，dB；</w:t>
            </w:r>
          </w:p>
          <w:p w14:paraId="6A71EE3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将室外声源的声压级和透过面积换算成等效的室外声源，计算中心位置位于透声面积处的等效声源的声功率级：</w:t>
            </w:r>
          </w:p>
          <w:p w14:paraId="5371BE89">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cs="Times New Roman"/>
                <w:b/>
                <w:bCs/>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object>
                <v:shape id="_x0000_i1036" o:spt="75" type="#_x0000_t75" style="height:19.2pt;width:106.4pt;" o:ole="t" filled="f" o:preferrelative="t" stroked="f" coordsize="21600,21600">
                  <v:path/>
                  <v:fill on="f" focussize="0,0"/>
                  <v:stroke on="f" joinstyle="miter"/>
                  <v:imagedata r:id="rId32" o:title=""/>
                  <o:lock v:ext="edit" aspectratio="t"/>
                  <w10:wrap type="none"/>
                  <w10:anchorlock/>
                </v:shape>
                <o:OLEObject Type="Embed" ProgID="Equation.3" ShapeID="_x0000_i1036" DrawAspect="Content" ObjectID="_1468075736" r:id="rId31">
                  <o:LockedField>false</o:LockedField>
                </o:OLEObject>
              </w:object>
            </w:r>
          </w:p>
          <w:p w14:paraId="5F42F85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
                <w:bCs/>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式中：</w:t>
            </w:r>
            <w:r>
              <w:rPr>
                <w:rFonts w:hint="default" w:ascii="Times New Roman" w:hAnsi="Times New Roman" w:cs="Times New Roman"/>
                <w:i/>
                <w:smallCaps w:val="0"/>
                <w:color w:val="auto"/>
                <w:spacing w:val="0"/>
                <w:position w:val="0"/>
                <w:sz w:val="24"/>
                <w:highlight w:val="none"/>
              </w:rPr>
              <w:t>S</w:t>
            </w:r>
            <w:r>
              <w:rPr>
                <w:rFonts w:hint="default" w:ascii="Times New Roman" w:hAnsi="Times New Roman" w:cs="Times New Roman"/>
                <w:smallCaps w:val="0"/>
                <w:color w:val="auto"/>
                <w:spacing w:val="0"/>
                <w:position w:val="0"/>
                <w:sz w:val="24"/>
                <w:highlight w:val="none"/>
              </w:rPr>
              <w:t>为透声面积，m</w:t>
            </w:r>
            <w:r>
              <w:rPr>
                <w:rFonts w:hint="default" w:ascii="Times New Roman" w:hAnsi="Times New Roman" w:cs="Times New Roman"/>
                <w:smallCaps w:val="0"/>
                <w:color w:val="auto"/>
                <w:spacing w:val="0"/>
                <w:position w:val="0"/>
                <w:sz w:val="24"/>
                <w:highlight w:val="none"/>
                <w:vertAlign w:val="superscript"/>
              </w:rPr>
              <w:t>2</w:t>
            </w:r>
            <w:r>
              <w:rPr>
                <w:rFonts w:hint="default" w:ascii="Times New Roman" w:hAnsi="Times New Roman" w:cs="Times New Roman"/>
                <w:smallCaps w:val="0"/>
                <w:color w:val="auto"/>
                <w:spacing w:val="0"/>
                <w:position w:val="0"/>
                <w:sz w:val="24"/>
                <w:highlight w:val="none"/>
              </w:rPr>
              <w:t>。</w:t>
            </w:r>
          </w:p>
          <w:p w14:paraId="3D46F649">
            <w:pPr>
              <w:keepNext w:val="0"/>
              <w:keepLines w:val="0"/>
              <w:suppressLineNumbers w:val="0"/>
              <w:spacing w:before="0" w:beforeAutospacing="0" w:after="0" w:afterAutospacing="0" w:line="360" w:lineRule="auto"/>
              <w:ind w:left="0" w:right="0" w:firstLine="48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lang w:val="en-US" w:eastAsia="zh-CN"/>
              </w:rPr>
              <w:t>B.</w:t>
            </w:r>
            <w:r>
              <w:rPr>
                <w:rFonts w:hint="default" w:ascii="Times New Roman" w:hAnsi="Times New Roman" w:cs="Times New Roman"/>
                <w:smallCaps w:val="0"/>
                <w:color w:val="auto"/>
                <w:spacing w:val="0"/>
                <w:position w:val="0"/>
                <w:sz w:val="24"/>
                <w:highlight w:val="none"/>
              </w:rPr>
              <w:t>几何发散引起的衰减</w:t>
            </w:r>
          </w:p>
          <w:p w14:paraId="123F5CFB">
            <w:pPr>
              <w:keepNext w:val="0"/>
              <w:keepLines w:val="0"/>
              <w:suppressLineNumbers w:val="0"/>
              <w:spacing w:before="0" w:beforeAutospacing="0" w:after="0" w:afterAutospacing="0" w:line="360" w:lineRule="auto"/>
              <w:ind w:left="0" w:right="0" w:firstLine="48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无指向性点声源几何发散衰减的基本公式是：</w:t>
            </w:r>
          </w:p>
          <w:p w14:paraId="18D60D6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i/>
                <w:smallCaps w:val="0"/>
                <w:color w:val="auto"/>
                <w:spacing w:val="0"/>
                <w:position w:val="0"/>
                <w:sz w:val="24"/>
                <w:highlight w:val="none"/>
              </w:rPr>
              <w:t>L</w:t>
            </w:r>
            <w:r>
              <w:rPr>
                <w:rFonts w:hint="default" w:ascii="Times New Roman" w:hAnsi="Times New Roman" w:cs="Times New Roman"/>
                <w:i/>
                <w:smallCaps w:val="0"/>
                <w:color w:val="auto"/>
                <w:spacing w:val="0"/>
                <w:position w:val="0"/>
                <w:sz w:val="24"/>
                <w:highlight w:val="none"/>
                <w:vertAlign w:val="subscript"/>
              </w:rPr>
              <w:t>p</w:t>
            </w:r>
            <w:r>
              <w:rPr>
                <w:rFonts w:hint="default" w:ascii="Times New Roman" w:hAnsi="Times New Roman" w:cs="Times New Roman"/>
                <w:smallCaps w:val="0"/>
                <w:color w:val="auto"/>
                <w:spacing w:val="0"/>
                <w:position w:val="0"/>
                <w:sz w:val="24"/>
                <w:highlight w:val="none"/>
              </w:rPr>
              <w:t>（</w:t>
            </w:r>
            <w:r>
              <w:rPr>
                <w:rFonts w:hint="default" w:ascii="Times New Roman" w:hAnsi="Times New Roman" w:cs="Times New Roman"/>
                <w:i/>
                <w:smallCaps w:val="0"/>
                <w:color w:val="auto"/>
                <w:spacing w:val="0"/>
                <w:position w:val="0"/>
                <w:sz w:val="24"/>
                <w:highlight w:val="none"/>
              </w:rPr>
              <w:t>r</w:t>
            </w:r>
            <w:r>
              <w:rPr>
                <w:rFonts w:hint="default" w:ascii="Times New Roman" w:hAnsi="Times New Roman" w:cs="Times New Roman"/>
                <w:smallCaps w:val="0"/>
                <w:color w:val="auto"/>
                <w:spacing w:val="0"/>
                <w:position w:val="0"/>
                <w:sz w:val="24"/>
                <w:highlight w:val="none"/>
              </w:rPr>
              <w:t>）=</w:t>
            </w:r>
            <w:r>
              <w:rPr>
                <w:rFonts w:hint="default" w:ascii="Times New Roman" w:hAnsi="Times New Roman" w:cs="Times New Roman"/>
                <w:i/>
                <w:smallCaps w:val="0"/>
                <w:color w:val="auto"/>
                <w:spacing w:val="0"/>
                <w:position w:val="0"/>
                <w:sz w:val="24"/>
                <w:highlight w:val="none"/>
              </w:rPr>
              <w:t>L</w:t>
            </w:r>
            <w:r>
              <w:rPr>
                <w:rFonts w:hint="default" w:ascii="Times New Roman" w:hAnsi="Times New Roman" w:cs="Times New Roman"/>
                <w:i/>
                <w:smallCaps w:val="0"/>
                <w:color w:val="auto"/>
                <w:spacing w:val="0"/>
                <w:position w:val="0"/>
                <w:sz w:val="24"/>
                <w:highlight w:val="none"/>
                <w:vertAlign w:val="subscript"/>
              </w:rPr>
              <w:t>p</w:t>
            </w:r>
            <w:r>
              <w:rPr>
                <w:rFonts w:hint="default" w:ascii="Times New Roman" w:hAnsi="Times New Roman" w:cs="Times New Roman"/>
                <w:smallCaps w:val="0"/>
                <w:color w:val="auto"/>
                <w:spacing w:val="0"/>
                <w:position w:val="0"/>
                <w:sz w:val="24"/>
                <w:highlight w:val="none"/>
              </w:rPr>
              <w:t>（</w:t>
            </w:r>
            <w:r>
              <w:rPr>
                <w:rFonts w:hint="default" w:ascii="Times New Roman" w:hAnsi="Times New Roman" w:cs="Times New Roman"/>
                <w:i/>
                <w:smallCaps w:val="0"/>
                <w:color w:val="auto"/>
                <w:spacing w:val="0"/>
                <w:position w:val="0"/>
                <w:sz w:val="24"/>
                <w:highlight w:val="none"/>
              </w:rPr>
              <w:t>r</w:t>
            </w:r>
            <w:r>
              <w:rPr>
                <w:rFonts w:hint="default" w:ascii="Times New Roman" w:hAnsi="Times New Roman" w:cs="Times New Roman"/>
                <w:smallCaps w:val="0"/>
                <w:color w:val="auto"/>
                <w:spacing w:val="0"/>
                <w:position w:val="0"/>
                <w:sz w:val="24"/>
                <w:highlight w:val="none"/>
                <w:vertAlign w:val="subscript"/>
              </w:rPr>
              <w:t>0</w:t>
            </w:r>
            <w:r>
              <w:rPr>
                <w:rFonts w:hint="default" w:ascii="Times New Roman" w:hAnsi="Times New Roman" w:cs="Times New Roman"/>
                <w:smallCaps w:val="0"/>
                <w:color w:val="auto"/>
                <w:spacing w:val="0"/>
                <w:position w:val="0"/>
                <w:sz w:val="24"/>
                <w:highlight w:val="none"/>
              </w:rPr>
              <w:t>）-20lg（</w:t>
            </w:r>
            <w:r>
              <w:rPr>
                <w:rFonts w:hint="default" w:ascii="Times New Roman" w:hAnsi="Times New Roman" w:cs="Times New Roman"/>
                <w:i/>
                <w:smallCaps w:val="0"/>
                <w:color w:val="auto"/>
                <w:spacing w:val="0"/>
                <w:position w:val="0"/>
                <w:sz w:val="24"/>
                <w:highlight w:val="none"/>
              </w:rPr>
              <w:t>r</w:t>
            </w:r>
            <w:r>
              <w:rPr>
                <w:rFonts w:hint="default" w:ascii="Times New Roman" w:hAnsi="Times New Roman" w:cs="Times New Roman"/>
                <w:smallCaps w:val="0"/>
                <w:color w:val="auto"/>
                <w:spacing w:val="0"/>
                <w:position w:val="0"/>
                <w:sz w:val="24"/>
                <w:highlight w:val="none"/>
              </w:rPr>
              <w:t>/</w:t>
            </w:r>
            <w:r>
              <w:rPr>
                <w:rFonts w:hint="default" w:ascii="Times New Roman" w:hAnsi="Times New Roman" w:cs="Times New Roman"/>
                <w:i/>
                <w:smallCaps w:val="0"/>
                <w:color w:val="auto"/>
                <w:spacing w:val="0"/>
                <w:position w:val="0"/>
                <w:sz w:val="24"/>
                <w:highlight w:val="none"/>
              </w:rPr>
              <w:t>r</w:t>
            </w:r>
            <w:r>
              <w:rPr>
                <w:rFonts w:hint="default" w:ascii="Times New Roman" w:hAnsi="Times New Roman" w:cs="Times New Roman"/>
                <w:smallCaps w:val="0"/>
                <w:color w:val="auto"/>
                <w:spacing w:val="0"/>
                <w:position w:val="0"/>
                <w:sz w:val="24"/>
                <w:highlight w:val="none"/>
                <w:vertAlign w:val="subscript"/>
              </w:rPr>
              <w:t>0</w:t>
            </w:r>
            <w:r>
              <w:rPr>
                <w:rFonts w:hint="default" w:ascii="Times New Roman" w:hAnsi="Times New Roman" w:cs="Times New Roman"/>
                <w:smallCaps w:val="0"/>
                <w:color w:val="auto"/>
                <w:spacing w:val="0"/>
                <w:position w:val="0"/>
                <w:sz w:val="24"/>
                <w:highlight w:val="none"/>
              </w:rPr>
              <w:t>）</w:t>
            </w:r>
          </w:p>
          <w:p w14:paraId="22D26A18">
            <w:pPr>
              <w:keepNext w:val="0"/>
              <w:keepLines w:val="0"/>
              <w:suppressLineNumbers w:val="0"/>
              <w:spacing w:before="0" w:beforeAutospacing="0" w:after="0" w:afterAutospacing="0" w:line="360" w:lineRule="auto"/>
              <w:ind w:left="0" w:right="0" w:firstLine="48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式中：</w:t>
            </w:r>
            <w:r>
              <w:rPr>
                <w:rFonts w:hint="default" w:ascii="Times New Roman" w:hAnsi="Times New Roman" w:cs="Times New Roman"/>
                <w:i/>
                <w:iCs/>
                <w:smallCaps w:val="0"/>
                <w:color w:val="auto"/>
                <w:spacing w:val="0"/>
                <w:position w:val="0"/>
                <w:sz w:val="24"/>
                <w:highlight w:val="none"/>
              </w:rPr>
              <w:t>L</w:t>
            </w:r>
            <w:r>
              <w:rPr>
                <w:rFonts w:hint="default" w:ascii="Times New Roman" w:hAnsi="Times New Roman" w:cs="Times New Roman"/>
                <w:i/>
                <w:iCs/>
                <w:smallCaps w:val="0"/>
                <w:color w:val="auto"/>
                <w:spacing w:val="0"/>
                <w:position w:val="0"/>
                <w:sz w:val="24"/>
                <w:highlight w:val="none"/>
                <w:vertAlign w:val="subscript"/>
              </w:rPr>
              <w:t>p</w:t>
            </w:r>
            <w:r>
              <w:rPr>
                <w:rFonts w:hint="default" w:ascii="Times New Roman" w:hAnsi="Times New Roman" w:cs="Times New Roman"/>
                <w:smallCaps w:val="0"/>
                <w:color w:val="auto"/>
                <w:spacing w:val="0"/>
                <w:position w:val="0"/>
                <w:sz w:val="24"/>
                <w:highlight w:val="none"/>
              </w:rPr>
              <w:t>(</w:t>
            </w:r>
            <w:r>
              <w:rPr>
                <w:rFonts w:hint="default" w:ascii="Times New Roman" w:hAnsi="Times New Roman" w:cs="Times New Roman"/>
                <w:i/>
                <w:iCs/>
                <w:smallCaps w:val="0"/>
                <w:color w:val="auto"/>
                <w:spacing w:val="0"/>
                <w:position w:val="0"/>
                <w:sz w:val="24"/>
                <w:highlight w:val="none"/>
              </w:rPr>
              <w:t>r</w:t>
            </w:r>
            <w:r>
              <w:rPr>
                <w:rFonts w:hint="default" w:ascii="Times New Roman" w:hAnsi="Times New Roman" w:cs="Times New Roman"/>
                <w:smallCaps w:val="0"/>
                <w:color w:val="auto"/>
                <w:spacing w:val="0"/>
                <w:position w:val="0"/>
                <w:sz w:val="24"/>
                <w:highlight w:val="none"/>
              </w:rPr>
              <w:t xml:space="preserve">)——预测点处声压级，dB； </w:t>
            </w:r>
          </w:p>
          <w:p w14:paraId="417D4F14">
            <w:pPr>
              <w:keepNext w:val="0"/>
              <w:keepLines w:val="0"/>
              <w:suppressLineNumbers w:val="0"/>
              <w:spacing w:before="0" w:beforeAutospacing="0" w:after="0" w:afterAutospacing="0" w:line="360" w:lineRule="auto"/>
              <w:ind w:left="0" w:right="0" w:firstLine="1264" w:firstLineChars="527"/>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i/>
                <w:iCs/>
                <w:smallCaps w:val="0"/>
                <w:color w:val="auto"/>
                <w:spacing w:val="0"/>
                <w:position w:val="0"/>
                <w:sz w:val="24"/>
                <w:highlight w:val="none"/>
              </w:rPr>
              <w:t>L</w:t>
            </w:r>
            <w:r>
              <w:rPr>
                <w:rFonts w:hint="default" w:ascii="Times New Roman" w:hAnsi="Times New Roman" w:cs="Times New Roman"/>
                <w:i/>
                <w:iCs/>
                <w:smallCaps w:val="0"/>
                <w:color w:val="auto"/>
                <w:spacing w:val="0"/>
                <w:position w:val="0"/>
                <w:sz w:val="24"/>
                <w:highlight w:val="none"/>
                <w:vertAlign w:val="subscript"/>
              </w:rPr>
              <w:t>p</w:t>
            </w:r>
            <w:r>
              <w:rPr>
                <w:rFonts w:hint="default" w:ascii="Times New Roman" w:hAnsi="Times New Roman" w:cs="Times New Roman"/>
                <w:smallCaps w:val="0"/>
                <w:color w:val="auto"/>
                <w:spacing w:val="0"/>
                <w:position w:val="0"/>
                <w:sz w:val="24"/>
                <w:highlight w:val="none"/>
              </w:rPr>
              <w:t>(</w:t>
            </w:r>
            <w:r>
              <w:rPr>
                <w:rFonts w:hint="default" w:ascii="Times New Roman" w:hAnsi="Times New Roman" w:cs="Times New Roman"/>
                <w:i/>
                <w:iCs/>
                <w:smallCaps w:val="0"/>
                <w:color w:val="auto"/>
                <w:spacing w:val="0"/>
                <w:position w:val="0"/>
                <w:sz w:val="24"/>
                <w:highlight w:val="none"/>
              </w:rPr>
              <w:t>r</w:t>
            </w:r>
            <w:r>
              <w:rPr>
                <w:rFonts w:hint="default" w:ascii="Times New Roman" w:hAnsi="Times New Roman" w:cs="Times New Roman"/>
                <w:smallCaps w:val="0"/>
                <w:color w:val="auto"/>
                <w:spacing w:val="0"/>
                <w:position w:val="0"/>
                <w:sz w:val="24"/>
                <w:highlight w:val="none"/>
                <w:vertAlign w:val="subscript"/>
              </w:rPr>
              <w:t>0</w:t>
            </w:r>
            <w:r>
              <w:rPr>
                <w:rFonts w:hint="default" w:ascii="Times New Roman" w:hAnsi="Times New Roman" w:cs="Times New Roman"/>
                <w:smallCaps w:val="0"/>
                <w:color w:val="auto"/>
                <w:spacing w:val="0"/>
                <w:position w:val="0"/>
                <w:sz w:val="24"/>
                <w:highlight w:val="none"/>
              </w:rPr>
              <w:t>)——参考位置</w:t>
            </w:r>
            <w:r>
              <w:rPr>
                <w:rFonts w:hint="default" w:ascii="Times New Roman" w:hAnsi="Times New Roman" w:cs="Times New Roman"/>
                <w:i/>
                <w:iCs/>
                <w:smallCaps w:val="0"/>
                <w:color w:val="auto"/>
                <w:spacing w:val="0"/>
                <w:position w:val="0"/>
                <w:sz w:val="24"/>
                <w:highlight w:val="none"/>
              </w:rPr>
              <w:t>r</w:t>
            </w:r>
            <w:r>
              <w:rPr>
                <w:rFonts w:hint="default" w:ascii="Times New Roman" w:hAnsi="Times New Roman" w:cs="Times New Roman"/>
                <w:smallCaps w:val="0"/>
                <w:color w:val="auto"/>
                <w:spacing w:val="0"/>
                <w:position w:val="0"/>
                <w:sz w:val="24"/>
                <w:highlight w:val="none"/>
              </w:rPr>
              <w:t>0处的声压级，dB；</w:t>
            </w:r>
          </w:p>
          <w:p w14:paraId="5F3C306B">
            <w:pPr>
              <w:keepNext w:val="0"/>
              <w:keepLines w:val="0"/>
              <w:suppressLineNumbers w:val="0"/>
              <w:spacing w:before="0" w:beforeAutospacing="0" w:after="0" w:afterAutospacing="0" w:line="360" w:lineRule="auto"/>
              <w:ind w:left="0" w:right="0" w:firstLine="1264" w:firstLineChars="527"/>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i/>
                <w:iCs/>
                <w:smallCaps w:val="0"/>
                <w:color w:val="auto"/>
                <w:spacing w:val="0"/>
                <w:position w:val="0"/>
                <w:sz w:val="24"/>
                <w:highlight w:val="none"/>
              </w:rPr>
              <w:t>r</w:t>
            </w:r>
            <w:r>
              <w:rPr>
                <w:rFonts w:hint="default" w:ascii="Times New Roman" w:hAnsi="Times New Roman" w:cs="Times New Roman"/>
                <w:smallCaps w:val="0"/>
                <w:color w:val="auto"/>
                <w:spacing w:val="0"/>
                <w:position w:val="0"/>
                <w:sz w:val="24"/>
                <w:highlight w:val="none"/>
              </w:rPr>
              <w:t>——预测点距声源的距离；</w:t>
            </w:r>
          </w:p>
          <w:p w14:paraId="490D5416">
            <w:pPr>
              <w:keepNext w:val="0"/>
              <w:keepLines w:val="0"/>
              <w:suppressLineNumbers w:val="0"/>
              <w:spacing w:before="0" w:beforeAutospacing="0" w:after="0" w:afterAutospacing="0" w:line="360" w:lineRule="auto"/>
              <w:ind w:left="0" w:right="0" w:firstLine="1264" w:firstLineChars="527"/>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i/>
                <w:iCs/>
                <w:smallCaps w:val="0"/>
                <w:color w:val="auto"/>
                <w:spacing w:val="0"/>
                <w:position w:val="0"/>
                <w:sz w:val="24"/>
                <w:highlight w:val="none"/>
              </w:rPr>
              <w:t>r</w:t>
            </w:r>
            <w:r>
              <w:rPr>
                <w:rFonts w:hint="default" w:ascii="Times New Roman" w:hAnsi="Times New Roman" w:cs="Times New Roman"/>
                <w:smallCaps w:val="0"/>
                <w:color w:val="auto"/>
                <w:spacing w:val="0"/>
                <w:position w:val="0"/>
                <w:sz w:val="24"/>
                <w:highlight w:val="none"/>
                <w:vertAlign w:val="subscript"/>
              </w:rPr>
              <w:t>0</w:t>
            </w:r>
            <w:r>
              <w:rPr>
                <w:rFonts w:hint="default" w:ascii="Times New Roman" w:hAnsi="Times New Roman" w:cs="Times New Roman"/>
                <w:smallCaps w:val="0"/>
                <w:color w:val="auto"/>
                <w:spacing w:val="0"/>
                <w:position w:val="0"/>
                <w:sz w:val="24"/>
                <w:highlight w:val="none"/>
              </w:rPr>
              <w:t>——参考位置距声源的距离。</w:t>
            </w:r>
          </w:p>
          <w:p w14:paraId="5CC72C97">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Cs/>
                <w:smallCaps w:val="0"/>
                <w:color w:val="auto"/>
                <w:spacing w:val="0"/>
                <w:position w:val="0"/>
                <w:sz w:val="24"/>
                <w:szCs w:val="24"/>
                <w:highlight w:val="none"/>
              </w:rPr>
            </w:pPr>
            <w:r>
              <w:rPr>
                <w:rFonts w:hint="default" w:ascii="Times New Roman" w:hAnsi="Times New Roman" w:eastAsia="宋体" w:cs="Times New Roman"/>
                <w:smallCaps w:val="0"/>
                <w:color w:val="auto"/>
                <w:spacing w:val="0"/>
                <w:position w:val="0"/>
                <w:sz w:val="24"/>
                <w:szCs w:val="24"/>
                <w:highlight w:val="none"/>
                <w:lang w:val="en-US" w:eastAsia="zh-CN"/>
              </w:rPr>
              <w:t>C.</w:t>
            </w:r>
            <w:r>
              <w:rPr>
                <w:rFonts w:hint="default" w:ascii="Times New Roman" w:hAnsi="Times New Roman" w:eastAsia="宋体" w:cs="Times New Roman"/>
                <w:smallCaps w:val="0"/>
                <w:color w:val="auto"/>
                <w:spacing w:val="0"/>
                <w:position w:val="0"/>
                <w:sz w:val="24"/>
                <w:szCs w:val="24"/>
                <w:highlight w:val="none"/>
              </w:rPr>
              <w:t>总声压级</w:t>
            </w:r>
          </w:p>
          <w:p w14:paraId="3758021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
                <w:bCs/>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设第i个室外声源在预测点产生的A声级为L</w:t>
            </w:r>
            <w:r>
              <w:rPr>
                <w:rFonts w:hint="default" w:ascii="Times New Roman" w:hAnsi="Times New Roman" w:cs="Times New Roman"/>
                <w:smallCaps w:val="0"/>
                <w:color w:val="auto"/>
                <w:spacing w:val="0"/>
                <w:position w:val="0"/>
                <w:sz w:val="24"/>
                <w:highlight w:val="none"/>
                <w:vertAlign w:val="subscript"/>
              </w:rPr>
              <w:t>Ai</w:t>
            </w:r>
            <w:r>
              <w:rPr>
                <w:rFonts w:hint="default" w:ascii="Times New Roman" w:hAnsi="Times New Roman" w:cs="Times New Roman"/>
                <w:smallCaps w:val="0"/>
                <w:color w:val="auto"/>
                <w:spacing w:val="0"/>
                <w:position w:val="0"/>
                <w:sz w:val="24"/>
                <w:highlight w:val="none"/>
              </w:rPr>
              <w:t>，在T时间内该声源工作时间为t</w:t>
            </w:r>
            <w:r>
              <w:rPr>
                <w:rFonts w:hint="default" w:ascii="Times New Roman" w:hAnsi="Times New Roman" w:cs="Times New Roman"/>
                <w:smallCaps w:val="0"/>
                <w:color w:val="auto"/>
                <w:spacing w:val="0"/>
                <w:position w:val="0"/>
                <w:sz w:val="24"/>
                <w:highlight w:val="none"/>
                <w:vertAlign w:val="subscript"/>
              </w:rPr>
              <w:t>i</w:t>
            </w:r>
            <w:r>
              <w:rPr>
                <w:rFonts w:hint="default" w:ascii="Times New Roman" w:hAnsi="Times New Roman" w:cs="Times New Roman"/>
                <w:smallCaps w:val="0"/>
                <w:color w:val="auto"/>
                <w:spacing w:val="0"/>
                <w:position w:val="0"/>
                <w:sz w:val="24"/>
                <w:highlight w:val="none"/>
              </w:rPr>
              <w:t>；第j个等效室外声源在预测点产生的A声级为L</w:t>
            </w:r>
            <w:r>
              <w:rPr>
                <w:rFonts w:hint="default" w:ascii="Times New Roman" w:hAnsi="Times New Roman" w:cs="Times New Roman"/>
                <w:smallCaps w:val="0"/>
                <w:color w:val="auto"/>
                <w:spacing w:val="0"/>
                <w:position w:val="0"/>
                <w:sz w:val="24"/>
                <w:highlight w:val="none"/>
                <w:vertAlign w:val="subscript"/>
              </w:rPr>
              <w:t>Aj</w:t>
            </w:r>
            <w:r>
              <w:rPr>
                <w:rFonts w:hint="default" w:ascii="Times New Roman" w:hAnsi="Times New Roman" w:cs="Times New Roman"/>
                <w:smallCaps w:val="0"/>
                <w:color w:val="auto"/>
                <w:spacing w:val="0"/>
                <w:position w:val="0"/>
                <w:sz w:val="24"/>
                <w:highlight w:val="none"/>
              </w:rPr>
              <w:t>，在T时间内该声源工作时间为t</w:t>
            </w:r>
            <w:r>
              <w:rPr>
                <w:rFonts w:hint="default" w:ascii="Times New Roman" w:hAnsi="Times New Roman" w:cs="Times New Roman"/>
                <w:smallCaps w:val="0"/>
                <w:color w:val="auto"/>
                <w:spacing w:val="0"/>
                <w:position w:val="0"/>
                <w:sz w:val="24"/>
                <w:highlight w:val="none"/>
                <w:vertAlign w:val="subscript"/>
              </w:rPr>
              <w:t>j</w:t>
            </w:r>
            <w:r>
              <w:rPr>
                <w:rFonts w:hint="default" w:ascii="Times New Roman" w:hAnsi="Times New Roman" w:cs="Times New Roman"/>
                <w:smallCaps w:val="0"/>
                <w:color w:val="auto"/>
                <w:spacing w:val="0"/>
                <w:position w:val="0"/>
                <w:sz w:val="24"/>
                <w:highlight w:val="none"/>
              </w:rPr>
              <w:t>，则拟建项目声源对预测点产生的贡献值</w:t>
            </w:r>
            <w:r>
              <w:rPr>
                <w:rFonts w:hint="default" w:ascii="Times New Roman" w:hAnsi="Times New Roman" w:cs="Times New Roman"/>
                <w:smallCaps w:val="0"/>
                <w:color w:val="auto"/>
                <w:spacing w:val="0"/>
                <w:position w:val="0"/>
                <w:sz w:val="24"/>
                <w:highlight w:val="none"/>
                <w:lang w:eastAsia="zh-CN"/>
              </w:rPr>
              <w:t>（</w:t>
            </w:r>
            <w:r>
              <w:rPr>
                <w:rFonts w:hint="default" w:ascii="Times New Roman" w:hAnsi="Times New Roman" w:cs="Times New Roman"/>
                <w:smallCaps w:val="0"/>
                <w:color w:val="auto"/>
                <w:spacing w:val="0"/>
                <w:position w:val="0"/>
                <w:sz w:val="24"/>
                <w:highlight w:val="none"/>
              </w:rPr>
              <w:t>Leqg</w:t>
            </w:r>
            <w:r>
              <w:rPr>
                <w:rFonts w:hint="default" w:ascii="Times New Roman" w:hAnsi="Times New Roman" w:cs="Times New Roman"/>
                <w:smallCaps w:val="0"/>
                <w:color w:val="auto"/>
                <w:spacing w:val="0"/>
                <w:position w:val="0"/>
                <w:sz w:val="24"/>
                <w:highlight w:val="none"/>
                <w:lang w:eastAsia="zh-CN"/>
              </w:rPr>
              <w:t>）</w:t>
            </w:r>
            <w:r>
              <w:rPr>
                <w:rFonts w:hint="default" w:ascii="Times New Roman" w:hAnsi="Times New Roman" w:cs="Times New Roman"/>
                <w:smallCaps w:val="0"/>
                <w:color w:val="auto"/>
                <w:spacing w:val="0"/>
                <w:position w:val="0"/>
                <w:sz w:val="24"/>
                <w:highlight w:val="none"/>
              </w:rPr>
              <w:t>为：</w:t>
            </w:r>
          </w:p>
          <w:p w14:paraId="170407D5">
            <w:pPr>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position w:val="0"/>
                <w:highlight w:val="none"/>
              </w:rPr>
            </w:pPr>
            <w:r>
              <w:rPr>
                <w:rFonts w:hint="default" w:ascii="Times New Roman" w:hAnsi="Times New Roman" w:cs="Times New Roman"/>
                <w:smallCaps w:val="0"/>
                <w:color w:val="auto"/>
                <w:spacing w:val="0"/>
                <w:position w:val="0"/>
                <w:highlight w:val="none"/>
              </w:rPr>
              <w:drawing>
                <wp:inline distT="0" distB="0" distL="114300" distR="114300">
                  <wp:extent cx="2896870" cy="545465"/>
                  <wp:effectExtent l="0" t="0" r="17780" b="6985"/>
                  <wp:docPr id="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3"/>
                          <pic:cNvPicPr>
                            <a:picLocks noChangeAspect="1"/>
                          </pic:cNvPicPr>
                        </pic:nvPicPr>
                        <pic:blipFill>
                          <a:blip r:embed="rId33"/>
                          <a:stretch>
                            <a:fillRect/>
                          </a:stretch>
                        </pic:blipFill>
                        <pic:spPr>
                          <a:xfrm>
                            <a:off x="0" y="0"/>
                            <a:ext cx="2896870" cy="545465"/>
                          </a:xfrm>
                          <a:prstGeom prst="rect">
                            <a:avLst/>
                          </a:prstGeom>
                          <a:noFill/>
                          <a:ln>
                            <a:noFill/>
                          </a:ln>
                        </pic:spPr>
                      </pic:pic>
                    </a:graphicData>
                  </a:graphic>
                </wp:inline>
              </w:drawing>
            </w:r>
          </w:p>
          <w:p w14:paraId="4321E0F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式中：Leqg—为建设项目声源在预测点产生的噪声贡献值，dB；</w:t>
            </w:r>
          </w:p>
          <w:p w14:paraId="1A058DE3">
            <w:pPr>
              <w:keepNext w:val="0"/>
              <w:keepLines w:val="0"/>
              <w:suppressLineNumbers w:val="0"/>
              <w:spacing w:before="0" w:beforeAutospacing="0" w:after="0" w:afterAutospacing="0" w:line="360" w:lineRule="auto"/>
              <w:ind w:left="0" w:right="0" w:firstLine="1200" w:firstLineChars="500"/>
              <w:jc w:val="left"/>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i/>
                <w:smallCaps w:val="0"/>
                <w:color w:val="auto"/>
                <w:spacing w:val="0"/>
                <w:position w:val="0"/>
                <w:sz w:val="24"/>
                <w:highlight w:val="none"/>
              </w:rPr>
              <w:t>T</w:t>
            </w:r>
            <w:r>
              <w:rPr>
                <w:rFonts w:hint="default" w:ascii="Times New Roman" w:hAnsi="Times New Roman" w:cs="Times New Roman"/>
                <w:smallCaps w:val="0"/>
                <w:color w:val="auto"/>
                <w:spacing w:val="0"/>
                <w:position w:val="0"/>
                <w:sz w:val="24"/>
                <w:highlight w:val="none"/>
              </w:rPr>
              <w:t>—用于计算等效声级的时间，s；</w:t>
            </w:r>
          </w:p>
          <w:p w14:paraId="74017EAA">
            <w:pPr>
              <w:keepNext w:val="0"/>
              <w:keepLines w:val="0"/>
              <w:suppressLineNumbers w:val="0"/>
              <w:spacing w:before="0" w:beforeAutospacing="0" w:after="0" w:afterAutospacing="0" w:line="360" w:lineRule="auto"/>
              <w:ind w:left="0" w:right="0" w:firstLine="1200" w:firstLineChars="500"/>
              <w:jc w:val="left"/>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i/>
                <w:smallCaps w:val="0"/>
                <w:color w:val="auto"/>
                <w:spacing w:val="0"/>
                <w:position w:val="0"/>
                <w:sz w:val="24"/>
                <w:highlight w:val="none"/>
              </w:rPr>
              <w:t>M</w:t>
            </w:r>
            <w:r>
              <w:rPr>
                <w:rFonts w:hint="default" w:ascii="Times New Roman" w:hAnsi="Times New Roman" w:cs="Times New Roman"/>
                <w:smallCaps w:val="0"/>
                <w:color w:val="auto"/>
                <w:spacing w:val="0"/>
                <w:position w:val="0"/>
                <w:sz w:val="24"/>
                <w:highlight w:val="none"/>
              </w:rPr>
              <w:t>—等效室外声源个数；</w:t>
            </w:r>
            <w:r>
              <w:rPr>
                <w:rFonts w:hint="default" w:ascii="Times New Roman" w:hAnsi="Times New Roman" w:cs="Times New Roman"/>
                <w:i/>
                <w:smallCaps w:val="0"/>
                <w:color w:val="auto"/>
                <w:spacing w:val="0"/>
                <w:position w:val="0"/>
                <w:sz w:val="24"/>
                <w:highlight w:val="none"/>
              </w:rPr>
              <w:t>N</w:t>
            </w:r>
            <w:r>
              <w:rPr>
                <w:rFonts w:hint="default" w:ascii="Times New Roman" w:hAnsi="Times New Roman" w:cs="Times New Roman"/>
                <w:smallCaps w:val="0"/>
                <w:color w:val="auto"/>
                <w:spacing w:val="0"/>
                <w:position w:val="0"/>
                <w:sz w:val="24"/>
                <w:highlight w:val="none"/>
              </w:rPr>
              <w:t>—室外声源个数；</w:t>
            </w:r>
          </w:p>
          <w:p w14:paraId="3F6E2927">
            <w:pPr>
              <w:keepNext w:val="0"/>
              <w:keepLines w:val="0"/>
              <w:suppressLineNumbers w:val="0"/>
              <w:spacing w:before="0" w:beforeAutospacing="0" w:after="0" w:afterAutospacing="0" w:line="360" w:lineRule="auto"/>
              <w:ind w:left="0" w:right="0" w:firstLine="1200" w:firstLineChars="500"/>
              <w:jc w:val="left"/>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t</w:t>
            </w:r>
            <w:r>
              <w:rPr>
                <w:rFonts w:hint="default" w:ascii="Times New Roman" w:hAnsi="Times New Roman" w:cs="Times New Roman"/>
                <w:smallCaps w:val="0"/>
                <w:color w:val="auto"/>
                <w:spacing w:val="0"/>
                <w:position w:val="0"/>
                <w:sz w:val="24"/>
                <w:highlight w:val="none"/>
                <w:vertAlign w:val="subscript"/>
              </w:rPr>
              <w:t>i</w:t>
            </w:r>
            <w:r>
              <w:rPr>
                <w:rFonts w:hint="default" w:ascii="Times New Roman" w:hAnsi="Times New Roman" w:cs="Times New Roman"/>
                <w:smallCaps w:val="0"/>
                <w:color w:val="auto"/>
                <w:spacing w:val="0"/>
                <w:position w:val="0"/>
                <w:sz w:val="24"/>
                <w:highlight w:val="none"/>
              </w:rPr>
              <w:t>—在T时间内</w:t>
            </w:r>
            <w:r>
              <w:rPr>
                <w:rFonts w:hint="default" w:ascii="Times New Roman" w:hAnsi="Times New Roman" w:cs="Times New Roman"/>
                <w:i/>
                <w:smallCaps w:val="0"/>
                <w:color w:val="auto"/>
                <w:spacing w:val="0"/>
                <w:position w:val="0"/>
                <w:sz w:val="24"/>
                <w:highlight w:val="none"/>
              </w:rPr>
              <w:t>i</w:t>
            </w:r>
            <w:r>
              <w:rPr>
                <w:rFonts w:hint="default" w:ascii="Times New Roman" w:hAnsi="Times New Roman" w:cs="Times New Roman"/>
                <w:smallCaps w:val="0"/>
                <w:color w:val="auto"/>
                <w:spacing w:val="0"/>
                <w:position w:val="0"/>
                <w:sz w:val="24"/>
                <w:highlight w:val="none"/>
              </w:rPr>
              <w:t>声源的工作时间，s；</w:t>
            </w:r>
          </w:p>
          <w:p w14:paraId="58D9E88F">
            <w:pPr>
              <w:keepNext w:val="0"/>
              <w:keepLines w:val="0"/>
              <w:suppressLineNumbers w:val="0"/>
              <w:spacing w:before="0" w:beforeAutospacing="0" w:after="0" w:afterAutospacing="0" w:line="360" w:lineRule="auto"/>
              <w:ind w:left="0" w:right="0" w:firstLine="1200" w:firstLineChars="500"/>
              <w:jc w:val="left"/>
              <w:rPr>
                <w:rFonts w:hint="default" w:ascii="Times New Roman" w:hAnsi="Times New Roman" w:cs="Times New Roman"/>
                <w:smallCaps w:val="0"/>
                <w:color w:val="auto"/>
                <w:spacing w:val="0"/>
                <w:position w:val="0"/>
                <w:sz w:val="24"/>
                <w:highlight w:val="none"/>
              </w:rPr>
            </w:pPr>
            <w:r>
              <w:rPr>
                <w:rFonts w:hint="default" w:ascii="Times New Roman" w:hAnsi="Times New Roman" w:cs="Times New Roman"/>
                <w:smallCaps w:val="0"/>
                <w:color w:val="auto"/>
                <w:spacing w:val="0"/>
                <w:position w:val="0"/>
                <w:sz w:val="24"/>
                <w:highlight w:val="none"/>
              </w:rPr>
              <w:t>t</w:t>
            </w:r>
            <w:r>
              <w:rPr>
                <w:rFonts w:hint="default" w:ascii="Times New Roman" w:hAnsi="Times New Roman" w:cs="Times New Roman"/>
                <w:smallCaps w:val="0"/>
                <w:color w:val="auto"/>
                <w:spacing w:val="0"/>
                <w:position w:val="0"/>
                <w:sz w:val="24"/>
                <w:highlight w:val="none"/>
                <w:vertAlign w:val="subscript"/>
              </w:rPr>
              <w:t>j</w:t>
            </w:r>
            <w:r>
              <w:rPr>
                <w:rFonts w:hint="default" w:ascii="Times New Roman" w:hAnsi="Times New Roman" w:cs="Times New Roman"/>
                <w:smallCaps w:val="0"/>
                <w:color w:val="auto"/>
                <w:spacing w:val="0"/>
                <w:position w:val="0"/>
                <w:sz w:val="24"/>
                <w:highlight w:val="none"/>
              </w:rPr>
              <w:t>—在T时间内</w:t>
            </w:r>
            <w:r>
              <w:rPr>
                <w:rFonts w:hint="default" w:ascii="Times New Roman" w:hAnsi="Times New Roman" w:cs="Times New Roman"/>
                <w:i/>
                <w:smallCaps w:val="0"/>
                <w:color w:val="auto"/>
                <w:spacing w:val="0"/>
                <w:position w:val="0"/>
                <w:sz w:val="24"/>
                <w:highlight w:val="none"/>
              </w:rPr>
              <w:t>j</w:t>
            </w:r>
            <w:r>
              <w:rPr>
                <w:rFonts w:hint="default" w:ascii="Times New Roman" w:hAnsi="Times New Roman" w:cs="Times New Roman"/>
                <w:smallCaps w:val="0"/>
                <w:color w:val="auto"/>
                <w:spacing w:val="0"/>
                <w:position w:val="0"/>
                <w:sz w:val="24"/>
                <w:highlight w:val="none"/>
              </w:rPr>
              <w:t>声源的工作时间，s。</w:t>
            </w:r>
          </w:p>
          <w:p w14:paraId="095969E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b w:val="0"/>
                <w:bCs w:val="0"/>
                <w:smallCaps w:val="0"/>
                <w:color w:val="auto"/>
                <w:spacing w:val="0"/>
                <w:position w:val="0"/>
                <w:sz w:val="24"/>
                <w:highlight w:val="none"/>
                <w:lang w:val="en-US" w:eastAsia="en-US"/>
              </w:rPr>
            </w:pPr>
            <w:r>
              <w:rPr>
                <w:rFonts w:hint="default" w:ascii="Times New Roman" w:hAnsi="Times New Roman" w:eastAsia="宋体" w:cs="Times New Roman"/>
                <w:b w:val="0"/>
                <w:bCs w:val="0"/>
                <w:smallCaps w:val="0"/>
                <w:color w:val="auto"/>
                <w:spacing w:val="0"/>
                <w:position w:val="0"/>
                <w:sz w:val="24"/>
                <w:highlight w:val="none"/>
                <w:lang w:val="en-US" w:eastAsia="zh-CN"/>
              </w:rPr>
              <w:t>（2）</w:t>
            </w:r>
            <w:r>
              <w:rPr>
                <w:rFonts w:hint="default" w:ascii="Times New Roman" w:hAnsi="Times New Roman" w:eastAsia="宋体" w:cs="Times New Roman"/>
                <w:b w:val="0"/>
                <w:bCs w:val="0"/>
                <w:smallCaps w:val="0"/>
                <w:color w:val="auto"/>
                <w:spacing w:val="0"/>
                <w:position w:val="0"/>
                <w:sz w:val="24"/>
                <w:highlight w:val="none"/>
                <w:lang w:val="en-US" w:eastAsia="en-US"/>
              </w:rPr>
              <w:t>声影响预测分析</w:t>
            </w:r>
          </w:p>
          <w:p w14:paraId="0150E305">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smallCaps w:val="0"/>
                <w:color w:val="auto"/>
                <w:spacing w:val="0"/>
                <w:position w:val="0"/>
                <w:sz w:val="24"/>
                <w:highlight w:val="none"/>
                <w:lang w:val="en-US" w:eastAsia="en-US"/>
              </w:rPr>
            </w:pPr>
            <w:r>
              <w:rPr>
                <w:rFonts w:hint="default" w:ascii="Times New Roman" w:hAnsi="Times New Roman" w:eastAsia="宋体" w:cs="Times New Roman"/>
                <w:smallCaps w:val="0"/>
                <w:color w:val="auto"/>
                <w:spacing w:val="0"/>
                <w:position w:val="0"/>
                <w:sz w:val="24"/>
                <w:highlight w:val="none"/>
                <w:lang w:val="en-US" w:eastAsia="zh-CN"/>
              </w:rPr>
              <w:t>本项目以所在厂房为厂界</w:t>
            </w:r>
            <w:r>
              <w:rPr>
                <w:rFonts w:hint="default" w:ascii="Times New Roman" w:hAnsi="Times New Roman" w:eastAsia="宋体" w:cs="Times New Roman"/>
                <w:smallCaps w:val="0"/>
                <w:color w:val="auto"/>
                <w:spacing w:val="0"/>
                <w:position w:val="0"/>
                <w:sz w:val="24"/>
                <w:highlight w:val="none"/>
                <w:lang w:val="en-US" w:eastAsia="en-US"/>
              </w:rPr>
              <w:t>，本次</w:t>
            </w:r>
            <w:r>
              <w:rPr>
                <w:rFonts w:hint="default" w:ascii="Times New Roman" w:hAnsi="Times New Roman" w:eastAsia="宋体" w:cs="Times New Roman"/>
                <w:smallCaps w:val="0"/>
                <w:color w:val="auto"/>
                <w:spacing w:val="0"/>
                <w:position w:val="0"/>
                <w:sz w:val="24"/>
                <w:highlight w:val="none"/>
                <w:lang w:val="en-US" w:eastAsia="zh-CN"/>
              </w:rPr>
              <w:t>室内声源</w:t>
            </w:r>
            <w:r>
              <w:rPr>
                <w:rFonts w:hint="default" w:ascii="Times New Roman" w:hAnsi="Times New Roman" w:eastAsia="宋体" w:cs="Times New Roman"/>
                <w:smallCaps w:val="0"/>
                <w:color w:val="auto"/>
                <w:spacing w:val="0"/>
                <w:position w:val="0"/>
                <w:sz w:val="24"/>
                <w:highlight w:val="none"/>
                <w:lang w:val="en-US" w:eastAsia="en-US"/>
              </w:rPr>
              <w:t>噪声衰减考虑距离衰减量</w:t>
            </w:r>
            <w:r>
              <w:rPr>
                <w:rFonts w:hint="default" w:ascii="Times New Roman" w:hAnsi="Times New Roman" w:eastAsia="宋体" w:cs="Times New Roman"/>
                <w:smallCaps w:val="0"/>
                <w:color w:val="auto"/>
                <w:spacing w:val="0"/>
                <w:position w:val="0"/>
                <w:sz w:val="24"/>
                <w:highlight w:val="none"/>
                <w:lang w:val="en-US" w:eastAsia="zh-CN"/>
              </w:rPr>
              <w:t>和厂房隔声；室外声源考虑</w:t>
            </w:r>
            <w:r>
              <w:rPr>
                <w:rFonts w:hint="default" w:ascii="Times New Roman" w:hAnsi="Times New Roman" w:eastAsia="宋体" w:cs="Times New Roman"/>
                <w:smallCaps w:val="0"/>
                <w:color w:val="auto"/>
                <w:spacing w:val="0"/>
                <w:position w:val="0"/>
                <w:sz w:val="24"/>
                <w:highlight w:val="none"/>
                <w:lang w:val="en-US" w:eastAsia="en-US"/>
              </w:rPr>
              <w:t>距离衰减</w:t>
            </w:r>
            <w:r>
              <w:rPr>
                <w:rFonts w:hint="default" w:ascii="Times New Roman" w:hAnsi="Times New Roman" w:eastAsia="宋体" w:cs="Times New Roman"/>
                <w:smallCaps w:val="0"/>
                <w:color w:val="auto"/>
                <w:spacing w:val="0"/>
                <w:position w:val="0"/>
                <w:sz w:val="24"/>
                <w:highlight w:val="none"/>
                <w:lang w:val="en-US" w:eastAsia="zh-CN"/>
              </w:rPr>
              <w:t>量、基础减震等的影响。运营期</w:t>
            </w:r>
            <w:r>
              <w:rPr>
                <w:rFonts w:hint="default" w:ascii="Times New Roman" w:hAnsi="Times New Roman" w:cs="Times New Roman"/>
                <w:smallCaps w:val="0"/>
                <w:color w:val="auto"/>
                <w:spacing w:val="0"/>
                <w:position w:val="0"/>
                <w:sz w:val="24"/>
                <w:highlight w:val="none"/>
                <w:lang w:val="en-US" w:eastAsia="zh-CN"/>
              </w:rPr>
              <w:t>昼间</w:t>
            </w:r>
            <w:r>
              <w:rPr>
                <w:rFonts w:hint="default" w:ascii="Times New Roman" w:hAnsi="Times New Roman" w:eastAsia="宋体" w:cs="Times New Roman"/>
                <w:smallCaps w:val="0"/>
                <w:color w:val="auto"/>
                <w:spacing w:val="0"/>
                <w:position w:val="0"/>
                <w:sz w:val="24"/>
                <w:highlight w:val="none"/>
                <w:lang w:val="en-US" w:eastAsia="en-US"/>
              </w:rPr>
              <w:t>厂界</w:t>
            </w:r>
            <w:r>
              <w:rPr>
                <w:rFonts w:hint="default" w:ascii="Times New Roman" w:hAnsi="Times New Roman" w:eastAsia="宋体" w:cs="Times New Roman"/>
                <w:smallCaps w:val="0"/>
                <w:color w:val="auto"/>
                <w:spacing w:val="0"/>
                <w:position w:val="0"/>
                <w:sz w:val="24"/>
                <w:highlight w:val="none"/>
                <w:lang w:val="en-US" w:eastAsia="zh-CN"/>
              </w:rPr>
              <w:t>的噪声</w:t>
            </w:r>
            <w:r>
              <w:rPr>
                <w:rFonts w:hint="default" w:ascii="Times New Roman" w:hAnsi="Times New Roman" w:eastAsia="宋体" w:cs="Times New Roman"/>
                <w:smallCaps w:val="0"/>
                <w:color w:val="auto"/>
                <w:spacing w:val="0"/>
                <w:position w:val="0"/>
                <w:sz w:val="24"/>
                <w:highlight w:val="none"/>
                <w:lang w:val="en-US" w:eastAsia="en-US"/>
              </w:rPr>
              <w:t>预测结果见表4-</w:t>
            </w:r>
            <w:r>
              <w:rPr>
                <w:rFonts w:hint="default" w:ascii="Times New Roman" w:hAnsi="Times New Roman" w:cs="Times New Roman"/>
                <w:smallCaps w:val="0"/>
                <w:color w:val="auto"/>
                <w:spacing w:val="0"/>
                <w:position w:val="0"/>
                <w:sz w:val="24"/>
                <w:highlight w:val="none"/>
                <w:lang w:val="en-US" w:eastAsia="zh-CN"/>
              </w:rPr>
              <w:t>8</w:t>
            </w:r>
            <w:r>
              <w:rPr>
                <w:rFonts w:hint="default" w:ascii="Times New Roman" w:hAnsi="Times New Roman" w:eastAsia="宋体" w:cs="Times New Roman"/>
                <w:smallCaps w:val="0"/>
                <w:color w:val="auto"/>
                <w:spacing w:val="0"/>
                <w:position w:val="0"/>
                <w:sz w:val="24"/>
                <w:highlight w:val="none"/>
                <w:lang w:val="en-US" w:eastAsia="en-US"/>
              </w:rPr>
              <w:t>。</w:t>
            </w:r>
          </w:p>
          <w:p w14:paraId="68F006A1">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smallCaps w:val="0"/>
                <w:color w:val="auto"/>
                <w:spacing w:val="0"/>
                <w:position w:val="0"/>
                <w:sz w:val="24"/>
                <w:szCs w:val="24"/>
                <w:highlight w:val="none"/>
                <w:lang w:val="en-US" w:eastAsia="en-US"/>
              </w:rPr>
            </w:pPr>
            <w:r>
              <w:rPr>
                <w:rFonts w:hint="default" w:ascii="Times New Roman" w:hAnsi="Times New Roman" w:eastAsia="宋体" w:cs="Times New Roman"/>
                <w:b/>
                <w:bCs/>
                <w:smallCaps w:val="0"/>
                <w:color w:val="auto"/>
                <w:spacing w:val="0"/>
                <w:position w:val="0"/>
                <w:sz w:val="24"/>
                <w:szCs w:val="24"/>
                <w:highlight w:val="none"/>
                <w:lang w:val="en-US" w:eastAsia="en-US"/>
              </w:rPr>
              <w:t>表4-</w:t>
            </w:r>
            <w:r>
              <w:rPr>
                <w:rFonts w:hint="default" w:ascii="Times New Roman" w:hAnsi="Times New Roman" w:cs="Times New Roman"/>
                <w:b/>
                <w:bCs/>
                <w:smallCaps w:val="0"/>
                <w:color w:val="auto"/>
                <w:spacing w:val="0"/>
                <w:position w:val="0"/>
                <w:sz w:val="24"/>
                <w:szCs w:val="24"/>
                <w:highlight w:val="none"/>
                <w:lang w:val="en-US" w:eastAsia="zh-CN"/>
              </w:rPr>
              <w:t>8</w:t>
            </w:r>
            <w:r>
              <w:rPr>
                <w:rFonts w:hint="default" w:ascii="Times New Roman" w:hAnsi="Times New Roman" w:eastAsia="宋体" w:cs="Times New Roman"/>
                <w:b/>
                <w:bCs/>
                <w:smallCaps w:val="0"/>
                <w:color w:val="auto"/>
                <w:spacing w:val="0"/>
                <w:position w:val="0"/>
                <w:sz w:val="24"/>
                <w:szCs w:val="24"/>
                <w:highlight w:val="none"/>
                <w:lang w:val="en-US" w:eastAsia="zh-CN"/>
              </w:rPr>
              <w:t xml:space="preserve">  </w:t>
            </w:r>
            <w:r>
              <w:rPr>
                <w:rFonts w:hint="default" w:ascii="Times New Roman" w:hAnsi="Times New Roman" w:eastAsia="宋体" w:cs="Times New Roman"/>
                <w:b/>
                <w:bCs/>
                <w:smallCaps w:val="0"/>
                <w:color w:val="auto"/>
                <w:spacing w:val="0"/>
                <w:position w:val="0"/>
                <w:sz w:val="24"/>
                <w:szCs w:val="24"/>
                <w:highlight w:val="none"/>
                <w:lang w:val="en-US" w:eastAsia="en-US"/>
              </w:rPr>
              <w:t>项目厂界噪声预测结果</w:t>
            </w:r>
          </w:p>
          <w:tbl>
            <w:tblPr>
              <w:tblStyle w:val="32"/>
              <w:tblW w:w="497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41"/>
              <w:gridCol w:w="2002"/>
              <w:gridCol w:w="2378"/>
              <w:gridCol w:w="1517"/>
            </w:tblGrid>
            <w:tr w14:paraId="2B6BE7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0" w:type="pct"/>
                  <w:vMerge w:val="restart"/>
                  <w:tcBorders>
                    <w:tl2br w:val="nil"/>
                    <w:tr2bl w:val="nil"/>
                  </w:tcBorders>
                  <w:vAlign w:val="center"/>
                </w:tcPr>
                <w:p w14:paraId="4BA64163">
                  <w:pPr>
                    <w:pStyle w:val="66"/>
                    <w:keepNext w:val="0"/>
                    <w:keepLines w:val="0"/>
                    <w:suppressLineNumbers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lang w:val="zh-CN" w:eastAsia="en-US"/>
                    </w:rPr>
                  </w:pPr>
                  <w:r>
                    <w:rPr>
                      <w:rFonts w:hint="default" w:ascii="Times New Roman" w:hAnsi="Times New Roman" w:cs="Times New Roman"/>
                      <w:b/>
                      <w:bCs/>
                      <w:color w:val="auto"/>
                      <w:kern w:val="2"/>
                      <w:sz w:val="21"/>
                      <w:szCs w:val="21"/>
                      <w:highlight w:val="none"/>
                      <w:lang w:val="zh-CN" w:eastAsia="en-US"/>
                    </w:rPr>
                    <w:t>监测点位</w:t>
                  </w:r>
                </w:p>
              </w:tc>
              <w:tc>
                <w:tcPr>
                  <w:tcW w:w="2658" w:type="pct"/>
                  <w:gridSpan w:val="2"/>
                  <w:tcBorders>
                    <w:tl2br w:val="nil"/>
                    <w:tr2bl w:val="nil"/>
                  </w:tcBorders>
                  <w:vAlign w:val="center"/>
                </w:tcPr>
                <w:p w14:paraId="64CB2E30">
                  <w:pPr>
                    <w:pStyle w:val="66"/>
                    <w:keepNext w:val="0"/>
                    <w:keepLines w:val="0"/>
                    <w:suppressLineNumbers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lang w:val="zh-CN" w:eastAsia="en-US"/>
                    </w:rPr>
                  </w:pPr>
                  <w:r>
                    <w:rPr>
                      <w:rFonts w:hint="default" w:ascii="Times New Roman" w:hAnsi="Times New Roman" w:cs="Times New Roman"/>
                      <w:b/>
                      <w:bCs/>
                      <w:color w:val="auto"/>
                      <w:kern w:val="2"/>
                      <w:sz w:val="21"/>
                      <w:szCs w:val="21"/>
                      <w:highlight w:val="none"/>
                      <w:lang w:val="zh-CN" w:eastAsia="en-US"/>
                    </w:rPr>
                    <w:t>昼间</w:t>
                  </w:r>
                </w:p>
              </w:tc>
              <w:tc>
                <w:tcPr>
                  <w:tcW w:w="920" w:type="pct"/>
                  <w:vMerge w:val="restart"/>
                  <w:tcBorders>
                    <w:tl2br w:val="nil"/>
                    <w:tr2bl w:val="nil"/>
                  </w:tcBorders>
                  <w:vAlign w:val="center"/>
                </w:tcPr>
                <w:p w14:paraId="00AC5BB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lang w:val="zh-CN" w:eastAsia="en-US"/>
                    </w:rPr>
                    <w:t>达标情况</w:t>
                  </w:r>
                </w:p>
              </w:tc>
            </w:tr>
            <w:tr w14:paraId="6EBCFB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0" w:type="pct"/>
                  <w:vMerge w:val="continue"/>
                  <w:tcBorders>
                    <w:tl2br w:val="nil"/>
                    <w:tr2bl w:val="nil"/>
                  </w:tcBorders>
                  <w:vAlign w:val="center"/>
                </w:tcPr>
                <w:p w14:paraId="1AB6D586">
                  <w:pPr>
                    <w:pStyle w:val="66"/>
                    <w:keepNext w:val="0"/>
                    <w:keepLines w:val="0"/>
                    <w:suppressLineNumbers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lang w:val="zh-CN" w:eastAsia="en-US"/>
                    </w:rPr>
                  </w:pPr>
                </w:p>
              </w:tc>
              <w:tc>
                <w:tcPr>
                  <w:tcW w:w="1215" w:type="pct"/>
                  <w:tcBorders>
                    <w:tl2br w:val="nil"/>
                    <w:tr2bl w:val="nil"/>
                  </w:tcBorders>
                  <w:vAlign w:val="center"/>
                </w:tcPr>
                <w:p w14:paraId="016FF242">
                  <w:pPr>
                    <w:pStyle w:val="66"/>
                    <w:keepNext w:val="0"/>
                    <w:keepLines w:val="0"/>
                    <w:suppressLineNumbers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lang w:val="zh-CN" w:eastAsia="en-US"/>
                    </w:rPr>
                  </w:pPr>
                  <w:r>
                    <w:rPr>
                      <w:rFonts w:hint="default" w:ascii="Times New Roman" w:hAnsi="Times New Roman" w:cs="Times New Roman"/>
                      <w:b/>
                      <w:bCs/>
                      <w:color w:val="auto"/>
                      <w:kern w:val="2"/>
                      <w:sz w:val="21"/>
                      <w:szCs w:val="21"/>
                      <w:highlight w:val="none"/>
                      <w:lang w:val="zh-CN" w:eastAsia="en-US"/>
                    </w:rPr>
                    <w:t>贡献值</w:t>
                  </w:r>
                </w:p>
              </w:tc>
              <w:tc>
                <w:tcPr>
                  <w:tcW w:w="1443" w:type="pct"/>
                  <w:tcBorders>
                    <w:tl2br w:val="nil"/>
                    <w:tr2bl w:val="nil"/>
                  </w:tcBorders>
                  <w:vAlign w:val="center"/>
                </w:tcPr>
                <w:p w14:paraId="40CE5A6E">
                  <w:pPr>
                    <w:pStyle w:val="66"/>
                    <w:keepNext w:val="0"/>
                    <w:keepLines w:val="0"/>
                    <w:suppressLineNumbers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lang w:val="en-US" w:eastAsia="zh-CN"/>
                    </w:rPr>
                  </w:pPr>
                  <w:r>
                    <w:rPr>
                      <w:rFonts w:hint="default" w:ascii="Times New Roman" w:hAnsi="Times New Roman" w:cs="Times New Roman"/>
                      <w:b/>
                      <w:bCs/>
                      <w:color w:val="auto"/>
                      <w:kern w:val="2"/>
                      <w:sz w:val="21"/>
                      <w:szCs w:val="21"/>
                      <w:highlight w:val="none"/>
                      <w:lang w:val="en-US" w:eastAsia="zh-CN"/>
                    </w:rPr>
                    <w:t>标准限值</w:t>
                  </w:r>
                </w:p>
              </w:tc>
              <w:tc>
                <w:tcPr>
                  <w:tcW w:w="920" w:type="pct"/>
                  <w:vMerge w:val="continue"/>
                  <w:tcBorders>
                    <w:tl2br w:val="nil"/>
                    <w:tr2bl w:val="nil"/>
                  </w:tcBorders>
                  <w:vAlign w:val="center"/>
                </w:tcPr>
                <w:p w14:paraId="0B121FE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p>
              </w:tc>
            </w:tr>
            <w:tr w14:paraId="09F6E2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0" w:type="pct"/>
                  <w:tcBorders>
                    <w:tl2br w:val="nil"/>
                    <w:tr2bl w:val="nil"/>
                  </w:tcBorders>
                  <w:vAlign w:val="center"/>
                </w:tcPr>
                <w:p w14:paraId="1615888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东厂界</w:t>
                  </w:r>
                </w:p>
              </w:tc>
              <w:tc>
                <w:tcPr>
                  <w:tcW w:w="1215" w:type="pct"/>
                  <w:tcBorders>
                    <w:tl2br w:val="nil"/>
                    <w:tr2bl w:val="nil"/>
                  </w:tcBorders>
                  <w:vAlign w:val="center"/>
                </w:tcPr>
                <w:p w14:paraId="7F87C4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54</w:t>
                  </w:r>
                </w:p>
              </w:tc>
              <w:tc>
                <w:tcPr>
                  <w:tcW w:w="1443" w:type="pct"/>
                  <w:tcBorders>
                    <w:tl2br w:val="nil"/>
                    <w:tr2bl w:val="nil"/>
                  </w:tcBorders>
                  <w:vAlign w:val="center"/>
                </w:tcPr>
                <w:p w14:paraId="562FED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mallCaps w:val="0"/>
                      <w:color w:val="auto"/>
                      <w:spacing w:val="0"/>
                      <w:position w:val="0"/>
                      <w:highlight w:val="none"/>
                      <w:lang w:val="en-US" w:eastAsia="zh-CN"/>
                    </w:rPr>
                  </w:pPr>
                  <w:r>
                    <w:rPr>
                      <w:rFonts w:hint="default" w:ascii="Times New Roman" w:hAnsi="Times New Roman" w:cs="Times New Roman"/>
                      <w:smallCaps w:val="0"/>
                      <w:color w:val="auto"/>
                      <w:spacing w:val="0"/>
                      <w:position w:val="0"/>
                      <w:highlight w:val="none"/>
                      <w:lang w:val="en-US" w:eastAsia="zh-CN"/>
                    </w:rPr>
                    <w:t>65</w:t>
                  </w:r>
                </w:p>
              </w:tc>
              <w:tc>
                <w:tcPr>
                  <w:tcW w:w="920" w:type="pct"/>
                  <w:tcBorders>
                    <w:tl2br w:val="nil"/>
                    <w:tr2bl w:val="nil"/>
                  </w:tcBorders>
                  <w:vAlign w:val="center"/>
                </w:tcPr>
                <w:p w14:paraId="621C7F2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3A99B3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0" w:type="pct"/>
                  <w:tcBorders>
                    <w:tl2br w:val="nil"/>
                    <w:tr2bl w:val="nil"/>
                  </w:tcBorders>
                  <w:vAlign w:val="center"/>
                </w:tcPr>
                <w:p w14:paraId="747478C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南厂界</w:t>
                  </w:r>
                </w:p>
              </w:tc>
              <w:tc>
                <w:tcPr>
                  <w:tcW w:w="1215" w:type="pct"/>
                  <w:tcBorders>
                    <w:tl2br w:val="nil"/>
                    <w:tr2bl w:val="nil"/>
                  </w:tcBorders>
                  <w:vAlign w:val="center"/>
                </w:tcPr>
                <w:p w14:paraId="13F032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49</w:t>
                  </w:r>
                </w:p>
              </w:tc>
              <w:tc>
                <w:tcPr>
                  <w:tcW w:w="1443" w:type="pct"/>
                  <w:tcBorders>
                    <w:tl2br w:val="nil"/>
                    <w:tr2bl w:val="nil"/>
                  </w:tcBorders>
                  <w:vAlign w:val="center"/>
                </w:tcPr>
                <w:p w14:paraId="4884EF9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smallCaps w:val="0"/>
                      <w:color w:val="auto"/>
                      <w:spacing w:val="0"/>
                      <w:position w:val="0"/>
                      <w:highlight w:val="none"/>
                      <w:lang w:val="en-US" w:eastAsia="zh-CN"/>
                    </w:rPr>
                    <w:t>65</w:t>
                  </w:r>
                </w:p>
              </w:tc>
              <w:tc>
                <w:tcPr>
                  <w:tcW w:w="920" w:type="pct"/>
                  <w:tcBorders>
                    <w:tl2br w:val="nil"/>
                    <w:tr2bl w:val="nil"/>
                  </w:tcBorders>
                  <w:vAlign w:val="center"/>
                </w:tcPr>
                <w:p w14:paraId="0AB328E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2D42F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0" w:type="pct"/>
                  <w:tcBorders>
                    <w:tl2br w:val="nil"/>
                    <w:tr2bl w:val="nil"/>
                  </w:tcBorders>
                  <w:vAlign w:val="center"/>
                </w:tcPr>
                <w:p w14:paraId="3111F70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西厂界</w:t>
                  </w:r>
                </w:p>
              </w:tc>
              <w:tc>
                <w:tcPr>
                  <w:tcW w:w="1215" w:type="pct"/>
                  <w:tcBorders>
                    <w:tl2br w:val="nil"/>
                    <w:tr2bl w:val="nil"/>
                  </w:tcBorders>
                  <w:vAlign w:val="center"/>
                </w:tcPr>
                <w:p w14:paraId="56C6B4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55</w:t>
                  </w:r>
                </w:p>
              </w:tc>
              <w:tc>
                <w:tcPr>
                  <w:tcW w:w="1443" w:type="pct"/>
                  <w:tcBorders>
                    <w:tl2br w:val="nil"/>
                    <w:tr2bl w:val="nil"/>
                  </w:tcBorders>
                  <w:vAlign w:val="center"/>
                </w:tcPr>
                <w:p w14:paraId="7746AD0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smallCaps w:val="0"/>
                      <w:color w:val="auto"/>
                      <w:spacing w:val="0"/>
                      <w:position w:val="0"/>
                      <w:highlight w:val="none"/>
                      <w:lang w:val="en-US" w:eastAsia="zh-CN"/>
                    </w:rPr>
                    <w:t>65</w:t>
                  </w:r>
                </w:p>
              </w:tc>
              <w:tc>
                <w:tcPr>
                  <w:tcW w:w="920" w:type="pct"/>
                  <w:tcBorders>
                    <w:tl2br w:val="nil"/>
                    <w:tr2bl w:val="nil"/>
                  </w:tcBorders>
                  <w:vAlign w:val="center"/>
                </w:tcPr>
                <w:p w14:paraId="2188D14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756BBE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20" w:type="pct"/>
                  <w:tcBorders>
                    <w:tl2br w:val="nil"/>
                    <w:tr2bl w:val="nil"/>
                  </w:tcBorders>
                  <w:vAlign w:val="center"/>
                </w:tcPr>
                <w:p w14:paraId="5A40615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北厂界</w:t>
                  </w:r>
                </w:p>
              </w:tc>
              <w:tc>
                <w:tcPr>
                  <w:tcW w:w="1215" w:type="pct"/>
                  <w:tcBorders>
                    <w:tl2br w:val="nil"/>
                    <w:tr2bl w:val="nil"/>
                  </w:tcBorders>
                  <w:vAlign w:val="center"/>
                </w:tcPr>
                <w:p w14:paraId="25D685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52.8</w:t>
                  </w:r>
                </w:p>
              </w:tc>
              <w:tc>
                <w:tcPr>
                  <w:tcW w:w="1443" w:type="pct"/>
                  <w:tcBorders>
                    <w:tl2br w:val="nil"/>
                    <w:tr2bl w:val="nil"/>
                  </w:tcBorders>
                  <w:vAlign w:val="center"/>
                </w:tcPr>
                <w:p w14:paraId="7E35B46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smallCaps w:val="0"/>
                      <w:color w:val="auto"/>
                      <w:spacing w:val="0"/>
                      <w:position w:val="0"/>
                      <w:highlight w:val="none"/>
                      <w:lang w:val="en-US" w:eastAsia="zh-CN"/>
                    </w:rPr>
                    <w:t>65</w:t>
                  </w:r>
                </w:p>
              </w:tc>
              <w:tc>
                <w:tcPr>
                  <w:tcW w:w="920" w:type="pct"/>
                  <w:tcBorders>
                    <w:tl2br w:val="nil"/>
                    <w:tr2bl w:val="nil"/>
                  </w:tcBorders>
                  <w:vAlign w:val="center"/>
                </w:tcPr>
                <w:p w14:paraId="59CF35F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7A0DF8B2">
            <w:pPr>
              <w:pStyle w:val="8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firstLine="480" w:firstLineChars="200"/>
              <w:textAlignment w:val="baseline"/>
              <w:rPr>
                <w:rFonts w:hint="default" w:ascii="Times New Roman" w:hAnsi="Times New Roman" w:cs="Times New Roman"/>
                <w:smallCaps w:val="0"/>
                <w:color w:val="auto"/>
                <w:spacing w:val="0"/>
                <w:position w:val="0"/>
                <w:highlight w:val="none"/>
              </w:rPr>
            </w:pPr>
            <w:r>
              <w:rPr>
                <w:rFonts w:hint="default" w:ascii="Times New Roman" w:hAnsi="Times New Roman" w:eastAsia="宋体" w:cs="Times New Roman"/>
                <w:smallCaps w:val="0"/>
                <w:color w:val="auto"/>
                <w:spacing w:val="0"/>
                <w:kern w:val="0"/>
                <w:position w:val="0"/>
                <w:sz w:val="24"/>
                <w:szCs w:val="22"/>
                <w:highlight w:val="none"/>
                <w:lang w:val="en-US" w:eastAsia="en-US" w:bidi="ar-SA"/>
              </w:rPr>
              <w:t>从预测结果可知，</w:t>
            </w:r>
            <w:r>
              <w:rPr>
                <w:rFonts w:hint="default" w:ascii="Times New Roman" w:hAnsi="Times New Roman" w:eastAsia="宋体" w:cs="Times New Roman"/>
                <w:smallCaps w:val="0"/>
                <w:color w:val="auto"/>
                <w:spacing w:val="0"/>
                <w:position w:val="0"/>
                <w:sz w:val="24"/>
                <w:highlight w:val="none"/>
                <w:lang w:val="en-US" w:eastAsia="zh-CN"/>
              </w:rPr>
              <w:t>室内声源通过</w:t>
            </w:r>
            <w:r>
              <w:rPr>
                <w:rFonts w:hint="default" w:ascii="Times New Roman" w:hAnsi="Times New Roman" w:eastAsia="宋体" w:cs="Times New Roman"/>
                <w:smallCaps w:val="0"/>
                <w:color w:val="auto"/>
                <w:spacing w:val="0"/>
                <w:position w:val="0"/>
                <w:sz w:val="24"/>
                <w:highlight w:val="none"/>
                <w:lang w:val="en-US" w:eastAsia="en-US"/>
              </w:rPr>
              <w:t>距离衰减</w:t>
            </w:r>
            <w:r>
              <w:rPr>
                <w:rFonts w:hint="default" w:ascii="Times New Roman" w:hAnsi="Times New Roman" w:eastAsia="宋体" w:cs="Times New Roman"/>
                <w:smallCaps w:val="0"/>
                <w:color w:val="auto"/>
                <w:spacing w:val="0"/>
                <w:position w:val="0"/>
                <w:sz w:val="24"/>
                <w:highlight w:val="none"/>
                <w:lang w:val="en-US" w:eastAsia="zh-CN"/>
              </w:rPr>
              <w:t>和厂房隔声</w:t>
            </w:r>
            <w:r>
              <w:rPr>
                <w:rFonts w:hint="default" w:ascii="Times New Roman" w:hAnsi="Times New Roman" w:eastAsia="宋体" w:cs="Times New Roman"/>
                <w:smallCaps w:val="0"/>
                <w:color w:val="auto"/>
                <w:spacing w:val="0"/>
                <w:position w:val="0"/>
                <w:sz w:val="24"/>
                <w:highlight w:val="none"/>
                <w:lang w:val="en-US" w:eastAsia="en-US"/>
              </w:rPr>
              <w:t>，</w:t>
            </w:r>
            <w:r>
              <w:rPr>
                <w:rFonts w:hint="default" w:ascii="Times New Roman" w:hAnsi="Times New Roman" w:eastAsia="宋体" w:cs="Times New Roman"/>
                <w:smallCaps w:val="0"/>
                <w:color w:val="auto"/>
                <w:spacing w:val="0"/>
                <w:position w:val="0"/>
                <w:sz w:val="24"/>
                <w:highlight w:val="none"/>
                <w:lang w:val="en-US" w:eastAsia="zh-CN"/>
              </w:rPr>
              <w:t>室外声源通过</w:t>
            </w:r>
            <w:r>
              <w:rPr>
                <w:rFonts w:hint="default" w:ascii="Times New Roman" w:hAnsi="Times New Roman" w:eastAsia="宋体" w:cs="Times New Roman"/>
                <w:smallCaps w:val="0"/>
                <w:color w:val="auto"/>
                <w:spacing w:val="0"/>
                <w:position w:val="0"/>
                <w:sz w:val="24"/>
                <w:highlight w:val="none"/>
                <w:lang w:val="en-US" w:eastAsia="en-US"/>
              </w:rPr>
              <w:t>距离衰减</w:t>
            </w:r>
            <w:r>
              <w:rPr>
                <w:rFonts w:hint="default" w:ascii="Times New Roman" w:hAnsi="Times New Roman" w:eastAsia="宋体" w:cs="Times New Roman"/>
                <w:smallCaps w:val="0"/>
                <w:color w:val="auto"/>
                <w:spacing w:val="0"/>
                <w:position w:val="0"/>
                <w:sz w:val="24"/>
                <w:highlight w:val="none"/>
                <w:lang w:val="en-US" w:eastAsia="zh-CN"/>
              </w:rPr>
              <w:t>等措施处理后</w:t>
            </w:r>
            <w:r>
              <w:rPr>
                <w:rFonts w:hint="default" w:ascii="Times New Roman" w:hAnsi="Times New Roman" w:eastAsia="宋体" w:cs="Times New Roman"/>
                <w:smallCaps w:val="0"/>
                <w:color w:val="auto"/>
                <w:spacing w:val="0"/>
                <w:kern w:val="0"/>
                <w:position w:val="0"/>
                <w:sz w:val="24"/>
                <w:szCs w:val="22"/>
                <w:highlight w:val="none"/>
                <w:lang w:val="en-US" w:eastAsia="en-US" w:bidi="ar-SA"/>
              </w:rPr>
              <w:t>，运营期项目</w:t>
            </w:r>
            <w:r>
              <w:rPr>
                <w:rFonts w:hint="default" w:ascii="Times New Roman" w:hAnsi="Times New Roman" w:cs="Times New Roman"/>
                <w:smallCaps w:val="0"/>
                <w:color w:val="auto"/>
                <w:spacing w:val="0"/>
                <w:position w:val="0"/>
                <w:highlight w:val="none"/>
              </w:rPr>
              <w:t>厂界噪声</w:t>
            </w:r>
            <w:r>
              <w:rPr>
                <w:rFonts w:hint="default" w:ascii="Times New Roman" w:hAnsi="Times New Roman" w:cs="Times New Roman"/>
                <w:smallCaps w:val="0"/>
                <w:color w:val="auto"/>
                <w:spacing w:val="0"/>
                <w:position w:val="0"/>
                <w:highlight w:val="none"/>
                <w:lang w:val="en-US" w:eastAsia="zh-CN"/>
              </w:rPr>
              <w:t>贡献值满足</w:t>
            </w:r>
            <w:r>
              <w:rPr>
                <w:rFonts w:hint="default" w:ascii="Times New Roman" w:hAnsi="Times New Roman" w:cs="Times New Roman"/>
                <w:smallCaps w:val="0"/>
                <w:color w:val="auto"/>
                <w:spacing w:val="0"/>
                <w:position w:val="0"/>
                <w:highlight w:val="none"/>
              </w:rPr>
              <w:t>《工业企业厂界环境噪声排放标准》</w:t>
            </w:r>
            <w:r>
              <w:rPr>
                <w:rFonts w:hint="default" w:ascii="Times New Roman" w:hAnsi="Times New Roman" w:cs="Times New Roman"/>
                <w:smallCaps w:val="0"/>
                <w:color w:val="auto"/>
                <w:spacing w:val="0"/>
                <w:position w:val="0"/>
                <w:highlight w:val="none"/>
                <w:lang w:eastAsia="zh-CN"/>
              </w:rPr>
              <w:t>（</w:t>
            </w:r>
            <w:r>
              <w:rPr>
                <w:rFonts w:hint="default" w:ascii="Times New Roman" w:hAnsi="Times New Roman" w:cs="Times New Roman"/>
                <w:smallCaps w:val="0"/>
                <w:color w:val="auto"/>
                <w:spacing w:val="0"/>
                <w:position w:val="0"/>
                <w:highlight w:val="none"/>
              </w:rPr>
              <w:t>GB12348-2008</w:t>
            </w:r>
            <w:r>
              <w:rPr>
                <w:rFonts w:hint="default" w:ascii="Times New Roman" w:hAnsi="Times New Roman" w:cs="Times New Roman"/>
                <w:smallCaps w:val="0"/>
                <w:color w:val="auto"/>
                <w:spacing w:val="0"/>
                <w:position w:val="0"/>
                <w:highlight w:val="none"/>
                <w:lang w:eastAsia="zh-CN"/>
              </w:rPr>
              <w:t>）</w:t>
            </w:r>
            <w:r>
              <w:rPr>
                <w:rFonts w:hint="default" w:ascii="Times New Roman" w:hAnsi="Times New Roman" w:cs="Times New Roman"/>
                <w:smallCaps w:val="0"/>
                <w:color w:val="auto"/>
                <w:spacing w:val="0"/>
                <w:position w:val="0"/>
                <w:highlight w:val="none"/>
              </w:rPr>
              <w:t>中的</w:t>
            </w:r>
            <w:r>
              <w:rPr>
                <w:rFonts w:hint="default" w:ascii="Times New Roman" w:hAnsi="Times New Roman" w:cs="Times New Roman"/>
                <w:smallCaps w:val="0"/>
                <w:color w:val="auto"/>
                <w:spacing w:val="0"/>
                <w:position w:val="0"/>
                <w:highlight w:val="none"/>
                <w:lang w:val="en-US" w:eastAsia="zh-CN"/>
              </w:rPr>
              <w:t>3</w:t>
            </w:r>
            <w:r>
              <w:rPr>
                <w:rFonts w:hint="default" w:ascii="Times New Roman" w:hAnsi="Times New Roman" w:cs="Times New Roman"/>
                <w:smallCaps w:val="0"/>
                <w:color w:val="auto"/>
                <w:spacing w:val="0"/>
                <w:position w:val="0"/>
                <w:highlight w:val="none"/>
              </w:rPr>
              <w:t>类标准</w:t>
            </w:r>
            <w:r>
              <w:rPr>
                <w:rFonts w:hint="default" w:ascii="Times New Roman" w:hAnsi="Times New Roman" w:eastAsia="宋体" w:cs="Times New Roman"/>
                <w:smallCaps w:val="0"/>
                <w:color w:val="auto"/>
                <w:spacing w:val="0"/>
                <w:kern w:val="2"/>
                <w:position w:val="0"/>
                <w:sz w:val="24"/>
                <w:szCs w:val="24"/>
                <w:highlight w:val="none"/>
                <w:lang w:val="en-US" w:eastAsia="zh-CN" w:bidi="ar-SA"/>
              </w:rPr>
              <w:t>。</w:t>
            </w:r>
          </w:p>
          <w:p w14:paraId="0FBD95F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smallCaps w:val="0"/>
                <w:color w:val="auto"/>
                <w:spacing w:val="0"/>
                <w:position w:val="0"/>
                <w:sz w:val="24"/>
                <w:highlight w:val="none"/>
                <w:lang w:val="en-US" w:eastAsia="en-US"/>
              </w:rPr>
            </w:pPr>
            <w:r>
              <w:rPr>
                <w:rFonts w:hint="default" w:ascii="Times New Roman" w:hAnsi="Times New Roman" w:eastAsia="宋体" w:cs="Times New Roman"/>
                <w:smallCaps w:val="0"/>
                <w:color w:val="auto"/>
                <w:spacing w:val="0"/>
                <w:position w:val="0"/>
                <w:sz w:val="24"/>
                <w:highlight w:val="none"/>
                <w:lang w:val="en-US" w:eastAsia="en-US"/>
              </w:rPr>
              <w:t>因此，本项目噪声对周边环境影响较小。</w:t>
            </w:r>
          </w:p>
          <w:p w14:paraId="3C20B2FD">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bCs/>
                <w:smallCaps w:val="0"/>
                <w:color w:val="auto"/>
                <w:spacing w:val="0"/>
                <w:position w:val="0"/>
                <w:sz w:val="24"/>
                <w:highlight w:val="none"/>
                <w:lang w:val="en-US" w:eastAsia="en-US"/>
              </w:rPr>
            </w:pPr>
            <w:r>
              <w:rPr>
                <w:rFonts w:hint="default" w:ascii="Times New Roman" w:hAnsi="Times New Roman" w:cs="Times New Roman"/>
                <w:b/>
                <w:bCs/>
                <w:smallCaps w:val="0"/>
                <w:color w:val="auto"/>
                <w:spacing w:val="0"/>
                <w:position w:val="0"/>
                <w:sz w:val="24"/>
                <w:highlight w:val="none"/>
                <w:lang w:val="en-US" w:eastAsia="zh-CN"/>
              </w:rPr>
              <w:t>3.</w:t>
            </w:r>
            <w:r>
              <w:rPr>
                <w:rFonts w:hint="default" w:ascii="Times New Roman" w:hAnsi="Times New Roman" w:eastAsia="宋体" w:cs="Times New Roman"/>
                <w:b/>
                <w:bCs/>
                <w:smallCaps w:val="0"/>
                <w:color w:val="auto"/>
                <w:spacing w:val="0"/>
                <w:position w:val="0"/>
                <w:sz w:val="24"/>
                <w:highlight w:val="none"/>
                <w:lang w:val="en-US" w:eastAsia="en-US"/>
              </w:rPr>
              <w:t>污染防治措施</w:t>
            </w:r>
          </w:p>
          <w:p w14:paraId="2DB20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position w:val="0"/>
                <w:sz w:val="24"/>
                <w:szCs w:val="24"/>
                <w:highlight w:val="none"/>
                <w:lang w:val="zh-CN" w:eastAsia="zh-CN"/>
              </w:rPr>
            </w:pPr>
            <w:r>
              <w:rPr>
                <w:rFonts w:hint="default" w:ascii="Times New Roman" w:hAnsi="Times New Roman" w:eastAsia="宋体" w:cs="Times New Roman"/>
                <w:smallCaps w:val="0"/>
                <w:color w:val="auto"/>
                <w:spacing w:val="0"/>
                <w:position w:val="0"/>
                <w:sz w:val="24"/>
                <w:szCs w:val="24"/>
                <w:highlight w:val="none"/>
                <w:lang w:val="zh-CN" w:eastAsia="zh-CN"/>
              </w:rPr>
              <w:t>以下为本次评价提出的噪声防治对策：</w:t>
            </w:r>
          </w:p>
          <w:p w14:paraId="14DD7A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①优先选用低噪声设备；</w:t>
            </w:r>
          </w:p>
          <w:p w14:paraId="0EEC10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②</w:t>
            </w:r>
            <w:r>
              <w:rPr>
                <w:rFonts w:hint="default" w:ascii="Times New Roman" w:hAnsi="Times New Roman" w:eastAsia="宋体" w:cs="Times New Roman"/>
                <w:color w:val="auto"/>
                <w:sz w:val="24"/>
                <w:szCs w:val="24"/>
                <w:highlight w:val="none"/>
              </w:rPr>
              <w:t>抛丸机、空压机等设备安装基础减振垫，除尘风机、喷砂/抛丸配套风机均安装于室内并设消声器及柔性连接，水泵设减振基础；</w:t>
            </w:r>
          </w:p>
          <w:p w14:paraId="24B3FF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③高噪声设备均布置于封闭车间内，利用厂房墙体隔声（隔声量约20dB(A)）；</w:t>
            </w:r>
          </w:p>
          <w:p w14:paraId="4409C4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④合理布局，高噪声设备远离厂界布置；</w:t>
            </w:r>
          </w:p>
          <w:p w14:paraId="2C7956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⑤加强设备维护保养，杜绝不正常运转噪声；</w:t>
            </w:r>
          </w:p>
          <w:p w14:paraId="03C0C6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⑥夜间（22:00~次日06:00）不进行生产作业。</w:t>
            </w:r>
          </w:p>
          <w:p w14:paraId="06B4DA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position w:val="0"/>
                <w:sz w:val="24"/>
                <w:szCs w:val="24"/>
                <w:highlight w:val="none"/>
                <w:lang w:val="zh-CN" w:eastAsia="zh-CN"/>
              </w:rPr>
            </w:pPr>
            <w:r>
              <w:rPr>
                <w:rFonts w:hint="default" w:ascii="Times New Roman" w:hAnsi="Times New Roman" w:eastAsia="宋体" w:cs="Times New Roman"/>
                <w:smallCaps w:val="0"/>
                <w:color w:val="auto"/>
                <w:spacing w:val="0"/>
                <w:position w:val="0"/>
                <w:sz w:val="24"/>
                <w:szCs w:val="24"/>
                <w:highlight w:val="none"/>
                <w:lang w:val="zh-CN" w:eastAsia="zh-CN"/>
              </w:rPr>
              <w:t>通过以上噪声防治措施，本项目运营期产生的噪声对周围环境影响较小。</w:t>
            </w:r>
          </w:p>
          <w:p w14:paraId="17EF632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smallCaps w:val="0"/>
                <w:color w:val="auto"/>
                <w:spacing w:val="0"/>
                <w:kern w:val="0"/>
                <w:position w:val="0"/>
                <w:sz w:val="24"/>
                <w:szCs w:val="24"/>
                <w:highlight w:val="none"/>
                <w:lang w:val="en-US" w:eastAsia="zh-CN"/>
              </w:rPr>
            </w:pPr>
            <w:r>
              <w:rPr>
                <w:rFonts w:hint="default" w:ascii="Times New Roman" w:hAnsi="Times New Roman" w:eastAsia="宋体" w:cs="Times New Roman"/>
                <w:b/>
                <w:smallCaps w:val="0"/>
                <w:color w:val="auto"/>
                <w:spacing w:val="0"/>
                <w:kern w:val="0"/>
                <w:position w:val="0"/>
                <w:sz w:val="24"/>
                <w:szCs w:val="24"/>
                <w:highlight w:val="none"/>
                <w:lang w:val="en-US" w:eastAsia="zh-CN"/>
              </w:rPr>
              <w:t>四、固体废物环境影响及治理措施</w:t>
            </w:r>
          </w:p>
          <w:p w14:paraId="510F58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position w:val="0"/>
                <w:sz w:val="24"/>
                <w:szCs w:val="24"/>
                <w:highlight w:val="none"/>
                <w:lang w:val="en-US" w:eastAsia="zh-CN"/>
              </w:rPr>
            </w:pPr>
            <w:r>
              <w:rPr>
                <w:rFonts w:hint="default" w:ascii="Times New Roman" w:hAnsi="Times New Roman" w:cs="Times New Roman"/>
                <w:smallCaps w:val="0"/>
                <w:color w:val="auto"/>
                <w:spacing w:val="0"/>
                <w:position w:val="0"/>
                <w:sz w:val="24"/>
                <w:szCs w:val="24"/>
                <w:highlight w:val="none"/>
                <w:lang w:val="en-US" w:eastAsia="zh-CN"/>
              </w:rPr>
              <w:t>1.</w:t>
            </w:r>
            <w:r>
              <w:rPr>
                <w:rFonts w:hint="default" w:ascii="Times New Roman" w:hAnsi="Times New Roman" w:eastAsia="宋体" w:cs="Times New Roman"/>
                <w:smallCaps w:val="0"/>
                <w:color w:val="auto"/>
                <w:spacing w:val="0"/>
                <w:position w:val="0"/>
                <w:sz w:val="24"/>
                <w:szCs w:val="24"/>
                <w:highlight w:val="none"/>
                <w:lang w:val="en-US" w:eastAsia="zh-CN"/>
              </w:rPr>
              <w:t>固体废物产生情况</w:t>
            </w:r>
          </w:p>
          <w:p w14:paraId="2C94C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sz w:val="24"/>
                <w:highlight w:val="none"/>
                <w:lang w:eastAsia="zh-CN"/>
              </w:rPr>
            </w:pPr>
            <w:r>
              <w:rPr>
                <w:rFonts w:hint="default" w:ascii="Times New Roman" w:hAnsi="Times New Roman" w:eastAsia="宋体" w:cs="Times New Roman"/>
                <w:smallCaps w:val="0"/>
                <w:color w:val="auto"/>
                <w:spacing w:val="0"/>
                <w:position w:val="0"/>
                <w:sz w:val="24"/>
                <w:szCs w:val="24"/>
                <w:highlight w:val="none"/>
                <w:lang w:val="en-US" w:eastAsia="zh-CN"/>
              </w:rPr>
              <w:t>本项目固废主要为生活垃圾、一般固体废物和危险废物。</w:t>
            </w:r>
          </w:p>
          <w:p w14:paraId="70C5289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生活垃圾</w:t>
            </w:r>
          </w:p>
          <w:p w14:paraId="30583289">
            <w:pPr>
              <w:pStyle w:val="13"/>
              <w:keepNext w:val="0"/>
              <w:keepLines w:val="0"/>
              <w:suppressLineNumbers w:val="0"/>
              <w:spacing w:before="0" w:beforeAutospacing="0" w:after="0" w:afterAutospacing="0" w:line="360" w:lineRule="auto"/>
              <w:ind w:left="0" w:leftChars="0" w:right="0"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本项目职工定员10人，按每人每天产生0.5kg垃圾计算，生活垃圾的量约1.</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t/a</w:t>
            </w:r>
            <w:r>
              <w:rPr>
                <w:rFonts w:hint="default" w:ascii="Times New Roman" w:hAnsi="Times New Roman" w:cs="Times New Roman"/>
                <w:color w:val="auto"/>
                <w:sz w:val="24"/>
                <w:highlight w:val="none"/>
                <w:lang w:eastAsia="zh-CN"/>
              </w:rPr>
              <w:t>，</w:t>
            </w:r>
            <w:r>
              <w:rPr>
                <w:rFonts w:hint="default" w:ascii="Times New Roman" w:hAnsi="Times New Roman" w:cs="Times New Roman"/>
                <w:b w:val="0"/>
                <w:bCs w:val="0"/>
                <w:color w:val="auto"/>
                <w:sz w:val="24"/>
                <w:szCs w:val="24"/>
                <w:highlight w:val="none"/>
                <w:lang w:val="en-US" w:eastAsia="zh-CN"/>
              </w:rPr>
              <w:t>固废代码</w:t>
            </w:r>
            <w:r>
              <w:rPr>
                <w:rFonts w:hint="default" w:ascii="Times New Roman" w:hAnsi="Times New Roman" w:eastAsia="宋体" w:cs="Times New Roman"/>
                <w:color w:val="auto"/>
                <w:sz w:val="24"/>
                <w:szCs w:val="24"/>
                <w:highlight w:val="none"/>
                <w:lang w:val="en-US" w:eastAsia="zh-CN"/>
              </w:rPr>
              <w:t>：SW64；900-099-S64。</w:t>
            </w:r>
            <w:r>
              <w:rPr>
                <w:rFonts w:hint="default" w:ascii="Times New Roman" w:hAnsi="Times New Roman" w:cs="Times New Roman"/>
                <w:color w:val="auto"/>
                <w:sz w:val="24"/>
                <w:highlight w:val="none"/>
              </w:rPr>
              <w:t>分类垃圾桶收集，园区环卫部门统一清运。</w:t>
            </w:r>
          </w:p>
          <w:p w14:paraId="3B866DAD">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一般工业固废</w:t>
            </w:r>
          </w:p>
          <w:p w14:paraId="64BCD711">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①抛丸钢渣（氧化皮、锈渣）</w:t>
            </w:r>
          </w:p>
          <w:p w14:paraId="25EE5B74">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参</w:t>
            </w:r>
            <w:r>
              <w:rPr>
                <w:rFonts w:hint="default" w:ascii="Times New Roman" w:hAnsi="Times New Roman" w:cs="Times New Roman"/>
                <w:color w:val="auto"/>
                <w:sz w:val="24"/>
                <w:szCs w:val="24"/>
                <w:highlight w:val="none"/>
                <w:lang w:eastAsia="zh-CN"/>
              </w:rPr>
              <w:t>照同类金属构件抛丸预处理项目类比核算，抛丸工序去除工件表面氧化皮、锈蚀层，产生量约占抛丸处理工件量的0.1%~0.2%，本项目年抛丸处理金属构件约20万</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2</w:t>
            </w:r>
            <w:r>
              <w:rPr>
                <w:rFonts w:hint="default" w:ascii="Times New Roman" w:hAnsi="Times New Roman" w:cs="Times New Roman"/>
                <w:color w:val="auto"/>
                <w:sz w:val="24"/>
                <w:szCs w:val="24"/>
                <w:highlight w:val="none"/>
                <w:lang w:eastAsia="zh-CN"/>
              </w:rPr>
              <w:t>（折算处理量约1</w:t>
            </w:r>
            <w:r>
              <w:rPr>
                <w:rFonts w:hint="default"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lang w:eastAsia="zh-CN"/>
              </w:rPr>
              <w:t>00t/a），抛丸钢渣产生量约2.5t/a，</w:t>
            </w:r>
            <w:r>
              <w:rPr>
                <w:rFonts w:hint="default" w:ascii="Times New Roman" w:hAnsi="Times New Roman" w:cs="Times New Roman"/>
                <w:color w:val="auto"/>
                <w:sz w:val="24"/>
                <w:szCs w:val="24"/>
                <w:highlight w:val="none"/>
                <w:lang w:val="en-US" w:eastAsia="zh-CN"/>
              </w:rPr>
              <w:t>一般固废暂存区分类收集，外售综合利用。</w:t>
            </w:r>
          </w:p>
          <w:p w14:paraId="7B16EB85">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sz w:val="24"/>
                <w:szCs w:val="24"/>
                <w:highlight w:val="none"/>
              </w:rPr>
              <w:t>②抛丸布袋除尘器收集粉尘</w:t>
            </w:r>
          </w:p>
          <w:p w14:paraId="70C9E438">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sz w:val="24"/>
                <w:szCs w:val="24"/>
                <w:highlight w:val="none"/>
              </w:rPr>
              <w:t>抛丸工序含尘废气经脉冲布袋除尘器收集，布袋捕集的粉尘（主要为金属粉尘及氧化皮细末）按收集效率98%、去除效率99%核算，年收集量约3.82t/a，属于一般工业固体废物，一般固废暂存区分类收集，外售综合利用。</w:t>
            </w:r>
          </w:p>
          <w:p w14:paraId="3F957A32">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③废钢丸</w:t>
            </w:r>
          </w:p>
          <w:p w14:paraId="11479571">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抛丸机钢丸循环复用、仅补充损耗，钢丸年补充量2.8t/a，其中约80%为抛丸过程正常磨损消耗，约20%（约0.56t/a）为定期筛分更换的失效钢丸，废钢丸产生量取0.56t/a，一般固废暂存区分类收集，外售综合利用。</w:t>
            </w:r>
          </w:p>
          <w:p w14:paraId="142B7918">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④回收粉末</w:t>
            </w:r>
          </w:p>
          <w:p w14:paraId="0FD17BAF">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静电喷粉工序未附着粉末</w:t>
            </w:r>
            <w:r>
              <w:rPr>
                <w:rFonts w:hint="default" w:ascii="Times New Roman" w:hAnsi="Times New Roman" w:eastAsia="宋体" w:cs="Times New Roman"/>
                <w:color w:val="auto"/>
                <w:sz w:val="24"/>
                <w:highlight w:val="none"/>
                <w:lang w:val="en-US" w:eastAsia="zh-CN"/>
              </w:rPr>
              <w:t>旋风除尘器+滤筒除尘器</w:t>
            </w:r>
            <w:r>
              <w:rPr>
                <w:rFonts w:hint="default" w:ascii="Times New Roman" w:hAnsi="Times New Roman" w:cs="Times New Roman"/>
                <w:color w:val="auto"/>
                <w:sz w:val="24"/>
                <w:szCs w:val="24"/>
                <w:highlight w:val="none"/>
                <w:lang w:val="en-US" w:eastAsia="zh-CN"/>
              </w:rPr>
              <w:t>收集（去除效率99%），年回收粉末约12.70t/a，全部密闭收集回用于喷粉工序，不产生废弃粉末。</w:t>
            </w:r>
          </w:p>
          <w:p w14:paraId="24EBA801">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⑤废滤芯滤筒</w:t>
            </w:r>
          </w:p>
          <w:p w14:paraId="0146028F">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sz w:val="24"/>
                <w:highlight w:val="none"/>
                <w:lang w:val="en-US" w:eastAsia="zh-CN"/>
              </w:rPr>
            </w:pPr>
            <w:r>
              <w:rPr>
                <w:rFonts w:hint="default" w:ascii="Times New Roman" w:hAnsi="Times New Roman" w:eastAsia="宋体" w:cs="Times New Roman"/>
                <w:color w:val="auto"/>
                <w:sz w:val="24"/>
                <w:highlight w:val="none"/>
                <w:lang w:val="en-US" w:eastAsia="zh-CN"/>
              </w:rPr>
              <w:t>滤筒除尘器滤芯定</w:t>
            </w:r>
            <w:r>
              <w:rPr>
                <w:rFonts w:hint="default" w:ascii="Times New Roman" w:hAnsi="Times New Roman" w:eastAsia="宋体" w:cs="Times New Roman"/>
                <w:sz w:val="24"/>
                <w:highlight w:val="none"/>
                <w:lang w:val="en-US" w:eastAsia="zh-CN"/>
              </w:rPr>
              <w:t>期更换，类比同类喷粉系统，按滤芯数量（约12~16支）及更换周期（1~2年）折算，年产生量约0.3t/a，一般固废暂存区分类收集，外售。</w:t>
            </w:r>
          </w:p>
          <w:p w14:paraId="78243C0B">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⑥废RO膜、废树脂</w:t>
            </w:r>
          </w:p>
          <w:p w14:paraId="7F9674EB">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sz w:val="24"/>
                <w:highlight w:val="none"/>
                <w:lang w:val="en-US" w:eastAsia="zh-CN"/>
              </w:rPr>
            </w:pPr>
            <w:r>
              <w:rPr>
                <w:rFonts w:hint="default" w:ascii="Times New Roman" w:hAnsi="Times New Roman" w:eastAsia="宋体" w:cs="Times New Roman"/>
                <w:sz w:val="24"/>
                <w:highlight w:val="none"/>
                <w:lang w:val="en-US" w:eastAsia="zh-CN"/>
              </w:rPr>
              <w:t>纯水制备系统RO膜、树脂按使用周期定期整体更换（RO膜一般2~3年、树脂3~5年更换一次），按更换周期折算年产生量约0.05t/a，一般固废暂存区分类收集，厂家回收处置。</w:t>
            </w:r>
          </w:p>
          <w:p w14:paraId="2F6D46E7">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sz w:val="24"/>
                <w:highlight w:val="none"/>
                <w:lang w:val="en-US" w:eastAsia="zh-CN"/>
              </w:rPr>
            </w:pPr>
            <w:r>
              <w:rPr>
                <w:rFonts w:hint="default" w:ascii="Times New Roman" w:hAnsi="Times New Roman" w:eastAsia="宋体" w:cs="Times New Roman"/>
                <w:sz w:val="24"/>
                <w:highlight w:val="none"/>
                <w:lang w:val="en-US" w:eastAsia="zh-CN"/>
              </w:rPr>
              <w:t>⑦废超滤膜（电泳线）</w:t>
            </w:r>
          </w:p>
          <w:p w14:paraId="00929716">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sz w:val="24"/>
                <w:highlight w:val="none"/>
                <w:lang w:val="en-US" w:eastAsia="zh-CN"/>
              </w:rPr>
            </w:pPr>
            <w:r>
              <w:rPr>
                <w:rFonts w:hint="default" w:ascii="Times New Roman" w:hAnsi="Times New Roman" w:eastAsia="宋体" w:cs="Times New Roman"/>
                <w:sz w:val="24"/>
                <w:highlight w:val="none"/>
                <w:lang w:val="en-US" w:eastAsia="zh-CN"/>
              </w:rPr>
              <w:t>电泳超滤循环系统超滤膜组件定期更换（一般2~3年），按膜组件数量及更换周期折算年产生量约0.02t/a，一般固废暂存区分类收集，厂家回收处置。</w:t>
            </w:r>
          </w:p>
          <w:p w14:paraId="5A1ABF58">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⑧一般废包装材料</w:t>
            </w:r>
          </w:p>
          <w:p w14:paraId="0BA20364">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sz w:val="24"/>
                <w:highlight w:val="none"/>
                <w:lang w:val="en-US" w:eastAsia="zh-CN"/>
              </w:rPr>
            </w:pPr>
            <w:r>
              <w:rPr>
                <w:rFonts w:hint="eastAsia" w:ascii="Times New Roman" w:hAnsi="Times New Roman" w:cs="Times New Roman"/>
                <w:sz w:val="24"/>
                <w:highlight w:val="none"/>
                <w:lang w:val="en-US" w:eastAsia="zh-CN"/>
              </w:rPr>
              <w:t>水性漆桶</w:t>
            </w:r>
            <w:r>
              <w:rPr>
                <w:rFonts w:hint="eastAsia" w:ascii="Times New Roman" w:hAnsi="Times New Roman" w:cs="Times New Roman"/>
                <w:sz w:val="24"/>
                <w:highlight w:val="none"/>
                <w:lang w:val="en-US" w:eastAsia="zh-CN"/>
              </w:rPr>
              <w:t>、</w:t>
            </w:r>
            <w:r>
              <w:rPr>
                <w:rFonts w:hint="default" w:ascii="Times New Roman" w:hAnsi="Times New Roman" w:eastAsia="宋体" w:cs="Times New Roman"/>
                <w:sz w:val="24"/>
                <w:highlight w:val="none"/>
                <w:lang w:val="en-US" w:eastAsia="zh-CN"/>
              </w:rPr>
              <w:t>粉末涂料、蜂窝活性炭、污水处理药剂等原辅料包装（编织袋、纸箱、塑料包装等），按原料年用量及包装形式估算，年产生量约</w:t>
            </w:r>
            <w:r>
              <w:rPr>
                <w:rFonts w:hint="eastAsia" w:ascii="Times New Roman" w:hAnsi="Times New Roman" w:cs="Times New Roman"/>
                <w:sz w:val="24"/>
                <w:highlight w:val="none"/>
                <w:lang w:val="en-US" w:eastAsia="zh-CN"/>
              </w:rPr>
              <w:t>1</w:t>
            </w:r>
            <w:r>
              <w:rPr>
                <w:rFonts w:hint="default" w:ascii="Times New Roman" w:hAnsi="Times New Roman" w:eastAsia="宋体" w:cs="Times New Roman"/>
                <w:sz w:val="24"/>
                <w:highlight w:val="none"/>
                <w:lang w:val="en-US" w:eastAsia="zh-CN"/>
              </w:rPr>
              <w:t>t/a</w:t>
            </w:r>
            <w:r>
              <w:rPr>
                <w:rFonts w:hint="default" w:ascii="Times New Roman" w:hAnsi="Times New Roman" w:eastAsia="宋体" w:cs="Times New Roman"/>
                <w:sz w:val="24"/>
                <w:highlight w:val="none"/>
                <w:lang w:val="en-US" w:eastAsia="zh-CN"/>
              </w:rPr>
              <w:t>，一般固废暂存区分类收集，外售综合利用。</w:t>
            </w:r>
          </w:p>
          <w:p w14:paraId="54C8A649">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eastAsia="zh-CN"/>
              </w:rPr>
              <w:t>）危</w:t>
            </w:r>
            <w:r>
              <w:rPr>
                <w:rFonts w:hint="default" w:ascii="Times New Roman" w:hAnsi="Times New Roman" w:cs="Times New Roman"/>
                <w:color w:val="auto"/>
                <w:sz w:val="24"/>
                <w:szCs w:val="24"/>
                <w:highlight w:val="none"/>
                <w:lang w:val="en-US" w:eastAsia="zh-CN"/>
              </w:rPr>
              <w:t>险废物</w:t>
            </w:r>
          </w:p>
          <w:p w14:paraId="2CD0EE49">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①</w:t>
            </w:r>
            <w:r>
              <w:rPr>
                <w:rFonts w:hint="default" w:ascii="Times New Roman" w:hAnsi="Times New Roman" w:eastAsia="宋体" w:cs="Times New Roman"/>
                <w:sz w:val="24"/>
                <w:highlight w:val="none"/>
              </w:rPr>
              <w:t>废活性炭</w:t>
            </w:r>
          </w:p>
          <w:p w14:paraId="2F4E3755">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干式过滤+二级活性炭吸附</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装置蜂窝活性炭年装填更换量1.6t/a，活性炭吸附饱和后整体更换（更换频次3~6个月/次，视废气浓度调整），废活性炭产生量约等于年装填更换量，即1.6t/a，暂存于危废贮存库，定期交由资质单位处置。</w:t>
            </w:r>
          </w:p>
          <w:p w14:paraId="19D0F152">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②废漆渣、废纸盒、废过滤棉</w:t>
            </w:r>
          </w:p>
          <w:p w14:paraId="4684A6E0">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水性漆喷涂漆雾产生量0.42t/a，有组织收集漆雾经干式纸盒拦截的漆渣约0.32t/a；未附着固含沉降于喷房内壁及挂具的漆渣约0.97t/a（按水性漆不挥发物含量46%、附着率70%计，未附着固含约1.38t/a，其中约70%沉降于喷房内壁及挂具）；喷房内无组织逸散沉降漆渣约0.08t/a；干式纸盒定期更换产生废纸盒、废过滤棉约0.4t/a，废漆渣、废纸盒、废过滤棉合计约1.8t/a，暂存于危废贮存库，定期交由资质单位处置。</w:t>
            </w:r>
          </w:p>
          <w:p w14:paraId="508450A7">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③废化学品包装桶（袋）</w:t>
            </w:r>
          </w:p>
          <w:p w14:paraId="73DB84DE">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sz w:val="24"/>
                <w:highlight w:val="none"/>
              </w:rPr>
              <w:t>除油剂、擦洗剂、阴极电泳漆等桶装化学品及药剂包装桶（袋），按包装规格估算，年产生量约0.3t/a</w:t>
            </w:r>
            <w:r>
              <w:rPr>
                <w:rFonts w:hint="default" w:ascii="Times New Roman" w:hAnsi="Times New Roman" w:eastAsia="宋体" w:cs="Times New Roman"/>
                <w:sz w:val="24"/>
                <w:highlight w:val="none"/>
                <w:lang w:eastAsia="zh-CN"/>
              </w:rPr>
              <w:t>，</w:t>
            </w:r>
            <w:r>
              <w:rPr>
                <w:rFonts w:hint="default" w:ascii="Times New Roman" w:hAnsi="Times New Roman" w:cs="Times New Roman"/>
                <w:color w:val="auto"/>
                <w:sz w:val="24"/>
                <w:szCs w:val="24"/>
                <w:highlight w:val="none"/>
                <w:lang w:val="en-US" w:eastAsia="zh-CN"/>
              </w:rPr>
              <w:t>暂存于危废贮存库，定期交由资质单位处置。</w:t>
            </w:r>
          </w:p>
          <w:p w14:paraId="385871F2">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color w:val="auto"/>
                <w:sz w:val="24"/>
                <w:szCs w:val="24"/>
                <w:highlight w:val="none"/>
                <w:lang w:val="en-US" w:eastAsia="zh-CN"/>
              </w:rPr>
              <w:instrText xml:space="preserve"> = 4 \* GB3 \* MERGEFORMAT </w:instrText>
            </w:r>
            <w:r>
              <w:rPr>
                <w:rFonts w:hint="default" w:ascii="Times New Roman" w:hAnsi="Times New Roman" w:cs="Times New Roman"/>
                <w:color w:val="auto"/>
                <w:sz w:val="24"/>
                <w:szCs w:val="24"/>
                <w:highlight w:val="none"/>
                <w:lang w:val="en-US" w:eastAsia="zh-CN"/>
              </w:rPr>
              <w:fldChar w:fldCharType="separate"/>
            </w:r>
            <w:r>
              <w:rPr>
                <w:rFonts w:hint="default" w:ascii="Times New Roman" w:hAnsi="Times New Roman" w:cs="Times New Roman"/>
                <w:sz w:val="24"/>
                <w:szCs w:val="24"/>
                <w:highlight w:val="none"/>
              </w:rPr>
              <w:t>④</w:t>
            </w:r>
            <w:r>
              <w:rPr>
                <w:rFonts w:hint="default" w:ascii="Times New Roman" w:hAnsi="Times New Roman" w:cs="Times New Roman"/>
                <w:color w:val="auto"/>
                <w:sz w:val="24"/>
                <w:szCs w:val="24"/>
                <w:highlight w:val="none"/>
                <w:lang w:val="en-US" w:eastAsia="zh-CN"/>
              </w:rPr>
              <w:fldChar w:fldCharType="end"/>
            </w:r>
            <w:r>
              <w:rPr>
                <w:rFonts w:hint="default" w:ascii="Times New Roman" w:hAnsi="Times New Roman" w:eastAsia="宋体" w:cs="Times New Roman"/>
                <w:sz w:val="24"/>
                <w:highlight w:val="none"/>
              </w:rPr>
              <w:t>废水处理污泥</w:t>
            </w:r>
          </w:p>
          <w:p w14:paraId="23A9EE22">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废水处理站处理清洗废水、电泳废水及车间地面清洁水合计约600m³/a，投加PAC、PAM混凝沉淀并经MBR膜生物反应器生化处理，类比同类小型废水处理设施，污泥（含水率约80%）产生量约1.5t/a，经危险特性鉴别后按相应类别管理，暂存于危废贮存库，定期交由资质单位处置。</w:t>
            </w:r>
          </w:p>
          <w:p w14:paraId="45C94ADE">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szCs w:val="24"/>
                <w:highlight w:val="none"/>
              </w:rPr>
              <w:fldChar w:fldCharType="begin"/>
            </w:r>
            <w:r>
              <w:rPr>
                <w:rFonts w:hint="default" w:ascii="Times New Roman" w:hAnsi="Times New Roman" w:eastAsia="宋体" w:cs="Times New Roman"/>
                <w:sz w:val="24"/>
                <w:szCs w:val="24"/>
                <w:highlight w:val="none"/>
              </w:rPr>
              <w:instrText xml:space="preserve"> = 5 \* GB3 \* MERGEFORMAT </w:instrText>
            </w:r>
            <w:r>
              <w:rPr>
                <w:rFonts w:hint="default" w:ascii="Times New Roman" w:hAnsi="Times New Roman" w:eastAsia="宋体" w:cs="Times New Roman"/>
                <w:sz w:val="24"/>
                <w:szCs w:val="24"/>
                <w:highlight w:val="none"/>
              </w:rPr>
              <w:fldChar w:fldCharType="separate"/>
            </w:r>
            <w:r>
              <w:rPr>
                <w:rFonts w:hint="default" w:ascii="Times New Roman" w:hAnsi="Times New Roman" w:cs="Times New Roman"/>
                <w:sz w:val="24"/>
                <w:szCs w:val="24"/>
                <w:highlight w:val="none"/>
              </w:rPr>
              <w:t>⑤</w:t>
            </w:r>
            <w:r>
              <w:rPr>
                <w:rFonts w:hint="default" w:ascii="Times New Roman" w:hAnsi="Times New Roman" w:eastAsia="宋体" w:cs="Times New Roman"/>
                <w:sz w:val="24"/>
                <w:szCs w:val="24"/>
                <w:highlight w:val="none"/>
              </w:rPr>
              <w:fldChar w:fldCharType="end"/>
            </w:r>
            <w:r>
              <w:rPr>
                <w:rFonts w:hint="default" w:ascii="Times New Roman" w:hAnsi="Times New Roman" w:eastAsia="宋体" w:cs="Times New Roman"/>
                <w:sz w:val="24"/>
                <w:highlight w:val="none"/>
              </w:rPr>
              <w:t>电泳槽渣</w:t>
            </w:r>
          </w:p>
          <w:p w14:paraId="60A196C7">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sz w:val="24"/>
                <w:highlight w:val="none"/>
                <w:lang w:val="en-US" w:eastAsia="zh-CN"/>
              </w:rPr>
              <w:t>电泳槽定期清槽及超滤过滤残渣，按阴极电泳漆年用量1.2t/a的8%~10%估算，产生量约0.1t/a，</w:t>
            </w:r>
            <w:r>
              <w:rPr>
                <w:rFonts w:hint="default" w:ascii="Times New Roman" w:hAnsi="Times New Roman" w:cs="Times New Roman"/>
                <w:color w:val="auto"/>
                <w:sz w:val="24"/>
                <w:szCs w:val="24"/>
                <w:highlight w:val="none"/>
                <w:lang w:val="en-US" w:eastAsia="zh-CN"/>
              </w:rPr>
              <w:t>暂存于危废贮存库，定期交由资质单位处置。</w:t>
            </w:r>
          </w:p>
          <w:p w14:paraId="31736C22">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sz w:val="24"/>
                <w:highlight w:val="none"/>
              </w:rPr>
            </w:pPr>
            <w:r>
              <w:rPr>
                <w:rFonts w:hint="default" w:ascii="Times New Roman" w:hAnsi="Times New Roman" w:eastAsia="微软雅黑" w:cs="Times New Roman"/>
                <w:sz w:val="24"/>
                <w:highlight w:val="none"/>
              </w:rPr>
              <w:t>⑥</w:t>
            </w:r>
            <w:r>
              <w:rPr>
                <w:rFonts w:hint="default" w:ascii="Times New Roman" w:hAnsi="Times New Roman" w:eastAsia="宋体" w:cs="Times New Roman"/>
                <w:sz w:val="24"/>
                <w:highlight w:val="none"/>
              </w:rPr>
              <w:t>废机油及油桶</w:t>
            </w:r>
          </w:p>
          <w:p w14:paraId="122A533C">
            <w:pPr>
              <w:pStyle w:val="51"/>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sz w:val="24"/>
                <w:highlight w:val="none"/>
                <w:lang w:val="en-US" w:eastAsia="zh-CN"/>
              </w:rPr>
            </w:pPr>
            <w:r>
              <w:rPr>
                <w:rFonts w:hint="default" w:ascii="Times New Roman" w:hAnsi="Times New Roman" w:eastAsia="宋体" w:cs="Times New Roman"/>
                <w:sz w:val="24"/>
                <w:highlight w:val="none"/>
              </w:rPr>
              <w:t>抛丸机、风机、空压机、水泵等设备定期维护保养更换机油，类比同类项目，年产生废机油及废油桶约0.1t/a</w:t>
            </w:r>
            <w:r>
              <w:rPr>
                <w:rFonts w:hint="default" w:ascii="Times New Roman" w:hAnsi="Times New Roman" w:eastAsia="宋体" w:cs="Times New Roman"/>
                <w:sz w:val="24"/>
                <w:highlight w:val="none"/>
                <w:lang w:val="en-US" w:eastAsia="zh-CN"/>
              </w:rPr>
              <w:t>，</w:t>
            </w:r>
            <w:r>
              <w:rPr>
                <w:rFonts w:hint="default" w:ascii="Times New Roman" w:hAnsi="Times New Roman" w:cs="Times New Roman"/>
                <w:color w:val="auto"/>
                <w:sz w:val="24"/>
                <w:szCs w:val="24"/>
                <w:highlight w:val="none"/>
                <w:lang w:val="en-US" w:eastAsia="zh-CN"/>
              </w:rPr>
              <w:t>暂存于危废贮存库，定期交由资质单位处置。</w:t>
            </w:r>
          </w:p>
          <w:p w14:paraId="00A79D4E">
            <w:pPr>
              <w:pStyle w:val="51"/>
              <w:keepNext w:val="0"/>
              <w:keepLines w:val="0"/>
              <w:suppressLineNumbers w:val="0"/>
              <w:spacing w:before="131" w:beforeAutospacing="0" w:after="0" w:afterAutospacing="0" w:line="219" w:lineRule="auto"/>
              <w:ind w:left="464" w:right="0"/>
              <w:rPr>
                <w:rFonts w:hint="default" w:ascii="Times New Roman" w:hAnsi="Times New Roman" w:cs="Times New Roman"/>
                <w:color w:val="auto"/>
                <w:spacing w:val="1"/>
                <w:sz w:val="21"/>
                <w:szCs w:val="21"/>
                <w:highlight w:val="none"/>
                <w14:textOutline w14:w="3175" w14:cap="flat" w14:cmpd="sng" w14:algn="ctr">
                  <w14:solidFill>
                    <w14:srgbClr w14:val="000000"/>
                  </w14:solidFill>
                  <w14:prstDash w14:val="solid"/>
                  <w14:miter w14:val="0"/>
                </w14:textOutline>
              </w:rPr>
            </w:pPr>
            <w:r>
              <w:rPr>
                <w:rFonts w:hint="default" w:ascii="Times New Roman" w:hAnsi="Times New Roman" w:cs="Times New Roman"/>
                <w:color w:val="auto"/>
                <w:sz w:val="24"/>
                <w:szCs w:val="24"/>
                <w:highlight w:val="none"/>
                <w:lang w:eastAsia="zh-CN"/>
              </w:rPr>
              <w:t>本项目</w:t>
            </w:r>
            <w:r>
              <w:rPr>
                <w:rFonts w:hint="default" w:ascii="Times New Roman" w:hAnsi="Times New Roman" w:cs="Times New Roman"/>
                <w:color w:val="auto"/>
                <w:sz w:val="24"/>
                <w:szCs w:val="24"/>
                <w:highlight w:val="none"/>
                <w:lang w:val="en-US" w:eastAsia="zh-CN"/>
              </w:rPr>
              <w:t>固体废物</w:t>
            </w:r>
            <w:r>
              <w:rPr>
                <w:rFonts w:hint="default" w:ascii="Times New Roman" w:hAnsi="Times New Roman" w:cs="Times New Roman"/>
                <w:color w:val="auto"/>
                <w:sz w:val="24"/>
                <w:szCs w:val="24"/>
                <w:highlight w:val="none"/>
                <w:lang w:eastAsia="zh-CN"/>
              </w:rPr>
              <w:t>产生和处置情况见</w:t>
            </w:r>
            <w:r>
              <w:rPr>
                <w:rFonts w:hint="default" w:ascii="Times New Roman" w:hAnsi="Times New Roman" w:cs="Times New Roman"/>
                <w:color w:val="auto"/>
                <w:sz w:val="24"/>
                <w:szCs w:val="24"/>
                <w:highlight w:val="none"/>
                <w:lang w:val="en-US" w:eastAsia="zh-CN"/>
              </w:rPr>
              <w:t>下表。</w:t>
            </w:r>
          </w:p>
          <w:p w14:paraId="306F8662">
            <w:pPr>
              <w:pStyle w:val="51"/>
              <w:keepNext w:val="0"/>
              <w:keepLines w:val="0"/>
              <w:suppressLineNumbers w:val="0"/>
              <w:spacing w:before="131" w:beforeAutospacing="0" w:after="0" w:afterAutospacing="0" w:line="219" w:lineRule="auto"/>
              <w:ind w:left="464" w:right="0"/>
              <w:jc w:val="center"/>
              <w:rPr>
                <w:rFonts w:hint="default" w:ascii="Times New Roman" w:hAnsi="Times New Roman" w:cs="Times New Roman"/>
                <w:b/>
                <w:bCs/>
                <w:color w:val="auto"/>
                <w:sz w:val="24"/>
                <w:szCs w:val="24"/>
                <w:highlight w:val="none"/>
                <w:lang w:eastAsia="zh-CN"/>
              </w:rPr>
            </w:pPr>
            <w:r>
              <w:rPr>
                <w:rFonts w:hint="default" w:ascii="Times New Roman" w:hAnsi="Times New Roman" w:cs="Times New Roman"/>
                <w:b/>
                <w:bCs/>
                <w:color w:val="auto"/>
                <w:sz w:val="24"/>
                <w:szCs w:val="24"/>
                <w:highlight w:val="none"/>
                <w:lang w:eastAsia="zh-CN"/>
              </w:rPr>
              <w:t>表4-</w:t>
            </w:r>
            <w:r>
              <w:rPr>
                <w:rFonts w:hint="default" w:ascii="Times New Roman" w:hAnsi="Times New Roman" w:cs="Times New Roman"/>
                <w:b/>
                <w:bCs/>
                <w:color w:val="auto"/>
                <w:sz w:val="24"/>
                <w:szCs w:val="24"/>
                <w:highlight w:val="none"/>
                <w:lang w:val="en-US" w:eastAsia="zh-CN"/>
              </w:rPr>
              <w:t>10</w:t>
            </w:r>
            <w:r>
              <w:rPr>
                <w:rFonts w:hint="default" w:ascii="Times New Roman" w:hAnsi="Times New Roman" w:cs="Times New Roman"/>
                <w:b/>
                <w:bCs/>
                <w:color w:val="auto"/>
                <w:sz w:val="24"/>
                <w:szCs w:val="24"/>
                <w:highlight w:val="none"/>
                <w:lang w:eastAsia="zh-CN"/>
              </w:rPr>
              <w:t xml:space="preserve">  固废产生与处置情况一览表</w:t>
            </w:r>
          </w:p>
          <w:tbl>
            <w:tblPr>
              <w:tblStyle w:val="32"/>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675"/>
              <w:gridCol w:w="1454"/>
              <w:gridCol w:w="930"/>
              <w:gridCol w:w="1095"/>
              <w:gridCol w:w="1680"/>
              <w:gridCol w:w="2335"/>
            </w:tblGrid>
            <w:tr w14:paraId="4146264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13" w:hRule="atLeast"/>
                <w:tblHeader/>
                <w:jc w:val="center"/>
              </w:trPr>
              <w:tc>
                <w:tcPr>
                  <w:tcW w:w="675" w:type="dxa"/>
                  <w:vAlign w:val="center"/>
                </w:tcPr>
                <w:p w14:paraId="027680B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序号</w:t>
                  </w:r>
                </w:p>
              </w:tc>
              <w:tc>
                <w:tcPr>
                  <w:tcW w:w="1454" w:type="dxa"/>
                  <w:vAlign w:val="center"/>
                </w:tcPr>
                <w:p w14:paraId="1550952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固废名称</w:t>
                  </w:r>
                </w:p>
              </w:tc>
              <w:tc>
                <w:tcPr>
                  <w:tcW w:w="930" w:type="dxa"/>
                  <w:vAlign w:val="center"/>
                </w:tcPr>
                <w:p w14:paraId="6A2D3A8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产生量</w:t>
                  </w:r>
                  <w:r>
                    <w:rPr>
                      <w:rFonts w:hint="eastAsia" w:cs="Times New Roman"/>
                      <w:b/>
                      <w:sz w:val="21"/>
                      <w:szCs w:val="21"/>
                      <w:highlight w:val="none"/>
                      <w:lang w:eastAsia="zh-CN"/>
                    </w:rPr>
                    <w:t>（</w:t>
                  </w:r>
                  <w:r>
                    <w:rPr>
                      <w:rFonts w:hint="default" w:ascii="Times New Roman" w:hAnsi="Times New Roman" w:eastAsia="宋体" w:cs="Times New Roman"/>
                      <w:b/>
                      <w:sz w:val="21"/>
                      <w:szCs w:val="21"/>
                      <w:highlight w:val="none"/>
                    </w:rPr>
                    <w:t>t/a</w:t>
                  </w:r>
                  <w:r>
                    <w:rPr>
                      <w:rFonts w:hint="eastAsia" w:cs="Times New Roman"/>
                      <w:b/>
                      <w:sz w:val="21"/>
                      <w:szCs w:val="21"/>
                      <w:highlight w:val="none"/>
                      <w:lang w:eastAsia="zh-CN"/>
                    </w:rPr>
                    <w:t>）</w:t>
                  </w:r>
                </w:p>
              </w:tc>
              <w:tc>
                <w:tcPr>
                  <w:tcW w:w="1095" w:type="dxa"/>
                  <w:vAlign w:val="center"/>
                </w:tcPr>
                <w:p w14:paraId="2B61211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属性</w:t>
                  </w:r>
                </w:p>
              </w:tc>
              <w:tc>
                <w:tcPr>
                  <w:tcW w:w="1680" w:type="dxa"/>
                  <w:vAlign w:val="center"/>
                </w:tcPr>
                <w:p w14:paraId="15D5533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废物代码</w:t>
                  </w:r>
                </w:p>
              </w:tc>
              <w:tc>
                <w:tcPr>
                  <w:tcW w:w="2335" w:type="dxa"/>
                  <w:vAlign w:val="center"/>
                </w:tcPr>
                <w:p w14:paraId="1BBA9FA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贮存及处置措施</w:t>
                  </w:r>
                </w:p>
              </w:tc>
            </w:tr>
            <w:tr w14:paraId="4FF79E1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3CE121D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sz w:val="21"/>
                      <w:szCs w:val="21"/>
                      <w:highlight w:val="none"/>
                    </w:rPr>
                  </w:pPr>
                  <w:r>
                    <w:rPr>
                      <w:rFonts w:hint="default" w:ascii="Times New Roman" w:hAnsi="Times New Roman" w:eastAsia="宋体" w:cs="Times New Roman"/>
                      <w:sz w:val="21"/>
                      <w:szCs w:val="21"/>
                      <w:highlight w:val="none"/>
                    </w:rPr>
                    <w:t>1</w:t>
                  </w:r>
                </w:p>
              </w:tc>
              <w:tc>
                <w:tcPr>
                  <w:tcW w:w="1454" w:type="dxa"/>
                  <w:vAlign w:val="center"/>
                </w:tcPr>
                <w:p w14:paraId="090B1126">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sz w:val="21"/>
                      <w:szCs w:val="21"/>
                      <w:highlight w:val="none"/>
                    </w:rPr>
                    <w:t>生活垃圾</w:t>
                  </w:r>
                </w:p>
              </w:tc>
              <w:tc>
                <w:tcPr>
                  <w:tcW w:w="930" w:type="dxa"/>
                  <w:vAlign w:val="center"/>
                </w:tcPr>
                <w:p w14:paraId="118437D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sz w:val="21"/>
                      <w:szCs w:val="21"/>
                      <w:highlight w:val="none"/>
                      <w:lang w:val="en-US" w:eastAsia="zh-CN"/>
                    </w:rPr>
                  </w:pPr>
                  <w:r>
                    <w:rPr>
                      <w:rFonts w:hint="default" w:ascii="Times New Roman" w:hAnsi="Times New Roman" w:eastAsia="宋体" w:cs="Times New Roman"/>
                      <w:sz w:val="21"/>
                      <w:szCs w:val="21"/>
                      <w:highlight w:val="none"/>
                    </w:rPr>
                    <w:t>1.</w:t>
                  </w:r>
                  <w:r>
                    <w:rPr>
                      <w:rFonts w:hint="default" w:ascii="Times New Roman" w:hAnsi="Times New Roman" w:cs="Times New Roman"/>
                      <w:sz w:val="21"/>
                      <w:szCs w:val="21"/>
                      <w:highlight w:val="none"/>
                      <w:lang w:val="en-US" w:eastAsia="zh-CN"/>
                    </w:rPr>
                    <w:t>4</w:t>
                  </w:r>
                </w:p>
              </w:tc>
              <w:tc>
                <w:tcPr>
                  <w:tcW w:w="1095" w:type="dxa"/>
                  <w:vAlign w:val="center"/>
                </w:tcPr>
                <w:p w14:paraId="4F88C82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sz w:val="21"/>
                      <w:szCs w:val="21"/>
                      <w:highlight w:val="none"/>
                    </w:rPr>
                  </w:pPr>
                  <w:r>
                    <w:rPr>
                      <w:rFonts w:hint="default" w:ascii="Times New Roman" w:hAnsi="Times New Roman" w:eastAsia="宋体" w:cs="Times New Roman"/>
                      <w:sz w:val="21"/>
                      <w:szCs w:val="21"/>
                      <w:highlight w:val="none"/>
                    </w:rPr>
                    <w:t>生活垃圾</w:t>
                  </w:r>
                </w:p>
              </w:tc>
              <w:tc>
                <w:tcPr>
                  <w:tcW w:w="1680" w:type="dxa"/>
                  <w:vAlign w:val="center"/>
                </w:tcPr>
                <w:p w14:paraId="02B2E098">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color w:val="auto"/>
                      <w:sz w:val="21"/>
                      <w:szCs w:val="21"/>
                      <w:highlight w:val="none"/>
                      <w:lang w:val="en-US" w:eastAsia="zh-CN"/>
                    </w:rPr>
                    <w:t>SW64</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900-099-S64</w:t>
                  </w:r>
                  <w:r>
                    <w:rPr>
                      <w:rFonts w:hint="default" w:ascii="Times New Roman" w:hAnsi="Times New Roman" w:cs="Times New Roman"/>
                      <w:color w:val="auto"/>
                      <w:sz w:val="21"/>
                      <w:szCs w:val="21"/>
                      <w:highlight w:val="none"/>
                      <w:lang w:val="en-US" w:eastAsia="zh-CN"/>
                    </w:rPr>
                    <w:t>）</w:t>
                  </w:r>
                </w:p>
              </w:tc>
              <w:tc>
                <w:tcPr>
                  <w:tcW w:w="2335" w:type="dxa"/>
                  <w:vAlign w:val="center"/>
                </w:tcPr>
                <w:p w14:paraId="3DAF6F3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sz w:val="21"/>
                      <w:szCs w:val="21"/>
                      <w:highlight w:val="none"/>
                    </w:rPr>
                    <w:t>分类垃圾桶收集，园区环卫部门统一清运</w:t>
                  </w:r>
                </w:p>
              </w:tc>
            </w:tr>
            <w:tr w14:paraId="4D8D705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795FF41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cs="Times New Roman"/>
                      <w:b w:val="0"/>
                      <w:sz w:val="21"/>
                      <w:szCs w:val="21"/>
                      <w:highlight w:val="none"/>
                      <w:lang w:val="en-US" w:eastAsia="zh-CN"/>
                    </w:rPr>
                    <w:t>2</w:t>
                  </w:r>
                </w:p>
              </w:tc>
              <w:tc>
                <w:tcPr>
                  <w:tcW w:w="1454" w:type="dxa"/>
                  <w:vAlign w:val="center"/>
                </w:tcPr>
                <w:p w14:paraId="51761B23">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抛丸钢渣（氧化皮、锈渣）</w:t>
                  </w:r>
                </w:p>
              </w:tc>
              <w:tc>
                <w:tcPr>
                  <w:tcW w:w="930" w:type="dxa"/>
                  <w:vAlign w:val="center"/>
                </w:tcPr>
                <w:p w14:paraId="346662E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2.5</w:t>
                  </w:r>
                </w:p>
              </w:tc>
              <w:tc>
                <w:tcPr>
                  <w:tcW w:w="1095" w:type="dxa"/>
                  <w:vAlign w:val="center"/>
                </w:tcPr>
                <w:p w14:paraId="0C3FC5D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一般工业固废</w:t>
                  </w:r>
                </w:p>
              </w:tc>
              <w:tc>
                <w:tcPr>
                  <w:tcW w:w="1680" w:type="dxa"/>
                  <w:vAlign w:val="center"/>
                </w:tcPr>
                <w:p w14:paraId="0794ED3F">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SW17（900-999-64）</w:t>
                  </w:r>
                </w:p>
              </w:tc>
              <w:tc>
                <w:tcPr>
                  <w:tcW w:w="2335" w:type="dxa"/>
                  <w:vAlign w:val="center"/>
                </w:tcPr>
                <w:p w14:paraId="0F6B541F">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一般固废暂存区分类收集，外售综合利用</w:t>
                  </w:r>
                </w:p>
              </w:tc>
            </w:tr>
            <w:tr w14:paraId="0600625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1CC63C5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cs="Times New Roman"/>
                      <w:b w:val="0"/>
                      <w:sz w:val="21"/>
                      <w:szCs w:val="21"/>
                      <w:highlight w:val="none"/>
                      <w:lang w:val="en-US" w:eastAsia="zh-CN"/>
                    </w:rPr>
                    <w:t>3</w:t>
                  </w:r>
                </w:p>
              </w:tc>
              <w:tc>
                <w:tcPr>
                  <w:tcW w:w="1454" w:type="dxa"/>
                  <w:vAlign w:val="center"/>
                </w:tcPr>
                <w:p w14:paraId="2D4D282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抛丸布袋除尘器收集粉尘</w:t>
                  </w:r>
                </w:p>
              </w:tc>
              <w:tc>
                <w:tcPr>
                  <w:tcW w:w="930" w:type="dxa"/>
                  <w:vAlign w:val="center"/>
                </w:tcPr>
                <w:p w14:paraId="5877CDA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3.82</w:t>
                  </w:r>
                </w:p>
              </w:tc>
              <w:tc>
                <w:tcPr>
                  <w:tcW w:w="1095" w:type="dxa"/>
                  <w:vAlign w:val="center"/>
                </w:tcPr>
                <w:p w14:paraId="6217C00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一般工业固废</w:t>
                  </w:r>
                </w:p>
              </w:tc>
              <w:tc>
                <w:tcPr>
                  <w:tcW w:w="1680" w:type="dxa"/>
                  <w:vAlign w:val="center"/>
                </w:tcPr>
                <w:p w14:paraId="6067C92F">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SW17（900-999-64）</w:t>
                  </w:r>
                </w:p>
              </w:tc>
              <w:tc>
                <w:tcPr>
                  <w:tcW w:w="2335" w:type="dxa"/>
                  <w:vAlign w:val="center"/>
                </w:tcPr>
                <w:p w14:paraId="76DC6F4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一般固废暂存区分类收集，外售综合利用</w:t>
                  </w:r>
                </w:p>
              </w:tc>
            </w:tr>
            <w:tr w14:paraId="10B8BAF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5F863ED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cs="Times New Roman"/>
                      <w:b w:val="0"/>
                      <w:sz w:val="21"/>
                      <w:szCs w:val="21"/>
                      <w:highlight w:val="none"/>
                      <w:lang w:val="en-US" w:eastAsia="zh-CN"/>
                    </w:rPr>
                    <w:t>4</w:t>
                  </w:r>
                </w:p>
              </w:tc>
              <w:tc>
                <w:tcPr>
                  <w:tcW w:w="1454" w:type="dxa"/>
                  <w:vAlign w:val="center"/>
                </w:tcPr>
                <w:p w14:paraId="1DA48E8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废钢丸</w:t>
                  </w:r>
                </w:p>
              </w:tc>
              <w:tc>
                <w:tcPr>
                  <w:tcW w:w="930" w:type="dxa"/>
                  <w:vAlign w:val="center"/>
                </w:tcPr>
                <w:p w14:paraId="56A01FB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0.56</w:t>
                  </w:r>
                </w:p>
              </w:tc>
              <w:tc>
                <w:tcPr>
                  <w:tcW w:w="1095" w:type="dxa"/>
                  <w:vAlign w:val="center"/>
                </w:tcPr>
                <w:p w14:paraId="2F9140C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一般工业固废</w:t>
                  </w:r>
                </w:p>
              </w:tc>
              <w:tc>
                <w:tcPr>
                  <w:tcW w:w="1680" w:type="dxa"/>
                  <w:vAlign w:val="center"/>
                </w:tcPr>
                <w:p w14:paraId="3540C29E">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SW17（900-999-64）</w:t>
                  </w:r>
                </w:p>
              </w:tc>
              <w:tc>
                <w:tcPr>
                  <w:tcW w:w="2335" w:type="dxa"/>
                  <w:vAlign w:val="center"/>
                </w:tcPr>
                <w:p w14:paraId="44BCEABB">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一般固废暂存区分类收集，外售综合利用</w:t>
                  </w:r>
                </w:p>
              </w:tc>
            </w:tr>
            <w:tr w14:paraId="3CB079B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1A7C03D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cs="Times New Roman"/>
                      <w:b w:val="0"/>
                      <w:sz w:val="21"/>
                      <w:szCs w:val="21"/>
                      <w:highlight w:val="none"/>
                      <w:lang w:val="en-US" w:eastAsia="zh-CN"/>
                    </w:rPr>
                    <w:t>5</w:t>
                  </w:r>
                </w:p>
              </w:tc>
              <w:tc>
                <w:tcPr>
                  <w:tcW w:w="1454" w:type="dxa"/>
                  <w:vAlign w:val="center"/>
                </w:tcPr>
                <w:p w14:paraId="1FBF89B5">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回收粉末（</w:t>
                  </w:r>
                  <w:r>
                    <w:rPr>
                      <w:rFonts w:hint="default" w:ascii="Times New Roman" w:hAnsi="Times New Roman" w:cs="Times New Roman"/>
                      <w:color w:val="auto"/>
                      <w:highlight w:val="none"/>
                    </w:rPr>
                    <w:t>旋风除尘器+滤筒除尘器收集</w:t>
                  </w:r>
                  <w:r>
                    <w:rPr>
                      <w:rFonts w:hint="default" w:ascii="Times New Roman" w:hAnsi="Times New Roman" w:eastAsia="宋体" w:cs="Times New Roman"/>
                      <w:b w:val="0"/>
                      <w:color w:val="auto"/>
                      <w:sz w:val="21"/>
                      <w:szCs w:val="21"/>
                      <w:highlight w:val="none"/>
                    </w:rPr>
                    <w:t>）</w:t>
                  </w:r>
                </w:p>
              </w:tc>
              <w:tc>
                <w:tcPr>
                  <w:tcW w:w="930" w:type="dxa"/>
                  <w:vAlign w:val="center"/>
                </w:tcPr>
                <w:p w14:paraId="5A73909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回用于生产</w:t>
                  </w:r>
                </w:p>
              </w:tc>
              <w:tc>
                <w:tcPr>
                  <w:tcW w:w="1095" w:type="dxa"/>
                  <w:vAlign w:val="center"/>
                </w:tcPr>
                <w:p w14:paraId="23F4715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一般工业固废</w:t>
                  </w:r>
                </w:p>
              </w:tc>
              <w:tc>
                <w:tcPr>
                  <w:tcW w:w="1680" w:type="dxa"/>
                  <w:vAlign w:val="center"/>
                </w:tcPr>
                <w:p w14:paraId="368178EC">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w:t>
                  </w:r>
                </w:p>
              </w:tc>
              <w:tc>
                <w:tcPr>
                  <w:tcW w:w="2335" w:type="dxa"/>
                  <w:vAlign w:val="center"/>
                </w:tcPr>
                <w:p w14:paraId="3D916FF8">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密闭收集，回用于喷粉工序</w:t>
                  </w:r>
                </w:p>
              </w:tc>
            </w:tr>
            <w:tr w14:paraId="45E8093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05B71BF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cs="Times New Roman"/>
                      <w:b w:val="0"/>
                      <w:sz w:val="21"/>
                      <w:szCs w:val="21"/>
                      <w:highlight w:val="none"/>
                      <w:lang w:val="en-US" w:eastAsia="zh-CN"/>
                    </w:rPr>
                    <w:t>6</w:t>
                  </w:r>
                </w:p>
              </w:tc>
              <w:tc>
                <w:tcPr>
                  <w:tcW w:w="1454" w:type="dxa"/>
                  <w:vAlign w:val="center"/>
                </w:tcPr>
                <w:p w14:paraId="506642CC">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废滤芯滤筒</w:t>
                  </w:r>
                </w:p>
              </w:tc>
              <w:tc>
                <w:tcPr>
                  <w:tcW w:w="930" w:type="dxa"/>
                  <w:vAlign w:val="center"/>
                </w:tcPr>
                <w:p w14:paraId="1DE2A0F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0.3</w:t>
                  </w:r>
                </w:p>
              </w:tc>
              <w:tc>
                <w:tcPr>
                  <w:tcW w:w="1095" w:type="dxa"/>
                  <w:vAlign w:val="center"/>
                </w:tcPr>
                <w:p w14:paraId="041C22A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一般工业固废</w:t>
                  </w:r>
                </w:p>
              </w:tc>
              <w:tc>
                <w:tcPr>
                  <w:tcW w:w="1680" w:type="dxa"/>
                  <w:vAlign w:val="center"/>
                </w:tcPr>
                <w:p w14:paraId="1F3E32F0">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SW59（900-999-99）</w:t>
                  </w:r>
                </w:p>
              </w:tc>
              <w:tc>
                <w:tcPr>
                  <w:tcW w:w="2335" w:type="dxa"/>
                  <w:vAlign w:val="center"/>
                </w:tcPr>
                <w:p w14:paraId="23275EF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一般固废暂存区分类收集，外售</w:t>
                  </w:r>
                </w:p>
              </w:tc>
            </w:tr>
            <w:tr w14:paraId="4AFB234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19B0A67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cs="Times New Roman"/>
                      <w:b w:val="0"/>
                      <w:sz w:val="21"/>
                      <w:szCs w:val="21"/>
                      <w:highlight w:val="none"/>
                      <w:lang w:val="en-US" w:eastAsia="zh-CN"/>
                    </w:rPr>
                    <w:t>7</w:t>
                  </w:r>
                </w:p>
              </w:tc>
              <w:tc>
                <w:tcPr>
                  <w:tcW w:w="1454" w:type="dxa"/>
                  <w:vAlign w:val="center"/>
                </w:tcPr>
                <w:p w14:paraId="08B9FF3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废RO膜、废树脂</w:t>
                  </w:r>
                </w:p>
              </w:tc>
              <w:tc>
                <w:tcPr>
                  <w:tcW w:w="930" w:type="dxa"/>
                  <w:vAlign w:val="center"/>
                </w:tcPr>
                <w:p w14:paraId="0079E7D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0.05</w:t>
                  </w:r>
                </w:p>
              </w:tc>
              <w:tc>
                <w:tcPr>
                  <w:tcW w:w="1095" w:type="dxa"/>
                  <w:vAlign w:val="center"/>
                </w:tcPr>
                <w:p w14:paraId="7328609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一般工业固废</w:t>
                  </w:r>
                </w:p>
              </w:tc>
              <w:tc>
                <w:tcPr>
                  <w:tcW w:w="1680" w:type="dxa"/>
                  <w:vAlign w:val="center"/>
                </w:tcPr>
                <w:p w14:paraId="39A7ADD6">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SW59（900-999-99）</w:t>
                  </w:r>
                </w:p>
              </w:tc>
              <w:tc>
                <w:tcPr>
                  <w:tcW w:w="2335" w:type="dxa"/>
                  <w:vAlign w:val="center"/>
                </w:tcPr>
                <w:p w14:paraId="69BDA32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一般固废暂存区分类收集，厂家回收处置</w:t>
                  </w:r>
                </w:p>
              </w:tc>
            </w:tr>
            <w:tr w14:paraId="15A631F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38CFF5D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cs="Times New Roman"/>
                      <w:b w:val="0"/>
                      <w:sz w:val="21"/>
                      <w:szCs w:val="21"/>
                      <w:highlight w:val="none"/>
                      <w:lang w:val="en-US" w:eastAsia="zh-CN"/>
                    </w:rPr>
                    <w:t>8</w:t>
                  </w:r>
                </w:p>
              </w:tc>
              <w:tc>
                <w:tcPr>
                  <w:tcW w:w="1454" w:type="dxa"/>
                  <w:vAlign w:val="center"/>
                </w:tcPr>
                <w:p w14:paraId="6A252EC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废超滤膜（电泳线）</w:t>
                  </w:r>
                </w:p>
              </w:tc>
              <w:tc>
                <w:tcPr>
                  <w:tcW w:w="930" w:type="dxa"/>
                  <w:vAlign w:val="center"/>
                </w:tcPr>
                <w:p w14:paraId="4763958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0.02</w:t>
                  </w:r>
                </w:p>
              </w:tc>
              <w:tc>
                <w:tcPr>
                  <w:tcW w:w="1095" w:type="dxa"/>
                  <w:vAlign w:val="center"/>
                </w:tcPr>
                <w:p w14:paraId="0774B5D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一般工业固废</w:t>
                  </w:r>
                </w:p>
              </w:tc>
              <w:tc>
                <w:tcPr>
                  <w:tcW w:w="1680" w:type="dxa"/>
                  <w:vAlign w:val="center"/>
                </w:tcPr>
                <w:p w14:paraId="6514C0B9">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SW59（900-999-99）</w:t>
                  </w:r>
                </w:p>
              </w:tc>
              <w:tc>
                <w:tcPr>
                  <w:tcW w:w="2335" w:type="dxa"/>
                  <w:vAlign w:val="center"/>
                </w:tcPr>
                <w:p w14:paraId="44C9EE5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一般固废暂存区分类收集，厂家回收处置</w:t>
                  </w:r>
                </w:p>
              </w:tc>
            </w:tr>
            <w:tr w14:paraId="330A3EC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570542E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cs="Times New Roman"/>
                      <w:b w:val="0"/>
                      <w:sz w:val="21"/>
                      <w:szCs w:val="21"/>
                      <w:highlight w:val="none"/>
                      <w:lang w:val="en-US" w:eastAsia="zh-CN"/>
                    </w:rPr>
                    <w:t>9</w:t>
                  </w:r>
                </w:p>
              </w:tc>
              <w:tc>
                <w:tcPr>
                  <w:tcW w:w="1454" w:type="dxa"/>
                  <w:vAlign w:val="center"/>
                </w:tcPr>
                <w:p w14:paraId="7B9B8C3C">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一般废包装材料</w:t>
                  </w:r>
                </w:p>
              </w:tc>
              <w:tc>
                <w:tcPr>
                  <w:tcW w:w="930" w:type="dxa"/>
                  <w:vAlign w:val="center"/>
                </w:tcPr>
                <w:p w14:paraId="67BA8902">
                  <w:pPr>
                    <w:keepNext w:val="0"/>
                    <w:keepLines w:val="0"/>
                    <w:suppressLineNumbers w:val="0"/>
                    <w:spacing w:before="40" w:beforeAutospacing="0" w:after="40" w:afterAutospacing="0" w:line="240" w:lineRule="auto"/>
                    <w:ind w:left="0" w:right="0" w:firstLine="0" w:firstLineChars="0"/>
                    <w:jc w:val="center"/>
                    <w:rPr>
                      <w:rFonts w:hint="eastAsia" w:ascii="Times New Roman" w:hAnsi="Times New Roman" w:eastAsia="宋体" w:cs="Times New Roman"/>
                      <w:sz w:val="21"/>
                      <w:szCs w:val="21"/>
                      <w:highlight w:val="none"/>
                      <w:lang w:eastAsia="zh-CN"/>
                    </w:rPr>
                  </w:pPr>
                  <w:r>
                    <w:rPr>
                      <w:rFonts w:hint="eastAsia" w:ascii="Times New Roman" w:hAnsi="Times New Roman" w:cs="Times New Roman"/>
                      <w:b w:val="0"/>
                      <w:sz w:val="21"/>
                      <w:szCs w:val="21"/>
                      <w:highlight w:val="none"/>
                      <w:lang w:val="en-US" w:eastAsia="zh-CN"/>
                    </w:rPr>
                    <w:t>1</w:t>
                  </w:r>
                </w:p>
              </w:tc>
              <w:tc>
                <w:tcPr>
                  <w:tcW w:w="1095" w:type="dxa"/>
                  <w:vAlign w:val="center"/>
                </w:tcPr>
                <w:p w14:paraId="2E9ABB3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一般工业固废</w:t>
                  </w:r>
                </w:p>
              </w:tc>
              <w:tc>
                <w:tcPr>
                  <w:tcW w:w="1680" w:type="dxa"/>
                  <w:vAlign w:val="center"/>
                </w:tcPr>
                <w:p w14:paraId="444DD03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SW17（900-999-99）</w:t>
                  </w:r>
                </w:p>
              </w:tc>
              <w:tc>
                <w:tcPr>
                  <w:tcW w:w="2335" w:type="dxa"/>
                  <w:vAlign w:val="center"/>
                </w:tcPr>
                <w:p w14:paraId="26115E0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一般固废暂存区分类收集，外售综合利用</w:t>
                  </w:r>
                </w:p>
              </w:tc>
            </w:tr>
            <w:tr w14:paraId="7C4448C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5A73753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cs="Times New Roman"/>
                      <w:b w:val="0"/>
                      <w:sz w:val="21"/>
                      <w:szCs w:val="21"/>
                      <w:highlight w:val="none"/>
                      <w:lang w:val="en-US" w:eastAsia="zh-CN"/>
                    </w:rPr>
                    <w:t>10</w:t>
                  </w:r>
                </w:p>
              </w:tc>
              <w:tc>
                <w:tcPr>
                  <w:tcW w:w="1454" w:type="dxa"/>
                  <w:vAlign w:val="center"/>
                </w:tcPr>
                <w:p w14:paraId="58D80B50">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废活性炭</w:t>
                  </w:r>
                </w:p>
              </w:tc>
              <w:tc>
                <w:tcPr>
                  <w:tcW w:w="930" w:type="dxa"/>
                  <w:vAlign w:val="center"/>
                </w:tcPr>
                <w:p w14:paraId="3E19B6F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1.6</w:t>
                  </w:r>
                </w:p>
              </w:tc>
              <w:tc>
                <w:tcPr>
                  <w:tcW w:w="1095" w:type="dxa"/>
                  <w:vAlign w:val="center"/>
                </w:tcPr>
                <w:p w14:paraId="622D5AC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危险废物</w:t>
                  </w:r>
                </w:p>
              </w:tc>
              <w:tc>
                <w:tcPr>
                  <w:tcW w:w="1680" w:type="dxa"/>
                  <w:vAlign w:val="center"/>
                </w:tcPr>
                <w:p w14:paraId="55E7D90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HW49 900-039-49</w:t>
                  </w:r>
                </w:p>
              </w:tc>
              <w:tc>
                <w:tcPr>
                  <w:tcW w:w="2335" w:type="dxa"/>
                  <w:vAlign w:val="center"/>
                </w:tcPr>
                <w:p w14:paraId="29AB8A39">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暂存于危废贮存库，定期交由资质单位处置</w:t>
                  </w:r>
                </w:p>
              </w:tc>
            </w:tr>
            <w:tr w14:paraId="1709344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643D63B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b w:val="0"/>
                      <w:sz w:val="21"/>
                      <w:szCs w:val="21"/>
                      <w:highlight w:val="none"/>
                      <w:lang w:val="en-US" w:eastAsia="zh-CN"/>
                    </w:rPr>
                    <w:t>11</w:t>
                  </w:r>
                </w:p>
              </w:tc>
              <w:tc>
                <w:tcPr>
                  <w:tcW w:w="1454" w:type="dxa"/>
                  <w:vAlign w:val="center"/>
                </w:tcPr>
                <w:p w14:paraId="20DB131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lang w:val="en-US"/>
                    </w:rPr>
                  </w:pPr>
                  <w:r>
                    <w:rPr>
                      <w:rFonts w:hint="default" w:ascii="Times New Roman" w:hAnsi="Times New Roman" w:eastAsia="宋体" w:cs="Times New Roman"/>
                      <w:b w:val="0"/>
                      <w:sz w:val="21"/>
                      <w:szCs w:val="21"/>
                      <w:highlight w:val="none"/>
                    </w:rPr>
                    <w:t>废漆渣、</w:t>
                  </w:r>
                  <w:r>
                    <w:rPr>
                      <w:rFonts w:hint="default" w:ascii="Times New Roman" w:hAnsi="Times New Roman" w:cs="Times New Roman"/>
                      <w:color w:val="auto"/>
                      <w:sz w:val="21"/>
                      <w:szCs w:val="21"/>
                      <w:highlight w:val="none"/>
                      <w:lang w:val="en-US" w:eastAsia="zh-CN"/>
                    </w:rPr>
                    <w:t>废纸盒、废过滤棉</w:t>
                  </w:r>
                </w:p>
              </w:tc>
              <w:tc>
                <w:tcPr>
                  <w:tcW w:w="930" w:type="dxa"/>
                  <w:vAlign w:val="center"/>
                </w:tcPr>
                <w:p w14:paraId="58FC411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1.8</w:t>
                  </w:r>
                </w:p>
              </w:tc>
              <w:tc>
                <w:tcPr>
                  <w:tcW w:w="1095" w:type="dxa"/>
                  <w:vAlign w:val="center"/>
                </w:tcPr>
                <w:p w14:paraId="1D7F96C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危险废物</w:t>
                  </w:r>
                </w:p>
              </w:tc>
              <w:tc>
                <w:tcPr>
                  <w:tcW w:w="1680" w:type="dxa"/>
                  <w:vAlign w:val="center"/>
                </w:tcPr>
                <w:p w14:paraId="4EAD652A">
                  <w:pPr>
                    <w:keepNext w:val="0"/>
                    <w:keepLines w:val="0"/>
                    <w:suppressLineNumbers w:val="0"/>
                    <w:spacing w:before="40" w:beforeAutospacing="0" w:after="40" w:afterAutospacing="0" w:line="240" w:lineRule="auto"/>
                    <w:ind w:left="0" w:leftChars="0" w:right="0" w:rightChars="0" w:firstLine="0" w:firstLineChars="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HW12 900-252-12、HW49 900-041-49</w:t>
                  </w:r>
                </w:p>
              </w:tc>
              <w:tc>
                <w:tcPr>
                  <w:tcW w:w="2335" w:type="dxa"/>
                  <w:vAlign w:val="center"/>
                </w:tcPr>
                <w:p w14:paraId="1F810526">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暂存于危废贮存库，定期交由资质单位处置</w:t>
                  </w:r>
                </w:p>
              </w:tc>
            </w:tr>
            <w:tr w14:paraId="12D473D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5BF1BB3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b w:val="0"/>
                      <w:sz w:val="21"/>
                      <w:szCs w:val="21"/>
                      <w:highlight w:val="none"/>
                    </w:rPr>
                    <w:t>12</w:t>
                  </w:r>
                </w:p>
              </w:tc>
              <w:tc>
                <w:tcPr>
                  <w:tcW w:w="1454" w:type="dxa"/>
                  <w:vAlign w:val="center"/>
                </w:tcPr>
                <w:p w14:paraId="52E8B69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废化学品包装桶（袋）</w:t>
                  </w:r>
                </w:p>
              </w:tc>
              <w:tc>
                <w:tcPr>
                  <w:tcW w:w="930" w:type="dxa"/>
                  <w:vAlign w:val="center"/>
                </w:tcPr>
                <w:p w14:paraId="01A2DB0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0.3</w:t>
                  </w:r>
                </w:p>
              </w:tc>
              <w:tc>
                <w:tcPr>
                  <w:tcW w:w="1095" w:type="dxa"/>
                  <w:vAlign w:val="center"/>
                </w:tcPr>
                <w:p w14:paraId="55D2D0D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危险废物</w:t>
                  </w:r>
                </w:p>
              </w:tc>
              <w:tc>
                <w:tcPr>
                  <w:tcW w:w="1680" w:type="dxa"/>
                  <w:vAlign w:val="center"/>
                </w:tcPr>
                <w:p w14:paraId="20010386">
                  <w:pPr>
                    <w:keepNext w:val="0"/>
                    <w:keepLines w:val="0"/>
                    <w:suppressLineNumbers w:val="0"/>
                    <w:spacing w:before="40" w:beforeAutospacing="0" w:after="40" w:afterAutospacing="0" w:line="240" w:lineRule="auto"/>
                    <w:ind w:left="0" w:leftChars="0" w:right="0" w:rightChars="0" w:firstLine="0" w:firstLineChars="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color w:val="auto"/>
                      <w:sz w:val="21"/>
                      <w:szCs w:val="21"/>
                      <w:highlight w:val="none"/>
                    </w:rPr>
                    <w:t>HW49 900-041-49</w:t>
                  </w:r>
                </w:p>
              </w:tc>
              <w:tc>
                <w:tcPr>
                  <w:tcW w:w="2335" w:type="dxa"/>
                  <w:vAlign w:val="center"/>
                </w:tcPr>
                <w:p w14:paraId="7407A2D5">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暂存于危废贮存库，定期交由资质单位处置</w:t>
                  </w:r>
                </w:p>
              </w:tc>
            </w:tr>
            <w:tr w14:paraId="7CF13AE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262DE0B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b w:val="0"/>
                      <w:sz w:val="21"/>
                      <w:szCs w:val="21"/>
                      <w:highlight w:val="none"/>
                    </w:rPr>
                    <w:t>13</w:t>
                  </w:r>
                </w:p>
              </w:tc>
              <w:tc>
                <w:tcPr>
                  <w:tcW w:w="1454" w:type="dxa"/>
                  <w:vAlign w:val="center"/>
                </w:tcPr>
                <w:p w14:paraId="692377B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废水处理污泥</w:t>
                  </w:r>
                </w:p>
              </w:tc>
              <w:tc>
                <w:tcPr>
                  <w:tcW w:w="930" w:type="dxa"/>
                  <w:vAlign w:val="center"/>
                </w:tcPr>
                <w:p w14:paraId="214D874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1.5</w:t>
                  </w:r>
                </w:p>
              </w:tc>
              <w:tc>
                <w:tcPr>
                  <w:tcW w:w="1095" w:type="dxa"/>
                  <w:vAlign w:val="center"/>
                </w:tcPr>
                <w:p w14:paraId="60B3490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危险废物</w:t>
                  </w:r>
                </w:p>
              </w:tc>
              <w:tc>
                <w:tcPr>
                  <w:tcW w:w="1680" w:type="dxa"/>
                  <w:vAlign w:val="center"/>
                </w:tcPr>
                <w:p w14:paraId="6FA6C91D">
                  <w:pPr>
                    <w:keepNext w:val="0"/>
                    <w:keepLines w:val="0"/>
                    <w:suppressLineNumbers w:val="0"/>
                    <w:spacing w:before="40" w:beforeAutospacing="0" w:after="40" w:afterAutospacing="0" w:line="240" w:lineRule="auto"/>
                    <w:ind w:left="0" w:leftChars="0" w:right="0" w:rightChars="0" w:firstLine="0" w:firstLineChars="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HW17 336-063-17</w:t>
                  </w:r>
                </w:p>
              </w:tc>
              <w:tc>
                <w:tcPr>
                  <w:tcW w:w="2335" w:type="dxa"/>
                  <w:vAlign w:val="center"/>
                </w:tcPr>
                <w:p w14:paraId="64A29BE4">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暂存于危废贮存库，定期交由资质单位处置</w:t>
                  </w:r>
                </w:p>
              </w:tc>
            </w:tr>
            <w:tr w14:paraId="241CA02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120D516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b w:val="0"/>
                      <w:sz w:val="21"/>
                      <w:szCs w:val="21"/>
                      <w:highlight w:val="none"/>
                    </w:rPr>
                    <w:t>14</w:t>
                  </w:r>
                </w:p>
              </w:tc>
              <w:tc>
                <w:tcPr>
                  <w:tcW w:w="1454" w:type="dxa"/>
                  <w:vAlign w:val="center"/>
                </w:tcPr>
                <w:p w14:paraId="074DD377">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电泳槽渣（电泳槽清槽及过滤残渣）</w:t>
                  </w:r>
                </w:p>
              </w:tc>
              <w:tc>
                <w:tcPr>
                  <w:tcW w:w="930" w:type="dxa"/>
                  <w:vAlign w:val="center"/>
                </w:tcPr>
                <w:p w14:paraId="722BBF0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0.1</w:t>
                  </w:r>
                </w:p>
              </w:tc>
              <w:tc>
                <w:tcPr>
                  <w:tcW w:w="1095" w:type="dxa"/>
                  <w:vAlign w:val="center"/>
                </w:tcPr>
                <w:p w14:paraId="2D6B00B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危险废物</w:t>
                  </w:r>
                </w:p>
              </w:tc>
              <w:tc>
                <w:tcPr>
                  <w:tcW w:w="1680" w:type="dxa"/>
                  <w:vAlign w:val="center"/>
                </w:tcPr>
                <w:p w14:paraId="0D49A109">
                  <w:pPr>
                    <w:keepNext w:val="0"/>
                    <w:keepLines w:val="0"/>
                    <w:suppressLineNumbers w:val="0"/>
                    <w:spacing w:before="40" w:beforeAutospacing="0" w:after="40" w:afterAutospacing="0" w:line="240" w:lineRule="auto"/>
                    <w:ind w:left="0" w:leftChars="0" w:right="0" w:rightChars="0" w:firstLine="0" w:firstLineChars="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HW17 336-063-17</w:t>
                  </w:r>
                </w:p>
              </w:tc>
              <w:tc>
                <w:tcPr>
                  <w:tcW w:w="2335" w:type="dxa"/>
                  <w:vAlign w:val="center"/>
                </w:tcPr>
                <w:p w14:paraId="54D754F4">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暂存于危废贮存库，定期交由资质单位处置</w:t>
                  </w:r>
                </w:p>
              </w:tc>
            </w:tr>
            <w:tr w14:paraId="3FBF32C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675" w:type="dxa"/>
                  <w:vAlign w:val="center"/>
                </w:tcPr>
                <w:p w14:paraId="3774C6C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rPr>
                    <w:t>15</w:t>
                  </w:r>
                </w:p>
              </w:tc>
              <w:tc>
                <w:tcPr>
                  <w:tcW w:w="1454" w:type="dxa"/>
                  <w:vAlign w:val="center"/>
                </w:tcPr>
                <w:p w14:paraId="0898DF59">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rPr>
                    <w:t>废机油及油桶</w:t>
                  </w:r>
                </w:p>
              </w:tc>
              <w:tc>
                <w:tcPr>
                  <w:tcW w:w="930" w:type="dxa"/>
                  <w:vAlign w:val="center"/>
                </w:tcPr>
                <w:p w14:paraId="261A8A1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rPr>
                    <w:t>0.1</w:t>
                  </w:r>
                </w:p>
              </w:tc>
              <w:tc>
                <w:tcPr>
                  <w:tcW w:w="1095" w:type="dxa"/>
                  <w:vAlign w:val="center"/>
                </w:tcPr>
                <w:p w14:paraId="0085278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rPr>
                    <w:t>危险废物</w:t>
                  </w:r>
                </w:p>
              </w:tc>
              <w:tc>
                <w:tcPr>
                  <w:tcW w:w="1680" w:type="dxa"/>
                  <w:vAlign w:val="center"/>
                </w:tcPr>
                <w:p w14:paraId="58E7A1C8">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rPr>
                    <w:t>HW08 900-214-08</w:t>
                  </w:r>
                </w:p>
              </w:tc>
              <w:tc>
                <w:tcPr>
                  <w:tcW w:w="2335" w:type="dxa"/>
                  <w:vAlign w:val="center"/>
                </w:tcPr>
                <w:p w14:paraId="2BD44AB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rPr>
                    <w:t>暂存于危废贮存库，定期交由资质单位处置</w:t>
                  </w:r>
                </w:p>
              </w:tc>
            </w:tr>
          </w:tbl>
          <w:p w14:paraId="4E1740E3">
            <w:pPr>
              <w:pStyle w:val="1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default" w:ascii="Times New Roman" w:hAnsi="Times New Roman" w:eastAsia="宋体" w:cs="Times New Roman"/>
                <w:b/>
                <w:bCs/>
                <w:smallCaps w:val="0"/>
                <w:color w:val="auto"/>
                <w:spacing w:val="0"/>
                <w:kern w:val="2"/>
                <w:position w:val="0"/>
                <w:sz w:val="24"/>
                <w:szCs w:val="24"/>
                <w:highlight w:val="none"/>
                <w:lang w:val="en-US" w:eastAsia="zh-CN" w:bidi="ar-SA"/>
              </w:rPr>
            </w:pPr>
            <w:r>
              <w:rPr>
                <w:rFonts w:hint="default" w:ascii="Times New Roman" w:hAnsi="Times New Roman" w:cs="Times New Roman"/>
                <w:b/>
                <w:bCs/>
                <w:smallCaps w:val="0"/>
                <w:color w:val="auto"/>
                <w:spacing w:val="0"/>
                <w:kern w:val="2"/>
                <w:position w:val="0"/>
                <w:sz w:val="24"/>
                <w:szCs w:val="24"/>
                <w:highlight w:val="none"/>
                <w:lang w:val="en-US" w:eastAsia="zh-CN" w:bidi="ar-SA"/>
              </w:rPr>
              <w:t>2.</w:t>
            </w:r>
            <w:r>
              <w:rPr>
                <w:rFonts w:hint="default" w:ascii="Times New Roman" w:hAnsi="Times New Roman" w:eastAsia="宋体" w:cs="Times New Roman"/>
                <w:b/>
                <w:bCs/>
                <w:smallCaps w:val="0"/>
                <w:color w:val="auto"/>
                <w:spacing w:val="0"/>
                <w:kern w:val="2"/>
                <w:position w:val="0"/>
                <w:sz w:val="24"/>
                <w:szCs w:val="24"/>
                <w:highlight w:val="none"/>
                <w:lang w:val="en-US" w:eastAsia="zh-CN" w:bidi="ar-SA"/>
              </w:rPr>
              <w:t>环境管理要求</w:t>
            </w:r>
          </w:p>
          <w:p w14:paraId="286A836B">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依据《中华人民共和国生态环境法典》第二编第六分编固体废物污染防治相关规定</w:t>
            </w:r>
            <w:r>
              <w:rPr>
                <w:rFonts w:hint="default" w:ascii="Times New Roman" w:hAnsi="Times New Roman" w:cs="Times New Roman"/>
                <w:smallCaps w:val="0"/>
                <w:color w:val="auto"/>
                <w:spacing w:val="0"/>
                <w:kern w:val="0"/>
                <w:position w:val="0"/>
                <w:sz w:val="24"/>
                <w:szCs w:val="24"/>
                <w:highlight w:val="none"/>
                <w:lang w:val="en-US" w:eastAsia="zh-CN"/>
              </w:rPr>
              <w:t>，</w:t>
            </w:r>
            <w:r>
              <w:rPr>
                <w:rFonts w:hint="default" w:ascii="Times New Roman" w:hAnsi="Times New Roman" w:eastAsia="宋体" w:cs="Times New Roman"/>
                <w:smallCaps w:val="0"/>
                <w:color w:val="auto"/>
                <w:spacing w:val="0"/>
                <w:kern w:val="0"/>
                <w:position w:val="0"/>
                <w:sz w:val="24"/>
                <w:szCs w:val="24"/>
                <w:highlight w:val="none"/>
                <w:lang w:val="en-US" w:eastAsia="zh-CN"/>
              </w:rPr>
              <w:t>本项目设置一般固废暂存</w:t>
            </w:r>
            <w:r>
              <w:rPr>
                <w:rFonts w:hint="default" w:ascii="Times New Roman" w:hAnsi="Times New Roman" w:cs="Times New Roman"/>
                <w:smallCaps w:val="0"/>
                <w:color w:val="auto"/>
                <w:spacing w:val="0"/>
                <w:kern w:val="0"/>
                <w:position w:val="0"/>
                <w:sz w:val="24"/>
                <w:szCs w:val="24"/>
                <w:highlight w:val="none"/>
                <w:lang w:val="en-US" w:eastAsia="zh-CN"/>
              </w:rPr>
              <w:t>区</w:t>
            </w:r>
            <w:r>
              <w:rPr>
                <w:rFonts w:hint="default" w:ascii="Times New Roman" w:hAnsi="Times New Roman" w:eastAsia="宋体" w:cs="Times New Roman"/>
                <w:smallCaps w:val="0"/>
                <w:color w:val="auto"/>
                <w:spacing w:val="0"/>
                <w:kern w:val="0"/>
                <w:position w:val="0"/>
                <w:sz w:val="24"/>
                <w:szCs w:val="24"/>
                <w:highlight w:val="none"/>
                <w:lang w:val="en-US" w:eastAsia="zh-CN"/>
              </w:rPr>
              <w:t>和危废贮存</w:t>
            </w:r>
            <w:r>
              <w:rPr>
                <w:rFonts w:hint="default" w:ascii="Times New Roman" w:hAnsi="Times New Roman" w:cs="Times New Roman"/>
                <w:b w:val="0"/>
                <w:bCs w:val="0"/>
                <w:smallCaps w:val="0"/>
                <w:color w:val="auto"/>
                <w:spacing w:val="0"/>
                <w:position w:val="0"/>
                <w:sz w:val="24"/>
                <w:szCs w:val="24"/>
                <w:highlight w:val="none"/>
                <w:lang w:val="en-US" w:eastAsia="zh-CN"/>
              </w:rPr>
              <w:t>库</w:t>
            </w:r>
            <w:r>
              <w:rPr>
                <w:rFonts w:hint="default" w:ascii="Times New Roman" w:hAnsi="Times New Roman" w:eastAsia="宋体" w:cs="Times New Roman"/>
                <w:smallCaps w:val="0"/>
                <w:color w:val="auto"/>
                <w:spacing w:val="0"/>
                <w:kern w:val="0"/>
                <w:position w:val="0"/>
                <w:sz w:val="24"/>
                <w:szCs w:val="24"/>
                <w:highlight w:val="none"/>
                <w:lang w:val="en-US" w:eastAsia="zh-CN"/>
              </w:rPr>
              <w:t>，危废贮存</w:t>
            </w:r>
            <w:r>
              <w:rPr>
                <w:rFonts w:hint="default" w:ascii="Times New Roman" w:hAnsi="Times New Roman" w:cs="Times New Roman"/>
                <w:b w:val="0"/>
                <w:bCs w:val="0"/>
                <w:smallCaps w:val="0"/>
                <w:color w:val="auto"/>
                <w:spacing w:val="0"/>
                <w:position w:val="0"/>
                <w:sz w:val="24"/>
                <w:szCs w:val="24"/>
                <w:highlight w:val="none"/>
                <w:lang w:val="en-US" w:eastAsia="zh-CN"/>
              </w:rPr>
              <w:t>库</w:t>
            </w:r>
            <w:r>
              <w:rPr>
                <w:rFonts w:hint="default" w:ascii="Times New Roman" w:hAnsi="Times New Roman" w:eastAsia="宋体" w:cs="Times New Roman"/>
                <w:smallCaps w:val="0"/>
                <w:color w:val="auto"/>
                <w:spacing w:val="0"/>
                <w:kern w:val="0"/>
                <w:position w:val="0"/>
                <w:sz w:val="24"/>
                <w:szCs w:val="24"/>
                <w:highlight w:val="none"/>
                <w:lang w:val="en-US" w:eastAsia="zh-CN"/>
              </w:rPr>
              <w:t>面积设置为</w:t>
            </w:r>
            <w:r>
              <w:rPr>
                <w:rFonts w:hint="default" w:ascii="Times New Roman" w:hAnsi="Times New Roman" w:cs="Times New Roman"/>
                <w:smallCaps w:val="0"/>
                <w:color w:val="auto"/>
                <w:spacing w:val="0"/>
                <w:kern w:val="0"/>
                <w:position w:val="0"/>
                <w:sz w:val="24"/>
                <w:szCs w:val="24"/>
                <w:highlight w:val="none"/>
                <w:lang w:val="en-US" w:eastAsia="zh-CN"/>
              </w:rPr>
              <w:t>20</w:t>
            </w:r>
            <w:r>
              <w:rPr>
                <w:rFonts w:hint="default" w:ascii="Times New Roman" w:hAnsi="Times New Roman" w:eastAsia="宋体" w:cs="Times New Roman"/>
                <w:smallCaps w:val="0"/>
                <w:color w:val="auto"/>
                <w:spacing w:val="0"/>
                <w:kern w:val="0"/>
                <w:position w:val="0"/>
                <w:sz w:val="24"/>
                <w:szCs w:val="24"/>
                <w:highlight w:val="none"/>
                <w:lang w:val="en-US" w:eastAsia="zh-CN"/>
              </w:rPr>
              <w:t>m</w:t>
            </w:r>
            <w:r>
              <w:rPr>
                <w:rFonts w:hint="default" w:ascii="Times New Roman" w:hAnsi="Times New Roman" w:eastAsia="宋体" w:cs="Times New Roman"/>
                <w:smallCaps w:val="0"/>
                <w:color w:val="auto"/>
                <w:spacing w:val="0"/>
                <w:kern w:val="0"/>
                <w:position w:val="0"/>
                <w:sz w:val="24"/>
                <w:szCs w:val="24"/>
                <w:highlight w:val="none"/>
                <w:vertAlign w:val="superscript"/>
                <w:lang w:val="en-US" w:eastAsia="zh-CN"/>
              </w:rPr>
              <w:t>2</w:t>
            </w:r>
            <w:r>
              <w:rPr>
                <w:rFonts w:hint="default" w:ascii="Times New Roman" w:hAnsi="Times New Roman" w:eastAsia="宋体" w:cs="Times New Roman"/>
                <w:smallCaps w:val="0"/>
                <w:color w:val="auto"/>
                <w:spacing w:val="0"/>
                <w:kern w:val="0"/>
                <w:position w:val="0"/>
                <w:sz w:val="24"/>
                <w:szCs w:val="24"/>
                <w:highlight w:val="none"/>
                <w:lang w:val="en-US" w:eastAsia="zh-CN"/>
              </w:rPr>
              <w:t>。</w:t>
            </w:r>
          </w:p>
          <w:p w14:paraId="4CCD8724">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①一般固废贮存要求如下：</w:t>
            </w:r>
          </w:p>
          <w:p w14:paraId="12B7C362">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A.根据关于印发《一般工业固体废物环境管理工作指南》的通知（环办固体函〔2026〕18号），本项目采用库房、包装工具（罐、桶、包装袋等）贮存一般工业固体废物，应根据物料特性及可能产生的环境污染风险，合理采取防扬散、防流失、防渗漏等环境保护措施。</w:t>
            </w:r>
          </w:p>
          <w:p w14:paraId="0D1A5B6C">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B.生活垃圾和一般固废分类收集暂存。</w:t>
            </w:r>
          </w:p>
          <w:p w14:paraId="0D501489">
            <w:pPr>
              <w:keepNext w:val="0"/>
              <w:keepLines w:val="0"/>
              <w:pageBreakBefore w:val="0"/>
              <w:widowControl w:val="0"/>
              <w:numPr>
                <w:ilvl w:val="0"/>
                <w:numId w:val="0"/>
              </w:numPr>
              <w:suppressLineNumbers w:val="0"/>
              <w:kinsoku/>
              <w:wordWrap/>
              <w:overflowPunct/>
              <w:topLinePunct w:val="0"/>
              <w:autoSpaceDE/>
              <w:bidi w:val="0"/>
              <w:adjustRightInd/>
              <w:snapToGrid/>
              <w:spacing w:before="0" w:beforeAutospacing="0" w:after="0" w:afterAutospacing="0" w:line="360" w:lineRule="auto"/>
              <w:ind w:left="420" w:leftChars="200" w:right="0" w:rightChars="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cs="Times New Roman"/>
                <w:smallCaps w:val="0"/>
                <w:color w:val="auto"/>
                <w:spacing w:val="0"/>
                <w:kern w:val="0"/>
                <w:position w:val="0"/>
                <w:sz w:val="24"/>
                <w:szCs w:val="24"/>
                <w:highlight w:val="none"/>
                <w:lang w:val="en-US" w:eastAsia="zh-CN"/>
              </w:rPr>
              <w:t>②危险废物</w:t>
            </w:r>
            <w:r>
              <w:rPr>
                <w:rFonts w:hint="default" w:ascii="Times New Roman" w:hAnsi="Times New Roman" w:eastAsia="宋体" w:cs="Times New Roman"/>
                <w:smallCaps w:val="0"/>
                <w:color w:val="auto"/>
                <w:spacing w:val="0"/>
                <w:kern w:val="0"/>
                <w:position w:val="0"/>
                <w:sz w:val="24"/>
                <w:szCs w:val="24"/>
                <w:highlight w:val="none"/>
                <w:lang w:val="en-US" w:eastAsia="zh-CN"/>
              </w:rPr>
              <w:t>贮存要求如下：</w:t>
            </w:r>
          </w:p>
          <w:p w14:paraId="73F1CDB6">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A.要按照《危险废物贮存污染控制标准》（GB18597-2023）相关要求建设危险废物专用暂存库房。</w:t>
            </w:r>
          </w:p>
          <w:p w14:paraId="08EDC770">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B.危险废物专用暂存库房做好防雨、防渗、防跑、冒、漏、滴措施，避免不必要的环境污染事故发生。</w:t>
            </w:r>
          </w:p>
          <w:p w14:paraId="69A1184D">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C.危险废物要做好标识，按类别摆放，定期转交给专业危险废物处理公司进行处置。</w:t>
            </w:r>
          </w:p>
          <w:p w14:paraId="1072C7CD">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D.不得将不相容的废物混合或合并存放。</w:t>
            </w:r>
          </w:p>
          <w:p w14:paraId="6EC10AEC">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E.危险废物贮存点必须有耐腐蚀的硬化地面，且表面无裂隙。</w:t>
            </w:r>
          </w:p>
          <w:p w14:paraId="6E21D391">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F.危险废物要放入符合标准的容器内，加上标签，容器放入坚固的柜或箱中，柜或箱应设多个直径不小于30毫米的排气孔。</w:t>
            </w:r>
          </w:p>
          <w:p w14:paraId="1D1771DE">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G.按规范记录台账，做好日常管理。</w:t>
            </w:r>
          </w:p>
          <w:p w14:paraId="3435AE3C">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综上，在采取上述固体废物污染防治措施后，本项目产生的固体废物均得到妥善处置，对外环境影响较小。</w:t>
            </w:r>
          </w:p>
          <w:p w14:paraId="68640D2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smallCaps w:val="0"/>
                <w:color w:val="auto"/>
                <w:spacing w:val="0"/>
                <w:kern w:val="0"/>
                <w:position w:val="0"/>
                <w:sz w:val="24"/>
                <w:szCs w:val="24"/>
                <w:highlight w:val="none"/>
                <w:lang w:val="en-US" w:eastAsia="zh-CN"/>
              </w:rPr>
            </w:pPr>
            <w:r>
              <w:rPr>
                <w:rFonts w:hint="default" w:ascii="Times New Roman" w:hAnsi="Times New Roman" w:eastAsia="宋体" w:cs="Times New Roman"/>
                <w:b/>
                <w:smallCaps w:val="0"/>
                <w:color w:val="auto"/>
                <w:spacing w:val="0"/>
                <w:kern w:val="0"/>
                <w:position w:val="0"/>
                <w:sz w:val="24"/>
                <w:szCs w:val="24"/>
                <w:highlight w:val="none"/>
                <w:lang w:val="en-US" w:eastAsia="zh-CN"/>
              </w:rPr>
              <w:t>五、地下水、土壤</w:t>
            </w:r>
          </w:p>
          <w:p w14:paraId="207FEE7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本项目对地下水、土壤环境的影响主要为废水、液态化学品（水性漆、擦洗剂、除油剂）及危废泄漏后的垂直入渗污染。按照</w:t>
            </w:r>
            <w:r>
              <w:rPr>
                <w:rFonts w:hint="default" w:ascii="Times New Roman" w:hAnsi="Times New Roman" w:cs="Times New Roman"/>
                <w:smallCaps w:val="0"/>
                <w:color w:val="auto"/>
                <w:spacing w:val="0"/>
                <w:kern w:val="0"/>
                <w:position w:val="0"/>
                <w:sz w:val="24"/>
                <w:szCs w:val="24"/>
                <w:highlight w:val="none"/>
                <w:lang w:val="en-US" w:eastAsia="zh-CN"/>
              </w:rPr>
              <w:t>“</w:t>
            </w:r>
            <w:r>
              <w:rPr>
                <w:rFonts w:hint="default" w:ascii="Times New Roman" w:hAnsi="Times New Roman" w:eastAsia="宋体" w:cs="Times New Roman"/>
                <w:smallCaps w:val="0"/>
                <w:color w:val="auto"/>
                <w:spacing w:val="0"/>
                <w:kern w:val="0"/>
                <w:position w:val="0"/>
                <w:sz w:val="24"/>
                <w:szCs w:val="24"/>
                <w:highlight w:val="none"/>
                <w:lang w:val="en-US" w:eastAsia="zh-CN"/>
              </w:rPr>
              <w:t>源头控制、分区防渗、跟踪监测</w:t>
            </w:r>
            <w:r>
              <w:rPr>
                <w:rFonts w:hint="default" w:ascii="Times New Roman" w:hAnsi="Times New Roman" w:cs="Times New Roman"/>
                <w:smallCaps w:val="0"/>
                <w:color w:val="auto"/>
                <w:spacing w:val="0"/>
                <w:kern w:val="0"/>
                <w:position w:val="0"/>
                <w:sz w:val="24"/>
                <w:szCs w:val="24"/>
                <w:highlight w:val="none"/>
                <w:lang w:val="en-US" w:eastAsia="zh-CN"/>
              </w:rPr>
              <w:t>”</w:t>
            </w:r>
            <w:r>
              <w:rPr>
                <w:rFonts w:hint="default" w:ascii="Times New Roman" w:hAnsi="Times New Roman" w:eastAsia="宋体" w:cs="Times New Roman"/>
                <w:smallCaps w:val="0"/>
                <w:color w:val="auto"/>
                <w:spacing w:val="0"/>
                <w:kern w:val="0"/>
                <w:position w:val="0"/>
                <w:sz w:val="24"/>
                <w:szCs w:val="24"/>
                <w:highlight w:val="none"/>
                <w:lang w:val="en-US" w:eastAsia="zh-CN"/>
              </w:rPr>
              <w:t>原则落实防治措施：</w:t>
            </w:r>
          </w:p>
          <w:p w14:paraId="0455CC69">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（1）源头控制：采用先进工艺，减少废水及化学品跑冒滴漏；废水收集输送管道架空或明管敷设，便于巡检检修；</w:t>
            </w:r>
          </w:p>
          <w:p w14:paraId="13F2FD0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（2）分区防渗：重点防渗区（危废暂存间、废水处理站、废水收集池、化学品存放区）采取防渗混凝土+防渗膜，防渗系数≤1.0×10</w:t>
            </w:r>
            <w:r>
              <w:rPr>
                <w:rFonts w:hint="default" w:ascii="Times New Roman" w:hAnsi="Times New Roman" w:cs="Times New Roman"/>
                <w:smallCaps w:val="0"/>
                <w:color w:val="auto"/>
                <w:spacing w:val="0"/>
                <w:kern w:val="0"/>
                <w:position w:val="0"/>
                <w:sz w:val="24"/>
                <w:szCs w:val="24"/>
                <w:highlight w:val="none"/>
                <w:vertAlign w:val="superscript"/>
                <w:lang w:val="en-US" w:eastAsia="zh-CN"/>
              </w:rPr>
              <w:t>-10</w:t>
            </w:r>
            <w:r>
              <w:rPr>
                <w:rFonts w:hint="default" w:ascii="Times New Roman" w:hAnsi="Times New Roman" w:eastAsia="宋体" w:cs="Times New Roman"/>
                <w:smallCaps w:val="0"/>
                <w:color w:val="auto"/>
                <w:spacing w:val="0"/>
                <w:kern w:val="0"/>
                <w:position w:val="0"/>
                <w:sz w:val="24"/>
                <w:szCs w:val="24"/>
                <w:highlight w:val="none"/>
                <w:lang w:val="en-US" w:eastAsia="zh-CN"/>
              </w:rPr>
              <w:t>cm/s；一般防渗区（生产车间、喷粉房、固化区等）采用防渗混凝土硬化，防渗系数≤1.0×10⁻⁷cm/s；简单防渗区（办公区</w:t>
            </w:r>
            <w:r>
              <w:rPr>
                <w:rFonts w:hint="default" w:ascii="Times New Roman" w:hAnsi="Times New Roman" w:cs="Times New Roman"/>
                <w:smallCaps w:val="0"/>
                <w:color w:val="auto"/>
                <w:spacing w:val="0"/>
                <w:kern w:val="0"/>
                <w:position w:val="0"/>
                <w:sz w:val="24"/>
                <w:szCs w:val="24"/>
                <w:highlight w:val="none"/>
                <w:lang w:val="en-US" w:eastAsia="zh-CN"/>
              </w:rPr>
              <w:t>、</w:t>
            </w:r>
            <w:r>
              <w:rPr>
                <w:rFonts w:hint="default" w:ascii="Times New Roman" w:hAnsi="Times New Roman" w:eastAsia="宋体" w:cs="Times New Roman"/>
                <w:smallCaps w:val="0"/>
                <w:color w:val="auto"/>
                <w:spacing w:val="0"/>
                <w:kern w:val="0"/>
                <w:position w:val="0"/>
                <w:sz w:val="24"/>
                <w:szCs w:val="24"/>
                <w:highlight w:val="none"/>
                <w:lang w:val="en-US" w:eastAsia="zh-CN"/>
              </w:rPr>
              <w:t>厂区道路等</w:t>
            </w:r>
            <w:r>
              <w:rPr>
                <w:rFonts w:hint="default" w:ascii="Times New Roman" w:hAnsi="Times New Roman" w:eastAsia="宋体" w:cs="Times New Roman"/>
                <w:smallCaps w:val="0"/>
                <w:color w:val="auto"/>
                <w:spacing w:val="0"/>
                <w:kern w:val="0"/>
                <w:position w:val="0"/>
                <w:sz w:val="24"/>
                <w:szCs w:val="24"/>
                <w:highlight w:val="none"/>
                <w:lang w:val="en-US" w:eastAsia="zh-CN"/>
              </w:rPr>
              <w:t>）一般地面硬化；</w:t>
            </w:r>
          </w:p>
          <w:p w14:paraId="43EA633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3）跟踪管理：定期检查防渗层完好性，发现破损及时修复；建立泄漏应急处理物资，防止污染物渗入土壤和地下水。采取上述措施后，本项目不存在明显地下水、土壤环境污染途径，对地下水、土壤环境影响可接受。</w:t>
            </w:r>
          </w:p>
          <w:p w14:paraId="500CB66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smallCaps w:val="0"/>
                <w:color w:val="auto"/>
                <w:spacing w:val="0"/>
                <w:kern w:val="0"/>
                <w:position w:val="0"/>
                <w:sz w:val="24"/>
                <w:szCs w:val="24"/>
                <w:highlight w:val="none"/>
                <w:lang w:val="en-US" w:eastAsia="zh-CN"/>
              </w:rPr>
            </w:pPr>
            <w:r>
              <w:rPr>
                <w:rFonts w:hint="default" w:ascii="Times New Roman" w:hAnsi="Times New Roman" w:cs="Times New Roman"/>
                <w:b/>
                <w:smallCaps w:val="0"/>
                <w:color w:val="auto"/>
                <w:spacing w:val="0"/>
                <w:kern w:val="0"/>
                <w:position w:val="0"/>
                <w:sz w:val="24"/>
                <w:szCs w:val="24"/>
                <w:highlight w:val="none"/>
                <w:lang w:val="en-US" w:eastAsia="zh-CN"/>
              </w:rPr>
              <w:t>六．</w:t>
            </w:r>
            <w:r>
              <w:rPr>
                <w:rFonts w:hint="default" w:ascii="Times New Roman" w:hAnsi="Times New Roman" w:eastAsia="宋体" w:cs="Times New Roman"/>
                <w:b/>
                <w:smallCaps w:val="0"/>
                <w:color w:val="auto"/>
                <w:spacing w:val="0"/>
                <w:kern w:val="0"/>
                <w:position w:val="0"/>
                <w:sz w:val="24"/>
                <w:szCs w:val="24"/>
                <w:highlight w:val="none"/>
                <w:lang w:val="en-US" w:eastAsia="zh-CN"/>
              </w:rPr>
              <w:t>环境风险</w:t>
            </w:r>
          </w:p>
          <w:p w14:paraId="0EFE85BD">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cs="Times New Roman"/>
                <w:smallCaps w:val="0"/>
                <w:color w:val="auto"/>
                <w:spacing w:val="0"/>
                <w:kern w:val="0"/>
                <w:position w:val="0"/>
                <w:sz w:val="24"/>
                <w:szCs w:val="24"/>
                <w:highlight w:val="none"/>
                <w:lang w:val="en-US" w:eastAsia="zh-CN"/>
              </w:rPr>
              <w:t>（1）</w:t>
            </w:r>
            <w:r>
              <w:rPr>
                <w:rFonts w:hint="default" w:ascii="Times New Roman" w:hAnsi="Times New Roman" w:eastAsia="宋体" w:cs="Times New Roman"/>
                <w:smallCaps w:val="0"/>
                <w:color w:val="auto"/>
                <w:spacing w:val="0"/>
                <w:kern w:val="0"/>
                <w:position w:val="0"/>
                <w:sz w:val="24"/>
                <w:szCs w:val="24"/>
                <w:highlight w:val="none"/>
                <w:lang w:val="zh-CN" w:eastAsia="zh-CN"/>
              </w:rPr>
              <w:t>危险物质</w:t>
            </w:r>
            <w:r>
              <w:rPr>
                <w:rFonts w:hint="default" w:ascii="Times New Roman" w:hAnsi="Times New Roman" w:eastAsia="宋体" w:cs="Times New Roman"/>
                <w:smallCaps w:val="0"/>
                <w:color w:val="auto"/>
                <w:spacing w:val="0"/>
                <w:kern w:val="0"/>
                <w:position w:val="0"/>
                <w:sz w:val="24"/>
                <w:szCs w:val="24"/>
                <w:highlight w:val="none"/>
                <w:lang w:val="en-US" w:eastAsia="zh-CN"/>
              </w:rPr>
              <w:t>和</w:t>
            </w:r>
            <w:r>
              <w:rPr>
                <w:rFonts w:hint="default" w:ascii="Times New Roman" w:hAnsi="Times New Roman" w:eastAsia="宋体" w:cs="Times New Roman"/>
                <w:smallCaps w:val="0"/>
                <w:color w:val="auto"/>
                <w:spacing w:val="0"/>
                <w:kern w:val="0"/>
                <w:position w:val="0"/>
                <w:sz w:val="24"/>
                <w:szCs w:val="24"/>
                <w:highlight w:val="none"/>
                <w:lang w:val="zh-CN" w:eastAsia="zh-CN"/>
              </w:rPr>
              <w:t>风险源</w:t>
            </w:r>
            <w:r>
              <w:rPr>
                <w:rFonts w:hint="default" w:ascii="Times New Roman" w:hAnsi="Times New Roman" w:eastAsia="宋体" w:cs="Times New Roman"/>
                <w:smallCaps w:val="0"/>
                <w:color w:val="auto"/>
                <w:spacing w:val="0"/>
                <w:kern w:val="0"/>
                <w:position w:val="0"/>
                <w:sz w:val="24"/>
                <w:szCs w:val="24"/>
                <w:highlight w:val="none"/>
                <w:lang w:val="en-US" w:eastAsia="zh-CN"/>
              </w:rPr>
              <w:t>分布情况</w:t>
            </w:r>
          </w:p>
          <w:p w14:paraId="2D43A785">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根据《建设项目环境风险评价技术导则》（HJ169-2018）中附录C的规定：计算项目所涉及的每种危险物质在厂界内的最大存在总量与其在附录B中对应临界量的比值Q。本项目涉及的主要风险物质为天然气（甲烷，管道输送）、水性漆及擦洗剂（可燃液体）、废机油等，主要分布于厂内天然气管道、C区原料库房及危废暂存间。</w:t>
            </w:r>
          </w:p>
          <w:p w14:paraId="28043B6B">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cs="Times New Roman"/>
                <w:smallCaps w:val="0"/>
                <w:color w:val="auto"/>
                <w:spacing w:val="0"/>
                <w:kern w:val="0"/>
                <w:position w:val="0"/>
                <w:sz w:val="24"/>
                <w:szCs w:val="24"/>
                <w:highlight w:val="none"/>
                <w:lang w:val="en-US" w:eastAsia="zh-CN"/>
              </w:rPr>
              <w:t>对照</w:t>
            </w:r>
            <w:r>
              <w:rPr>
                <w:rFonts w:hint="default" w:ascii="Times New Roman" w:hAnsi="Times New Roman" w:eastAsia="宋体" w:cs="Times New Roman"/>
                <w:smallCaps w:val="0"/>
                <w:color w:val="auto"/>
                <w:spacing w:val="0"/>
                <w:kern w:val="0"/>
                <w:position w:val="0"/>
                <w:sz w:val="24"/>
                <w:szCs w:val="24"/>
                <w:highlight w:val="none"/>
                <w:lang w:val="zh-CN" w:eastAsia="zh-CN"/>
              </w:rPr>
              <w:t>《建设项目环境风险评价技术导则》（HJ 169-2018）附录C中Q值公式</w:t>
            </w:r>
            <w:r>
              <w:rPr>
                <w:rFonts w:hint="default" w:ascii="Times New Roman" w:hAnsi="Times New Roman" w:cs="Times New Roman"/>
                <w:smallCaps w:val="0"/>
                <w:color w:val="auto"/>
                <w:spacing w:val="0"/>
                <w:kern w:val="0"/>
                <w:position w:val="0"/>
                <w:sz w:val="24"/>
                <w:szCs w:val="24"/>
                <w:highlight w:val="none"/>
                <w:lang w:val="zh-CN" w:eastAsia="zh-CN"/>
              </w:rPr>
              <w:t>：</w:t>
            </w:r>
          </w:p>
          <w:p w14:paraId="2DF98015">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center"/>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cs="Times New Roman"/>
                <w:smallCaps w:val="0"/>
                <w:color w:val="auto"/>
                <w:spacing w:val="0"/>
                <w:position w:val="0"/>
                <w:sz w:val="24"/>
                <w:szCs w:val="24"/>
                <w:highlight w:val="none"/>
                <w:lang w:val="en-US" w:eastAsia="zh-CN"/>
              </w:rPr>
              <w:object>
                <v:shape id="_x0000_i1037" o:spt="75" type="#_x0000_t75" style="height:36.1pt;width:106.15pt;" o:ole="t" filled="f" o:preferrelative="t" stroked="f" coordsize="21600,21600">
                  <v:path/>
                  <v:fill on="f" focussize="0,0"/>
                  <v:stroke on="f"/>
                  <v:imagedata r:id="rId35" o:title=""/>
                  <o:lock v:ext="edit" aspectratio="t"/>
                  <w10:wrap type="none"/>
                  <w10:anchorlock/>
                </v:shape>
                <o:OLEObject Type="Embed" ProgID="Equation.KSEE3" ShapeID="_x0000_i1037" DrawAspect="Content" ObjectID="_1468075737" r:id="rId34">
                  <o:LockedField>false</o:LockedField>
                </o:OLEObject>
              </w:object>
            </w:r>
          </w:p>
          <w:p w14:paraId="7DF87575">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式中：q1，q2……qn——每种危险物质的最大存在总量，t；</w:t>
            </w:r>
          </w:p>
          <w:p w14:paraId="4C35748E">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 xml:space="preserve">      Q1，Q2……Qn——各种危险物质的临界量，t</w:t>
            </w:r>
          </w:p>
          <w:p w14:paraId="4FC3DB4C">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当Q&lt;1时，该项目环境风险潜势为I。</w:t>
            </w:r>
          </w:p>
          <w:p w14:paraId="087338EE">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当Q≥1时，将Q值划分为：（</w:t>
            </w:r>
            <w:r>
              <w:rPr>
                <w:rFonts w:hint="default" w:ascii="Times New Roman" w:hAnsi="Times New Roman" w:eastAsia="宋体" w:cs="Times New Roman"/>
                <w:smallCaps w:val="0"/>
                <w:color w:val="auto"/>
                <w:spacing w:val="0"/>
                <w:kern w:val="0"/>
                <w:position w:val="0"/>
                <w:sz w:val="24"/>
                <w:szCs w:val="24"/>
                <w:highlight w:val="none"/>
                <w:lang w:val="en-US" w:eastAsia="zh-CN"/>
              </w:rPr>
              <w:t>1</w:t>
            </w:r>
            <w:r>
              <w:rPr>
                <w:rFonts w:hint="default" w:ascii="Times New Roman" w:hAnsi="Times New Roman" w:eastAsia="宋体" w:cs="Times New Roman"/>
                <w:smallCaps w:val="0"/>
                <w:color w:val="auto"/>
                <w:spacing w:val="0"/>
                <w:kern w:val="0"/>
                <w:position w:val="0"/>
                <w:sz w:val="24"/>
                <w:szCs w:val="24"/>
                <w:highlight w:val="none"/>
                <w:lang w:val="zh-CN" w:eastAsia="zh-CN"/>
              </w:rPr>
              <w:t>）1≤Q&lt;10；（</w:t>
            </w:r>
            <w:r>
              <w:rPr>
                <w:rFonts w:hint="default" w:ascii="Times New Roman" w:hAnsi="Times New Roman" w:eastAsia="宋体" w:cs="Times New Roman"/>
                <w:smallCaps w:val="0"/>
                <w:color w:val="auto"/>
                <w:spacing w:val="0"/>
                <w:kern w:val="0"/>
                <w:position w:val="0"/>
                <w:sz w:val="24"/>
                <w:szCs w:val="24"/>
                <w:highlight w:val="none"/>
                <w:lang w:val="en-US" w:eastAsia="zh-CN"/>
              </w:rPr>
              <w:t>2</w:t>
            </w:r>
            <w:r>
              <w:rPr>
                <w:rFonts w:hint="default" w:ascii="Times New Roman" w:hAnsi="Times New Roman" w:eastAsia="宋体" w:cs="Times New Roman"/>
                <w:smallCaps w:val="0"/>
                <w:color w:val="auto"/>
                <w:spacing w:val="0"/>
                <w:kern w:val="0"/>
                <w:position w:val="0"/>
                <w:sz w:val="24"/>
                <w:szCs w:val="24"/>
                <w:highlight w:val="none"/>
                <w:lang w:val="zh-CN" w:eastAsia="zh-CN"/>
              </w:rPr>
              <w:t>）10≤Q&lt;100；（</w:t>
            </w:r>
            <w:r>
              <w:rPr>
                <w:rFonts w:hint="default" w:ascii="Times New Roman" w:hAnsi="Times New Roman" w:eastAsia="宋体" w:cs="Times New Roman"/>
                <w:smallCaps w:val="0"/>
                <w:color w:val="auto"/>
                <w:spacing w:val="0"/>
                <w:kern w:val="0"/>
                <w:position w:val="0"/>
                <w:sz w:val="24"/>
                <w:szCs w:val="24"/>
                <w:highlight w:val="none"/>
                <w:lang w:val="en-US" w:eastAsia="zh-CN"/>
              </w:rPr>
              <w:t>3</w:t>
            </w:r>
            <w:r>
              <w:rPr>
                <w:rFonts w:hint="default" w:ascii="Times New Roman" w:hAnsi="Times New Roman" w:eastAsia="宋体" w:cs="Times New Roman"/>
                <w:smallCaps w:val="0"/>
                <w:color w:val="auto"/>
                <w:spacing w:val="0"/>
                <w:kern w:val="0"/>
                <w:position w:val="0"/>
                <w:sz w:val="24"/>
                <w:szCs w:val="24"/>
                <w:highlight w:val="none"/>
                <w:lang w:val="zh-CN" w:eastAsia="zh-CN"/>
              </w:rPr>
              <w:t>）Q≥100。</w:t>
            </w:r>
          </w:p>
          <w:p w14:paraId="4CD8E5CB">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本项目Q值计算一览表见</w:t>
            </w:r>
            <w:r>
              <w:rPr>
                <w:rFonts w:hint="default" w:ascii="Times New Roman" w:hAnsi="Times New Roman" w:eastAsia="宋体" w:cs="Times New Roman"/>
                <w:smallCaps w:val="0"/>
                <w:color w:val="auto"/>
                <w:spacing w:val="0"/>
                <w:kern w:val="0"/>
                <w:position w:val="0"/>
                <w:sz w:val="24"/>
                <w:szCs w:val="24"/>
                <w:highlight w:val="none"/>
                <w:lang w:val="en-US" w:eastAsia="zh-CN"/>
              </w:rPr>
              <w:t>下表</w:t>
            </w:r>
            <w:r>
              <w:rPr>
                <w:rFonts w:hint="default" w:ascii="Times New Roman" w:hAnsi="Times New Roman" w:eastAsia="宋体" w:cs="Times New Roman"/>
                <w:smallCaps w:val="0"/>
                <w:color w:val="auto"/>
                <w:spacing w:val="0"/>
                <w:kern w:val="0"/>
                <w:position w:val="0"/>
                <w:sz w:val="24"/>
                <w:szCs w:val="24"/>
                <w:highlight w:val="none"/>
                <w:lang w:val="zh-CN" w:eastAsia="zh-CN"/>
              </w:rPr>
              <w:t>。</w:t>
            </w:r>
          </w:p>
          <w:p w14:paraId="1907B00F">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smallCaps w:val="0"/>
                <w:color w:val="auto"/>
                <w:spacing w:val="0"/>
                <w:position w:val="0"/>
                <w:sz w:val="24"/>
                <w:szCs w:val="24"/>
                <w:highlight w:val="none"/>
                <w:lang w:val="zh-CN" w:eastAsia="zh-CN"/>
              </w:rPr>
            </w:pPr>
            <w:r>
              <w:rPr>
                <w:rFonts w:hint="default" w:ascii="Times New Roman" w:hAnsi="Times New Roman" w:eastAsia="宋体" w:cs="Times New Roman"/>
                <w:b/>
                <w:bCs/>
                <w:smallCaps w:val="0"/>
                <w:color w:val="auto"/>
                <w:spacing w:val="0"/>
                <w:position w:val="0"/>
                <w:sz w:val="24"/>
                <w:szCs w:val="24"/>
                <w:highlight w:val="none"/>
                <w:lang w:val="zh-CN" w:eastAsia="zh-CN"/>
              </w:rPr>
              <w:t>表</w:t>
            </w:r>
            <w:r>
              <w:rPr>
                <w:rFonts w:hint="default" w:ascii="Times New Roman" w:hAnsi="Times New Roman" w:eastAsia="宋体" w:cs="Times New Roman"/>
                <w:b/>
                <w:bCs/>
                <w:smallCaps w:val="0"/>
                <w:color w:val="auto"/>
                <w:spacing w:val="0"/>
                <w:position w:val="0"/>
                <w:sz w:val="24"/>
                <w:szCs w:val="24"/>
                <w:highlight w:val="none"/>
                <w:lang w:val="en-US" w:eastAsia="zh-CN"/>
              </w:rPr>
              <w:t>4-</w:t>
            </w:r>
            <w:r>
              <w:rPr>
                <w:rFonts w:hint="default" w:ascii="Times New Roman" w:hAnsi="Times New Roman" w:cs="Times New Roman"/>
                <w:b/>
                <w:bCs/>
                <w:smallCaps w:val="0"/>
                <w:color w:val="auto"/>
                <w:spacing w:val="0"/>
                <w:position w:val="0"/>
                <w:sz w:val="24"/>
                <w:szCs w:val="24"/>
                <w:highlight w:val="none"/>
                <w:lang w:val="en-US" w:eastAsia="zh-CN"/>
              </w:rPr>
              <w:t xml:space="preserve">12  </w:t>
            </w:r>
            <w:r>
              <w:rPr>
                <w:rFonts w:hint="default" w:ascii="Times New Roman" w:hAnsi="Times New Roman" w:eastAsia="宋体" w:cs="Times New Roman"/>
                <w:b/>
                <w:bCs/>
                <w:smallCaps w:val="0"/>
                <w:color w:val="auto"/>
                <w:spacing w:val="0"/>
                <w:position w:val="0"/>
                <w:sz w:val="24"/>
                <w:szCs w:val="24"/>
                <w:highlight w:val="none"/>
                <w:lang w:val="zh-CN" w:eastAsia="zh-CN"/>
              </w:rPr>
              <w:t xml:space="preserve"> Q值计算一览表</w:t>
            </w:r>
          </w:p>
          <w:tbl>
            <w:tblPr>
              <w:tblStyle w:val="32"/>
              <w:tblW w:w="8320"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1732"/>
              <w:gridCol w:w="1065"/>
              <w:gridCol w:w="1080"/>
              <w:gridCol w:w="885"/>
              <w:gridCol w:w="2701"/>
            </w:tblGrid>
            <w:tr w14:paraId="3B59154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857" w:type="dxa"/>
                  <w:vAlign w:val="center"/>
                </w:tcPr>
                <w:p w14:paraId="77F86B8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序号</w:t>
                  </w:r>
                </w:p>
              </w:tc>
              <w:tc>
                <w:tcPr>
                  <w:tcW w:w="1732" w:type="dxa"/>
                  <w:vAlign w:val="center"/>
                </w:tcPr>
                <w:p w14:paraId="2019498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风险物质</w:t>
                  </w:r>
                </w:p>
              </w:tc>
              <w:tc>
                <w:tcPr>
                  <w:tcW w:w="1065" w:type="dxa"/>
                  <w:vAlign w:val="center"/>
                </w:tcPr>
                <w:p w14:paraId="7061D8A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最大存在量qi(t)</w:t>
                  </w:r>
                </w:p>
              </w:tc>
              <w:tc>
                <w:tcPr>
                  <w:tcW w:w="1080" w:type="dxa"/>
                  <w:vAlign w:val="center"/>
                </w:tcPr>
                <w:p w14:paraId="22C7E84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临界量Qi(t)</w:t>
                  </w:r>
                </w:p>
              </w:tc>
              <w:tc>
                <w:tcPr>
                  <w:tcW w:w="885" w:type="dxa"/>
                  <w:vAlign w:val="center"/>
                </w:tcPr>
                <w:p w14:paraId="7ACE30B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qi/Qi</w:t>
                  </w:r>
                </w:p>
              </w:tc>
              <w:tc>
                <w:tcPr>
                  <w:tcW w:w="2701" w:type="dxa"/>
                  <w:vAlign w:val="center"/>
                </w:tcPr>
                <w:p w14:paraId="012E761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临界量取值依据</w:t>
                  </w:r>
                </w:p>
              </w:tc>
            </w:tr>
            <w:tr w14:paraId="6C49315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857" w:type="dxa"/>
                  <w:vAlign w:val="center"/>
                </w:tcPr>
                <w:p w14:paraId="33E4DC2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1</w:t>
                  </w:r>
                </w:p>
              </w:tc>
              <w:tc>
                <w:tcPr>
                  <w:tcW w:w="1732" w:type="dxa"/>
                  <w:vAlign w:val="center"/>
                </w:tcPr>
                <w:p w14:paraId="305612F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天然气（甲烷）</w:t>
                  </w:r>
                </w:p>
              </w:tc>
              <w:tc>
                <w:tcPr>
                  <w:tcW w:w="1065" w:type="dxa"/>
                  <w:vAlign w:val="center"/>
                </w:tcPr>
                <w:p w14:paraId="644C8D4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0.01</w:t>
                  </w:r>
                </w:p>
              </w:tc>
              <w:tc>
                <w:tcPr>
                  <w:tcW w:w="1080" w:type="dxa"/>
                  <w:vAlign w:val="center"/>
                </w:tcPr>
                <w:p w14:paraId="24FA729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10</w:t>
                  </w:r>
                </w:p>
              </w:tc>
              <w:tc>
                <w:tcPr>
                  <w:tcW w:w="885" w:type="dxa"/>
                  <w:vAlign w:val="center"/>
                </w:tcPr>
                <w:p w14:paraId="43F010DE">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0.001</w:t>
                  </w:r>
                </w:p>
              </w:tc>
              <w:tc>
                <w:tcPr>
                  <w:tcW w:w="2701" w:type="dxa"/>
                  <w:vAlign w:val="center"/>
                </w:tcPr>
                <w:p w14:paraId="6CD5352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表B.1序号183（甲烷）</w:t>
                  </w:r>
                </w:p>
              </w:tc>
            </w:tr>
            <w:tr w14:paraId="39D1651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857" w:type="dxa"/>
                  <w:vAlign w:val="center"/>
                </w:tcPr>
                <w:p w14:paraId="0A0D5BB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w:t>
                  </w:r>
                </w:p>
              </w:tc>
              <w:tc>
                <w:tcPr>
                  <w:tcW w:w="1732" w:type="dxa"/>
                  <w:vAlign w:val="center"/>
                </w:tcPr>
                <w:p w14:paraId="01BB4AC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水性漆（水性丙烯酸漆）</w:t>
                  </w:r>
                </w:p>
              </w:tc>
              <w:tc>
                <w:tcPr>
                  <w:tcW w:w="1065" w:type="dxa"/>
                  <w:vAlign w:val="center"/>
                </w:tcPr>
                <w:p w14:paraId="49AA4D1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1.0</w:t>
                  </w:r>
                </w:p>
              </w:tc>
              <w:tc>
                <w:tcPr>
                  <w:tcW w:w="1080" w:type="dxa"/>
                  <w:vAlign w:val="center"/>
                </w:tcPr>
                <w:p w14:paraId="1DE54ED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100</w:t>
                  </w:r>
                </w:p>
              </w:tc>
              <w:tc>
                <w:tcPr>
                  <w:tcW w:w="885" w:type="dxa"/>
                  <w:vAlign w:val="center"/>
                </w:tcPr>
                <w:p w14:paraId="20F79AE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0.01</w:t>
                  </w:r>
                </w:p>
              </w:tc>
              <w:tc>
                <w:tcPr>
                  <w:tcW w:w="2701" w:type="dxa"/>
                  <w:vAlign w:val="center"/>
                </w:tcPr>
                <w:p w14:paraId="3FFAFAB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表B.2危害水环境物质（急性毒性类别1）</w:t>
                  </w:r>
                </w:p>
              </w:tc>
            </w:tr>
            <w:tr w14:paraId="4EC5026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857" w:type="dxa"/>
                  <w:vAlign w:val="center"/>
                </w:tcPr>
                <w:p w14:paraId="4C6AC8E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3</w:t>
                  </w:r>
                </w:p>
              </w:tc>
              <w:tc>
                <w:tcPr>
                  <w:tcW w:w="1732" w:type="dxa"/>
                  <w:vAlign w:val="center"/>
                </w:tcPr>
                <w:p w14:paraId="590AC61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四合一擦洗剂</w:t>
                  </w:r>
                </w:p>
              </w:tc>
              <w:tc>
                <w:tcPr>
                  <w:tcW w:w="1065" w:type="dxa"/>
                  <w:vAlign w:val="center"/>
                </w:tcPr>
                <w:p w14:paraId="313593E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0.2</w:t>
                  </w:r>
                </w:p>
              </w:tc>
              <w:tc>
                <w:tcPr>
                  <w:tcW w:w="1080" w:type="dxa"/>
                  <w:vAlign w:val="center"/>
                </w:tcPr>
                <w:p w14:paraId="2575AD6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100</w:t>
                  </w:r>
                </w:p>
              </w:tc>
              <w:tc>
                <w:tcPr>
                  <w:tcW w:w="885" w:type="dxa"/>
                  <w:vAlign w:val="center"/>
                </w:tcPr>
                <w:p w14:paraId="0BCEE59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0.002</w:t>
                  </w:r>
                </w:p>
              </w:tc>
              <w:tc>
                <w:tcPr>
                  <w:tcW w:w="2701" w:type="dxa"/>
                  <w:vAlign w:val="center"/>
                </w:tcPr>
                <w:p w14:paraId="0950388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表B.2危害水环境物质（急性毒性类别1）</w:t>
                  </w:r>
                </w:p>
              </w:tc>
            </w:tr>
            <w:tr w14:paraId="178E1F7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857" w:type="dxa"/>
                  <w:vAlign w:val="center"/>
                </w:tcPr>
                <w:p w14:paraId="30CC0B42">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lang w:val="en-US" w:eastAsia="zh-CN"/>
                    </w:rPr>
                    <w:t>4</w:t>
                  </w:r>
                </w:p>
              </w:tc>
              <w:tc>
                <w:tcPr>
                  <w:tcW w:w="1732" w:type="dxa"/>
                  <w:vAlign w:val="center"/>
                </w:tcPr>
                <w:p w14:paraId="5F19C9C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废机油（HW08）</w:t>
                  </w:r>
                </w:p>
              </w:tc>
              <w:tc>
                <w:tcPr>
                  <w:tcW w:w="1065" w:type="dxa"/>
                  <w:vAlign w:val="center"/>
                </w:tcPr>
                <w:p w14:paraId="47FF978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0.1</w:t>
                  </w:r>
                </w:p>
              </w:tc>
              <w:tc>
                <w:tcPr>
                  <w:tcW w:w="1080" w:type="dxa"/>
                  <w:vAlign w:val="center"/>
                </w:tcPr>
                <w:p w14:paraId="44A608E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2500</w:t>
                  </w:r>
                </w:p>
              </w:tc>
              <w:tc>
                <w:tcPr>
                  <w:tcW w:w="885" w:type="dxa"/>
                  <w:vAlign w:val="center"/>
                </w:tcPr>
                <w:p w14:paraId="478A13A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0.00004</w:t>
                  </w:r>
                </w:p>
              </w:tc>
              <w:tc>
                <w:tcPr>
                  <w:tcW w:w="2701" w:type="dxa"/>
                  <w:vAlign w:val="center"/>
                </w:tcPr>
                <w:p w14:paraId="6528F35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表B.1序号381油类物质</w:t>
                  </w:r>
                </w:p>
              </w:tc>
            </w:tr>
            <w:tr w14:paraId="18E10F9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857" w:type="dxa"/>
                  <w:vAlign w:val="center"/>
                </w:tcPr>
                <w:p w14:paraId="4887C91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合计</w:t>
                  </w:r>
                </w:p>
              </w:tc>
              <w:tc>
                <w:tcPr>
                  <w:tcW w:w="1732" w:type="dxa"/>
                  <w:vAlign w:val="center"/>
                </w:tcPr>
                <w:p w14:paraId="64F3A99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w:t>
                  </w:r>
                </w:p>
              </w:tc>
              <w:tc>
                <w:tcPr>
                  <w:tcW w:w="1065" w:type="dxa"/>
                  <w:vAlign w:val="center"/>
                </w:tcPr>
                <w:p w14:paraId="2A1C5BB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w:t>
                  </w:r>
                </w:p>
              </w:tc>
              <w:tc>
                <w:tcPr>
                  <w:tcW w:w="1080" w:type="dxa"/>
                  <w:vAlign w:val="center"/>
                </w:tcPr>
                <w:p w14:paraId="178A78D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w:t>
                  </w:r>
                </w:p>
              </w:tc>
              <w:tc>
                <w:tcPr>
                  <w:tcW w:w="885" w:type="dxa"/>
                  <w:vAlign w:val="center"/>
                </w:tcPr>
                <w:p w14:paraId="5AC190E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0.0</w:t>
                  </w:r>
                  <w:r>
                    <w:rPr>
                      <w:rFonts w:hint="default" w:ascii="Times New Roman" w:hAnsi="Times New Roman" w:eastAsia="宋体" w:cs="Times New Roman"/>
                      <w:sz w:val="21"/>
                      <w:szCs w:val="21"/>
                      <w:highlight w:val="none"/>
                      <w:lang w:val="en-US" w:eastAsia="zh-CN"/>
                    </w:rPr>
                    <w:t>1</w:t>
                  </w:r>
                  <w:r>
                    <w:rPr>
                      <w:rFonts w:hint="default" w:ascii="Times New Roman" w:hAnsi="Times New Roman" w:eastAsia="宋体" w:cs="Times New Roman"/>
                      <w:sz w:val="21"/>
                      <w:szCs w:val="21"/>
                      <w:highlight w:val="none"/>
                    </w:rPr>
                    <w:t>3</w:t>
                  </w:r>
                </w:p>
              </w:tc>
              <w:tc>
                <w:tcPr>
                  <w:tcW w:w="2701" w:type="dxa"/>
                  <w:vAlign w:val="center"/>
                </w:tcPr>
                <w:p w14:paraId="6B01FE1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w:t>
                  </w:r>
                </w:p>
              </w:tc>
            </w:tr>
          </w:tbl>
          <w:p w14:paraId="0E05257F">
            <w:pPr>
              <w:keepNext w:val="0"/>
              <w:keepLines w:val="0"/>
              <w:pageBreakBefore w:val="0"/>
              <w:widowControl w:val="0"/>
              <w:suppressLineNumbers w:val="0"/>
              <w:kinsoku/>
              <w:wordWrap/>
              <w:overflowPunct/>
              <w:topLinePunct w:val="0"/>
              <w:autoSpaceDE/>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注：各风险物质最大存在量取值依据：①天然气（甲烷）0.01t，为厂区天然气管网管道输送（不设储气罐）按管网有效容积折算的最大存在量（约合标态天然气14m³）；②水性漆（水性丙烯酸漆）1.0t，为C区原料库房桶装最大储存量（按原料采购批次最大储存量计）；③四合一擦洗剂0.2t，为原料库房及车间随取随用情况下的最大存量（桶装）；④废机油（HW08）0.1t，为危废暂存间最大暂存量（桶装）。</w:t>
            </w:r>
          </w:p>
          <w:p w14:paraId="532A8D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cs="Times New Roman"/>
                <w:smallCaps w:val="0"/>
                <w:color w:val="auto"/>
                <w:spacing w:val="0"/>
                <w:kern w:val="0"/>
                <w:position w:val="0"/>
                <w:sz w:val="24"/>
                <w:szCs w:val="24"/>
                <w:highlight w:val="none"/>
                <w:lang w:val="en-US" w:eastAsia="zh-CN"/>
              </w:rPr>
              <w:t>经计算，项目危险物质与临界值的比值Q=0.013&lt;1（各危险物质最大存在量及取值依据见表4-12），项目环境风险潜势划分为Ⅰ级。</w:t>
            </w:r>
          </w:p>
          <w:p w14:paraId="59C8775C">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b w:val="0"/>
                <w:bCs w:val="0"/>
                <w:smallCaps w:val="0"/>
                <w:color w:val="auto"/>
                <w:spacing w:val="0"/>
                <w:position w:val="0"/>
                <w:sz w:val="24"/>
                <w:highlight w:val="none"/>
                <w:lang w:val="en-US" w:eastAsia="en-US"/>
              </w:rPr>
            </w:pPr>
            <w:r>
              <w:rPr>
                <w:rFonts w:hint="default" w:ascii="Times New Roman" w:hAnsi="Times New Roman" w:eastAsia="宋体" w:cs="Times New Roman"/>
                <w:b w:val="0"/>
                <w:bCs w:val="0"/>
                <w:smallCaps w:val="0"/>
                <w:color w:val="auto"/>
                <w:spacing w:val="0"/>
                <w:position w:val="0"/>
                <w:sz w:val="24"/>
                <w:highlight w:val="none"/>
                <w:lang w:val="en-US" w:eastAsia="zh-CN"/>
              </w:rPr>
              <w:t>（2）</w:t>
            </w:r>
            <w:r>
              <w:rPr>
                <w:rFonts w:hint="default" w:ascii="Times New Roman" w:hAnsi="Times New Roman" w:eastAsia="宋体" w:cs="Times New Roman"/>
                <w:b w:val="0"/>
                <w:bCs w:val="0"/>
                <w:smallCaps w:val="0"/>
                <w:color w:val="auto"/>
                <w:spacing w:val="0"/>
                <w:position w:val="0"/>
                <w:sz w:val="24"/>
                <w:highlight w:val="none"/>
                <w:lang w:val="en-US" w:eastAsia="en-US"/>
              </w:rPr>
              <w:t>评价等级</w:t>
            </w:r>
          </w:p>
          <w:p w14:paraId="109AF66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smallCaps w:val="0"/>
                <w:color w:val="auto"/>
                <w:spacing w:val="0"/>
                <w:position w:val="0"/>
                <w:sz w:val="24"/>
                <w:highlight w:val="none"/>
                <w:lang w:val="en-US" w:eastAsia="en-US"/>
              </w:rPr>
            </w:pPr>
            <w:r>
              <w:rPr>
                <w:rFonts w:hint="default" w:ascii="Times New Roman" w:hAnsi="Times New Roman" w:eastAsia="宋体" w:cs="Times New Roman"/>
                <w:smallCaps w:val="0"/>
                <w:color w:val="auto"/>
                <w:spacing w:val="0"/>
                <w:position w:val="0"/>
                <w:sz w:val="24"/>
                <w:highlight w:val="none"/>
                <w:lang w:val="en-US" w:eastAsia="en-US"/>
              </w:rPr>
              <w:t>根据《建设项目环境风险评价技术导则》（HJ169-2018）评价工作等级划分见表4-</w:t>
            </w:r>
            <w:r>
              <w:rPr>
                <w:rFonts w:hint="default" w:ascii="Times New Roman" w:hAnsi="Times New Roman" w:cs="Times New Roman"/>
                <w:smallCaps w:val="0"/>
                <w:color w:val="auto"/>
                <w:spacing w:val="0"/>
                <w:position w:val="0"/>
                <w:sz w:val="24"/>
                <w:highlight w:val="none"/>
                <w:lang w:val="en-US" w:eastAsia="zh-CN"/>
              </w:rPr>
              <w:t>13</w:t>
            </w:r>
            <w:r>
              <w:rPr>
                <w:rFonts w:hint="default" w:ascii="Times New Roman" w:hAnsi="Times New Roman" w:eastAsia="宋体" w:cs="Times New Roman"/>
                <w:smallCaps w:val="0"/>
                <w:color w:val="auto"/>
                <w:spacing w:val="0"/>
                <w:position w:val="0"/>
                <w:sz w:val="24"/>
                <w:highlight w:val="none"/>
                <w:lang w:val="en-US" w:eastAsia="en-US"/>
              </w:rPr>
              <w:t>。</w:t>
            </w:r>
          </w:p>
          <w:p w14:paraId="4E5705B4">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smallCaps w:val="0"/>
                <w:color w:val="auto"/>
                <w:spacing w:val="0"/>
                <w:position w:val="0"/>
                <w:sz w:val="24"/>
                <w:szCs w:val="24"/>
                <w:highlight w:val="none"/>
                <w:lang w:val="en-US" w:eastAsia="zh-CN"/>
              </w:rPr>
            </w:pPr>
            <w:r>
              <w:rPr>
                <w:rFonts w:hint="default" w:ascii="Times New Roman" w:hAnsi="Times New Roman" w:eastAsia="宋体" w:cs="Times New Roman"/>
                <w:b/>
                <w:bCs/>
                <w:smallCaps w:val="0"/>
                <w:color w:val="auto"/>
                <w:spacing w:val="0"/>
                <w:position w:val="0"/>
                <w:sz w:val="24"/>
                <w:szCs w:val="24"/>
                <w:highlight w:val="none"/>
                <w:lang w:val="en-US" w:eastAsia="en-US"/>
              </w:rPr>
              <w:t>表4-</w:t>
            </w:r>
            <w:r>
              <w:rPr>
                <w:rFonts w:hint="default" w:ascii="Times New Roman" w:hAnsi="Times New Roman" w:eastAsia="宋体" w:cs="Times New Roman"/>
                <w:b/>
                <w:bCs/>
                <w:smallCaps w:val="0"/>
                <w:color w:val="auto"/>
                <w:spacing w:val="0"/>
                <w:position w:val="0"/>
                <w:sz w:val="24"/>
                <w:szCs w:val="24"/>
                <w:highlight w:val="none"/>
                <w:lang w:val="en-US" w:eastAsia="zh-CN"/>
              </w:rPr>
              <w:t>1</w:t>
            </w:r>
            <w:r>
              <w:rPr>
                <w:rFonts w:hint="default" w:ascii="Times New Roman" w:hAnsi="Times New Roman" w:cs="Times New Roman"/>
                <w:b/>
                <w:bCs/>
                <w:smallCaps w:val="0"/>
                <w:color w:val="auto"/>
                <w:spacing w:val="0"/>
                <w:position w:val="0"/>
                <w:sz w:val="24"/>
                <w:szCs w:val="24"/>
                <w:highlight w:val="none"/>
                <w:lang w:val="en-US" w:eastAsia="zh-CN"/>
              </w:rPr>
              <w:t xml:space="preserve">3 </w:t>
            </w:r>
            <w:r>
              <w:rPr>
                <w:rFonts w:hint="default" w:ascii="Times New Roman" w:hAnsi="Times New Roman" w:eastAsia="宋体" w:cs="Times New Roman"/>
                <w:b/>
                <w:bCs/>
                <w:smallCaps w:val="0"/>
                <w:color w:val="auto"/>
                <w:spacing w:val="0"/>
                <w:position w:val="0"/>
                <w:sz w:val="24"/>
                <w:szCs w:val="24"/>
                <w:highlight w:val="none"/>
                <w:lang w:val="en-US" w:eastAsia="zh-CN"/>
              </w:rPr>
              <w:t xml:space="preserve"> </w:t>
            </w:r>
            <w:r>
              <w:rPr>
                <w:rFonts w:hint="default" w:ascii="Times New Roman" w:hAnsi="Times New Roman" w:eastAsia="宋体" w:cs="Times New Roman"/>
                <w:b/>
                <w:bCs/>
                <w:smallCaps w:val="0"/>
                <w:color w:val="auto"/>
                <w:spacing w:val="0"/>
                <w:position w:val="0"/>
                <w:sz w:val="24"/>
                <w:szCs w:val="24"/>
                <w:highlight w:val="none"/>
                <w:lang w:val="en-US" w:eastAsia="en-US"/>
              </w:rPr>
              <w:t>风险评价工作等级划分</w:t>
            </w:r>
          </w:p>
          <w:tbl>
            <w:tblPr>
              <w:tblStyle w:val="33"/>
              <w:tblW w:w="8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3"/>
              <w:gridCol w:w="1683"/>
              <w:gridCol w:w="1684"/>
              <w:gridCol w:w="1684"/>
              <w:gridCol w:w="1684"/>
            </w:tblGrid>
            <w:tr w14:paraId="24FC4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683" w:type="dxa"/>
                  <w:noWrap w:val="0"/>
                  <w:vAlign w:val="center"/>
                </w:tcPr>
                <w:p w14:paraId="73F19A84">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smallCaps w:val="0"/>
                      <w:color w:val="auto"/>
                      <w:spacing w:val="0"/>
                      <w:position w:val="0"/>
                      <w:sz w:val="21"/>
                      <w:highlight w:val="none"/>
                      <w:lang w:val="en-US" w:eastAsia="zh-CN"/>
                    </w:rPr>
                  </w:pPr>
                  <w:r>
                    <w:rPr>
                      <w:rFonts w:hint="default" w:ascii="Times New Roman" w:hAnsi="Times New Roman" w:eastAsia="宋体" w:cs="Times New Roman"/>
                      <w:b/>
                      <w:bCs/>
                      <w:smallCaps w:val="0"/>
                      <w:color w:val="auto"/>
                      <w:spacing w:val="0"/>
                      <w:position w:val="0"/>
                      <w:sz w:val="21"/>
                      <w:highlight w:val="none"/>
                      <w:lang w:val="en-US" w:eastAsia="zh-CN"/>
                    </w:rPr>
                    <w:t>环境风险潜势</w:t>
                  </w:r>
                </w:p>
              </w:tc>
              <w:tc>
                <w:tcPr>
                  <w:tcW w:w="1683" w:type="dxa"/>
                  <w:noWrap w:val="0"/>
                  <w:vAlign w:val="center"/>
                </w:tcPr>
                <w:p w14:paraId="6FD91655">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smallCaps w:val="0"/>
                      <w:color w:val="auto"/>
                      <w:spacing w:val="0"/>
                      <w:position w:val="0"/>
                      <w:sz w:val="21"/>
                      <w:highlight w:val="none"/>
                      <w:lang w:val="en-US" w:eastAsia="zh-CN"/>
                    </w:rPr>
                  </w:pPr>
                  <w:r>
                    <w:rPr>
                      <w:rFonts w:hint="default" w:ascii="Times New Roman" w:hAnsi="Times New Roman" w:eastAsia="宋体" w:cs="Times New Roman"/>
                      <w:b/>
                      <w:bCs/>
                      <w:smallCaps w:val="0"/>
                      <w:color w:val="auto"/>
                      <w:spacing w:val="0"/>
                      <w:position w:val="0"/>
                      <w:sz w:val="21"/>
                      <w:highlight w:val="none"/>
                      <w:lang w:val="en-US" w:eastAsia="zh-CN"/>
                    </w:rPr>
                    <w:t>Ⅳ</w:t>
                  </w:r>
                </w:p>
              </w:tc>
              <w:tc>
                <w:tcPr>
                  <w:tcW w:w="1684" w:type="dxa"/>
                  <w:noWrap w:val="0"/>
                  <w:vAlign w:val="center"/>
                </w:tcPr>
                <w:p w14:paraId="7355146E">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smallCaps w:val="0"/>
                      <w:color w:val="auto"/>
                      <w:spacing w:val="0"/>
                      <w:position w:val="0"/>
                      <w:sz w:val="21"/>
                      <w:highlight w:val="none"/>
                      <w:lang w:val="en-US" w:eastAsia="zh-CN"/>
                    </w:rPr>
                  </w:pPr>
                  <w:r>
                    <w:rPr>
                      <w:rFonts w:hint="default" w:ascii="Times New Roman" w:hAnsi="Times New Roman" w:eastAsia="宋体" w:cs="Times New Roman"/>
                      <w:b/>
                      <w:bCs/>
                      <w:smallCaps w:val="0"/>
                      <w:color w:val="auto"/>
                      <w:spacing w:val="0"/>
                      <w:position w:val="0"/>
                      <w:sz w:val="21"/>
                      <w:highlight w:val="none"/>
                      <w:lang w:val="en-US" w:eastAsia="zh-CN"/>
                    </w:rPr>
                    <w:t>Ⅲ</w:t>
                  </w:r>
                </w:p>
              </w:tc>
              <w:tc>
                <w:tcPr>
                  <w:tcW w:w="1684" w:type="dxa"/>
                  <w:noWrap w:val="0"/>
                  <w:vAlign w:val="center"/>
                </w:tcPr>
                <w:p w14:paraId="1512CE4B">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smallCaps w:val="0"/>
                      <w:color w:val="auto"/>
                      <w:spacing w:val="0"/>
                      <w:position w:val="0"/>
                      <w:sz w:val="21"/>
                      <w:highlight w:val="none"/>
                      <w:lang w:val="en-US" w:eastAsia="zh-CN"/>
                    </w:rPr>
                  </w:pPr>
                  <w:r>
                    <w:rPr>
                      <w:rFonts w:hint="default" w:ascii="Times New Roman" w:hAnsi="Times New Roman" w:eastAsia="宋体" w:cs="Times New Roman"/>
                      <w:b/>
                      <w:bCs/>
                      <w:smallCaps w:val="0"/>
                      <w:color w:val="auto"/>
                      <w:spacing w:val="0"/>
                      <w:position w:val="0"/>
                      <w:sz w:val="21"/>
                      <w:highlight w:val="none"/>
                      <w:lang w:val="en-US" w:eastAsia="zh-CN"/>
                    </w:rPr>
                    <w:t>Ⅱ</w:t>
                  </w:r>
                </w:p>
              </w:tc>
              <w:tc>
                <w:tcPr>
                  <w:tcW w:w="1684" w:type="dxa"/>
                  <w:noWrap w:val="0"/>
                  <w:vAlign w:val="center"/>
                </w:tcPr>
                <w:p w14:paraId="0D7E35FB">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smallCaps w:val="0"/>
                      <w:color w:val="auto"/>
                      <w:spacing w:val="0"/>
                      <w:position w:val="0"/>
                      <w:sz w:val="21"/>
                      <w:highlight w:val="none"/>
                      <w:lang w:val="en-US" w:eastAsia="zh-CN"/>
                    </w:rPr>
                  </w:pPr>
                  <w:r>
                    <w:rPr>
                      <w:rFonts w:hint="default" w:ascii="Times New Roman" w:hAnsi="Times New Roman" w:eastAsia="宋体" w:cs="Times New Roman"/>
                      <w:b/>
                      <w:bCs/>
                      <w:smallCaps w:val="0"/>
                      <w:color w:val="auto"/>
                      <w:spacing w:val="0"/>
                      <w:position w:val="0"/>
                      <w:sz w:val="21"/>
                      <w:highlight w:val="none"/>
                      <w:lang w:val="en-US" w:eastAsia="zh-CN"/>
                    </w:rPr>
                    <w:t>Ⅰ</w:t>
                  </w:r>
                </w:p>
              </w:tc>
            </w:tr>
            <w:tr w14:paraId="0D38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683" w:type="dxa"/>
                  <w:noWrap w:val="0"/>
                  <w:vAlign w:val="center"/>
                </w:tcPr>
                <w:p w14:paraId="454A4ACA">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smallCaps w:val="0"/>
                      <w:color w:val="auto"/>
                      <w:spacing w:val="0"/>
                      <w:position w:val="0"/>
                      <w:sz w:val="21"/>
                      <w:highlight w:val="none"/>
                      <w:lang w:val="en-US" w:eastAsia="zh-CN"/>
                    </w:rPr>
                  </w:pPr>
                  <w:r>
                    <w:rPr>
                      <w:rFonts w:hint="default" w:ascii="Times New Roman" w:hAnsi="Times New Roman" w:eastAsia="宋体" w:cs="Times New Roman"/>
                      <w:b w:val="0"/>
                      <w:bCs w:val="0"/>
                      <w:smallCaps w:val="0"/>
                      <w:color w:val="auto"/>
                      <w:spacing w:val="0"/>
                      <w:position w:val="0"/>
                      <w:sz w:val="21"/>
                      <w:highlight w:val="none"/>
                      <w:lang w:val="en-US" w:eastAsia="zh-CN"/>
                    </w:rPr>
                    <w:t>评价工作等级</w:t>
                  </w:r>
                </w:p>
              </w:tc>
              <w:tc>
                <w:tcPr>
                  <w:tcW w:w="1683" w:type="dxa"/>
                  <w:noWrap w:val="0"/>
                  <w:vAlign w:val="center"/>
                </w:tcPr>
                <w:p w14:paraId="0D844295">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smallCaps w:val="0"/>
                      <w:color w:val="auto"/>
                      <w:spacing w:val="0"/>
                      <w:position w:val="0"/>
                      <w:sz w:val="21"/>
                      <w:highlight w:val="none"/>
                      <w:lang w:val="en-US" w:eastAsia="zh-CN"/>
                    </w:rPr>
                  </w:pPr>
                  <w:r>
                    <w:rPr>
                      <w:rFonts w:hint="default" w:ascii="Times New Roman" w:hAnsi="Times New Roman" w:eastAsia="宋体" w:cs="Times New Roman"/>
                      <w:b w:val="0"/>
                      <w:bCs w:val="0"/>
                      <w:smallCaps w:val="0"/>
                      <w:color w:val="auto"/>
                      <w:spacing w:val="0"/>
                      <w:position w:val="0"/>
                      <w:sz w:val="21"/>
                      <w:highlight w:val="none"/>
                      <w:lang w:val="en-US" w:eastAsia="zh-CN"/>
                    </w:rPr>
                    <w:t>一</w:t>
                  </w:r>
                </w:p>
              </w:tc>
              <w:tc>
                <w:tcPr>
                  <w:tcW w:w="1684" w:type="dxa"/>
                  <w:noWrap w:val="0"/>
                  <w:vAlign w:val="center"/>
                </w:tcPr>
                <w:p w14:paraId="1D170E84">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smallCaps w:val="0"/>
                      <w:color w:val="auto"/>
                      <w:spacing w:val="0"/>
                      <w:position w:val="0"/>
                      <w:sz w:val="21"/>
                      <w:highlight w:val="none"/>
                      <w:lang w:val="en-US" w:eastAsia="zh-CN"/>
                    </w:rPr>
                  </w:pPr>
                  <w:r>
                    <w:rPr>
                      <w:rFonts w:hint="default" w:ascii="Times New Roman" w:hAnsi="Times New Roman" w:eastAsia="宋体" w:cs="Times New Roman"/>
                      <w:b w:val="0"/>
                      <w:bCs w:val="0"/>
                      <w:smallCaps w:val="0"/>
                      <w:color w:val="auto"/>
                      <w:spacing w:val="0"/>
                      <w:position w:val="0"/>
                      <w:sz w:val="21"/>
                      <w:highlight w:val="none"/>
                      <w:lang w:val="en-US" w:eastAsia="zh-CN"/>
                    </w:rPr>
                    <w:t>二</w:t>
                  </w:r>
                </w:p>
              </w:tc>
              <w:tc>
                <w:tcPr>
                  <w:tcW w:w="1684" w:type="dxa"/>
                  <w:noWrap w:val="0"/>
                  <w:vAlign w:val="center"/>
                </w:tcPr>
                <w:p w14:paraId="4585D940">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smallCaps w:val="0"/>
                      <w:color w:val="auto"/>
                      <w:spacing w:val="0"/>
                      <w:position w:val="0"/>
                      <w:sz w:val="21"/>
                      <w:highlight w:val="none"/>
                      <w:lang w:val="en-US" w:eastAsia="zh-CN"/>
                    </w:rPr>
                  </w:pPr>
                  <w:r>
                    <w:rPr>
                      <w:rFonts w:hint="default" w:ascii="Times New Roman" w:hAnsi="Times New Roman" w:eastAsia="宋体" w:cs="Times New Roman"/>
                      <w:b w:val="0"/>
                      <w:bCs w:val="0"/>
                      <w:smallCaps w:val="0"/>
                      <w:color w:val="auto"/>
                      <w:spacing w:val="0"/>
                      <w:position w:val="0"/>
                      <w:sz w:val="21"/>
                      <w:highlight w:val="none"/>
                      <w:lang w:val="en-US" w:eastAsia="zh-CN"/>
                    </w:rPr>
                    <w:t>三</w:t>
                  </w:r>
                </w:p>
              </w:tc>
              <w:tc>
                <w:tcPr>
                  <w:tcW w:w="1684" w:type="dxa"/>
                  <w:noWrap w:val="0"/>
                  <w:vAlign w:val="center"/>
                </w:tcPr>
                <w:p w14:paraId="7BB55026">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smallCaps w:val="0"/>
                      <w:color w:val="auto"/>
                      <w:spacing w:val="0"/>
                      <w:position w:val="0"/>
                      <w:sz w:val="21"/>
                      <w:highlight w:val="none"/>
                      <w:lang w:val="en-US" w:eastAsia="zh-CN"/>
                    </w:rPr>
                  </w:pPr>
                  <w:r>
                    <w:rPr>
                      <w:rFonts w:hint="default" w:ascii="Times New Roman" w:hAnsi="Times New Roman" w:eastAsia="宋体" w:cs="Times New Roman"/>
                      <w:b w:val="0"/>
                      <w:bCs w:val="0"/>
                      <w:smallCaps w:val="0"/>
                      <w:color w:val="auto"/>
                      <w:spacing w:val="0"/>
                      <w:position w:val="0"/>
                      <w:sz w:val="21"/>
                      <w:highlight w:val="none"/>
                      <w:lang w:val="en-US" w:eastAsia="zh-CN"/>
                    </w:rPr>
                    <w:t>简单分析A</w:t>
                  </w:r>
                </w:p>
              </w:tc>
            </w:tr>
            <w:tr w14:paraId="524A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418" w:type="dxa"/>
                  <w:gridSpan w:val="5"/>
                  <w:noWrap w:val="0"/>
                  <w:vAlign w:val="center"/>
                </w:tcPr>
                <w:p w14:paraId="4FBDE66E">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both"/>
                    <w:textAlignment w:val="auto"/>
                    <w:rPr>
                      <w:rFonts w:hint="default" w:ascii="Times New Roman" w:hAnsi="Times New Roman" w:eastAsia="宋体" w:cs="Times New Roman"/>
                      <w:b w:val="0"/>
                      <w:bCs w:val="0"/>
                      <w:smallCaps w:val="0"/>
                      <w:color w:val="auto"/>
                      <w:spacing w:val="0"/>
                      <w:position w:val="0"/>
                      <w:sz w:val="21"/>
                      <w:highlight w:val="none"/>
                      <w:lang w:val="en-US" w:eastAsia="zh-CN"/>
                    </w:rPr>
                  </w:pPr>
                  <w:r>
                    <w:rPr>
                      <w:rFonts w:hint="default" w:ascii="Times New Roman" w:hAnsi="Times New Roman" w:eastAsia="宋体" w:cs="Times New Roman"/>
                      <w:b w:val="0"/>
                      <w:bCs w:val="0"/>
                      <w:smallCaps w:val="0"/>
                      <w:color w:val="auto"/>
                      <w:spacing w:val="0"/>
                      <w:position w:val="0"/>
                      <w:sz w:val="21"/>
                      <w:highlight w:val="none"/>
                      <w:lang w:val="en-US" w:eastAsia="zh-CN"/>
                    </w:rPr>
                    <w:t>A是相对于详细评价工作内容而言，在描述危险物质、环境影响途径、环境危害后果、风险防范措施等方面给出定性的说明。</w:t>
                  </w:r>
                </w:p>
              </w:tc>
            </w:tr>
          </w:tbl>
          <w:p w14:paraId="691594CE">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position w:val="0"/>
                <w:sz w:val="24"/>
                <w:highlight w:val="none"/>
                <w:lang w:val="en-US" w:eastAsia="en-US"/>
              </w:rPr>
              <w:t>本项目Q＜1，风险潜势为Ⅰ。根据《建设项目环境风险评价技术导则》（HJ169-2018）表1，最终确定本项目环境风险评价工作等级为简单分析，简单分析内容主要包括危险物质、环境影响途径、环境危害后果及风险防范措施等定性说明</w:t>
            </w:r>
            <w:r>
              <w:rPr>
                <w:rFonts w:hint="default" w:ascii="Times New Roman" w:hAnsi="Times New Roman" w:eastAsia="宋体" w:cs="Times New Roman"/>
                <w:smallCaps w:val="0"/>
                <w:color w:val="auto"/>
                <w:spacing w:val="0"/>
                <w:position w:val="0"/>
                <w:sz w:val="24"/>
                <w:highlight w:val="none"/>
                <w:lang w:val="en-US" w:eastAsia="zh-CN"/>
              </w:rPr>
              <w:t>。</w:t>
            </w:r>
          </w:p>
          <w:p w14:paraId="505721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（3）</w:t>
            </w:r>
            <w:r>
              <w:rPr>
                <w:rFonts w:hint="default" w:ascii="Times New Roman" w:hAnsi="Times New Roman" w:eastAsia="宋体" w:cs="Times New Roman"/>
                <w:smallCaps w:val="0"/>
                <w:color w:val="auto"/>
                <w:spacing w:val="0"/>
                <w:kern w:val="0"/>
                <w:position w:val="0"/>
                <w:sz w:val="24"/>
                <w:szCs w:val="24"/>
                <w:highlight w:val="none"/>
                <w:lang w:val="zh-CN" w:eastAsia="zh-CN"/>
              </w:rPr>
              <w:t>环境风险识别及风险分析</w:t>
            </w:r>
          </w:p>
          <w:p w14:paraId="18EDCE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本项目风险事故情形：主要为①天然气管道泄漏遇明火引发火灾爆炸；②有机废气治理设施（活性炭吸附装置）因温度过高或火花引发火灾；③化学品及危险废物泄漏污染土壤、地下水；④废水处理设施故障导致废水未经处理外排。</w:t>
            </w:r>
          </w:p>
          <w:p w14:paraId="076F88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（4）环境影响途径分析</w:t>
            </w:r>
          </w:p>
          <w:p w14:paraId="7DDB3B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本项目环境风险事故状态下污染物进入环境的途径主要包括：①天然气（甲烷）管道泄漏，若遇明火或静电引发火灾爆炸，燃烧烟气（含CO、NOₓ等）及热辐射、冲击波直接进入大气环境，通过大气扩散对周边环境空气产生影响；②活性炭吸附装置因超温或火花着火时，装置内吸附富集的VOCs随燃烧烟气经排气筒或车间逸散进入大气环境，造成短时大气污染；③水性漆、擦洗剂、废机油等液态化学品及危险废物在贮存、转运过程中发生泄漏，若防渗层破损，污染物沿地面漫流或垂直入渗进入土壤及地下水环境；④废水处理设施故障导致未经处理的生产废水泄漏外排，若防渗层破损，可能沿地面漫流或垂直入渗污染土壤、地下水环境。本项目事故状态下污染物主要以大气扩散和入渗两种途径对周边环境产生影响。</w:t>
            </w:r>
          </w:p>
          <w:p w14:paraId="614B52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（5）环境危害后果分析</w:t>
            </w:r>
          </w:p>
          <w:p w14:paraId="432E46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①天然气泄漏遇明火发生火灾爆炸，主要危害为热辐射、冲击波及燃烧产物（CO、NOₓ等），可能对邻近人员安全和厂房设备造成伤害和损失，但项目周边200m范围内无居民住宅、学校、医院等敏感目标，燃烧烟气经大气稀释扩散后对敏感目标影响较小；②活性炭吸附装置火灾时，VOCs及不完全燃烧产物短时排入大气，可能导致局部大气环境质量短时超标，但装置规模小、持续时间短，影响范围有限；③化学品及危废泄漏污染土壤、地下水，在落实分区防渗措施的前提下，泄漏污染物被控制在防渗区内，垂直入渗途径得到有效阻断，对土壤和地下水环境影响较小；④废水处理设施故障导致事故废水泄漏，但本项目废水处理站设置应急收集池，事故废水可暂存处置、不外排，在落实分区防渗措施的前提下对土壤、地下水环境影响可控。综上，在落实风险防范措施的前提下，本项目各环境风险事故的环境危害后果均在可接受范围内。</w:t>
            </w:r>
          </w:p>
          <w:p w14:paraId="11FC72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en-US" w:eastAsia="zh-CN"/>
              </w:rPr>
              <w:t>（6）环境风险防范措施</w:t>
            </w:r>
          </w:p>
          <w:p w14:paraId="25AFE4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为使环境风险减小到最低限度，必须加强劳动安全管理，制定完备、有效的防范措施，尽可能降低项目环境风险事故发生的概率。</w:t>
            </w:r>
          </w:p>
          <w:p w14:paraId="24D3A1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①天然气管道按规范敷设并设置紧急切断阀、可燃气体报警装置，加强巡检；</w:t>
            </w:r>
          </w:p>
          <w:p w14:paraId="270032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②活性炭吸附装置前端设置防火阀、泄压装置及温度监测报警，定期更换活性炭，杜绝超温运行；</w:t>
            </w:r>
          </w:p>
          <w:p w14:paraId="3B280A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③化学品及危废存放区设置防渗、围堰，配备吸附棉、应急桶等应急物资；</w:t>
            </w:r>
          </w:p>
          <w:p w14:paraId="4C5290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zh-CN"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④废水处理站设置应急收集池，设施故障时停止生产排放，严禁废水未经处理外排；</w:t>
            </w:r>
          </w:p>
          <w:p w14:paraId="2856E6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smallCaps w:val="0"/>
                <w:color w:val="auto"/>
                <w:spacing w:val="0"/>
                <w:kern w:val="0"/>
                <w:position w:val="0"/>
                <w:sz w:val="24"/>
                <w:szCs w:val="24"/>
                <w:highlight w:val="none"/>
                <w:lang w:val="zh-CN" w:eastAsia="zh-CN"/>
              </w:rPr>
              <w:t>⑤制定突发环境事件应急预案并备案，定期开展应急演练，配备应急器材和物资。在落实上述风险防范措施后，项目环境风险可控，环境风险可接受。</w:t>
            </w:r>
          </w:p>
          <w:p w14:paraId="65F8DB4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both"/>
              <w:textAlignment w:val="auto"/>
              <w:rPr>
                <w:rFonts w:hint="default" w:ascii="Times New Roman" w:hAnsi="Times New Roman" w:eastAsia="宋体" w:cs="Times New Roman"/>
                <w:b/>
                <w:bCs/>
                <w:smallCaps w:val="0"/>
                <w:color w:val="auto"/>
                <w:spacing w:val="0"/>
                <w:position w:val="0"/>
                <w:sz w:val="24"/>
                <w:highlight w:val="none"/>
                <w:lang w:val="en-US" w:eastAsia="en-US"/>
              </w:rPr>
            </w:pPr>
            <w:r>
              <w:rPr>
                <w:rFonts w:hint="default" w:ascii="Times New Roman" w:hAnsi="Times New Roman" w:cs="Times New Roman"/>
                <w:b/>
                <w:bCs/>
                <w:smallCaps w:val="0"/>
                <w:color w:val="auto"/>
                <w:spacing w:val="0"/>
                <w:position w:val="0"/>
                <w:sz w:val="24"/>
                <w:highlight w:val="none"/>
                <w:lang w:val="en-US" w:eastAsia="zh-CN"/>
              </w:rPr>
              <w:t>七</w:t>
            </w:r>
            <w:r>
              <w:rPr>
                <w:rFonts w:hint="default" w:ascii="Times New Roman" w:hAnsi="Times New Roman" w:eastAsia="宋体" w:cs="Times New Roman"/>
                <w:b/>
                <w:bCs/>
                <w:smallCaps w:val="0"/>
                <w:color w:val="auto"/>
                <w:spacing w:val="0"/>
                <w:position w:val="0"/>
                <w:sz w:val="24"/>
                <w:highlight w:val="none"/>
                <w:lang w:val="en-US" w:eastAsia="en-US"/>
              </w:rPr>
              <w:t>、环境管理</w:t>
            </w:r>
          </w:p>
          <w:p w14:paraId="224327FC">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smallCaps w:val="0"/>
                <w:color w:val="auto"/>
                <w:spacing w:val="0"/>
                <w:position w:val="0"/>
                <w:sz w:val="24"/>
                <w:highlight w:val="none"/>
                <w:lang w:val="en-US" w:eastAsia="zh-CN"/>
              </w:rPr>
            </w:pPr>
            <w:r>
              <w:rPr>
                <w:rFonts w:hint="default" w:ascii="Times New Roman" w:hAnsi="Times New Roman" w:eastAsia="宋体" w:cs="Times New Roman"/>
                <w:smallCaps w:val="0"/>
                <w:color w:val="auto"/>
                <w:spacing w:val="0"/>
                <w:position w:val="0"/>
                <w:sz w:val="24"/>
                <w:highlight w:val="none"/>
                <w:lang w:val="en-US" w:eastAsia="zh-CN"/>
              </w:rPr>
              <w:t>1.</w:t>
            </w:r>
            <w:r>
              <w:rPr>
                <w:rFonts w:hint="default" w:ascii="Times New Roman" w:hAnsi="Times New Roman" w:eastAsia="宋体" w:cs="Times New Roman"/>
                <w:smallCaps w:val="0"/>
                <w:color w:val="auto"/>
                <w:spacing w:val="0"/>
                <w:position w:val="0"/>
                <w:sz w:val="24"/>
                <w:highlight w:val="none"/>
                <w:lang w:val="en-US" w:eastAsia="en-US"/>
              </w:rPr>
              <w:t>贯彻执行国家和地方各项环保方针、政策和法规，将环境指标纳入生产计划指标，建立企业内部的环境保护机构，制定与其相适应的管理规章制度及细则</w:t>
            </w:r>
            <w:r>
              <w:rPr>
                <w:rFonts w:hint="default" w:ascii="Times New Roman" w:hAnsi="Times New Roman" w:eastAsia="宋体" w:cs="Times New Roman"/>
                <w:smallCaps w:val="0"/>
                <w:color w:val="auto"/>
                <w:spacing w:val="0"/>
                <w:position w:val="0"/>
                <w:sz w:val="24"/>
                <w:highlight w:val="none"/>
                <w:lang w:val="en-US" w:eastAsia="zh-CN"/>
              </w:rPr>
              <w:t>。</w:t>
            </w:r>
          </w:p>
          <w:p w14:paraId="62ACA4C2">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smallCaps w:val="0"/>
                <w:color w:val="auto"/>
                <w:spacing w:val="0"/>
                <w:position w:val="0"/>
                <w:sz w:val="24"/>
                <w:highlight w:val="none"/>
                <w:lang w:val="en-US" w:eastAsia="zh-CN"/>
              </w:rPr>
            </w:pPr>
            <w:r>
              <w:rPr>
                <w:rFonts w:hint="default" w:ascii="Times New Roman" w:hAnsi="Times New Roman" w:eastAsia="宋体" w:cs="Times New Roman"/>
                <w:smallCaps w:val="0"/>
                <w:color w:val="auto"/>
                <w:spacing w:val="0"/>
                <w:position w:val="0"/>
                <w:sz w:val="24"/>
                <w:highlight w:val="none"/>
                <w:lang w:val="en-US" w:eastAsia="zh-CN"/>
              </w:rPr>
              <w:t>2.</w:t>
            </w:r>
            <w:r>
              <w:rPr>
                <w:rFonts w:hint="default" w:ascii="Times New Roman" w:hAnsi="Times New Roman" w:eastAsia="宋体" w:cs="Times New Roman"/>
                <w:smallCaps w:val="0"/>
                <w:color w:val="auto"/>
                <w:spacing w:val="0"/>
                <w:position w:val="0"/>
                <w:sz w:val="24"/>
                <w:highlight w:val="none"/>
                <w:lang w:val="en-US" w:eastAsia="en-US"/>
              </w:rPr>
              <w:t>加强对生产人员的环保教育，包括业务能力、操作技术、环保管理知识的教育，以增强他们的环保意识，提高管理水平</w:t>
            </w:r>
            <w:r>
              <w:rPr>
                <w:rFonts w:hint="default" w:ascii="Times New Roman" w:hAnsi="Times New Roman" w:eastAsia="宋体" w:cs="Times New Roman"/>
                <w:smallCaps w:val="0"/>
                <w:color w:val="auto"/>
                <w:spacing w:val="0"/>
                <w:position w:val="0"/>
                <w:sz w:val="24"/>
                <w:highlight w:val="none"/>
                <w:lang w:val="en-US" w:eastAsia="zh-CN"/>
              </w:rPr>
              <w:t>。</w:t>
            </w:r>
          </w:p>
          <w:p w14:paraId="3FBB0934">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smallCaps w:val="0"/>
                <w:color w:val="auto"/>
                <w:spacing w:val="0"/>
                <w:position w:val="0"/>
                <w:sz w:val="24"/>
                <w:highlight w:val="none"/>
                <w:lang w:val="en-US" w:eastAsia="zh-CN"/>
              </w:rPr>
            </w:pPr>
            <w:r>
              <w:rPr>
                <w:rFonts w:hint="default" w:ascii="Times New Roman" w:hAnsi="Times New Roman" w:eastAsia="宋体" w:cs="Times New Roman"/>
                <w:smallCaps w:val="0"/>
                <w:color w:val="auto"/>
                <w:spacing w:val="0"/>
                <w:position w:val="0"/>
                <w:sz w:val="24"/>
                <w:highlight w:val="none"/>
                <w:lang w:val="en-US" w:eastAsia="zh-CN"/>
              </w:rPr>
              <w:t>3.</w:t>
            </w:r>
            <w:r>
              <w:rPr>
                <w:rFonts w:hint="default" w:ascii="Times New Roman" w:hAnsi="Times New Roman" w:eastAsia="宋体" w:cs="Times New Roman"/>
                <w:smallCaps w:val="0"/>
                <w:color w:val="auto"/>
                <w:spacing w:val="0"/>
                <w:position w:val="0"/>
                <w:sz w:val="24"/>
                <w:highlight w:val="none"/>
                <w:lang w:val="en-US" w:eastAsia="en-US"/>
              </w:rPr>
              <w:t>建立全厂设备维护、维修制度，定期检查各设备运行情况，杜绝事故发生</w:t>
            </w:r>
            <w:r>
              <w:rPr>
                <w:rFonts w:hint="default" w:ascii="Times New Roman" w:hAnsi="Times New Roman" w:eastAsia="宋体" w:cs="Times New Roman"/>
                <w:smallCaps w:val="0"/>
                <w:color w:val="auto"/>
                <w:spacing w:val="0"/>
                <w:position w:val="0"/>
                <w:sz w:val="24"/>
                <w:highlight w:val="none"/>
                <w:lang w:val="en-US" w:eastAsia="zh-CN"/>
              </w:rPr>
              <w:t>。</w:t>
            </w:r>
          </w:p>
          <w:p w14:paraId="65B7BB04">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smallCaps w:val="0"/>
                <w:color w:val="auto"/>
                <w:spacing w:val="0"/>
                <w:position w:val="0"/>
                <w:sz w:val="24"/>
                <w:highlight w:val="none"/>
                <w:lang w:val="en-US" w:eastAsia="zh-CN"/>
              </w:rPr>
            </w:pPr>
            <w:r>
              <w:rPr>
                <w:rFonts w:hint="default" w:ascii="Times New Roman" w:hAnsi="Times New Roman" w:cs="Times New Roman"/>
                <w:smallCaps w:val="0"/>
                <w:color w:val="auto"/>
                <w:spacing w:val="0"/>
                <w:position w:val="0"/>
                <w:sz w:val="24"/>
                <w:highlight w:val="none"/>
                <w:lang w:val="en-US" w:eastAsia="zh-CN"/>
              </w:rPr>
              <w:t>4.</w:t>
            </w:r>
            <w:r>
              <w:rPr>
                <w:rFonts w:hint="default" w:ascii="Times New Roman" w:hAnsi="Times New Roman" w:eastAsia="宋体" w:cs="Times New Roman"/>
                <w:smallCaps w:val="0"/>
                <w:color w:val="auto"/>
                <w:spacing w:val="0"/>
                <w:position w:val="0"/>
                <w:sz w:val="24"/>
                <w:highlight w:val="none"/>
                <w:lang w:val="en-US" w:eastAsia="zh-CN"/>
              </w:rPr>
              <w:t>企业应当建立完整生态环境管理台账，原辅材料接收登记、危险废物管理台账、污染治理设施运行记录、自行监测原始记录等资料保存期限不少于 5 年，不得篡改、伪造台账与监测记录（《生态环境法典》第 183 条）。</w:t>
            </w:r>
          </w:p>
          <w:p w14:paraId="7D751EC4">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smallCaps w:val="0"/>
                <w:color w:val="auto"/>
                <w:spacing w:val="0"/>
                <w:position w:val="0"/>
                <w:sz w:val="24"/>
                <w:highlight w:val="none"/>
                <w:lang w:val="en-US" w:eastAsia="zh-CN"/>
              </w:rPr>
            </w:pPr>
            <w:r>
              <w:rPr>
                <w:rFonts w:hint="default" w:ascii="Times New Roman" w:hAnsi="Times New Roman" w:cs="Times New Roman"/>
                <w:smallCaps w:val="0"/>
                <w:color w:val="auto"/>
                <w:spacing w:val="0"/>
                <w:position w:val="0"/>
                <w:sz w:val="24"/>
                <w:highlight w:val="none"/>
                <w:lang w:val="en-US" w:eastAsia="zh-CN"/>
              </w:rPr>
              <w:t>5.</w:t>
            </w:r>
            <w:r>
              <w:rPr>
                <w:rFonts w:hint="default" w:ascii="Times New Roman" w:hAnsi="Times New Roman" w:eastAsia="宋体" w:cs="Times New Roman"/>
                <w:smallCaps w:val="0"/>
                <w:color w:val="auto"/>
                <w:spacing w:val="0"/>
                <w:position w:val="0"/>
                <w:sz w:val="24"/>
                <w:highlight w:val="none"/>
                <w:lang w:val="en-US" w:eastAsia="zh-CN"/>
              </w:rPr>
              <w:t>本项目发生实际排污前应当依法申领排污许可证，严格落实持证排污要求；排污情形发生重大变化的应当依法办理排污许可变更手续。</w:t>
            </w:r>
          </w:p>
          <w:p w14:paraId="7E2BD9C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default" w:ascii="Times New Roman" w:hAnsi="Times New Roman" w:cs="Times New Roman"/>
                <w:b/>
                <w:bCs/>
                <w:smallCaps w:val="0"/>
                <w:color w:val="auto"/>
                <w:spacing w:val="0"/>
                <w:position w:val="0"/>
                <w:sz w:val="24"/>
                <w:szCs w:val="24"/>
                <w:highlight w:val="none"/>
                <w:lang w:val="en-US" w:eastAsia="zh-CN"/>
              </w:rPr>
            </w:pPr>
            <w:r>
              <w:rPr>
                <w:rFonts w:hint="default" w:ascii="Times New Roman" w:hAnsi="Times New Roman" w:cs="Times New Roman"/>
                <w:smallCaps w:val="0"/>
                <w:color w:val="auto"/>
                <w:spacing w:val="0"/>
                <w:position w:val="0"/>
                <w:sz w:val="24"/>
                <w:highlight w:val="none"/>
                <w:lang w:val="en-US" w:eastAsia="zh-CN"/>
              </w:rPr>
              <w:t>6.</w:t>
            </w:r>
            <w:r>
              <w:rPr>
                <w:rFonts w:hint="default" w:ascii="Times New Roman" w:hAnsi="Times New Roman" w:eastAsia="宋体" w:cs="Times New Roman"/>
                <w:smallCaps w:val="0"/>
                <w:color w:val="auto"/>
                <w:spacing w:val="0"/>
                <w:position w:val="0"/>
                <w:sz w:val="24"/>
                <w:highlight w:val="none"/>
                <w:lang w:val="en-US" w:eastAsia="zh-CN"/>
              </w:rPr>
              <w:t>污染防治设施落实 “三同时” 制度，依据《中华人民共和国生态环境法典》第 162 条，污染防治设施与主体工程同时设计、同时施工、同时投产使用；项目投产使用前应当自行组织生态环境保护设施竣工验收，验收合格后方可投入生产运行。</w:t>
            </w:r>
          </w:p>
          <w:p w14:paraId="6DA4EC1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cs="Times New Roman"/>
                <w:b/>
                <w:bCs/>
                <w:smallCaps w:val="0"/>
                <w:color w:val="auto"/>
                <w:spacing w:val="0"/>
                <w:position w:val="0"/>
                <w:sz w:val="24"/>
                <w:szCs w:val="24"/>
                <w:highlight w:val="none"/>
              </w:rPr>
            </w:pPr>
            <w:r>
              <w:rPr>
                <w:rFonts w:hint="default" w:ascii="Times New Roman" w:hAnsi="Times New Roman" w:cs="Times New Roman"/>
                <w:b/>
                <w:bCs/>
                <w:smallCaps w:val="0"/>
                <w:color w:val="auto"/>
                <w:spacing w:val="0"/>
                <w:position w:val="0"/>
                <w:sz w:val="24"/>
                <w:szCs w:val="24"/>
                <w:highlight w:val="none"/>
                <w:lang w:val="en-US" w:eastAsia="zh-CN"/>
              </w:rPr>
              <w:t>八</w:t>
            </w:r>
            <w:r>
              <w:rPr>
                <w:rFonts w:hint="default" w:ascii="Times New Roman" w:hAnsi="Times New Roman" w:cs="Times New Roman"/>
                <w:b/>
                <w:bCs/>
                <w:smallCaps w:val="0"/>
                <w:color w:val="auto"/>
                <w:spacing w:val="0"/>
                <w:position w:val="0"/>
                <w:sz w:val="24"/>
                <w:szCs w:val="24"/>
                <w:highlight w:val="none"/>
              </w:rPr>
              <w:t>、运营期环境监测计划</w:t>
            </w:r>
          </w:p>
          <w:p w14:paraId="2050F46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smallCaps w:val="0"/>
                <w:color w:val="auto"/>
                <w:spacing w:val="0"/>
                <w:position w:val="0"/>
                <w:sz w:val="24"/>
                <w:szCs w:val="24"/>
                <w:highlight w:val="none"/>
              </w:rPr>
            </w:pPr>
            <w:r>
              <w:rPr>
                <w:rFonts w:hint="default" w:ascii="Times New Roman" w:hAnsi="Times New Roman" w:eastAsia="宋体" w:cs="Times New Roman"/>
                <w:b w:val="0"/>
                <w:bCs w:val="0"/>
                <w:smallCaps w:val="0"/>
                <w:color w:val="auto"/>
                <w:spacing w:val="0"/>
                <w:position w:val="0"/>
                <w:sz w:val="24"/>
                <w:szCs w:val="24"/>
                <w:highlight w:val="none"/>
              </w:rPr>
              <w:t>根据《排污单位自行监测技术指南 总则》（HJ819-2017）、《排污单位自行监测技术指南 涂装》（HJ1086-2020）、《排污许可证申请与核发技术规范 工业炉窑》（HJ1121-2020）及排污许可证管理要求，项目运营期自行监测计划见表4-14。</w:t>
            </w:r>
          </w:p>
          <w:p w14:paraId="00297E3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2" w:firstLineChars="200"/>
              <w:jc w:val="center"/>
              <w:textAlignment w:val="auto"/>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表4-</w:t>
            </w:r>
            <w:r>
              <w:rPr>
                <w:rFonts w:hint="default" w:ascii="Times New Roman" w:hAnsi="Times New Roman" w:cs="Times New Roman"/>
                <w:b/>
                <w:sz w:val="24"/>
                <w:szCs w:val="24"/>
                <w:highlight w:val="none"/>
                <w:lang w:val="en-US" w:eastAsia="zh-CN"/>
              </w:rPr>
              <w:t>14</w:t>
            </w:r>
            <w:r>
              <w:rPr>
                <w:rFonts w:hint="default" w:ascii="Times New Roman" w:hAnsi="Times New Roman" w:eastAsia="宋体" w:cs="Times New Roman"/>
                <w:b/>
                <w:sz w:val="24"/>
                <w:szCs w:val="24"/>
                <w:highlight w:val="none"/>
              </w:rPr>
              <w:t xml:space="preserve"> 运营期自行监测计划一览表</w:t>
            </w:r>
          </w:p>
          <w:tbl>
            <w:tblPr>
              <w:tblStyle w:val="32"/>
              <w:tblW w:w="8317"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153"/>
              <w:gridCol w:w="2610"/>
              <w:gridCol w:w="2895"/>
              <w:gridCol w:w="1659"/>
            </w:tblGrid>
            <w:tr w14:paraId="7A5D8D5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33" w:hRule="atLeast"/>
                <w:tblHeader/>
                <w:jc w:val="center"/>
              </w:trPr>
              <w:tc>
                <w:tcPr>
                  <w:tcW w:w="1153" w:type="dxa"/>
                  <w:vAlign w:val="center"/>
                </w:tcPr>
                <w:p w14:paraId="21865B4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监测类别</w:t>
                  </w:r>
                </w:p>
              </w:tc>
              <w:tc>
                <w:tcPr>
                  <w:tcW w:w="2610" w:type="dxa"/>
                  <w:vAlign w:val="center"/>
                </w:tcPr>
                <w:p w14:paraId="1FF9142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监测点位</w:t>
                  </w:r>
                </w:p>
              </w:tc>
              <w:tc>
                <w:tcPr>
                  <w:tcW w:w="2895" w:type="dxa"/>
                  <w:vAlign w:val="center"/>
                </w:tcPr>
                <w:p w14:paraId="688ADEE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监测因子</w:t>
                  </w:r>
                </w:p>
              </w:tc>
              <w:tc>
                <w:tcPr>
                  <w:tcW w:w="1659" w:type="dxa"/>
                  <w:vAlign w:val="center"/>
                </w:tcPr>
                <w:p w14:paraId="2D1BDDC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sz w:val="21"/>
                      <w:szCs w:val="21"/>
                      <w:highlight w:val="none"/>
                    </w:rPr>
                    <w:t>监测频次</w:t>
                  </w:r>
                </w:p>
              </w:tc>
            </w:tr>
            <w:tr w14:paraId="28C2A04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153" w:type="dxa"/>
                  <w:vMerge w:val="restart"/>
                  <w:vAlign w:val="center"/>
                </w:tcPr>
                <w:p w14:paraId="15AC1883">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废气（有组织）</w:t>
                  </w:r>
                </w:p>
              </w:tc>
              <w:tc>
                <w:tcPr>
                  <w:tcW w:w="2610" w:type="dxa"/>
                  <w:vAlign w:val="center"/>
                </w:tcPr>
                <w:p w14:paraId="352BC687">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DA001排气筒</w:t>
                  </w:r>
                </w:p>
              </w:tc>
              <w:tc>
                <w:tcPr>
                  <w:tcW w:w="2895" w:type="dxa"/>
                  <w:vAlign w:val="center"/>
                </w:tcPr>
                <w:p w14:paraId="1A20E943">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颗粒物</w:t>
                  </w:r>
                </w:p>
              </w:tc>
              <w:tc>
                <w:tcPr>
                  <w:tcW w:w="1659" w:type="dxa"/>
                  <w:vAlign w:val="center"/>
                </w:tcPr>
                <w:p w14:paraId="5A23DB0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每年1次</w:t>
                  </w:r>
                </w:p>
              </w:tc>
            </w:tr>
            <w:tr w14:paraId="58BCB8F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153" w:type="dxa"/>
                  <w:vMerge w:val="continue"/>
                  <w:vAlign w:val="center"/>
                </w:tcPr>
                <w:p w14:paraId="652BB208">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p>
              </w:tc>
              <w:tc>
                <w:tcPr>
                  <w:tcW w:w="2610" w:type="dxa"/>
                  <w:vAlign w:val="center"/>
                </w:tcPr>
                <w:p w14:paraId="2D7666C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DA002排气筒</w:t>
                  </w:r>
                </w:p>
              </w:tc>
              <w:tc>
                <w:tcPr>
                  <w:tcW w:w="2895" w:type="dxa"/>
                  <w:vAlign w:val="center"/>
                </w:tcPr>
                <w:p w14:paraId="25E3897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颗粒物</w:t>
                  </w:r>
                </w:p>
              </w:tc>
              <w:tc>
                <w:tcPr>
                  <w:tcW w:w="1659" w:type="dxa"/>
                  <w:vAlign w:val="center"/>
                </w:tcPr>
                <w:p w14:paraId="5D0AD3D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每年1次</w:t>
                  </w:r>
                </w:p>
              </w:tc>
            </w:tr>
            <w:tr w14:paraId="1FBC51B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153" w:type="dxa"/>
                  <w:vMerge w:val="continue"/>
                  <w:vAlign w:val="center"/>
                </w:tcPr>
                <w:p w14:paraId="7E2209B0">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p>
              </w:tc>
              <w:tc>
                <w:tcPr>
                  <w:tcW w:w="2610" w:type="dxa"/>
                  <w:vAlign w:val="center"/>
                </w:tcPr>
                <w:p w14:paraId="2A7C9A2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DA003排气筒</w:t>
                  </w:r>
                </w:p>
              </w:tc>
              <w:tc>
                <w:tcPr>
                  <w:tcW w:w="2895" w:type="dxa"/>
                  <w:vAlign w:val="center"/>
                </w:tcPr>
                <w:p w14:paraId="76B9E2C6">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非甲烷总烃、颗粒物、SO₂、NOₓ</w:t>
                  </w:r>
                </w:p>
              </w:tc>
              <w:tc>
                <w:tcPr>
                  <w:tcW w:w="1659" w:type="dxa"/>
                  <w:vAlign w:val="center"/>
                </w:tcPr>
                <w:p w14:paraId="243B8D1D">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每年1次</w:t>
                  </w:r>
                </w:p>
              </w:tc>
            </w:tr>
            <w:tr w14:paraId="12EABA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153" w:type="dxa"/>
                  <w:vMerge w:val="restart"/>
                  <w:vAlign w:val="center"/>
                </w:tcPr>
                <w:p w14:paraId="46F1A80F">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废气（无组织）</w:t>
                  </w:r>
                </w:p>
              </w:tc>
              <w:tc>
                <w:tcPr>
                  <w:tcW w:w="2610" w:type="dxa"/>
                  <w:vAlign w:val="center"/>
                </w:tcPr>
                <w:p w14:paraId="75716F75">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厂界上风向1个、下风向3个</w:t>
                  </w:r>
                </w:p>
              </w:tc>
              <w:tc>
                <w:tcPr>
                  <w:tcW w:w="2895" w:type="dxa"/>
                  <w:vAlign w:val="center"/>
                </w:tcPr>
                <w:p w14:paraId="34EDF6C7">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颗粒物、非甲烷总烃</w:t>
                  </w:r>
                </w:p>
              </w:tc>
              <w:tc>
                <w:tcPr>
                  <w:tcW w:w="1659" w:type="dxa"/>
                  <w:vAlign w:val="center"/>
                </w:tcPr>
                <w:p w14:paraId="7E0363D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每半年1次</w:t>
                  </w:r>
                </w:p>
              </w:tc>
            </w:tr>
            <w:tr w14:paraId="3C9B0D1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153" w:type="dxa"/>
                  <w:vMerge w:val="continue"/>
                  <w:vAlign w:val="center"/>
                </w:tcPr>
                <w:p w14:paraId="2AD626A0">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p>
              </w:tc>
              <w:tc>
                <w:tcPr>
                  <w:tcW w:w="2610" w:type="dxa"/>
                  <w:vAlign w:val="center"/>
                </w:tcPr>
                <w:p w14:paraId="5A6A129F">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厂区内（生产车间门窗处）</w:t>
                  </w:r>
                </w:p>
              </w:tc>
              <w:tc>
                <w:tcPr>
                  <w:tcW w:w="2895" w:type="dxa"/>
                  <w:vAlign w:val="center"/>
                </w:tcPr>
                <w:p w14:paraId="6BA61CEC">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非甲烷总烃（GB37822-2019）</w:t>
                  </w:r>
                </w:p>
              </w:tc>
              <w:tc>
                <w:tcPr>
                  <w:tcW w:w="1659" w:type="dxa"/>
                  <w:vAlign w:val="center"/>
                </w:tcPr>
                <w:p w14:paraId="2B5D382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每年1次</w:t>
                  </w:r>
                </w:p>
              </w:tc>
            </w:tr>
            <w:tr w14:paraId="3A0AA2A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153" w:type="dxa"/>
                  <w:vAlign w:val="center"/>
                </w:tcPr>
                <w:p w14:paraId="2CE77503">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废水</w:t>
                  </w:r>
                </w:p>
              </w:tc>
              <w:tc>
                <w:tcPr>
                  <w:tcW w:w="2610" w:type="dxa"/>
                  <w:vAlign w:val="center"/>
                </w:tcPr>
                <w:p w14:paraId="6F1E15D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废水总排口DW001</w:t>
                  </w:r>
                </w:p>
              </w:tc>
              <w:tc>
                <w:tcPr>
                  <w:tcW w:w="2895" w:type="dxa"/>
                  <w:vAlign w:val="center"/>
                </w:tcPr>
                <w:p w14:paraId="1485AFA4">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pH、COD、BOD₅、SS、NH₃-N、石油类、LAS</w:t>
                  </w:r>
                </w:p>
              </w:tc>
              <w:tc>
                <w:tcPr>
                  <w:tcW w:w="1659" w:type="dxa"/>
                  <w:vAlign w:val="center"/>
                </w:tcPr>
                <w:p w14:paraId="0789CC2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每季度1次</w:t>
                  </w:r>
                </w:p>
              </w:tc>
            </w:tr>
            <w:tr w14:paraId="697A9E7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153" w:type="dxa"/>
                  <w:vAlign w:val="center"/>
                </w:tcPr>
                <w:p w14:paraId="0D6A7089">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lang w:val="en-US" w:eastAsia="zh-CN"/>
                    </w:rPr>
                  </w:pPr>
                  <w:r>
                    <w:rPr>
                      <w:rFonts w:hint="eastAsia" w:cs="Times New Roman"/>
                      <w:b w:val="0"/>
                      <w:sz w:val="21"/>
                      <w:szCs w:val="21"/>
                      <w:highlight w:val="none"/>
                      <w:lang w:val="en-US" w:eastAsia="zh-CN"/>
                    </w:rPr>
                    <w:t>雨水</w:t>
                  </w:r>
                </w:p>
              </w:tc>
              <w:tc>
                <w:tcPr>
                  <w:tcW w:w="2610" w:type="dxa"/>
                  <w:vAlign w:val="center"/>
                </w:tcPr>
                <w:p w14:paraId="784BF1E1">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lang w:val="en-US" w:eastAsia="zh-CN"/>
                    </w:rPr>
                  </w:pPr>
                  <w:r>
                    <w:rPr>
                      <w:rFonts w:hint="eastAsia" w:cs="Times New Roman"/>
                      <w:b w:val="0"/>
                      <w:sz w:val="21"/>
                      <w:szCs w:val="21"/>
                      <w:highlight w:val="none"/>
                      <w:lang w:val="en-US" w:eastAsia="zh-CN"/>
                    </w:rPr>
                    <w:t>雨水排放口YS001</w:t>
                  </w:r>
                </w:p>
              </w:tc>
              <w:tc>
                <w:tcPr>
                  <w:tcW w:w="2895" w:type="dxa"/>
                  <w:vAlign w:val="center"/>
                </w:tcPr>
                <w:p w14:paraId="24EF261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sz w:val="21"/>
                      <w:szCs w:val="21"/>
                      <w:highlight w:val="none"/>
                    </w:rPr>
                    <w:t>pH、SS、石油类</w:t>
                  </w:r>
                </w:p>
              </w:tc>
              <w:tc>
                <w:tcPr>
                  <w:tcW w:w="1659" w:type="dxa"/>
                  <w:vAlign w:val="center"/>
                </w:tcPr>
                <w:p w14:paraId="02631A6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b w:val="0"/>
                      <w:sz w:val="21"/>
                      <w:szCs w:val="21"/>
                      <w:highlight w:val="none"/>
                    </w:rPr>
                  </w:pPr>
                  <w:r>
                    <w:rPr>
                      <w:rFonts w:hint="eastAsia" w:ascii="宋体" w:hAnsi="宋体" w:eastAsia="宋体" w:cs="宋体"/>
                      <w:sz w:val="21"/>
                      <w:szCs w:val="21"/>
                      <w:highlight w:val="none"/>
                    </w:rPr>
                    <w:t>有雨水流出时，按年监测，一年不少于 1 次</w:t>
                  </w:r>
                </w:p>
              </w:tc>
            </w:tr>
            <w:tr w14:paraId="6CEDB64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1153" w:type="dxa"/>
                  <w:vAlign w:val="center"/>
                </w:tcPr>
                <w:p w14:paraId="4ED4D253">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噪声</w:t>
                  </w:r>
                </w:p>
              </w:tc>
              <w:tc>
                <w:tcPr>
                  <w:tcW w:w="2610" w:type="dxa"/>
                  <w:vAlign w:val="center"/>
                </w:tcPr>
                <w:p w14:paraId="36432938">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厂界四周各1个点位</w:t>
                  </w:r>
                </w:p>
              </w:tc>
              <w:tc>
                <w:tcPr>
                  <w:tcW w:w="2895" w:type="dxa"/>
                  <w:vAlign w:val="center"/>
                </w:tcPr>
                <w:p w14:paraId="64E01C1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等效连续A声级（昼间）</w:t>
                  </w:r>
                </w:p>
              </w:tc>
              <w:tc>
                <w:tcPr>
                  <w:tcW w:w="1659" w:type="dxa"/>
                  <w:vAlign w:val="center"/>
                </w:tcPr>
                <w:p w14:paraId="37F7789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每季度1次</w:t>
                  </w:r>
                </w:p>
              </w:tc>
            </w:tr>
            <w:tr w14:paraId="02F5869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48" w:hRule="atLeast"/>
                <w:jc w:val="center"/>
              </w:trPr>
              <w:tc>
                <w:tcPr>
                  <w:tcW w:w="1153" w:type="dxa"/>
                  <w:vAlign w:val="center"/>
                </w:tcPr>
                <w:p w14:paraId="1DA22360">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固废</w:t>
                  </w:r>
                </w:p>
              </w:tc>
              <w:tc>
                <w:tcPr>
                  <w:tcW w:w="2610" w:type="dxa"/>
                  <w:vAlign w:val="center"/>
                </w:tcPr>
                <w:p w14:paraId="46CD7845">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台账管理</w:t>
                  </w:r>
                </w:p>
              </w:tc>
              <w:tc>
                <w:tcPr>
                  <w:tcW w:w="2895" w:type="dxa"/>
                  <w:vAlign w:val="center"/>
                </w:tcPr>
                <w:p w14:paraId="5E12458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危险废物产生、贮存、转移情况</w:t>
                  </w:r>
                </w:p>
              </w:tc>
              <w:tc>
                <w:tcPr>
                  <w:tcW w:w="1659" w:type="dxa"/>
                  <w:vAlign w:val="center"/>
                </w:tcPr>
                <w:p w14:paraId="62AE244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cs="Times New Roman"/>
                      <w:sz w:val="21"/>
                      <w:szCs w:val="21"/>
                      <w:highlight w:val="none"/>
                    </w:rPr>
                  </w:pPr>
                  <w:r>
                    <w:rPr>
                      <w:rFonts w:hint="default" w:ascii="Times New Roman" w:hAnsi="Times New Roman" w:eastAsia="宋体" w:cs="Times New Roman"/>
                      <w:b w:val="0"/>
                      <w:sz w:val="21"/>
                      <w:szCs w:val="21"/>
                      <w:highlight w:val="none"/>
                    </w:rPr>
                    <w:t>动态记录</w:t>
                  </w:r>
                </w:p>
              </w:tc>
            </w:tr>
          </w:tbl>
          <w:p w14:paraId="79165150">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firstLine="482" w:firstLineChars="200"/>
              <w:textAlignment w:val="auto"/>
              <w:rPr>
                <w:rFonts w:hint="default" w:ascii="Times New Roman" w:hAnsi="Times New Roman" w:cs="Times New Roman"/>
                <w:b/>
                <w:bCs/>
                <w:smallCaps w:val="0"/>
                <w:color w:val="auto"/>
                <w:spacing w:val="0"/>
                <w:position w:val="0"/>
                <w:sz w:val="24"/>
                <w:szCs w:val="24"/>
                <w:highlight w:val="none"/>
              </w:rPr>
            </w:pPr>
            <w:r>
              <w:rPr>
                <w:rFonts w:hint="default" w:ascii="Times New Roman" w:hAnsi="Times New Roman" w:cs="Times New Roman"/>
                <w:b/>
                <w:bCs/>
                <w:smallCaps w:val="0"/>
                <w:color w:val="auto"/>
                <w:spacing w:val="0"/>
                <w:position w:val="0"/>
                <w:sz w:val="24"/>
                <w:szCs w:val="24"/>
                <w:highlight w:val="none"/>
                <w:lang w:val="en-US" w:eastAsia="zh-CN"/>
              </w:rPr>
              <w:t>九、</w:t>
            </w:r>
            <w:r>
              <w:rPr>
                <w:rFonts w:hint="default" w:ascii="Times New Roman" w:hAnsi="Times New Roman" w:cs="Times New Roman"/>
                <w:b/>
                <w:bCs/>
                <w:smallCaps w:val="0"/>
                <w:color w:val="auto"/>
                <w:spacing w:val="0"/>
                <w:position w:val="0"/>
                <w:sz w:val="24"/>
                <w:szCs w:val="24"/>
                <w:highlight w:val="none"/>
              </w:rPr>
              <w:t>环保投资</w:t>
            </w:r>
          </w:p>
          <w:p w14:paraId="4A5F8C60">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smallCaps w:val="0"/>
                <w:color w:val="auto"/>
                <w:spacing w:val="0"/>
                <w:kern w:val="0"/>
                <w:position w:val="0"/>
                <w:sz w:val="24"/>
                <w:szCs w:val="24"/>
                <w:highlight w:val="none"/>
                <w:lang w:val="en-US" w:eastAsia="zh-CN"/>
              </w:rPr>
            </w:pPr>
            <w:r>
              <w:rPr>
                <w:rFonts w:hint="default" w:ascii="Times New Roman" w:hAnsi="Times New Roman" w:eastAsia="宋体" w:cs="Times New Roman"/>
                <w:b w:val="0"/>
                <w:sz w:val="24"/>
                <w:highlight w:val="none"/>
              </w:rPr>
              <w:t>本项目环保投资合计约55万元，占总投资的36.7%，环保投资合理，</w:t>
            </w:r>
            <w:r>
              <w:rPr>
                <w:rFonts w:hint="default" w:ascii="Times New Roman" w:hAnsi="Times New Roman" w:eastAsia="宋体" w:cs="Times New Roman"/>
                <w:smallCaps w:val="0"/>
                <w:color w:val="auto"/>
                <w:spacing w:val="0"/>
                <w:kern w:val="0"/>
                <w:position w:val="0"/>
                <w:sz w:val="24"/>
                <w:szCs w:val="24"/>
                <w:highlight w:val="none"/>
                <w:lang w:val="en-US" w:eastAsia="zh-CN"/>
              </w:rPr>
              <w:t>具体环保投资内容见下表。</w:t>
            </w:r>
          </w:p>
          <w:p w14:paraId="6765FB1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bCs/>
                <w:smallCaps w:val="0"/>
                <w:color w:val="auto"/>
                <w:spacing w:val="0"/>
                <w:position w:val="0"/>
                <w:sz w:val="24"/>
                <w:szCs w:val="24"/>
                <w:highlight w:val="none"/>
                <w:lang w:val="zh-CN" w:eastAsia="zh-CN"/>
              </w:rPr>
            </w:pPr>
            <w:r>
              <w:rPr>
                <w:rFonts w:hint="default" w:ascii="Times New Roman" w:hAnsi="Times New Roman" w:eastAsia="宋体" w:cs="Times New Roman"/>
                <w:b/>
                <w:bCs/>
                <w:smallCaps w:val="0"/>
                <w:color w:val="auto"/>
                <w:spacing w:val="0"/>
                <w:position w:val="0"/>
                <w:sz w:val="24"/>
                <w:szCs w:val="24"/>
                <w:highlight w:val="none"/>
                <w:lang w:val="zh-CN" w:eastAsia="zh-CN"/>
              </w:rPr>
              <w:t>表</w:t>
            </w:r>
            <w:r>
              <w:rPr>
                <w:rFonts w:hint="default" w:ascii="Times New Roman" w:hAnsi="Times New Roman" w:eastAsia="宋体" w:cs="Times New Roman"/>
                <w:b/>
                <w:bCs/>
                <w:smallCaps w:val="0"/>
                <w:color w:val="auto"/>
                <w:spacing w:val="0"/>
                <w:position w:val="0"/>
                <w:sz w:val="24"/>
                <w:szCs w:val="24"/>
                <w:highlight w:val="none"/>
                <w:lang w:val="en-US" w:eastAsia="zh-CN"/>
              </w:rPr>
              <w:t>4-1</w:t>
            </w:r>
            <w:r>
              <w:rPr>
                <w:rFonts w:hint="default" w:ascii="Times New Roman" w:hAnsi="Times New Roman" w:cs="Times New Roman"/>
                <w:b/>
                <w:bCs/>
                <w:smallCaps w:val="0"/>
                <w:color w:val="auto"/>
                <w:spacing w:val="0"/>
                <w:position w:val="0"/>
                <w:sz w:val="24"/>
                <w:szCs w:val="24"/>
                <w:highlight w:val="none"/>
                <w:lang w:val="en-US" w:eastAsia="zh-CN"/>
              </w:rPr>
              <w:t>5</w:t>
            </w:r>
            <w:r>
              <w:rPr>
                <w:rFonts w:hint="default" w:ascii="Times New Roman" w:hAnsi="Times New Roman" w:eastAsia="宋体" w:cs="Times New Roman"/>
                <w:b/>
                <w:bCs/>
                <w:smallCaps w:val="0"/>
                <w:color w:val="auto"/>
                <w:spacing w:val="0"/>
                <w:position w:val="0"/>
                <w:sz w:val="24"/>
                <w:szCs w:val="24"/>
                <w:highlight w:val="none"/>
                <w:lang w:val="zh-CN" w:eastAsia="zh-CN"/>
              </w:rPr>
              <w:t xml:space="preserve"> 项目环保措施及投资一览表</w:t>
            </w:r>
          </w:p>
          <w:tbl>
            <w:tblPr>
              <w:tblStyle w:val="32"/>
              <w:tblW w:w="8298" w:type="dxa"/>
              <w:tblInd w:w="-7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80"/>
              <w:gridCol w:w="1520"/>
              <w:gridCol w:w="3804"/>
              <w:gridCol w:w="1794"/>
            </w:tblGrid>
            <w:tr w14:paraId="352EC3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180" w:type="dxa"/>
                  <w:tcBorders>
                    <w:tl2br w:val="nil"/>
                    <w:tr2bl w:val="nil"/>
                  </w:tcBorders>
                  <w:vAlign w:val="center"/>
                </w:tcPr>
                <w:p w14:paraId="2F40BE73">
                  <w:pPr>
                    <w:keepNext w:val="0"/>
                    <w:keepLines w:val="0"/>
                    <w:suppressLineNumbers w:val="0"/>
                    <w:spacing w:before="0" w:beforeAutospacing="0" w:after="0" w:afterAutospacing="0"/>
                    <w:ind w:left="0" w:right="0"/>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污染类别</w:t>
                  </w:r>
                </w:p>
              </w:tc>
              <w:tc>
                <w:tcPr>
                  <w:tcW w:w="1520" w:type="dxa"/>
                  <w:tcBorders>
                    <w:tl2br w:val="nil"/>
                    <w:tr2bl w:val="nil"/>
                  </w:tcBorders>
                  <w:vAlign w:val="center"/>
                </w:tcPr>
                <w:p w14:paraId="21E9901E">
                  <w:pPr>
                    <w:keepNext w:val="0"/>
                    <w:keepLines w:val="0"/>
                    <w:suppressLineNumbers w:val="0"/>
                    <w:spacing w:before="0" w:beforeAutospacing="0" w:after="0" w:afterAutospacing="0"/>
                    <w:ind w:left="0" w:right="0"/>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污染防治对象</w:t>
                  </w:r>
                </w:p>
              </w:tc>
              <w:tc>
                <w:tcPr>
                  <w:tcW w:w="3804" w:type="dxa"/>
                  <w:tcBorders>
                    <w:tl2br w:val="nil"/>
                    <w:tr2bl w:val="nil"/>
                  </w:tcBorders>
                  <w:vAlign w:val="center"/>
                </w:tcPr>
                <w:p w14:paraId="169476B4">
                  <w:pPr>
                    <w:keepNext w:val="0"/>
                    <w:keepLines w:val="0"/>
                    <w:suppressLineNumbers w:val="0"/>
                    <w:spacing w:before="0" w:beforeAutospacing="0" w:after="0" w:afterAutospacing="0"/>
                    <w:ind w:left="0" w:right="0"/>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治理措施</w:t>
                  </w:r>
                </w:p>
              </w:tc>
              <w:tc>
                <w:tcPr>
                  <w:tcW w:w="1794" w:type="dxa"/>
                  <w:tcBorders>
                    <w:tl2br w:val="nil"/>
                    <w:tr2bl w:val="nil"/>
                  </w:tcBorders>
                  <w:vAlign w:val="center"/>
                </w:tcPr>
                <w:p w14:paraId="52AED71A">
                  <w:pPr>
                    <w:keepNext w:val="0"/>
                    <w:keepLines w:val="0"/>
                    <w:suppressLineNumbers w:val="0"/>
                    <w:spacing w:before="0" w:beforeAutospacing="0" w:after="0" w:afterAutospacing="0"/>
                    <w:ind w:left="0" w:right="0"/>
                    <w:jc w:val="center"/>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投资估算（万元）</w:t>
                  </w:r>
                </w:p>
              </w:tc>
            </w:tr>
            <w:tr w14:paraId="5290B1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180" w:type="dxa"/>
                  <w:tcBorders>
                    <w:tl2br w:val="nil"/>
                    <w:tr2bl w:val="nil"/>
                  </w:tcBorders>
                  <w:vAlign w:val="center"/>
                </w:tcPr>
                <w:p w14:paraId="3F48D70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废气</w:t>
                  </w:r>
                </w:p>
              </w:tc>
              <w:tc>
                <w:tcPr>
                  <w:tcW w:w="1520" w:type="dxa"/>
                  <w:tcBorders>
                    <w:tl2br w:val="nil"/>
                    <w:tr2bl w:val="nil"/>
                  </w:tcBorders>
                  <w:vAlign w:val="center"/>
                </w:tcPr>
                <w:p w14:paraId="741C190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 w:val="0"/>
                      <w:sz w:val="21"/>
                      <w:szCs w:val="21"/>
                      <w:highlight w:val="none"/>
                      <w:lang w:val="en-US" w:eastAsia="zh-CN"/>
                    </w:rPr>
                    <w:t>颗粒物及非甲烷总烃</w:t>
                  </w:r>
                </w:p>
              </w:tc>
              <w:tc>
                <w:tcPr>
                  <w:tcW w:w="3804" w:type="dxa"/>
                  <w:tcBorders>
                    <w:tl2br w:val="nil"/>
                    <w:tr2bl w:val="nil"/>
                  </w:tcBorders>
                  <w:vAlign w:val="center"/>
                </w:tcPr>
                <w:p w14:paraId="58D91176">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color w:val="auto"/>
                      <w:highlight w:val="none"/>
                    </w:rPr>
                    <w:t>DA001脉冲布袋除尘器及排气筒、DA002旋风除尘器+滤筒除尘器及排气筒、DA003干式</w:t>
                  </w:r>
                  <w:r>
                    <w:rPr>
                      <w:rFonts w:hint="default" w:ascii="Times New Roman" w:hAnsi="Times New Roman" w:cs="Times New Roman"/>
                      <w:color w:val="auto"/>
                      <w:highlight w:val="none"/>
                      <w:lang w:val="en-US" w:eastAsia="zh-CN"/>
                    </w:rPr>
                    <w:t>纸盒</w:t>
                  </w:r>
                  <w:r>
                    <w:rPr>
                      <w:rFonts w:hint="default" w:ascii="Times New Roman" w:hAnsi="Times New Roman" w:cs="Times New Roman"/>
                      <w:color w:val="auto"/>
                      <w:highlight w:val="none"/>
                    </w:rPr>
                    <w:t>过滤+二级活性炭吸附装置及排气筒、天然气低氮燃烧器及配套管道</w:t>
                  </w:r>
                </w:p>
              </w:tc>
              <w:tc>
                <w:tcPr>
                  <w:tcW w:w="1794" w:type="dxa"/>
                  <w:tcBorders>
                    <w:tl2br w:val="nil"/>
                    <w:tr2bl w:val="nil"/>
                  </w:tcBorders>
                  <w:vAlign w:val="center"/>
                </w:tcPr>
                <w:p w14:paraId="2F4B24C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40</w:t>
                  </w:r>
                </w:p>
              </w:tc>
            </w:tr>
            <w:tr w14:paraId="683889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180" w:type="dxa"/>
                  <w:vMerge w:val="restart"/>
                  <w:tcBorders>
                    <w:tl2br w:val="nil"/>
                    <w:tr2bl w:val="nil"/>
                  </w:tcBorders>
                  <w:vAlign w:val="center"/>
                </w:tcPr>
                <w:p w14:paraId="5CADF1D7">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zh-CN"/>
                    </w:rPr>
                  </w:pPr>
                  <w:r>
                    <w:rPr>
                      <w:rFonts w:hint="default" w:ascii="Times New Roman" w:hAnsi="Times New Roman" w:cs="Times New Roman"/>
                      <w:bCs/>
                      <w:color w:val="auto"/>
                      <w:sz w:val="21"/>
                      <w:szCs w:val="21"/>
                      <w:highlight w:val="none"/>
                    </w:rPr>
                    <w:t>废水</w:t>
                  </w:r>
                </w:p>
              </w:tc>
              <w:tc>
                <w:tcPr>
                  <w:tcW w:w="1520" w:type="dxa"/>
                  <w:tcBorders>
                    <w:tl2br w:val="nil"/>
                    <w:tr2bl w:val="nil"/>
                  </w:tcBorders>
                  <w:vAlign w:val="center"/>
                </w:tcPr>
                <w:p w14:paraId="0B9E4CDC">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zh-CN"/>
                    </w:rPr>
                  </w:pPr>
                  <w:r>
                    <w:rPr>
                      <w:rFonts w:hint="default" w:ascii="Times New Roman" w:hAnsi="Times New Roman" w:cs="Times New Roman"/>
                      <w:bCs/>
                      <w:color w:val="auto"/>
                      <w:sz w:val="21"/>
                      <w:szCs w:val="21"/>
                      <w:highlight w:val="none"/>
                    </w:rPr>
                    <w:t>生活污水</w:t>
                  </w:r>
                </w:p>
              </w:tc>
              <w:tc>
                <w:tcPr>
                  <w:tcW w:w="3804" w:type="dxa"/>
                  <w:tcBorders>
                    <w:tl2br w:val="nil"/>
                    <w:tr2bl w:val="nil"/>
                  </w:tcBorders>
                  <w:vAlign w:val="center"/>
                </w:tcPr>
                <w:p w14:paraId="56E0D407">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zh-CN"/>
                    </w:rPr>
                  </w:pPr>
                  <w:r>
                    <w:rPr>
                      <w:rFonts w:hint="default" w:ascii="Times New Roman" w:hAnsi="Times New Roman" w:cs="Times New Roman"/>
                      <w:bCs/>
                      <w:color w:val="auto"/>
                      <w:sz w:val="21"/>
                      <w:szCs w:val="21"/>
                      <w:highlight w:val="none"/>
                    </w:rPr>
                    <w:t>化粪池（依托）</w:t>
                  </w:r>
                </w:p>
              </w:tc>
              <w:tc>
                <w:tcPr>
                  <w:tcW w:w="1794" w:type="dxa"/>
                  <w:tcBorders>
                    <w:tl2br w:val="nil"/>
                    <w:tr2bl w:val="nil"/>
                  </w:tcBorders>
                  <w:vAlign w:val="center"/>
                </w:tcPr>
                <w:p w14:paraId="02967DCE">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r>
            <w:tr w14:paraId="25A1CD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180" w:type="dxa"/>
                  <w:vMerge w:val="continue"/>
                  <w:tcBorders>
                    <w:tl2br w:val="nil"/>
                    <w:tr2bl w:val="nil"/>
                  </w:tcBorders>
                  <w:vAlign w:val="center"/>
                </w:tcPr>
                <w:p w14:paraId="6C88A2BD">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rPr>
                  </w:pPr>
                </w:p>
              </w:tc>
              <w:tc>
                <w:tcPr>
                  <w:tcW w:w="1520" w:type="dxa"/>
                  <w:tcBorders>
                    <w:tl2br w:val="nil"/>
                    <w:tr2bl w:val="nil"/>
                  </w:tcBorders>
                  <w:vAlign w:val="center"/>
                </w:tcPr>
                <w:p w14:paraId="7229DD0E">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生产废水</w:t>
                  </w:r>
                </w:p>
              </w:tc>
              <w:tc>
                <w:tcPr>
                  <w:tcW w:w="3804" w:type="dxa"/>
                  <w:tcBorders>
                    <w:tl2br w:val="nil"/>
                    <w:tr2bl w:val="nil"/>
                  </w:tcBorders>
                  <w:vAlign w:val="center"/>
                </w:tcPr>
                <w:p w14:paraId="048011B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废水处理站</w:t>
                  </w:r>
                  <w:r>
                    <w:rPr>
                      <w:rFonts w:hint="default" w:ascii="Times New Roman" w:hAnsi="Times New Roman" w:eastAsia="宋体" w:cs="Times New Roman"/>
                      <w:smallCaps w:val="0"/>
                      <w:color w:val="auto"/>
                      <w:spacing w:val="0"/>
                      <w:kern w:val="0"/>
                      <w:position w:val="0"/>
                      <w:sz w:val="21"/>
                      <w:szCs w:val="21"/>
                      <w:highlight w:val="none"/>
                      <w:lang w:val="en-US" w:eastAsia="zh-CN"/>
                    </w:rPr>
                    <w:t>（处理规模5m³/d）</w:t>
                  </w:r>
                  <w:r>
                    <w:rPr>
                      <w:rFonts w:hint="default" w:ascii="Times New Roman" w:hAnsi="Times New Roman" w:eastAsia="宋体" w:cs="Times New Roman"/>
                      <w:b w:val="0"/>
                      <w:color w:val="auto"/>
                      <w:sz w:val="21"/>
                      <w:szCs w:val="21"/>
                      <w:highlight w:val="none"/>
                    </w:rPr>
                    <w:t>、收集管道</w:t>
                  </w:r>
                </w:p>
              </w:tc>
              <w:tc>
                <w:tcPr>
                  <w:tcW w:w="1794" w:type="dxa"/>
                  <w:tcBorders>
                    <w:tl2br w:val="nil"/>
                    <w:tr2bl w:val="nil"/>
                  </w:tcBorders>
                  <w:vAlign w:val="center"/>
                </w:tcPr>
                <w:p w14:paraId="075FFFF6">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8</w:t>
                  </w:r>
                </w:p>
              </w:tc>
            </w:tr>
            <w:tr w14:paraId="0AF706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180" w:type="dxa"/>
                  <w:tcBorders>
                    <w:tl2br w:val="nil"/>
                    <w:tr2bl w:val="nil"/>
                  </w:tcBorders>
                  <w:vAlign w:val="center"/>
                </w:tcPr>
                <w:p w14:paraId="228A25EA">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zh-CN"/>
                    </w:rPr>
                  </w:pPr>
                  <w:r>
                    <w:rPr>
                      <w:rFonts w:hint="default" w:ascii="Times New Roman" w:hAnsi="Times New Roman" w:cs="Times New Roman"/>
                      <w:bCs/>
                      <w:color w:val="auto"/>
                      <w:sz w:val="21"/>
                      <w:szCs w:val="21"/>
                      <w:highlight w:val="none"/>
                    </w:rPr>
                    <w:t>噪声</w:t>
                  </w:r>
                </w:p>
              </w:tc>
              <w:tc>
                <w:tcPr>
                  <w:tcW w:w="1520" w:type="dxa"/>
                  <w:tcBorders>
                    <w:tl2br w:val="nil"/>
                    <w:tr2bl w:val="nil"/>
                  </w:tcBorders>
                  <w:vAlign w:val="center"/>
                </w:tcPr>
                <w:p w14:paraId="2F04C6CE">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zh-CN"/>
                    </w:rPr>
                  </w:pPr>
                  <w:r>
                    <w:rPr>
                      <w:rFonts w:hint="default" w:ascii="Times New Roman" w:hAnsi="Times New Roman" w:cs="Times New Roman"/>
                      <w:bCs/>
                      <w:color w:val="auto"/>
                      <w:sz w:val="21"/>
                      <w:szCs w:val="21"/>
                      <w:highlight w:val="none"/>
                    </w:rPr>
                    <w:t>设备噪声等</w:t>
                  </w:r>
                </w:p>
              </w:tc>
              <w:tc>
                <w:tcPr>
                  <w:tcW w:w="3804" w:type="dxa"/>
                  <w:tcBorders>
                    <w:tl2br w:val="nil"/>
                    <w:tr2bl w:val="nil"/>
                  </w:tcBorders>
                  <w:vAlign w:val="center"/>
                </w:tcPr>
                <w:p w14:paraId="0717C11A">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zh-CN"/>
                    </w:rPr>
                  </w:pPr>
                  <w:r>
                    <w:rPr>
                      <w:rFonts w:hint="default" w:ascii="Times New Roman" w:hAnsi="Times New Roman" w:cs="Times New Roman"/>
                      <w:color w:val="auto"/>
                      <w:highlight w:val="none"/>
                    </w:rPr>
                    <w:t>减振垫、消声器、柔性连接</w:t>
                  </w:r>
                </w:p>
              </w:tc>
              <w:tc>
                <w:tcPr>
                  <w:tcW w:w="1794" w:type="dxa"/>
                  <w:tcBorders>
                    <w:tl2br w:val="nil"/>
                    <w:tr2bl w:val="nil"/>
                  </w:tcBorders>
                  <w:vAlign w:val="center"/>
                </w:tcPr>
                <w:p w14:paraId="00D1064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2</w:t>
                  </w:r>
                </w:p>
              </w:tc>
            </w:tr>
            <w:tr w14:paraId="3B4FA0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180" w:type="dxa"/>
                  <w:vMerge w:val="restart"/>
                  <w:tcBorders>
                    <w:tl2br w:val="nil"/>
                    <w:tr2bl w:val="nil"/>
                  </w:tcBorders>
                  <w:vAlign w:val="center"/>
                </w:tcPr>
                <w:p w14:paraId="7E16CCC4">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zh-CN"/>
                    </w:rPr>
                  </w:pPr>
                  <w:r>
                    <w:rPr>
                      <w:rFonts w:hint="default" w:ascii="Times New Roman" w:hAnsi="Times New Roman" w:cs="Times New Roman"/>
                      <w:bCs/>
                      <w:color w:val="auto"/>
                      <w:sz w:val="21"/>
                      <w:szCs w:val="21"/>
                      <w:highlight w:val="none"/>
                    </w:rPr>
                    <w:t>固废</w:t>
                  </w:r>
                </w:p>
              </w:tc>
              <w:tc>
                <w:tcPr>
                  <w:tcW w:w="1520" w:type="dxa"/>
                  <w:tcBorders>
                    <w:tl2br w:val="nil"/>
                    <w:tr2bl w:val="nil"/>
                  </w:tcBorders>
                  <w:vAlign w:val="center"/>
                </w:tcPr>
                <w:p w14:paraId="1D421AD4">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zh-CN"/>
                    </w:rPr>
                  </w:pPr>
                  <w:r>
                    <w:rPr>
                      <w:rFonts w:hint="default" w:ascii="Times New Roman" w:hAnsi="Times New Roman" w:cs="Times New Roman"/>
                      <w:bCs/>
                      <w:color w:val="auto"/>
                      <w:sz w:val="21"/>
                      <w:szCs w:val="21"/>
                      <w:highlight w:val="none"/>
                    </w:rPr>
                    <w:t>生活垃圾</w:t>
                  </w:r>
                </w:p>
              </w:tc>
              <w:tc>
                <w:tcPr>
                  <w:tcW w:w="3804" w:type="dxa"/>
                  <w:tcBorders>
                    <w:tl2br w:val="nil"/>
                    <w:tr2bl w:val="nil"/>
                  </w:tcBorders>
                  <w:vAlign w:val="center"/>
                </w:tcPr>
                <w:p w14:paraId="2C9C4AD5">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zh-CN"/>
                    </w:rPr>
                  </w:pPr>
                  <w:r>
                    <w:rPr>
                      <w:rFonts w:hint="default" w:ascii="Times New Roman" w:hAnsi="Times New Roman" w:cs="Times New Roman"/>
                      <w:bCs/>
                      <w:color w:val="auto"/>
                      <w:sz w:val="21"/>
                      <w:szCs w:val="21"/>
                      <w:highlight w:val="none"/>
                    </w:rPr>
                    <w:t>若干垃圾桶等</w:t>
                  </w:r>
                </w:p>
              </w:tc>
              <w:tc>
                <w:tcPr>
                  <w:tcW w:w="1794" w:type="dxa"/>
                  <w:tcBorders>
                    <w:tl2br w:val="nil"/>
                    <w:tr2bl w:val="nil"/>
                  </w:tcBorders>
                  <w:vAlign w:val="center"/>
                </w:tcPr>
                <w:p w14:paraId="040F969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0.5</w:t>
                  </w:r>
                </w:p>
              </w:tc>
            </w:tr>
            <w:tr w14:paraId="376EA5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180" w:type="dxa"/>
                  <w:vMerge w:val="continue"/>
                  <w:tcBorders>
                    <w:tl2br w:val="nil"/>
                    <w:tr2bl w:val="nil"/>
                  </w:tcBorders>
                  <w:vAlign w:val="center"/>
                </w:tcPr>
                <w:p w14:paraId="1A2095C0">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zh-CN"/>
                    </w:rPr>
                  </w:pPr>
                </w:p>
              </w:tc>
              <w:tc>
                <w:tcPr>
                  <w:tcW w:w="1520" w:type="dxa"/>
                  <w:tcBorders>
                    <w:tl2br w:val="nil"/>
                    <w:tr2bl w:val="nil"/>
                  </w:tcBorders>
                  <w:vAlign w:val="center"/>
                </w:tcPr>
                <w:p w14:paraId="6E3FA0DE">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zh-CN"/>
                    </w:rPr>
                  </w:pPr>
                  <w:r>
                    <w:rPr>
                      <w:rFonts w:hint="default" w:ascii="Times New Roman" w:hAnsi="Times New Roman" w:cs="Times New Roman"/>
                      <w:bCs/>
                      <w:color w:val="auto"/>
                      <w:sz w:val="21"/>
                      <w:szCs w:val="21"/>
                      <w:highlight w:val="none"/>
                    </w:rPr>
                    <w:t>一般工业固体废物</w:t>
                  </w:r>
                </w:p>
              </w:tc>
              <w:tc>
                <w:tcPr>
                  <w:tcW w:w="3804" w:type="dxa"/>
                  <w:tcBorders>
                    <w:tl2br w:val="nil"/>
                    <w:tr2bl w:val="nil"/>
                  </w:tcBorders>
                  <w:vAlign w:val="center"/>
                </w:tcPr>
                <w:p w14:paraId="290A7674">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zh-CN"/>
                    </w:rPr>
                  </w:pPr>
                  <w:r>
                    <w:rPr>
                      <w:rFonts w:hint="default" w:ascii="Times New Roman" w:hAnsi="Times New Roman" w:cs="Times New Roman"/>
                      <w:bCs/>
                      <w:color w:val="auto"/>
                      <w:sz w:val="21"/>
                      <w:szCs w:val="21"/>
                      <w:highlight w:val="none"/>
                    </w:rPr>
                    <w:t>一般工业固体废物暂存</w:t>
                  </w:r>
                  <w:r>
                    <w:rPr>
                      <w:rFonts w:hint="default" w:ascii="Times New Roman" w:hAnsi="Times New Roman" w:cs="Times New Roman"/>
                      <w:bCs/>
                      <w:color w:val="auto"/>
                      <w:sz w:val="21"/>
                      <w:szCs w:val="21"/>
                      <w:highlight w:val="none"/>
                      <w:lang w:val="en-US" w:eastAsia="zh-CN"/>
                    </w:rPr>
                    <w:t>区</w:t>
                  </w:r>
                  <w:r>
                    <w:rPr>
                      <w:rFonts w:hint="default" w:ascii="Times New Roman" w:hAnsi="Times New Roman" w:cs="Times New Roman"/>
                      <w:bCs/>
                      <w:color w:val="auto"/>
                      <w:sz w:val="21"/>
                      <w:szCs w:val="21"/>
                      <w:highlight w:val="none"/>
                    </w:rPr>
                    <w:t>（</w:t>
                  </w:r>
                  <w:r>
                    <w:rPr>
                      <w:rFonts w:hint="default" w:ascii="Times New Roman" w:hAnsi="Times New Roman" w:cs="Times New Roman"/>
                      <w:bCs/>
                      <w:color w:val="auto"/>
                      <w:sz w:val="21"/>
                      <w:szCs w:val="21"/>
                      <w:highlight w:val="none"/>
                      <w:lang w:val="en-US" w:eastAsia="zh-CN"/>
                    </w:rPr>
                    <w:t>10</w:t>
                  </w:r>
                  <w:r>
                    <w:rPr>
                      <w:rFonts w:hint="default" w:ascii="Times New Roman" w:hAnsi="Times New Roman" w:cs="Times New Roman"/>
                      <w:bCs/>
                      <w:color w:val="auto"/>
                      <w:sz w:val="21"/>
                      <w:szCs w:val="21"/>
                      <w:highlight w:val="none"/>
                    </w:rPr>
                    <w:t>m</w:t>
                  </w:r>
                  <w:r>
                    <w:rPr>
                      <w:rFonts w:hint="default" w:ascii="Times New Roman" w:hAnsi="Times New Roman" w:cs="Times New Roman"/>
                      <w:bCs/>
                      <w:color w:val="auto"/>
                      <w:sz w:val="21"/>
                      <w:szCs w:val="21"/>
                      <w:highlight w:val="none"/>
                      <w:vertAlign w:val="superscript"/>
                    </w:rPr>
                    <w:t>2</w:t>
                  </w:r>
                  <w:r>
                    <w:rPr>
                      <w:rFonts w:hint="default" w:ascii="Times New Roman" w:hAnsi="Times New Roman" w:cs="Times New Roman"/>
                      <w:bCs/>
                      <w:color w:val="auto"/>
                      <w:sz w:val="21"/>
                      <w:szCs w:val="21"/>
                      <w:highlight w:val="none"/>
                    </w:rPr>
                    <w:t>）</w:t>
                  </w:r>
                </w:p>
              </w:tc>
              <w:tc>
                <w:tcPr>
                  <w:tcW w:w="1794" w:type="dxa"/>
                  <w:tcBorders>
                    <w:tl2br w:val="nil"/>
                    <w:tr2bl w:val="nil"/>
                  </w:tcBorders>
                  <w:vAlign w:val="center"/>
                </w:tcPr>
                <w:p w14:paraId="0C53911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w:t>
                  </w:r>
                </w:p>
              </w:tc>
            </w:tr>
            <w:tr w14:paraId="54CFC9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1180" w:type="dxa"/>
                  <w:vMerge w:val="continue"/>
                  <w:tcBorders>
                    <w:tl2br w:val="nil"/>
                    <w:tr2bl w:val="nil"/>
                  </w:tcBorders>
                  <w:vAlign w:val="center"/>
                </w:tcPr>
                <w:p w14:paraId="17BF7B23">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rPr>
                  </w:pPr>
                </w:p>
              </w:tc>
              <w:tc>
                <w:tcPr>
                  <w:tcW w:w="1520" w:type="dxa"/>
                  <w:tcBorders>
                    <w:tl2br w:val="nil"/>
                    <w:tr2bl w:val="nil"/>
                  </w:tcBorders>
                  <w:vAlign w:val="center"/>
                </w:tcPr>
                <w:p w14:paraId="4C5F5B01">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危险废物</w:t>
                  </w:r>
                </w:p>
              </w:tc>
              <w:tc>
                <w:tcPr>
                  <w:tcW w:w="3804" w:type="dxa"/>
                  <w:tcBorders>
                    <w:tl2br w:val="nil"/>
                    <w:tr2bl w:val="nil"/>
                  </w:tcBorders>
                  <w:vAlign w:val="center"/>
                </w:tcPr>
                <w:p w14:paraId="5A65E9E0">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危废</w:t>
                  </w:r>
                  <w:r>
                    <w:rPr>
                      <w:rFonts w:hint="default" w:ascii="Times New Roman" w:hAnsi="Times New Roman" w:cs="Times New Roman"/>
                      <w:bCs/>
                      <w:color w:val="auto"/>
                      <w:sz w:val="21"/>
                      <w:szCs w:val="21"/>
                      <w:highlight w:val="none"/>
                      <w:lang w:val="en-US" w:eastAsia="zh-CN"/>
                    </w:rPr>
                    <w:t>贮存库</w:t>
                  </w:r>
                  <w:r>
                    <w:rPr>
                      <w:rFonts w:hint="default" w:ascii="Times New Roman" w:hAnsi="Times New Roman" w:cs="Times New Roman"/>
                      <w:bCs/>
                      <w:color w:val="auto"/>
                      <w:sz w:val="21"/>
                      <w:szCs w:val="21"/>
                      <w:highlight w:val="none"/>
                    </w:rPr>
                    <w:t>（</w:t>
                  </w:r>
                  <w:r>
                    <w:rPr>
                      <w:rFonts w:hint="default" w:ascii="Times New Roman" w:hAnsi="Times New Roman" w:cs="Times New Roman"/>
                      <w:bCs/>
                      <w:color w:val="auto"/>
                      <w:sz w:val="21"/>
                      <w:szCs w:val="21"/>
                      <w:highlight w:val="none"/>
                      <w:lang w:val="en-US" w:eastAsia="zh-CN"/>
                    </w:rPr>
                    <w:t>20</w:t>
                  </w:r>
                  <w:r>
                    <w:rPr>
                      <w:rFonts w:hint="default" w:ascii="Times New Roman" w:hAnsi="Times New Roman" w:cs="Times New Roman"/>
                      <w:bCs/>
                      <w:color w:val="auto"/>
                      <w:sz w:val="21"/>
                      <w:szCs w:val="21"/>
                      <w:highlight w:val="none"/>
                    </w:rPr>
                    <w:t>m</w:t>
                  </w:r>
                  <w:r>
                    <w:rPr>
                      <w:rFonts w:hint="default" w:ascii="Times New Roman" w:hAnsi="Times New Roman" w:cs="Times New Roman"/>
                      <w:bCs/>
                      <w:color w:val="auto"/>
                      <w:sz w:val="21"/>
                      <w:szCs w:val="21"/>
                      <w:highlight w:val="none"/>
                      <w:vertAlign w:val="superscript"/>
                    </w:rPr>
                    <w:t>2</w:t>
                  </w:r>
                  <w:r>
                    <w:rPr>
                      <w:rFonts w:hint="default" w:ascii="Times New Roman" w:hAnsi="Times New Roman" w:cs="Times New Roman"/>
                      <w:bCs/>
                      <w:color w:val="auto"/>
                      <w:sz w:val="21"/>
                      <w:szCs w:val="21"/>
                      <w:highlight w:val="none"/>
                    </w:rPr>
                    <w:t>）</w:t>
                  </w:r>
                </w:p>
              </w:tc>
              <w:tc>
                <w:tcPr>
                  <w:tcW w:w="1794" w:type="dxa"/>
                  <w:tcBorders>
                    <w:tl2br w:val="nil"/>
                    <w:tr2bl w:val="nil"/>
                  </w:tcBorders>
                  <w:vAlign w:val="center"/>
                </w:tcPr>
                <w:p w14:paraId="3B1B00B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2.5</w:t>
                  </w:r>
                </w:p>
              </w:tc>
            </w:tr>
            <w:tr w14:paraId="2F09A9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180" w:type="dxa"/>
                  <w:vMerge w:val="continue"/>
                  <w:tcBorders>
                    <w:tl2br w:val="nil"/>
                    <w:tr2bl w:val="nil"/>
                  </w:tcBorders>
                  <w:vAlign w:val="center"/>
                </w:tcPr>
                <w:p w14:paraId="3C89B0AC">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rPr>
                  </w:pPr>
                </w:p>
              </w:tc>
              <w:tc>
                <w:tcPr>
                  <w:tcW w:w="1520" w:type="dxa"/>
                  <w:tcBorders>
                    <w:tl2br w:val="nil"/>
                    <w:tr2bl w:val="nil"/>
                  </w:tcBorders>
                  <w:vAlign w:val="center"/>
                </w:tcPr>
                <w:p w14:paraId="6383E1BB">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rPr>
                  </w:pPr>
                  <w:r>
                    <w:rPr>
                      <w:rFonts w:hint="default" w:ascii="Times New Roman" w:hAnsi="Times New Roman" w:eastAsia="宋体" w:cs="Times New Roman"/>
                      <w:b w:val="0"/>
                      <w:sz w:val="21"/>
                      <w:szCs w:val="21"/>
                      <w:highlight w:val="none"/>
                    </w:rPr>
                    <w:t>地下水防渗</w:t>
                  </w:r>
                </w:p>
              </w:tc>
              <w:tc>
                <w:tcPr>
                  <w:tcW w:w="3804" w:type="dxa"/>
                  <w:tcBorders>
                    <w:tl2br w:val="nil"/>
                    <w:tr2bl w:val="nil"/>
                  </w:tcBorders>
                  <w:vAlign w:val="center"/>
                </w:tcPr>
                <w:p w14:paraId="395C971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 w:val="0"/>
                      <w:sz w:val="21"/>
                      <w:szCs w:val="21"/>
                      <w:highlight w:val="none"/>
                    </w:rPr>
                    <w:t>重点防渗区、一般防渗区</w:t>
                  </w:r>
                  <w:r>
                    <w:rPr>
                      <w:rFonts w:hint="default" w:ascii="Times New Roman" w:hAnsi="Times New Roman" w:cs="Times New Roman"/>
                      <w:b w:val="0"/>
                      <w:sz w:val="21"/>
                      <w:szCs w:val="21"/>
                      <w:highlight w:val="none"/>
                      <w:lang w:eastAsia="zh-CN"/>
                    </w:rPr>
                    <w:t>、</w:t>
                  </w:r>
                  <w:r>
                    <w:rPr>
                      <w:rFonts w:hint="default" w:ascii="Times New Roman" w:hAnsi="Times New Roman" w:cs="Times New Roman"/>
                      <w:b w:val="0"/>
                      <w:sz w:val="21"/>
                      <w:szCs w:val="21"/>
                      <w:highlight w:val="none"/>
                      <w:lang w:val="en-US" w:eastAsia="zh-CN"/>
                    </w:rPr>
                    <w:t>简单防渗区</w:t>
                  </w:r>
                </w:p>
              </w:tc>
              <w:tc>
                <w:tcPr>
                  <w:tcW w:w="1794" w:type="dxa"/>
                  <w:tcBorders>
                    <w:tl2br w:val="nil"/>
                    <w:tr2bl w:val="nil"/>
                  </w:tcBorders>
                  <w:vAlign w:val="center"/>
                </w:tcPr>
                <w:p w14:paraId="3CBB7E70">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1</w:t>
                  </w:r>
                </w:p>
              </w:tc>
            </w:tr>
            <w:tr w14:paraId="6085FC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6504" w:type="dxa"/>
                  <w:gridSpan w:val="3"/>
                  <w:tcBorders>
                    <w:tl2br w:val="nil"/>
                    <w:tr2bl w:val="nil"/>
                  </w:tcBorders>
                  <w:vAlign w:val="center"/>
                </w:tcPr>
                <w:p w14:paraId="2E6D0401">
                  <w:pPr>
                    <w:keepNext w:val="0"/>
                    <w:keepLines w:val="0"/>
                    <w:suppressLineNumbers w:val="0"/>
                    <w:spacing w:before="0" w:beforeAutospacing="0" w:after="0" w:afterAutospacing="0"/>
                    <w:ind w:left="0" w:right="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合计</w:t>
                  </w:r>
                </w:p>
              </w:tc>
              <w:tc>
                <w:tcPr>
                  <w:tcW w:w="1794" w:type="dxa"/>
                  <w:tcBorders>
                    <w:tl2br w:val="nil"/>
                    <w:tr2bl w:val="nil"/>
                  </w:tcBorders>
                  <w:vAlign w:val="center"/>
                </w:tcPr>
                <w:p w14:paraId="4ABA1FF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55</w:t>
                  </w:r>
                </w:p>
              </w:tc>
            </w:tr>
          </w:tbl>
          <w:p w14:paraId="425FFBC8">
            <w:pPr>
              <w:pStyle w:val="29"/>
              <w:keepNext w:val="0"/>
              <w:keepLines w:val="0"/>
              <w:suppressLineNumbers w:val="0"/>
              <w:spacing w:before="0" w:beforeAutospacing="0" w:after="0" w:afterAutospacing="0" w:line="360" w:lineRule="auto"/>
              <w:ind w:left="0" w:right="0"/>
              <w:jc w:val="center"/>
              <w:outlineLvl w:val="0"/>
              <w:rPr>
                <w:rFonts w:hint="default" w:ascii="Times New Roman" w:hAnsi="Times New Roman" w:cs="Times New Roman"/>
                <w:snapToGrid w:val="0"/>
                <w:color w:val="auto"/>
                <w:sz w:val="30"/>
                <w:szCs w:val="30"/>
                <w:highlight w:val="none"/>
                <w:vertAlign w:val="baseline"/>
              </w:rPr>
            </w:pPr>
          </w:p>
        </w:tc>
      </w:tr>
    </w:tbl>
    <w:p w14:paraId="46750E42">
      <w:pPr>
        <w:pStyle w:val="29"/>
        <w:spacing w:before="0" w:beforeAutospacing="0" w:after="0" w:afterAutospacing="0" w:line="360" w:lineRule="auto"/>
        <w:jc w:val="both"/>
        <w:outlineLvl w:val="0"/>
        <w:rPr>
          <w:rFonts w:hint="default" w:ascii="Times New Roman" w:hAnsi="Times New Roman" w:cs="Times New Roman"/>
          <w:snapToGrid w:val="0"/>
          <w:color w:val="auto"/>
          <w:sz w:val="30"/>
          <w:szCs w:val="30"/>
          <w:highlight w:val="none"/>
        </w:rPr>
        <w:sectPr>
          <w:pgSz w:w="11906" w:h="16838"/>
          <w:pgMar w:top="1701" w:right="1531" w:bottom="1701" w:left="1531" w:header="851" w:footer="992" w:gutter="0"/>
          <w:pgBorders>
            <w:top w:val="none" w:sz="0" w:space="0"/>
            <w:left w:val="none" w:sz="0" w:space="0"/>
            <w:bottom w:val="none" w:sz="0" w:space="0"/>
            <w:right w:val="none" w:sz="0" w:space="0"/>
          </w:pgBorders>
          <w:cols w:space="425" w:num="1"/>
          <w:docGrid w:type="lines" w:linePitch="312" w:charSpace="0"/>
        </w:sectPr>
      </w:pPr>
    </w:p>
    <w:p w14:paraId="23FEC047">
      <w:pPr>
        <w:pStyle w:val="29"/>
        <w:adjustRightInd w:val="0"/>
        <w:snapToGrid w:val="0"/>
        <w:spacing w:before="0" w:beforeAutospacing="0" w:after="0" w:afterAutospacing="0" w:line="360" w:lineRule="auto"/>
        <w:jc w:val="center"/>
        <w:outlineLvl w:val="0"/>
        <w:rPr>
          <w:rFonts w:hint="default" w:ascii="Times New Roman" w:hAnsi="Times New Roman" w:cs="Times New Roman"/>
          <w:b/>
          <w:snapToGrid w:val="0"/>
          <w:color w:val="auto"/>
          <w:sz w:val="28"/>
          <w:szCs w:val="28"/>
          <w:highlight w:val="none"/>
        </w:rPr>
      </w:pPr>
      <w:bookmarkStart w:id="9" w:name="_Toc32252"/>
      <w:r>
        <w:rPr>
          <w:rFonts w:hint="default" w:ascii="Times New Roman" w:hAnsi="Times New Roman" w:cs="Times New Roman"/>
          <w:b/>
          <w:snapToGrid w:val="0"/>
          <w:color w:val="auto"/>
          <w:sz w:val="28"/>
          <w:szCs w:val="28"/>
          <w:highlight w:val="none"/>
        </w:rPr>
        <w:t>五、环境保护措施监督检查清单</w:t>
      </w:r>
    </w:p>
    <w:tbl>
      <w:tblPr>
        <w:tblStyle w:val="32"/>
        <w:tblW w:w="90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1555"/>
        <w:gridCol w:w="1513"/>
        <w:gridCol w:w="2020"/>
        <w:gridCol w:w="2651"/>
      </w:tblGrid>
      <w:tr w14:paraId="2EE52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tcBorders>
              <w:tl2br w:val="single" w:color="auto" w:sz="4" w:space="0"/>
            </w:tcBorders>
          </w:tcPr>
          <w:p w14:paraId="3C9CCDC5">
            <w:pPr>
              <w:keepNext w:val="0"/>
              <w:keepLines w:val="0"/>
              <w:suppressLineNumbers w:val="0"/>
              <w:spacing w:before="0" w:beforeAutospacing="0" w:after="0" w:afterAutospacing="0"/>
              <w:ind w:left="0" w:right="0"/>
              <w:jc w:val="right"/>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内容</w:t>
            </w:r>
          </w:p>
          <w:p w14:paraId="2898BBB0">
            <w:pPr>
              <w:keepNext w:val="0"/>
              <w:keepLines w:val="0"/>
              <w:suppressLineNumbers w:val="0"/>
              <w:spacing w:before="0" w:beforeAutospacing="0" w:after="0" w:afterAutospacing="0"/>
              <w:ind w:left="0" w:right="0"/>
              <w:jc w:val="left"/>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要素</w:t>
            </w:r>
          </w:p>
        </w:tc>
        <w:tc>
          <w:tcPr>
            <w:tcW w:w="1555" w:type="dxa"/>
            <w:vAlign w:val="center"/>
          </w:tcPr>
          <w:p w14:paraId="0E73DED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排放口</w:t>
            </w:r>
            <w:r>
              <w:rPr>
                <w:rFonts w:hint="default" w:ascii="Times New Roman" w:hAnsi="Times New Roman" w:eastAsia="宋体" w:cs="Times New Roman"/>
                <w:b/>
                <w:bCs w:val="0"/>
                <w:color w:val="auto"/>
                <w:sz w:val="21"/>
                <w:szCs w:val="21"/>
                <w:highlight w:val="none"/>
                <w:lang w:eastAsia="zh-CN"/>
              </w:rPr>
              <w:t>（</w:t>
            </w:r>
            <w:r>
              <w:rPr>
                <w:rFonts w:hint="default" w:ascii="Times New Roman" w:hAnsi="Times New Roman" w:eastAsia="宋体" w:cs="Times New Roman"/>
                <w:b/>
                <w:bCs w:val="0"/>
                <w:color w:val="auto"/>
                <w:sz w:val="21"/>
                <w:szCs w:val="21"/>
                <w:highlight w:val="none"/>
              </w:rPr>
              <w:t>编号、名称</w:t>
            </w:r>
            <w:r>
              <w:rPr>
                <w:rFonts w:hint="default" w:ascii="Times New Roman" w:hAnsi="Times New Roman" w:eastAsia="宋体" w:cs="Times New Roman"/>
                <w:b/>
                <w:bCs w:val="0"/>
                <w:color w:val="auto"/>
                <w:sz w:val="21"/>
                <w:szCs w:val="21"/>
                <w:highlight w:val="none"/>
                <w:lang w:eastAsia="zh-CN"/>
              </w:rPr>
              <w:t>）</w:t>
            </w:r>
            <w:r>
              <w:rPr>
                <w:rFonts w:hint="default" w:ascii="Times New Roman" w:hAnsi="Times New Roman" w:eastAsia="宋体" w:cs="Times New Roman"/>
                <w:b/>
                <w:bCs w:val="0"/>
                <w:color w:val="auto"/>
                <w:sz w:val="21"/>
                <w:szCs w:val="21"/>
                <w:highlight w:val="none"/>
              </w:rPr>
              <w:t>/污染源</w:t>
            </w:r>
          </w:p>
        </w:tc>
        <w:tc>
          <w:tcPr>
            <w:tcW w:w="1513" w:type="dxa"/>
            <w:vAlign w:val="center"/>
          </w:tcPr>
          <w:p w14:paraId="3CE9C66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污染物项目</w:t>
            </w:r>
          </w:p>
        </w:tc>
        <w:tc>
          <w:tcPr>
            <w:tcW w:w="2020" w:type="dxa"/>
            <w:vAlign w:val="center"/>
          </w:tcPr>
          <w:p w14:paraId="1580054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环境保护措施</w:t>
            </w:r>
          </w:p>
        </w:tc>
        <w:tc>
          <w:tcPr>
            <w:tcW w:w="2651" w:type="dxa"/>
            <w:vAlign w:val="center"/>
          </w:tcPr>
          <w:p w14:paraId="17404E2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执行标准</w:t>
            </w:r>
          </w:p>
        </w:tc>
      </w:tr>
      <w:tr w14:paraId="1AF90F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Merge w:val="restart"/>
            <w:vAlign w:val="center"/>
          </w:tcPr>
          <w:p w14:paraId="2604F76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地表水环境</w:t>
            </w:r>
          </w:p>
        </w:tc>
        <w:tc>
          <w:tcPr>
            <w:tcW w:w="1555" w:type="dxa"/>
            <w:vAlign w:val="center"/>
          </w:tcPr>
          <w:p w14:paraId="68410976">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生活污水</w:t>
            </w:r>
          </w:p>
        </w:tc>
        <w:tc>
          <w:tcPr>
            <w:tcW w:w="1513" w:type="dxa"/>
            <w:vAlign w:val="center"/>
          </w:tcPr>
          <w:p w14:paraId="0F6037D7">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COD、BOD</w:t>
            </w:r>
            <w:r>
              <w:rPr>
                <w:rFonts w:hint="default" w:ascii="Times New Roman" w:hAnsi="Times New Roman" w:eastAsia="宋体" w:cs="Times New Roman"/>
                <w:bCs/>
                <w:color w:val="auto"/>
                <w:sz w:val="21"/>
                <w:szCs w:val="21"/>
                <w:highlight w:val="none"/>
                <w:vertAlign w:val="subscript"/>
              </w:rPr>
              <w:t>5</w:t>
            </w:r>
            <w:r>
              <w:rPr>
                <w:rFonts w:hint="default" w:ascii="Times New Roman" w:hAnsi="Times New Roman" w:eastAsia="宋体" w:cs="Times New Roman"/>
                <w:bCs/>
                <w:color w:val="auto"/>
                <w:sz w:val="21"/>
                <w:szCs w:val="21"/>
                <w:highlight w:val="none"/>
              </w:rPr>
              <w:t>、SS、NH</w:t>
            </w:r>
            <w:r>
              <w:rPr>
                <w:rFonts w:hint="default" w:ascii="Times New Roman" w:hAnsi="Times New Roman" w:eastAsia="宋体" w:cs="Times New Roman"/>
                <w:bCs/>
                <w:color w:val="auto"/>
                <w:sz w:val="21"/>
                <w:szCs w:val="21"/>
                <w:highlight w:val="none"/>
                <w:vertAlign w:val="subscript"/>
              </w:rPr>
              <w:t>3</w:t>
            </w:r>
            <w:r>
              <w:rPr>
                <w:rFonts w:hint="default" w:ascii="Times New Roman" w:hAnsi="Times New Roman" w:eastAsia="宋体" w:cs="Times New Roman"/>
                <w:bCs/>
                <w:color w:val="auto"/>
                <w:sz w:val="21"/>
                <w:szCs w:val="21"/>
                <w:highlight w:val="none"/>
              </w:rPr>
              <w:t>-N</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总磷、总氮</w:t>
            </w:r>
          </w:p>
        </w:tc>
        <w:tc>
          <w:tcPr>
            <w:tcW w:w="2020" w:type="dxa"/>
            <w:vAlign w:val="center"/>
          </w:tcPr>
          <w:p w14:paraId="62529F9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经厂区化粪池处理后定期清掏外运</w:t>
            </w:r>
          </w:p>
        </w:tc>
        <w:tc>
          <w:tcPr>
            <w:tcW w:w="2651" w:type="dxa"/>
            <w:vAlign w:val="center"/>
          </w:tcPr>
          <w:p w14:paraId="2F367A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color w:val="auto"/>
                <w:highlight w:val="none"/>
              </w:rPr>
              <w:t>生活污水经化粪池处理后定期清掏外运，不涉及废水排放标准</w:t>
            </w:r>
          </w:p>
        </w:tc>
      </w:tr>
      <w:tr w14:paraId="2BF1CC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Merge w:val="continue"/>
            <w:vAlign w:val="center"/>
          </w:tcPr>
          <w:p w14:paraId="5B9AE81A">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p>
        </w:tc>
        <w:tc>
          <w:tcPr>
            <w:tcW w:w="1555" w:type="dxa"/>
            <w:vAlign w:val="center"/>
          </w:tcPr>
          <w:p w14:paraId="4CD83E2B">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生产废水</w:t>
            </w:r>
          </w:p>
        </w:tc>
        <w:tc>
          <w:tcPr>
            <w:tcW w:w="1513" w:type="dxa"/>
            <w:vAlign w:val="center"/>
          </w:tcPr>
          <w:p w14:paraId="1F50D29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pH、COD、BOD₅、SS、NH₃-N、石油类、LAS</w:t>
            </w:r>
          </w:p>
        </w:tc>
        <w:tc>
          <w:tcPr>
            <w:tcW w:w="2020" w:type="dxa"/>
            <w:vAlign w:val="center"/>
          </w:tcPr>
          <w:p w14:paraId="066931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清洗废水、电泳废水及车间地面清洁废水经废水处理站（调节+混凝沉淀+MBR+砂滤）处理后全部回用于厂区洒扫；纯水制备浓水、循环冷却系统排污回用于厂区绿化洒扫</w:t>
            </w:r>
          </w:p>
        </w:tc>
        <w:tc>
          <w:tcPr>
            <w:tcW w:w="2651" w:type="dxa"/>
            <w:vAlign w:val="center"/>
          </w:tcPr>
          <w:p w14:paraId="74101DC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color w:val="auto"/>
                <w:highlight w:val="none"/>
              </w:rPr>
              <w:t>回用水质执行《城市污水再生利用 城市杂用水水质》（GB/T 18920-2020）道路清扫、绿化用水要求</w:t>
            </w:r>
          </w:p>
        </w:tc>
      </w:tr>
      <w:tr w14:paraId="5BBD14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Merge w:val="restart"/>
            <w:vAlign w:val="center"/>
          </w:tcPr>
          <w:p w14:paraId="1FF61A4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大气环境</w:t>
            </w:r>
          </w:p>
        </w:tc>
        <w:tc>
          <w:tcPr>
            <w:tcW w:w="1555" w:type="dxa"/>
            <w:vAlign w:val="center"/>
          </w:tcPr>
          <w:p w14:paraId="0C26F0E0">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 w:val="0"/>
                <w:sz w:val="21"/>
                <w:szCs w:val="21"/>
                <w:highlight w:val="none"/>
              </w:rPr>
              <w:t>DA001排气筒</w:t>
            </w:r>
          </w:p>
        </w:tc>
        <w:tc>
          <w:tcPr>
            <w:tcW w:w="1513" w:type="dxa"/>
            <w:vAlign w:val="center"/>
          </w:tcPr>
          <w:p w14:paraId="081CE28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 w:val="0"/>
                <w:sz w:val="21"/>
                <w:szCs w:val="21"/>
                <w:highlight w:val="none"/>
              </w:rPr>
              <w:t>颗粒物</w:t>
            </w:r>
          </w:p>
        </w:tc>
        <w:tc>
          <w:tcPr>
            <w:tcW w:w="2020" w:type="dxa"/>
            <w:vAlign w:val="center"/>
          </w:tcPr>
          <w:p w14:paraId="31E2F1F5">
            <w:pPr>
              <w:keepNext w:val="0"/>
              <w:keepLines w:val="0"/>
              <w:suppressLineNumbers w:val="0"/>
              <w:spacing w:before="40" w:beforeAutospacing="0" w:after="40" w:afterAutospacing="0" w:line="240" w:lineRule="auto"/>
              <w:ind w:left="0" w:leftChars="0" w:right="0" w:rightChars="0" w:firstLine="0" w:firstLineChars="0"/>
              <w:jc w:val="left"/>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color w:val="auto"/>
                <w:highlight w:val="none"/>
              </w:rPr>
              <w:t>抛丸机全密闭负压收集+脉冲布袋除尘器+15m排气筒（DA001）</w:t>
            </w:r>
          </w:p>
        </w:tc>
        <w:tc>
          <w:tcPr>
            <w:tcW w:w="2651" w:type="dxa"/>
            <w:vAlign w:val="center"/>
          </w:tcPr>
          <w:p w14:paraId="6C97DC40">
            <w:pPr>
              <w:keepNext w:val="0"/>
              <w:keepLines w:val="0"/>
              <w:suppressLineNumbers w:val="0"/>
              <w:spacing w:before="40" w:beforeAutospacing="0" w:after="40" w:afterAutospacing="0" w:line="240" w:lineRule="auto"/>
              <w:ind w:left="0" w:leftChars="0" w:right="0" w:rightChars="0" w:firstLine="0" w:firstLineChars="0"/>
              <w:jc w:val="left"/>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 w:val="0"/>
                <w:color w:val="auto"/>
                <w:sz w:val="21"/>
                <w:szCs w:val="21"/>
                <w:highlight w:val="none"/>
              </w:rPr>
              <w:t>《大气污染物综合排放标准》（GB16297-1996）</w:t>
            </w:r>
          </w:p>
        </w:tc>
      </w:tr>
      <w:tr w14:paraId="29770E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Merge w:val="continue"/>
            <w:vAlign w:val="center"/>
          </w:tcPr>
          <w:p w14:paraId="32208F4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p>
        </w:tc>
        <w:tc>
          <w:tcPr>
            <w:tcW w:w="1555" w:type="dxa"/>
            <w:vAlign w:val="center"/>
          </w:tcPr>
          <w:p w14:paraId="7FCA186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 w:val="0"/>
                <w:sz w:val="21"/>
                <w:szCs w:val="21"/>
                <w:highlight w:val="none"/>
              </w:rPr>
              <w:t>DA002排气筒</w:t>
            </w:r>
          </w:p>
        </w:tc>
        <w:tc>
          <w:tcPr>
            <w:tcW w:w="1513" w:type="dxa"/>
            <w:vAlign w:val="center"/>
          </w:tcPr>
          <w:p w14:paraId="2E990609">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 w:val="0"/>
                <w:sz w:val="21"/>
                <w:szCs w:val="21"/>
                <w:highlight w:val="none"/>
              </w:rPr>
              <w:t>颗粒物</w:t>
            </w:r>
          </w:p>
        </w:tc>
        <w:tc>
          <w:tcPr>
            <w:tcW w:w="2020" w:type="dxa"/>
            <w:vAlign w:val="center"/>
          </w:tcPr>
          <w:p w14:paraId="262C8733">
            <w:pPr>
              <w:keepNext w:val="0"/>
              <w:keepLines w:val="0"/>
              <w:suppressLineNumbers w:val="0"/>
              <w:spacing w:before="40" w:beforeAutospacing="0" w:after="40" w:afterAutospacing="0" w:line="240" w:lineRule="auto"/>
              <w:ind w:left="0" w:leftChars="0" w:right="0" w:rightChars="0" w:firstLine="0" w:firstLineChars="0"/>
              <w:jc w:val="left"/>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color w:val="auto"/>
                <w:highlight w:val="none"/>
              </w:rPr>
              <w:t>密闭喷粉房+旋风除尘器+滤筒除尘器（粉末回用）+15m排气筒（DA002）</w:t>
            </w:r>
          </w:p>
        </w:tc>
        <w:tc>
          <w:tcPr>
            <w:tcW w:w="2651" w:type="dxa"/>
            <w:vAlign w:val="center"/>
          </w:tcPr>
          <w:p w14:paraId="3186AB6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pacing w:val="8"/>
                <w:sz w:val="21"/>
                <w:szCs w:val="21"/>
                <w:highlight w:val="none"/>
              </w:rPr>
              <w:t>《大气污染物综合排放标准》（GB16297-1996）</w:t>
            </w:r>
          </w:p>
        </w:tc>
      </w:tr>
      <w:tr w14:paraId="1C5C3A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Merge w:val="continue"/>
            <w:vAlign w:val="center"/>
          </w:tcPr>
          <w:p w14:paraId="2C8A8414">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p>
        </w:tc>
        <w:tc>
          <w:tcPr>
            <w:tcW w:w="1555" w:type="dxa"/>
            <w:vAlign w:val="center"/>
          </w:tcPr>
          <w:p w14:paraId="7FBAA33D">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DA003排气筒</w:t>
            </w:r>
          </w:p>
        </w:tc>
        <w:tc>
          <w:tcPr>
            <w:tcW w:w="1513" w:type="dxa"/>
            <w:vAlign w:val="center"/>
          </w:tcPr>
          <w:p w14:paraId="73831CE5">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非甲烷总烃、颗粒物、SO₂、NOₓ</w:t>
            </w:r>
          </w:p>
        </w:tc>
        <w:tc>
          <w:tcPr>
            <w:tcW w:w="2020" w:type="dxa"/>
            <w:vAlign w:val="center"/>
          </w:tcPr>
          <w:p w14:paraId="583B9D28">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color w:val="auto"/>
                <w:sz w:val="21"/>
                <w:szCs w:val="21"/>
                <w:highlight w:val="none"/>
              </w:rPr>
            </w:pPr>
            <w:r>
              <w:rPr>
                <w:rFonts w:hint="default" w:ascii="Times New Roman" w:hAnsi="Times New Roman" w:cs="Times New Roman"/>
                <w:color w:val="auto"/>
                <w:highlight w:val="none"/>
              </w:rPr>
              <w:t>固化烘干及电泳废气与天然气燃烧废气合并密闭负压收集+干式过滤+二级活性炭吸附+15m排气筒（DA003）</w:t>
            </w:r>
          </w:p>
        </w:tc>
        <w:tc>
          <w:tcPr>
            <w:tcW w:w="2651" w:type="dxa"/>
            <w:vAlign w:val="center"/>
          </w:tcPr>
          <w:p w14:paraId="3C709AD5">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color w:val="auto"/>
                <w:spacing w:val="8"/>
                <w:sz w:val="21"/>
                <w:szCs w:val="21"/>
                <w:highlight w:val="none"/>
              </w:rPr>
            </w:pPr>
            <w:r>
              <w:rPr>
                <w:rFonts w:hint="default" w:ascii="Times New Roman" w:hAnsi="Times New Roman" w:eastAsia="宋体" w:cs="Times New Roman"/>
                <w:b w:val="0"/>
                <w:color w:val="auto"/>
                <w:sz w:val="21"/>
                <w:szCs w:val="21"/>
                <w:highlight w:val="none"/>
              </w:rPr>
              <w:t>《挥发性有机物排放控制标准》（DB61/T1061-2017）表1（NMHC 50mg/m³）、《陕西省工业炉窑大气污染综合治理实施方案》（陕环函〔2019〕247号）</w:t>
            </w:r>
          </w:p>
        </w:tc>
      </w:tr>
      <w:tr w14:paraId="16E222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Merge w:val="continue"/>
            <w:vAlign w:val="center"/>
          </w:tcPr>
          <w:p w14:paraId="788B3D3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p>
        </w:tc>
        <w:tc>
          <w:tcPr>
            <w:tcW w:w="1555" w:type="dxa"/>
            <w:vAlign w:val="center"/>
          </w:tcPr>
          <w:p w14:paraId="1D64F134">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厂界无组织</w:t>
            </w:r>
          </w:p>
        </w:tc>
        <w:tc>
          <w:tcPr>
            <w:tcW w:w="1513" w:type="dxa"/>
            <w:vAlign w:val="center"/>
          </w:tcPr>
          <w:p w14:paraId="709B2146">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颗粒物、非甲烷总烃</w:t>
            </w:r>
          </w:p>
        </w:tc>
        <w:tc>
          <w:tcPr>
            <w:tcW w:w="2020" w:type="dxa"/>
            <w:vAlign w:val="center"/>
          </w:tcPr>
          <w:p w14:paraId="5EF088F2">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密闭收集、车间微负压、含VOCs物料密闭储存</w:t>
            </w:r>
          </w:p>
        </w:tc>
        <w:tc>
          <w:tcPr>
            <w:tcW w:w="2651" w:type="dxa"/>
            <w:vAlign w:val="center"/>
          </w:tcPr>
          <w:p w14:paraId="6AD5DBBB">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《大气污染物综合排放标准》（GB16297-1996）表2（颗粒物1.0mg/m³）、《挥发性有机物排放控制标准》</w:t>
            </w:r>
            <w:r>
              <w:rPr>
                <w:rFonts w:hint="default" w:ascii="Times New Roman" w:hAnsi="Times New Roman" w:cs="Times New Roman"/>
                <w:b w:val="0"/>
                <w:sz w:val="21"/>
                <w:szCs w:val="21"/>
                <w:highlight w:val="none"/>
                <w:lang w:eastAsia="zh-CN"/>
              </w:rPr>
              <w:t>（</w:t>
            </w:r>
            <w:r>
              <w:rPr>
                <w:rFonts w:hint="default" w:ascii="Times New Roman" w:hAnsi="Times New Roman" w:eastAsia="宋体" w:cs="Times New Roman"/>
                <w:b w:val="0"/>
                <w:sz w:val="21"/>
                <w:szCs w:val="21"/>
                <w:highlight w:val="none"/>
              </w:rPr>
              <w:t>DB61/T1061-2017</w:t>
            </w:r>
            <w:r>
              <w:rPr>
                <w:rFonts w:hint="default" w:ascii="Times New Roman" w:hAnsi="Times New Roman" w:cs="Times New Roman"/>
                <w:b w:val="0"/>
                <w:sz w:val="21"/>
                <w:szCs w:val="21"/>
                <w:highlight w:val="none"/>
                <w:lang w:eastAsia="zh-CN"/>
              </w:rPr>
              <w:t>）</w:t>
            </w:r>
            <w:r>
              <w:rPr>
                <w:rFonts w:hint="default" w:ascii="Times New Roman" w:hAnsi="Times New Roman" w:eastAsia="宋体" w:cs="Times New Roman"/>
                <w:b w:val="0"/>
                <w:sz w:val="21"/>
                <w:szCs w:val="21"/>
                <w:highlight w:val="none"/>
              </w:rPr>
              <w:t>表3（NMHC 3.0mg/m³）</w:t>
            </w:r>
          </w:p>
        </w:tc>
      </w:tr>
      <w:tr w14:paraId="5295EA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Merge w:val="continue"/>
            <w:vAlign w:val="center"/>
          </w:tcPr>
          <w:p w14:paraId="4B19599C">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p>
        </w:tc>
        <w:tc>
          <w:tcPr>
            <w:tcW w:w="1555" w:type="dxa"/>
            <w:vAlign w:val="center"/>
          </w:tcPr>
          <w:p w14:paraId="1A310BE3">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厂区内</w:t>
            </w:r>
          </w:p>
        </w:tc>
        <w:tc>
          <w:tcPr>
            <w:tcW w:w="1513" w:type="dxa"/>
            <w:vAlign w:val="center"/>
          </w:tcPr>
          <w:p w14:paraId="68F6C8E8">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非甲烷总烃</w:t>
            </w:r>
          </w:p>
        </w:tc>
        <w:tc>
          <w:tcPr>
            <w:tcW w:w="2020" w:type="dxa"/>
            <w:vAlign w:val="center"/>
          </w:tcPr>
          <w:p w14:paraId="6797A3FE">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sz w:val="21"/>
                <w:szCs w:val="21"/>
                <w:highlight w:val="none"/>
              </w:rPr>
              <w:t>VOCs无组织排放全过程控制</w:t>
            </w:r>
          </w:p>
        </w:tc>
        <w:tc>
          <w:tcPr>
            <w:tcW w:w="2651" w:type="dxa"/>
            <w:vAlign w:val="center"/>
          </w:tcPr>
          <w:p w14:paraId="5CDB2CB4">
            <w:pPr>
              <w:keepNext w:val="0"/>
              <w:keepLines w:val="0"/>
              <w:suppressLineNumbers w:val="0"/>
              <w:spacing w:before="40" w:beforeAutospacing="0" w:after="40" w:afterAutospacing="0" w:line="240" w:lineRule="auto"/>
              <w:ind w:left="0" w:right="0" w:firstLine="0" w:firstLineChars="0"/>
              <w:jc w:val="left"/>
              <w:rPr>
                <w:rFonts w:hint="default" w:ascii="Times New Roman" w:hAnsi="Times New Roman" w:eastAsia="宋体" w:cs="Times New Roman"/>
                <w:b w:val="0"/>
                <w:sz w:val="21"/>
                <w:szCs w:val="21"/>
                <w:highlight w:val="none"/>
              </w:rPr>
            </w:pPr>
            <w:r>
              <w:rPr>
                <w:rFonts w:hint="default" w:ascii="Times New Roman" w:hAnsi="Times New Roman" w:eastAsia="宋体" w:cs="Times New Roman"/>
                <w:b w:val="0"/>
                <w:color w:val="auto"/>
                <w:sz w:val="21"/>
                <w:szCs w:val="21"/>
                <w:highlight w:val="none"/>
              </w:rPr>
              <w:t>《挥发性有机物无组织排放控制标准》（GB37822-2019）附录A特别排放限值要求（6/20mg/m³）</w:t>
            </w:r>
          </w:p>
        </w:tc>
      </w:tr>
      <w:tr w14:paraId="2BAC84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Align w:val="center"/>
          </w:tcPr>
          <w:p w14:paraId="440A536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声环境</w:t>
            </w:r>
          </w:p>
        </w:tc>
        <w:tc>
          <w:tcPr>
            <w:tcW w:w="1555" w:type="dxa"/>
            <w:vAlign w:val="center"/>
          </w:tcPr>
          <w:p w14:paraId="0F9A9F3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厂界</w:t>
            </w:r>
          </w:p>
        </w:tc>
        <w:tc>
          <w:tcPr>
            <w:tcW w:w="1513" w:type="dxa"/>
            <w:vAlign w:val="center"/>
          </w:tcPr>
          <w:p w14:paraId="74CFA460">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噪声</w:t>
            </w:r>
          </w:p>
        </w:tc>
        <w:tc>
          <w:tcPr>
            <w:tcW w:w="2020" w:type="dxa"/>
            <w:vAlign w:val="center"/>
          </w:tcPr>
          <w:p w14:paraId="59AF13B3">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 w:val="0"/>
                <w:sz w:val="21"/>
                <w:szCs w:val="21"/>
                <w:highlight w:val="none"/>
              </w:rPr>
              <w:t>低噪声设备、基础减振、厂房隔声</w:t>
            </w:r>
            <w:r>
              <w:rPr>
                <w:rFonts w:hint="eastAsia" w:cs="Times New Roman"/>
                <w:b w:val="0"/>
                <w:sz w:val="21"/>
                <w:szCs w:val="21"/>
                <w:highlight w:val="none"/>
                <w:lang w:val="en-US" w:eastAsia="zh-CN"/>
              </w:rPr>
              <w:t>等</w:t>
            </w:r>
            <w:r>
              <w:rPr>
                <w:rFonts w:hint="default" w:ascii="Times New Roman" w:hAnsi="Times New Roman" w:eastAsia="宋体" w:cs="Times New Roman"/>
                <w:b w:val="0"/>
                <w:sz w:val="21"/>
                <w:szCs w:val="21"/>
                <w:highlight w:val="none"/>
              </w:rPr>
              <w:t>夜间不生产</w:t>
            </w:r>
          </w:p>
        </w:tc>
        <w:tc>
          <w:tcPr>
            <w:tcW w:w="2651" w:type="dxa"/>
            <w:vAlign w:val="center"/>
          </w:tcPr>
          <w:p w14:paraId="01E2559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《工业企业厂界环境噪声排放标准》（GB12348-2008）中的</w:t>
            </w:r>
            <w:r>
              <w:rPr>
                <w:rFonts w:hint="default" w:ascii="Times New Roman" w:hAnsi="Times New Roman" w:eastAsia="宋体" w:cs="Times New Roman"/>
                <w:bCs/>
                <w:color w:val="auto"/>
                <w:sz w:val="21"/>
                <w:szCs w:val="21"/>
                <w:highlight w:val="none"/>
                <w:lang w:val="en-US" w:eastAsia="zh-CN"/>
              </w:rPr>
              <w:t>3</w:t>
            </w:r>
            <w:r>
              <w:rPr>
                <w:rFonts w:hint="default" w:ascii="Times New Roman" w:hAnsi="Times New Roman" w:eastAsia="宋体" w:cs="Times New Roman"/>
                <w:bCs/>
                <w:color w:val="auto"/>
                <w:sz w:val="21"/>
                <w:szCs w:val="21"/>
                <w:highlight w:val="none"/>
              </w:rPr>
              <w:t>类标准</w:t>
            </w:r>
          </w:p>
        </w:tc>
      </w:tr>
      <w:tr w14:paraId="2FF233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Align w:val="center"/>
          </w:tcPr>
          <w:p w14:paraId="5DB19388">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固体废物</w:t>
            </w:r>
          </w:p>
        </w:tc>
        <w:tc>
          <w:tcPr>
            <w:tcW w:w="7739" w:type="dxa"/>
            <w:gridSpan w:val="4"/>
            <w:vAlign w:val="center"/>
          </w:tcPr>
          <w:p w14:paraId="58F357AA">
            <w:pPr>
              <w:keepNext w:val="0"/>
              <w:keepLines w:val="0"/>
              <w:suppressLineNumbers w:val="0"/>
              <w:spacing w:before="0" w:beforeAutospacing="0" w:after="0" w:afterAutospacing="0"/>
              <w:ind w:left="0" w:right="0"/>
              <w:jc w:val="both"/>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 w:val="0"/>
                <w:sz w:val="21"/>
                <w:szCs w:val="21"/>
                <w:highlight w:val="none"/>
              </w:rPr>
              <w:t>分类收集暂存；危废委托有资质单位处置；一般固废外售综合利用；生活垃圾环卫清运</w:t>
            </w:r>
            <w:r>
              <w:rPr>
                <w:rFonts w:hint="default" w:ascii="Times New Roman" w:hAnsi="Times New Roman" w:eastAsia="宋体" w:cs="Times New Roman"/>
                <w:b w:val="0"/>
                <w:sz w:val="21"/>
                <w:szCs w:val="21"/>
                <w:highlight w:val="none"/>
                <w:lang w:eastAsia="zh-CN"/>
              </w:rPr>
              <w:t>。</w:t>
            </w:r>
          </w:p>
        </w:tc>
      </w:tr>
      <w:tr w14:paraId="3B7A08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Align w:val="center"/>
          </w:tcPr>
          <w:p w14:paraId="6E8D2929">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电磁辐射</w:t>
            </w:r>
          </w:p>
        </w:tc>
        <w:tc>
          <w:tcPr>
            <w:tcW w:w="7739" w:type="dxa"/>
            <w:gridSpan w:val="4"/>
            <w:vAlign w:val="center"/>
          </w:tcPr>
          <w:p w14:paraId="548819DE">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无</w:t>
            </w:r>
          </w:p>
        </w:tc>
      </w:tr>
      <w:tr w14:paraId="33B5EF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Align w:val="center"/>
          </w:tcPr>
          <w:p w14:paraId="3847B3DD">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土壤及地下水污染防治措施</w:t>
            </w:r>
          </w:p>
        </w:tc>
        <w:tc>
          <w:tcPr>
            <w:tcW w:w="7739" w:type="dxa"/>
            <w:gridSpan w:val="4"/>
            <w:vAlign w:val="center"/>
          </w:tcPr>
          <w:p w14:paraId="305EF1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本项目对地下水、土壤环境的影响主要为废水、液态化学品（水性漆、擦洗剂、除油剂）及危废泄漏后的垂直入渗污染。按照“源头控制、分区防渗、跟踪监测”原则落实防治措施：</w:t>
            </w:r>
          </w:p>
          <w:p w14:paraId="188606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（1）源头控制：采用先进工艺，减少废水及化学品跑冒滴漏；废水收集输送管道架空或明管敷设，便于巡检检修；</w:t>
            </w:r>
          </w:p>
          <w:p w14:paraId="30C0E1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2）分区防渗：重点防渗区（危废暂存间、废水处理站、废水收集池、化学品存放区）采取防渗混凝土+防渗膜，防渗系数≤1.0×10⁻¹⁰cm/s；一般防渗区（生产车间、喷粉房、固化区等）采用防渗混凝土硬化，防渗系数≤1.0×10⁻⁷cm/s；简单防渗区（办公区、厂区道路等）一般地面硬化；</w:t>
            </w:r>
          </w:p>
          <w:p w14:paraId="787809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smallCaps w:val="0"/>
                <w:color w:val="auto"/>
                <w:spacing w:val="0"/>
                <w:position w:val="0"/>
                <w:sz w:val="21"/>
                <w:szCs w:val="21"/>
                <w:highlight w:val="none"/>
                <w:lang w:val="en-US" w:eastAsia="zh-CN"/>
              </w:rPr>
              <w:t>（3）跟踪管理：定期检查防渗层完好性，发现破损及时修复；建立泄漏应急处理物资，防止污染物渗入土壤和地下水。采取上述措施后，本项目不存在明显地下水、土壤环境污染途径，对地下水、土壤环境影响可接受。</w:t>
            </w:r>
          </w:p>
        </w:tc>
      </w:tr>
      <w:tr w14:paraId="00385F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Align w:val="center"/>
          </w:tcPr>
          <w:p w14:paraId="62B07D95">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生态保护措施</w:t>
            </w:r>
          </w:p>
        </w:tc>
        <w:tc>
          <w:tcPr>
            <w:tcW w:w="7739" w:type="dxa"/>
            <w:gridSpan w:val="4"/>
            <w:vAlign w:val="center"/>
          </w:tcPr>
          <w:p w14:paraId="20B036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smallCaps w:val="0"/>
                <w:color w:val="auto"/>
                <w:spacing w:val="0"/>
                <w:position w:val="0"/>
                <w:sz w:val="21"/>
                <w:szCs w:val="21"/>
                <w:highlight w:val="none"/>
                <w:lang w:val="en-US" w:eastAsia="zh-CN"/>
              </w:rPr>
              <w:t>项目租赁已建成厂房，且运营后污染因素较少，污染物排放量很少，对生态环境造成的不良影响较小。</w:t>
            </w:r>
          </w:p>
        </w:tc>
      </w:tr>
      <w:tr w14:paraId="74EBF2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Align w:val="center"/>
          </w:tcPr>
          <w:p w14:paraId="547D9CC6">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环境风险防范措施</w:t>
            </w:r>
          </w:p>
        </w:tc>
        <w:tc>
          <w:tcPr>
            <w:tcW w:w="7739" w:type="dxa"/>
            <w:gridSpan w:val="4"/>
            <w:vAlign w:val="center"/>
          </w:tcPr>
          <w:p w14:paraId="6E186E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为使环境风险减小到最低限度，必须加强劳动安全管理，制定完备、有效的防范措施，尽可能降低项目环境风险事故发生的概率。</w:t>
            </w:r>
          </w:p>
          <w:p w14:paraId="1EECF7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①天然气管道按规范敷设并设置紧急切断阀、可燃气体报警装置，加强巡检；</w:t>
            </w:r>
          </w:p>
          <w:p w14:paraId="40F81E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②活性炭吸附装置前端设置防火阀、泄压装置及温度监测报警，定期更换活性炭，杜绝超温运行；</w:t>
            </w:r>
          </w:p>
          <w:p w14:paraId="424F8B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③化学品及危废存放区设置防渗、围堰，配备吸附棉、应急桶等应急物资；</w:t>
            </w:r>
          </w:p>
          <w:p w14:paraId="671D40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④废水处理站设置应急收集池，设施故障时停止生产排放，严禁废水未经处理外排；</w:t>
            </w:r>
          </w:p>
          <w:p w14:paraId="3871CF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smallCaps w:val="0"/>
                <w:color w:val="auto"/>
                <w:spacing w:val="0"/>
                <w:position w:val="0"/>
                <w:sz w:val="21"/>
                <w:szCs w:val="21"/>
                <w:highlight w:val="none"/>
                <w:lang w:val="en-US" w:eastAsia="zh-CN"/>
              </w:rPr>
              <w:t>⑤制定突发环境事件应急预案并备案，定期开展应急演练，配备应急器材和物资。在落实上述风险防范措施后，项目环境风险可控，环境风险可接受。</w:t>
            </w:r>
          </w:p>
        </w:tc>
      </w:tr>
      <w:tr w14:paraId="26F9EE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0" w:type="dxa"/>
            <w:vAlign w:val="center"/>
          </w:tcPr>
          <w:p w14:paraId="6760869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其他环境管理要求</w:t>
            </w:r>
          </w:p>
        </w:tc>
        <w:tc>
          <w:tcPr>
            <w:tcW w:w="7739" w:type="dxa"/>
            <w:gridSpan w:val="4"/>
            <w:vAlign w:val="center"/>
          </w:tcPr>
          <w:p w14:paraId="59B17C1E">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1.贯彻执行国家和地方各项环保方针、政策和法规，将环境指标纳入生产计划指标，建立企业内部的环境保护机构，制定与其相适应的管理规章制度及细则。</w:t>
            </w:r>
          </w:p>
          <w:p w14:paraId="75A6B95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2.加强对生产人员的环保教育，包括业务能力、操作技术、环保管理知识的教育，以增强他们的环保意识，提高管理水平。</w:t>
            </w:r>
          </w:p>
          <w:p w14:paraId="2E21A611">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3.建立全厂设备维护、维修制度，定期检查各设备运行情况，杜绝事故发生。</w:t>
            </w:r>
          </w:p>
          <w:p w14:paraId="7F99946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4.企业应当建立完整生态环境管理台账，原辅材料接收登记、危险废物管理台账、污染治理设施运行记录、自行监测原始记录等资料保存期限不少于 5 年，不得篡改、伪造台账与监测记录（《生态环境法典》第 183 条）。</w:t>
            </w:r>
          </w:p>
          <w:p w14:paraId="679C0B5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5.本项目发生实际排污前应当依法申领排污许可证，严格落实持证排污要求；排污情形发生重大变化的应当依法办理排污许可变更手续。</w:t>
            </w:r>
          </w:p>
          <w:p w14:paraId="28C0EC83">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r>
              <w:rPr>
                <w:rFonts w:hint="default" w:ascii="Times New Roman" w:hAnsi="Times New Roman" w:eastAsia="宋体" w:cs="Times New Roman"/>
                <w:smallCaps w:val="0"/>
                <w:color w:val="auto"/>
                <w:spacing w:val="0"/>
                <w:position w:val="0"/>
                <w:sz w:val="21"/>
                <w:szCs w:val="21"/>
                <w:highlight w:val="none"/>
                <w:lang w:val="en-US" w:eastAsia="zh-CN"/>
              </w:rPr>
              <w:t>6.污染防治设施落实 “三同时” 制度，依据《中华人民共和国生态环境法典》第 162 条，污染防治设施与主体工程同时设计、同时施工、同时投产使用；项目投产使用前应当自行组织生态环境保护设施竣工验收，验收合格后方可投入生产运行。</w:t>
            </w:r>
          </w:p>
          <w:p w14:paraId="499EBA4B">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4A4CD84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7715AE82">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26E55681">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672A8F64">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0107CFA4">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5471284D">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584EBBF5">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04163CB3">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6DD46322">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14C0B16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2A04A28D">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1D5D0D5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1241F2BB">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6347DDD8">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p w14:paraId="0F97CC46">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default" w:ascii="Times New Roman" w:hAnsi="Times New Roman" w:eastAsia="宋体" w:cs="Times New Roman"/>
                <w:smallCaps w:val="0"/>
                <w:color w:val="auto"/>
                <w:spacing w:val="0"/>
                <w:position w:val="0"/>
                <w:sz w:val="21"/>
                <w:szCs w:val="21"/>
                <w:highlight w:val="none"/>
                <w:lang w:val="en-US" w:eastAsia="zh-CN"/>
              </w:rPr>
            </w:pPr>
          </w:p>
        </w:tc>
      </w:tr>
    </w:tbl>
    <w:p w14:paraId="27B5FD23">
      <w:pPr>
        <w:pStyle w:val="29"/>
        <w:adjustRightInd w:val="0"/>
        <w:snapToGrid w:val="0"/>
        <w:spacing w:before="0" w:beforeAutospacing="0" w:after="0" w:afterAutospacing="0" w:line="360" w:lineRule="auto"/>
        <w:jc w:val="center"/>
        <w:outlineLvl w:val="9"/>
        <w:rPr>
          <w:rFonts w:hint="default" w:ascii="Times New Roman" w:hAnsi="Times New Roman" w:cs="Times New Roman"/>
          <w:b/>
          <w:snapToGrid w:val="0"/>
          <w:color w:val="auto"/>
          <w:sz w:val="28"/>
          <w:szCs w:val="28"/>
          <w:highlight w:val="none"/>
        </w:rPr>
      </w:pPr>
    </w:p>
    <w:bookmarkEnd w:id="9"/>
    <w:p w14:paraId="2C0D7684">
      <w:pPr>
        <w:pStyle w:val="45"/>
        <w:rPr>
          <w:rFonts w:hint="default" w:ascii="Times New Roman" w:hAnsi="Times New Roman" w:cs="Times New Roman"/>
          <w:color w:val="auto"/>
          <w:highlight w:val="none"/>
        </w:rPr>
        <w:sectPr>
          <w:pgSz w:w="11906" w:h="16838"/>
          <w:pgMar w:top="1440" w:right="1800" w:bottom="1332" w:left="1800" w:header="851" w:footer="992" w:gutter="0"/>
          <w:pgBorders>
            <w:top w:val="none" w:sz="0" w:space="0"/>
            <w:left w:val="none" w:sz="0" w:space="0"/>
            <w:bottom w:val="none" w:sz="0" w:space="0"/>
            <w:right w:val="none" w:sz="0" w:space="0"/>
          </w:pgBorders>
          <w:cols w:space="425" w:num="1"/>
          <w:docGrid w:type="lines" w:linePitch="312" w:charSpace="0"/>
        </w:sectPr>
      </w:pPr>
    </w:p>
    <w:p w14:paraId="1B69A393">
      <w:pPr>
        <w:pStyle w:val="29"/>
        <w:adjustRightInd w:val="0"/>
        <w:snapToGrid w:val="0"/>
        <w:spacing w:before="0" w:beforeAutospacing="0" w:after="0" w:afterAutospacing="0" w:line="360" w:lineRule="auto"/>
        <w:jc w:val="center"/>
        <w:outlineLvl w:val="0"/>
        <w:rPr>
          <w:rFonts w:hint="default" w:ascii="Times New Roman" w:hAnsi="Times New Roman" w:cs="Times New Roman"/>
          <w:b/>
          <w:snapToGrid w:val="0"/>
          <w:color w:val="auto"/>
          <w:sz w:val="28"/>
          <w:szCs w:val="28"/>
          <w:highlight w:val="none"/>
        </w:rPr>
      </w:pPr>
      <w:bookmarkStart w:id="10" w:name="_Toc20634"/>
      <w:r>
        <w:rPr>
          <w:rFonts w:hint="default" w:ascii="Times New Roman" w:hAnsi="Times New Roman" w:cs="Times New Roman"/>
          <w:b/>
          <w:snapToGrid w:val="0"/>
          <w:color w:val="auto"/>
          <w:sz w:val="28"/>
          <w:szCs w:val="28"/>
          <w:highlight w:val="none"/>
        </w:rPr>
        <w:t>六、结论</w:t>
      </w:r>
      <w:bookmarkEnd w:id="10"/>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1B8F5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54" w:hRule="atLeast"/>
          <w:jc w:val="center"/>
        </w:trPr>
        <w:tc>
          <w:tcPr>
            <w:tcW w:w="8865" w:type="dxa"/>
            <w:vAlign w:val="center"/>
          </w:tcPr>
          <w:p w14:paraId="693BCBFE">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rPr>
            </w:pPr>
            <w:r>
              <w:rPr>
                <w:rFonts w:hint="default" w:ascii="Times New Roman" w:hAnsi="Times New Roman" w:cs="Times New Roman"/>
                <w:smallCaps w:val="0"/>
                <w:color w:val="auto"/>
                <w:spacing w:val="0"/>
                <w:kern w:val="0"/>
                <w:position w:val="0"/>
                <w:sz w:val="24"/>
                <w:highlight w:val="none"/>
                <w:lang w:bidi="ar"/>
              </w:rPr>
              <w:t>本项目在严格落实本建设项目环境影响报告表（污染影响类）及审批意见提出的各项生态环境保护措施，落实排污许可、台账管理要求，完善企业内部生态环境管理制度的前提下，项目对周边生态环境影响较小。从生态环境保护角度，项目建设可行。</w:t>
            </w:r>
          </w:p>
        </w:tc>
      </w:tr>
    </w:tbl>
    <w:p w14:paraId="71558E14">
      <w:pPr>
        <w:pStyle w:val="45"/>
        <w:rPr>
          <w:rFonts w:hint="default" w:ascii="Times New Roman" w:hAnsi="Times New Roman" w:cs="Times New Roman"/>
          <w:color w:val="auto"/>
          <w:highlight w:val="none"/>
        </w:rPr>
        <w:sectPr>
          <w:pgSz w:w="11906" w:h="16838"/>
          <w:pgMar w:top="1440" w:right="1800" w:bottom="1332" w:left="1800" w:header="851" w:footer="992" w:gutter="0"/>
          <w:pgBorders>
            <w:top w:val="none" w:sz="0" w:space="0"/>
            <w:left w:val="none" w:sz="0" w:space="0"/>
            <w:bottom w:val="none" w:sz="0" w:space="0"/>
            <w:right w:val="none" w:sz="0" w:space="0"/>
          </w:pgBorders>
          <w:cols w:space="425" w:num="1"/>
          <w:docGrid w:type="lines" w:linePitch="312" w:charSpace="0"/>
        </w:sectPr>
      </w:pPr>
    </w:p>
    <w:p w14:paraId="1FEC44AC">
      <w:pPr>
        <w:pStyle w:val="29"/>
        <w:adjustRightInd w:val="0"/>
        <w:snapToGrid w:val="0"/>
        <w:spacing w:before="0" w:beforeAutospacing="0" w:after="0" w:afterAutospacing="0" w:line="360" w:lineRule="auto"/>
        <w:outlineLvl w:val="0"/>
        <w:rPr>
          <w:rFonts w:hint="default" w:ascii="Times New Roman" w:hAnsi="Times New Roman" w:cs="Times New Roman"/>
          <w:b/>
          <w:snapToGrid w:val="0"/>
          <w:color w:val="auto"/>
          <w:sz w:val="28"/>
          <w:szCs w:val="28"/>
          <w:highlight w:val="none"/>
        </w:rPr>
      </w:pPr>
      <w:bookmarkStart w:id="11" w:name="_Toc17"/>
      <w:r>
        <w:rPr>
          <w:rFonts w:hint="default" w:ascii="Times New Roman" w:hAnsi="Times New Roman" w:cs="Times New Roman"/>
          <w:b/>
          <w:snapToGrid w:val="0"/>
          <w:color w:val="auto"/>
          <w:sz w:val="28"/>
          <w:szCs w:val="28"/>
          <w:highlight w:val="none"/>
        </w:rPr>
        <w:t>附表</w:t>
      </w:r>
      <w:bookmarkEnd w:id="11"/>
    </w:p>
    <w:p w14:paraId="43647D5F">
      <w:pPr>
        <w:pStyle w:val="29"/>
        <w:adjustRightInd w:val="0"/>
        <w:snapToGrid w:val="0"/>
        <w:spacing w:before="0" w:beforeAutospacing="0" w:after="0" w:afterAutospacing="0" w:line="360" w:lineRule="auto"/>
        <w:jc w:val="center"/>
        <w:outlineLvl w:val="0"/>
        <w:rPr>
          <w:rFonts w:hint="default" w:ascii="Times New Roman" w:hAnsi="Times New Roman" w:cs="Times New Roman"/>
          <w:b/>
          <w:snapToGrid w:val="0"/>
          <w:color w:val="auto"/>
          <w:sz w:val="28"/>
          <w:szCs w:val="28"/>
          <w:highlight w:val="none"/>
        </w:rPr>
      </w:pPr>
      <w:bookmarkStart w:id="12" w:name="_Toc16173"/>
      <w:r>
        <w:rPr>
          <w:rFonts w:hint="default" w:ascii="Times New Roman" w:hAnsi="Times New Roman" w:cs="Times New Roman"/>
          <w:b/>
          <w:snapToGrid w:val="0"/>
          <w:color w:val="auto"/>
          <w:sz w:val="28"/>
          <w:szCs w:val="28"/>
          <w:highlight w:val="none"/>
        </w:rPr>
        <w:t>建设项目污染物排放量汇总表</w:t>
      </w:r>
      <w:bookmarkEnd w:id="12"/>
    </w:p>
    <w:tbl>
      <w:tblPr>
        <w:tblStyle w:val="32"/>
        <w:tblW w:w="506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697"/>
        <w:gridCol w:w="1565"/>
        <w:gridCol w:w="1375"/>
        <w:gridCol w:w="1815"/>
        <w:gridCol w:w="1585"/>
        <w:gridCol w:w="1550"/>
        <w:gridCol w:w="1900"/>
        <w:gridCol w:w="1354"/>
      </w:tblGrid>
      <w:tr w14:paraId="29B511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6" w:type="dxa"/>
            <w:tcBorders>
              <w:tl2br w:val="single" w:color="auto" w:sz="4" w:space="0"/>
            </w:tcBorders>
            <w:tcMar>
              <w:left w:w="28" w:type="dxa"/>
              <w:right w:w="28" w:type="dxa"/>
            </w:tcMar>
            <w:vAlign w:val="center"/>
          </w:tcPr>
          <w:p w14:paraId="1D3E43C2">
            <w:pPr>
              <w:keepNext w:val="0"/>
              <w:keepLines w:val="0"/>
              <w:suppressLineNumbers w:val="0"/>
              <w:adjustRightInd w:val="0"/>
              <w:snapToGrid w:val="0"/>
              <w:spacing w:before="0" w:beforeAutospacing="0" w:after="0" w:afterAutospacing="0"/>
              <w:ind w:left="0" w:right="0"/>
              <w:jc w:val="right"/>
              <w:rPr>
                <w:rFonts w:hint="default" w:ascii="Times New Roman" w:hAnsi="Times New Roman" w:eastAsia="宋体" w:cs="Times New Roman"/>
                <w:b/>
                <w:bCs/>
                <w:snapToGrid w:val="0"/>
                <w:color w:val="auto"/>
                <w:spacing w:val="-6"/>
                <w:kern w:val="21"/>
                <w:sz w:val="21"/>
                <w:szCs w:val="21"/>
                <w:highlight w:val="none"/>
              </w:rPr>
            </w:pPr>
            <w:r>
              <w:rPr>
                <w:rFonts w:hint="default" w:ascii="Times New Roman" w:hAnsi="Times New Roman" w:eastAsia="宋体" w:cs="Times New Roman"/>
                <w:b/>
                <w:bCs/>
                <w:snapToGrid w:val="0"/>
                <w:color w:val="auto"/>
                <w:spacing w:val="-6"/>
                <w:kern w:val="21"/>
                <w:sz w:val="21"/>
                <w:szCs w:val="21"/>
                <w:highlight w:val="none"/>
              </w:rPr>
              <w:t>项目</w:t>
            </w:r>
          </w:p>
          <w:p w14:paraId="2D519C2C">
            <w:pPr>
              <w:keepNext w:val="0"/>
              <w:keepLines w:val="0"/>
              <w:suppressLineNumbers w:val="0"/>
              <w:adjustRightInd w:val="0"/>
              <w:snapToGrid w:val="0"/>
              <w:spacing w:before="0" w:beforeAutospacing="0" w:after="0" w:afterAutospacing="0"/>
              <w:ind w:left="0" w:right="0"/>
              <w:jc w:val="left"/>
              <w:rPr>
                <w:rFonts w:hint="default" w:ascii="Times New Roman" w:hAnsi="Times New Roman" w:eastAsia="宋体" w:cs="Times New Roman"/>
                <w:b/>
                <w:bCs/>
                <w:snapToGrid w:val="0"/>
                <w:color w:val="auto"/>
                <w:spacing w:val="-6"/>
                <w:kern w:val="21"/>
                <w:sz w:val="21"/>
                <w:szCs w:val="21"/>
                <w:highlight w:val="none"/>
              </w:rPr>
            </w:pPr>
            <w:r>
              <w:rPr>
                <w:rFonts w:hint="default" w:ascii="Times New Roman" w:hAnsi="Times New Roman" w:eastAsia="宋体" w:cs="Times New Roman"/>
                <w:b/>
                <w:bCs/>
                <w:snapToGrid w:val="0"/>
                <w:color w:val="auto"/>
                <w:spacing w:val="-6"/>
                <w:kern w:val="21"/>
                <w:sz w:val="21"/>
                <w:szCs w:val="21"/>
                <w:highlight w:val="none"/>
              </w:rPr>
              <w:t>分类</w:t>
            </w:r>
          </w:p>
        </w:tc>
        <w:tc>
          <w:tcPr>
            <w:tcW w:w="1697" w:type="dxa"/>
            <w:tcMar>
              <w:left w:w="28" w:type="dxa"/>
              <w:right w:w="28" w:type="dxa"/>
            </w:tcMar>
            <w:vAlign w:val="center"/>
          </w:tcPr>
          <w:p w14:paraId="1811385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6"/>
                <w:kern w:val="21"/>
                <w:sz w:val="21"/>
                <w:szCs w:val="21"/>
                <w:highlight w:val="none"/>
              </w:rPr>
            </w:pPr>
            <w:r>
              <w:rPr>
                <w:rFonts w:hint="default" w:ascii="Times New Roman" w:hAnsi="Times New Roman" w:eastAsia="宋体" w:cs="Times New Roman"/>
                <w:b/>
                <w:bCs/>
                <w:snapToGrid w:val="0"/>
                <w:color w:val="auto"/>
                <w:spacing w:val="-6"/>
                <w:kern w:val="21"/>
                <w:sz w:val="21"/>
                <w:szCs w:val="21"/>
                <w:highlight w:val="none"/>
              </w:rPr>
              <w:t>污染物名称</w:t>
            </w:r>
          </w:p>
        </w:tc>
        <w:tc>
          <w:tcPr>
            <w:tcW w:w="1565" w:type="dxa"/>
            <w:tcMar>
              <w:left w:w="28" w:type="dxa"/>
              <w:right w:w="28" w:type="dxa"/>
            </w:tcMar>
            <w:vAlign w:val="center"/>
          </w:tcPr>
          <w:p w14:paraId="0CE28E3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6"/>
                <w:kern w:val="21"/>
                <w:sz w:val="21"/>
                <w:szCs w:val="21"/>
                <w:highlight w:val="none"/>
              </w:rPr>
            </w:pPr>
            <w:r>
              <w:rPr>
                <w:rFonts w:hint="default" w:ascii="Times New Roman" w:hAnsi="Times New Roman" w:eastAsia="宋体" w:cs="Times New Roman"/>
                <w:b/>
                <w:bCs/>
                <w:snapToGrid w:val="0"/>
                <w:color w:val="auto"/>
                <w:spacing w:val="-6"/>
                <w:kern w:val="21"/>
                <w:sz w:val="21"/>
                <w:szCs w:val="21"/>
                <w:highlight w:val="none"/>
              </w:rPr>
              <w:t>现有工程</w:t>
            </w:r>
          </w:p>
          <w:p w14:paraId="2348C12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6"/>
                <w:kern w:val="21"/>
                <w:sz w:val="21"/>
                <w:szCs w:val="21"/>
                <w:highlight w:val="none"/>
              </w:rPr>
            </w:pPr>
            <w:r>
              <w:rPr>
                <w:rFonts w:hint="default" w:ascii="Times New Roman" w:hAnsi="Times New Roman" w:eastAsia="宋体" w:cs="Times New Roman"/>
                <w:b/>
                <w:bCs/>
                <w:snapToGrid w:val="0"/>
                <w:color w:val="auto"/>
                <w:spacing w:val="-6"/>
                <w:kern w:val="21"/>
                <w:sz w:val="21"/>
                <w:szCs w:val="21"/>
                <w:highlight w:val="none"/>
              </w:rPr>
              <w:t>排放量（固体废物产生量）</w:t>
            </w:r>
            <w:r>
              <w:rPr>
                <w:rFonts w:hint="default" w:ascii="Times New Roman" w:hAnsi="Times New Roman" w:eastAsia="宋体" w:cs="Times New Roman"/>
                <w:b/>
                <w:bCs/>
                <w:snapToGrid w:val="0"/>
                <w:color w:val="auto"/>
                <w:spacing w:val="-6"/>
                <w:kern w:val="21"/>
                <w:sz w:val="21"/>
                <w:szCs w:val="21"/>
                <w:highlight w:val="none"/>
                <w:lang w:eastAsia="zh-CN"/>
              </w:rPr>
              <w:t>（</w:t>
            </w:r>
            <w:r>
              <w:rPr>
                <w:rFonts w:hint="default" w:ascii="Times New Roman" w:hAnsi="Times New Roman" w:eastAsia="宋体" w:cs="Times New Roman"/>
                <w:b/>
                <w:bCs/>
                <w:snapToGrid w:val="0"/>
                <w:color w:val="auto"/>
                <w:spacing w:val="-6"/>
                <w:kern w:val="21"/>
                <w:sz w:val="21"/>
                <w:szCs w:val="21"/>
                <w:highlight w:val="none"/>
              </w:rPr>
              <w:t>吨/年</w:t>
            </w:r>
            <w:r>
              <w:rPr>
                <w:rFonts w:hint="default" w:ascii="Times New Roman" w:hAnsi="Times New Roman" w:eastAsia="宋体" w:cs="Times New Roman"/>
                <w:b/>
                <w:bCs/>
                <w:snapToGrid w:val="0"/>
                <w:color w:val="auto"/>
                <w:spacing w:val="-6"/>
                <w:kern w:val="21"/>
                <w:sz w:val="21"/>
                <w:szCs w:val="21"/>
                <w:highlight w:val="none"/>
                <w:lang w:eastAsia="zh-CN"/>
              </w:rPr>
              <w:t>）</w:t>
            </w:r>
            <w:r>
              <w:rPr>
                <w:rFonts w:hint="default" w:ascii="Times New Roman" w:hAnsi="Times New Roman" w:eastAsia="宋体" w:cs="Times New Roman"/>
                <w:b/>
                <w:bCs/>
                <w:snapToGrid w:val="0"/>
                <w:color w:val="auto"/>
                <w:spacing w:val="-6"/>
                <w:kern w:val="21"/>
                <w:sz w:val="21"/>
                <w:szCs w:val="21"/>
                <w:highlight w:val="none"/>
              </w:rPr>
              <w:fldChar w:fldCharType="begin"/>
            </w:r>
            <w:r>
              <w:rPr>
                <w:rFonts w:hint="default" w:ascii="Times New Roman" w:hAnsi="Times New Roman" w:eastAsia="宋体" w:cs="Times New Roman"/>
                <w:b/>
                <w:bCs/>
                <w:snapToGrid w:val="0"/>
                <w:color w:val="auto"/>
                <w:spacing w:val="-6"/>
                <w:kern w:val="21"/>
                <w:sz w:val="21"/>
                <w:szCs w:val="21"/>
                <w:highlight w:val="none"/>
              </w:rPr>
              <w:instrText xml:space="preserve"> = 1 \* GB3 \* MERGEFORMAT </w:instrText>
            </w:r>
            <w:r>
              <w:rPr>
                <w:rFonts w:hint="default" w:ascii="Times New Roman" w:hAnsi="Times New Roman" w:eastAsia="宋体" w:cs="Times New Roman"/>
                <w:b/>
                <w:bCs/>
                <w:snapToGrid w:val="0"/>
                <w:color w:val="auto"/>
                <w:spacing w:val="-6"/>
                <w:kern w:val="21"/>
                <w:sz w:val="21"/>
                <w:szCs w:val="21"/>
                <w:highlight w:val="none"/>
              </w:rPr>
              <w:fldChar w:fldCharType="separate"/>
            </w:r>
            <w:r>
              <w:rPr>
                <w:rFonts w:hint="default" w:ascii="Times New Roman" w:hAnsi="Times New Roman" w:eastAsia="宋体" w:cs="Times New Roman"/>
                <w:b/>
                <w:bCs/>
                <w:color w:val="auto"/>
                <w:sz w:val="21"/>
                <w:szCs w:val="21"/>
                <w:highlight w:val="none"/>
              </w:rPr>
              <w:t>①</w:t>
            </w:r>
            <w:r>
              <w:rPr>
                <w:rFonts w:hint="default" w:ascii="Times New Roman" w:hAnsi="Times New Roman" w:eastAsia="宋体" w:cs="Times New Roman"/>
                <w:b/>
                <w:bCs/>
                <w:snapToGrid w:val="0"/>
                <w:color w:val="auto"/>
                <w:spacing w:val="-6"/>
                <w:kern w:val="21"/>
                <w:sz w:val="21"/>
                <w:szCs w:val="21"/>
                <w:highlight w:val="none"/>
              </w:rPr>
              <w:fldChar w:fldCharType="end"/>
            </w:r>
          </w:p>
        </w:tc>
        <w:tc>
          <w:tcPr>
            <w:tcW w:w="1375" w:type="dxa"/>
            <w:tcMar>
              <w:left w:w="28" w:type="dxa"/>
              <w:right w:w="28" w:type="dxa"/>
            </w:tcMar>
            <w:vAlign w:val="center"/>
          </w:tcPr>
          <w:p w14:paraId="45065A0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6"/>
                <w:kern w:val="21"/>
                <w:sz w:val="21"/>
                <w:szCs w:val="21"/>
                <w:highlight w:val="none"/>
              </w:rPr>
            </w:pPr>
            <w:r>
              <w:rPr>
                <w:rFonts w:hint="default" w:ascii="Times New Roman" w:hAnsi="Times New Roman" w:eastAsia="宋体" w:cs="Times New Roman"/>
                <w:b/>
                <w:bCs/>
                <w:snapToGrid w:val="0"/>
                <w:color w:val="auto"/>
                <w:spacing w:val="-6"/>
                <w:kern w:val="21"/>
                <w:sz w:val="21"/>
                <w:szCs w:val="21"/>
                <w:highlight w:val="none"/>
              </w:rPr>
              <w:t>现有工程</w:t>
            </w:r>
          </w:p>
          <w:p w14:paraId="15637E9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6"/>
                <w:kern w:val="21"/>
                <w:sz w:val="21"/>
                <w:szCs w:val="21"/>
                <w:highlight w:val="none"/>
              </w:rPr>
            </w:pPr>
            <w:r>
              <w:rPr>
                <w:rFonts w:hint="default" w:ascii="Times New Roman" w:hAnsi="Times New Roman" w:eastAsia="宋体" w:cs="Times New Roman"/>
                <w:b/>
                <w:bCs/>
                <w:snapToGrid w:val="0"/>
                <w:color w:val="auto"/>
                <w:spacing w:val="-6"/>
                <w:kern w:val="21"/>
                <w:sz w:val="21"/>
                <w:szCs w:val="21"/>
                <w:highlight w:val="none"/>
              </w:rPr>
              <w:t>许可排放量</w:t>
            </w:r>
            <w:r>
              <w:rPr>
                <w:rFonts w:hint="default" w:ascii="Times New Roman" w:hAnsi="Times New Roman" w:eastAsia="宋体" w:cs="Times New Roman"/>
                <w:b/>
                <w:bCs/>
                <w:snapToGrid w:val="0"/>
                <w:color w:val="auto"/>
                <w:spacing w:val="-6"/>
                <w:kern w:val="21"/>
                <w:sz w:val="21"/>
                <w:szCs w:val="21"/>
                <w:highlight w:val="none"/>
                <w:lang w:eastAsia="zh-CN"/>
              </w:rPr>
              <w:t>（</w:t>
            </w:r>
            <w:r>
              <w:rPr>
                <w:rFonts w:hint="default" w:ascii="Times New Roman" w:hAnsi="Times New Roman" w:eastAsia="宋体" w:cs="Times New Roman"/>
                <w:b/>
                <w:bCs/>
                <w:snapToGrid w:val="0"/>
                <w:color w:val="auto"/>
                <w:spacing w:val="-6"/>
                <w:kern w:val="21"/>
                <w:sz w:val="21"/>
                <w:szCs w:val="21"/>
                <w:highlight w:val="none"/>
              </w:rPr>
              <w:t>吨/年</w:t>
            </w:r>
            <w:r>
              <w:rPr>
                <w:rFonts w:hint="default" w:ascii="Times New Roman" w:hAnsi="Times New Roman" w:eastAsia="宋体" w:cs="Times New Roman"/>
                <w:b/>
                <w:bCs/>
                <w:snapToGrid w:val="0"/>
                <w:color w:val="auto"/>
                <w:spacing w:val="-6"/>
                <w:kern w:val="21"/>
                <w:sz w:val="21"/>
                <w:szCs w:val="21"/>
                <w:highlight w:val="none"/>
                <w:lang w:eastAsia="zh-CN"/>
              </w:rPr>
              <w:t>）</w:t>
            </w:r>
            <w:r>
              <w:rPr>
                <w:rFonts w:hint="default" w:ascii="Times New Roman" w:hAnsi="Times New Roman" w:eastAsia="宋体" w:cs="Times New Roman"/>
                <w:b/>
                <w:bCs/>
                <w:snapToGrid w:val="0"/>
                <w:color w:val="auto"/>
                <w:spacing w:val="-6"/>
                <w:kern w:val="21"/>
                <w:sz w:val="21"/>
                <w:szCs w:val="21"/>
                <w:highlight w:val="none"/>
              </w:rPr>
              <w:fldChar w:fldCharType="begin"/>
            </w:r>
            <w:r>
              <w:rPr>
                <w:rFonts w:hint="default" w:ascii="Times New Roman" w:hAnsi="Times New Roman" w:eastAsia="宋体" w:cs="Times New Roman"/>
                <w:b/>
                <w:bCs/>
                <w:snapToGrid w:val="0"/>
                <w:color w:val="auto"/>
                <w:spacing w:val="-6"/>
                <w:kern w:val="21"/>
                <w:sz w:val="21"/>
                <w:szCs w:val="21"/>
                <w:highlight w:val="none"/>
              </w:rPr>
              <w:instrText xml:space="preserve"> = 2 \* GB3 \* MERGEFORMAT </w:instrText>
            </w:r>
            <w:r>
              <w:rPr>
                <w:rFonts w:hint="default" w:ascii="Times New Roman" w:hAnsi="Times New Roman" w:eastAsia="宋体" w:cs="Times New Roman"/>
                <w:b/>
                <w:bCs/>
                <w:snapToGrid w:val="0"/>
                <w:color w:val="auto"/>
                <w:spacing w:val="-6"/>
                <w:kern w:val="21"/>
                <w:sz w:val="21"/>
                <w:szCs w:val="21"/>
                <w:highlight w:val="none"/>
              </w:rPr>
              <w:fldChar w:fldCharType="separate"/>
            </w:r>
            <w:r>
              <w:rPr>
                <w:rFonts w:hint="default" w:ascii="Times New Roman" w:hAnsi="Times New Roman" w:eastAsia="宋体" w:cs="Times New Roman"/>
                <w:b/>
                <w:bCs/>
                <w:snapToGrid w:val="0"/>
                <w:color w:val="auto"/>
                <w:spacing w:val="-6"/>
                <w:kern w:val="21"/>
                <w:sz w:val="21"/>
                <w:szCs w:val="21"/>
                <w:highlight w:val="none"/>
              </w:rPr>
              <w:t>②</w:t>
            </w:r>
            <w:r>
              <w:rPr>
                <w:rFonts w:hint="default" w:ascii="Times New Roman" w:hAnsi="Times New Roman" w:eastAsia="宋体" w:cs="Times New Roman"/>
                <w:b/>
                <w:bCs/>
                <w:snapToGrid w:val="0"/>
                <w:color w:val="auto"/>
                <w:spacing w:val="-6"/>
                <w:kern w:val="21"/>
                <w:sz w:val="21"/>
                <w:szCs w:val="21"/>
                <w:highlight w:val="none"/>
              </w:rPr>
              <w:fldChar w:fldCharType="end"/>
            </w:r>
          </w:p>
        </w:tc>
        <w:tc>
          <w:tcPr>
            <w:tcW w:w="1815" w:type="dxa"/>
            <w:tcMar>
              <w:left w:w="28" w:type="dxa"/>
              <w:right w:w="28" w:type="dxa"/>
            </w:tcMar>
            <w:vAlign w:val="center"/>
          </w:tcPr>
          <w:p w14:paraId="6F76D46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6"/>
                <w:kern w:val="21"/>
                <w:sz w:val="21"/>
                <w:szCs w:val="21"/>
                <w:highlight w:val="none"/>
              </w:rPr>
            </w:pPr>
            <w:r>
              <w:rPr>
                <w:rFonts w:hint="default" w:ascii="Times New Roman" w:hAnsi="Times New Roman" w:eastAsia="宋体" w:cs="Times New Roman"/>
                <w:b/>
                <w:bCs/>
                <w:snapToGrid w:val="0"/>
                <w:color w:val="auto"/>
                <w:spacing w:val="-6"/>
                <w:kern w:val="21"/>
                <w:sz w:val="21"/>
                <w:szCs w:val="21"/>
                <w:highlight w:val="none"/>
              </w:rPr>
              <w:t>在建工程</w:t>
            </w:r>
          </w:p>
          <w:p w14:paraId="5F52669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6"/>
                <w:kern w:val="21"/>
                <w:sz w:val="21"/>
                <w:szCs w:val="21"/>
                <w:highlight w:val="none"/>
              </w:rPr>
            </w:pPr>
            <w:r>
              <w:rPr>
                <w:rFonts w:hint="default" w:ascii="Times New Roman" w:hAnsi="Times New Roman" w:eastAsia="宋体" w:cs="Times New Roman"/>
                <w:b/>
                <w:bCs/>
                <w:snapToGrid w:val="0"/>
                <w:color w:val="auto"/>
                <w:spacing w:val="-6"/>
                <w:kern w:val="21"/>
                <w:sz w:val="21"/>
                <w:szCs w:val="21"/>
                <w:highlight w:val="none"/>
              </w:rPr>
              <w:t>排放量（固体废物产生量）</w:t>
            </w:r>
            <w:r>
              <w:rPr>
                <w:rFonts w:hint="default" w:ascii="Times New Roman" w:hAnsi="Times New Roman" w:eastAsia="宋体" w:cs="Times New Roman"/>
                <w:b/>
                <w:bCs/>
                <w:snapToGrid w:val="0"/>
                <w:color w:val="auto"/>
                <w:spacing w:val="-6"/>
                <w:kern w:val="21"/>
                <w:sz w:val="21"/>
                <w:szCs w:val="21"/>
                <w:highlight w:val="none"/>
                <w:lang w:eastAsia="zh-CN"/>
              </w:rPr>
              <w:t>（</w:t>
            </w:r>
            <w:r>
              <w:rPr>
                <w:rFonts w:hint="default" w:ascii="Times New Roman" w:hAnsi="Times New Roman" w:eastAsia="宋体" w:cs="Times New Roman"/>
                <w:b/>
                <w:bCs/>
                <w:snapToGrid w:val="0"/>
                <w:color w:val="auto"/>
                <w:spacing w:val="-6"/>
                <w:kern w:val="21"/>
                <w:sz w:val="21"/>
                <w:szCs w:val="21"/>
                <w:highlight w:val="none"/>
              </w:rPr>
              <w:t>吨/年</w:t>
            </w:r>
            <w:r>
              <w:rPr>
                <w:rFonts w:hint="default" w:ascii="Times New Roman" w:hAnsi="Times New Roman" w:eastAsia="宋体" w:cs="Times New Roman"/>
                <w:b/>
                <w:bCs/>
                <w:snapToGrid w:val="0"/>
                <w:color w:val="auto"/>
                <w:spacing w:val="-6"/>
                <w:kern w:val="21"/>
                <w:sz w:val="21"/>
                <w:szCs w:val="21"/>
                <w:highlight w:val="none"/>
                <w:lang w:eastAsia="zh-CN"/>
              </w:rPr>
              <w:t>）</w:t>
            </w:r>
            <w:r>
              <w:rPr>
                <w:rFonts w:hint="default" w:ascii="Times New Roman" w:hAnsi="Times New Roman" w:eastAsia="宋体" w:cs="Times New Roman"/>
                <w:b/>
                <w:bCs/>
                <w:snapToGrid w:val="0"/>
                <w:color w:val="auto"/>
                <w:spacing w:val="-6"/>
                <w:kern w:val="21"/>
                <w:sz w:val="21"/>
                <w:szCs w:val="21"/>
                <w:highlight w:val="none"/>
              </w:rPr>
              <w:fldChar w:fldCharType="begin"/>
            </w:r>
            <w:r>
              <w:rPr>
                <w:rFonts w:hint="default" w:ascii="Times New Roman" w:hAnsi="Times New Roman" w:eastAsia="宋体" w:cs="Times New Roman"/>
                <w:b/>
                <w:bCs/>
                <w:snapToGrid w:val="0"/>
                <w:color w:val="auto"/>
                <w:spacing w:val="-6"/>
                <w:kern w:val="21"/>
                <w:sz w:val="21"/>
                <w:szCs w:val="21"/>
                <w:highlight w:val="none"/>
              </w:rPr>
              <w:instrText xml:space="preserve"> = 3 \* GB3 \* MERGEFORMAT </w:instrText>
            </w:r>
            <w:r>
              <w:rPr>
                <w:rFonts w:hint="default" w:ascii="Times New Roman" w:hAnsi="Times New Roman" w:eastAsia="宋体" w:cs="Times New Roman"/>
                <w:b/>
                <w:bCs/>
                <w:snapToGrid w:val="0"/>
                <w:color w:val="auto"/>
                <w:spacing w:val="-6"/>
                <w:kern w:val="21"/>
                <w:sz w:val="21"/>
                <w:szCs w:val="21"/>
                <w:highlight w:val="none"/>
              </w:rPr>
              <w:fldChar w:fldCharType="separate"/>
            </w:r>
            <w:r>
              <w:rPr>
                <w:rFonts w:hint="default" w:ascii="Times New Roman" w:hAnsi="Times New Roman" w:eastAsia="宋体" w:cs="Times New Roman"/>
                <w:b/>
                <w:bCs/>
                <w:color w:val="auto"/>
                <w:sz w:val="21"/>
                <w:szCs w:val="21"/>
                <w:highlight w:val="none"/>
              </w:rPr>
              <w:t>③</w:t>
            </w:r>
            <w:r>
              <w:rPr>
                <w:rFonts w:hint="default" w:ascii="Times New Roman" w:hAnsi="Times New Roman" w:eastAsia="宋体" w:cs="Times New Roman"/>
                <w:b/>
                <w:bCs/>
                <w:snapToGrid w:val="0"/>
                <w:color w:val="auto"/>
                <w:spacing w:val="-6"/>
                <w:kern w:val="21"/>
                <w:sz w:val="21"/>
                <w:szCs w:val="21"/>
                <w:highlight w:val="none"/>
              </w:rPr>
              <w:fldChar w:fldCharType="end"/>
            </w:r>
          </w:p>
        </w:tc>
        <w:tc>
          <w:tcPr>
            <w:tcW w:w="1585" w:type="dxa"/>
            <w:tcMar>
              <w:left w:w="28" w:type="dxa"/>
              <w:right w:w="28" w:type="dxa"/>
            </w:tcMar>
            <w:vAlign w:val="center"/>
          </w:tcPr>
          <w:p w14:paraId="1F8918A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6"/>
                <w:kern w:val="21"/>
                <w:sz w:val="21"/>
                <w:szCs w:val="21"/>
                <w:highlight w:val="none"/>
              </w:rPr>
            </w:pPr>
            <w:r>
              <w:rPr>
                <w:rFonts w:hint="default" w:ascii="Times New Roman" w:hAnsi="Times New Roman" w:eastAsia="宋体" w:cs="Times New Roman"/>
                <w:b/>
                <w:bCs/>
                <w:snapToGrid w:val="0"/>
                <w:color w:val="auto"/>
                <w:spacing w:val="-6"/>
                <w:kern w:val="21"/>
                <w:sz w:val="21"/>
                <w:szCs w:val="21"/>
                <w:highlight w:val="none"/>
              </w:rPr>
              <w:t>本项目</w:t>
            </w:r>
          </w:p>
          <w:p w14:paraId="27170AE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6"/>
                <w:kern w:val="21"/>
                <w:sz w:val="21"/>
                <w:szCs w:val="21"/>
                <w:highlight w:val="none"/>
              </w:rPr>
            </w:pPr>
            <w:r>
              <w:rPr>
                <w:rFonts w:hint="default" w:ascii="Times New Roman" w:hAnsi="Times New Roman" w:eastAsia="宋体" w:cs="Times New Roman"/>
                <w:b/>
                <w:bCs/>
                <w:snapToGrid w:val="0"/>
                <w:color w:val="auto"/>
                <w:spacing w:val="-6"/>
                <w:kern w:val="21"/>
                <w:sz w:val="21"/>
                <w:szCs w:val="21"/>
                <w:highlight w:val="none"/>
              </w:rPr>
              <w:t>排放量（固体废物产生量）</w:t>
            </w:r>
            <w:r>
              <w:rPr>
                <w:rFonts w:hint="default" w:ascii="Times New Roman" w:hAnsi="Times New Roman" w:eastAsia="宋体" w:cs="Times New Roman"/>
                <w:b/>
                <w:bCs/>
                <w:snapToGrid w:val="0"/>
                <w:color w:val="auto"/>
                <w:spacing w:val="-6"/>
                <w:kern w:val="21"/>
                <w:sz w:val="21"/>
                <w:szCs w:val="21"/>
                <w:highlight w:val="none"/>
                <w:lang w:eastAsia="zh-CN"/>
              </w:rPr>
              <w:t>（</w:t>
            </w:r>
            <w:r>
              <w:rPr>
                <w:rFonts w:hint="default" w:ascii="Times New Roman" w:hAnsi="Times New Roman" w:eastAsia="宋体" w:cs="Times New Roman"/>
                <w:b/>
                <w:bCs/>
                <w:snapToGrid w:val="0"/>
                <w:color w:val="auto"/>
                <w:spacing w:val="-6"/>
                <w:kern w:val="21"/>
                <w:sz w:val="21"/>
                <w:szCs w:val="21"/>
                <w:highlight w:val="none"/>
              </w:rPr>
              <w:t>吨/年</w:t>
            </w:r>
            <w:r>
              <w:rPr>
                <w:rFonts w:hint="default" w:ascii="Times New Roman" w:hAnsi="Times New Roman" w:eastAsia="宋体" w:cs="Times New Roman"/>
                <w:b/>
                <w:bCs/>
                <w:snapToGrid w:val="0"/>
                <w:color w:val="auto"/>
                <w:spacing w:val="-6"/>
                <w:kern w:val="21"/>
                <w:sz w:val="21"/>
                <w:szCs w:val="21"/>
                <w:highlight w:val="none"/>
                <w:lang w:eastAsia="zh-CN"/>
              </w:rPr>
              <w:t>）</w:t>
            </w:r>
            <w:r>
              <w:rPr>
                <w:rFonts w:hint="default" w:ascii="Times New Roman" w:hAnsi="Times New Roman" w:eastAsia="宋体" w:cs="Times New Roman"/>
                <w:b/>
                <w:bCs/>
                <w:snapToGrid w:val="0"/>
                <w:color w:val="auto"/>
                <w:spacing w:val="-6"/>
                <w:kern w:val="21"/>
                <w:sz w:val="21"/>
                <w:szCs w:val="21"/>
                <w:highlight w:val="none"/>
              </w:rPr>
              <w:fldChar w:fldCharType="begin"/>
            </w:r>
            <w:r>
              <w:rPr>
                <w:rFonts w:hint="default" w:ascii="Times New Roman" w:hAnsi="Times New Roman" w:eastAsia="宋体" w:cs="Times New Roman"/>
                <w:b/>
                <w:bCs/>
                <w:snapToGrid w:val="0"/>
                <w:color w:val="auto"/>
                <w:spacing w:val="-6"/>
                <w:kern w:val="21"/>
                <w:sz w:val="21"/>
                <w:szCs w:val="21"/>
                <w:highlight w:val="none"/>
              </w:rPr>
              <w:instrText xml:space="preserve"> = 4 \* GB3 \* MERGEFORMAT </w:instrText>
            </w:r>
            <w:r>
              <w:rPr>
                <w:rFonts w:hint="default" w:ascii="Times New Roman" w:hAnsi="Times New Roman" w:eastAsia="宋体" w:cs="Times New Roman"/>
                <w:b/>
                <w:bCs/>
                <w:snapToGrid w:val="0"/>
                <w:color w:val="auto"/>
                <w:spacing w:val="-6"/>
                <w:kern w:val="21"/>
                <w:sz w:val="21"/>
                <w:szCs w:val="21"/>
                <w:highlight w:val="none"/>
              </w:rPr>
              <w:fldChar w:fldCharType="separate"/>
            </w:r>
            <w:r>
              <w:rPr>
                <w:rFonts w:hint="default" w:ascii="Times New Roman" w:hAnsi="Times New Roman" w:eastAsia="宋体" w:cs="Times New Roman"/>
                <w:b/>
                <w:bCs/>
                <w:color w:val="auto"/>
                <w:sz w:val="21"/>
                <w:szCs w:val="21"/>
                <w:highlight w:val="none"/>
              </w:rPr>
              <w:t>④</w:t>
            </w:r>
            <w:r>
              <w:rPr>
                <w:rFonts w:hint="default" w:ascii="Times New Roman" w:hAnsi="Times New Roman" w:eastAsia="宋体" w:cs="Times New Roman"/>
                <w:b/>
                <w:bCs/>
                <w:snapToGrid w:val="0"/>
                <w:color w:val="auto"/>
                <w:spacing w:val="-6"/>
                <w:kern w:val="21"/>
                <w:sz w:val="21"/>
                <w:szCs w:val="21"/>
                <w:highlight w:val="none"/>
              </w:rPr>
              <w:fldChar w:fldCharType="end"/>
            </w:r>
          </w:p>
        </w:tc>
        <w:tc>
          <w:tcPr>
            <w:tcW w:w="1550" w:type="dxa"/>
            <w:tcMar>
              <w:left w:w="28" w:type="dxa"/>
              <w:right w:w="28" w:type="dxa"/>
            </w:tcMar>
            <w:vAlign w:val="center"/>
          </w:tcPr>
          <w:p w14:paraId="496B6C4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16"/>
                <w:kern w:val="21"/>
                <w:sz w:val="21"/>
                <w:szCs w:val="21"/>
                <w:highlight w:val="none"/>
              </w:rPr>
            </w:pPr>
            <w:r>
              <w:rPr>
                <w:rFonts w:hint="default" w:ascii="Times New Roman" w:hAnsi="Times New Roman" w:eastAsia="宋体" w:cs="Times New Roman"/>
                <w:b/>
                <w:bCs/>
                <w:snapToGrid w:val="0"/>
                <w:color w:val="auto"/>
                <w:spacing w:val="-16"/>
                <w:kern w:val="21"/>
                <w:sz w:val="21"/>
                <w:szCs w:val="21"/>
                <w:highlight w:val="none"/>
              </w:rPr>
              <w:t>以新带老削减量</w:t>
            </w:r>
          </w:p>
          <w:p w14:paraId="310F8B5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16"/>
                <w:kern w:val="21"/>
                <w:sz w:val="21"/>
                <w:szCs w:val="21"/>
                <w:highlight w:val="none"/>
              </w:rPr>
            </w:pPr>
            <w:r>
              <w:rPr>
                <w:rFonts w:hint="default" w:ascii="Times New Roman" w:hAnsi="Times New Roman" w:eastAsia="宋体" w:cs="Times New Roman"/>
                <w:b/>
                <w:bCs/>
                <w:snapToGrid w:val="0"/>
                <w:color w:val="auto"/>
                <w:spacing w:val="-16"/>
                <w:kern w:val="21"/>
                <w:sz w:val="21"/>
                <w:szCs w:val="21"/>
                <w:highlight w:val="none"/>
              </w:rPr>
              <w:t>（新建项目不填）</w:t>
            </w:r>
            <w:r>
              <w:rPr>
                <w:rFonts w:hint="default" w:ascii="Times New Roman" w:hAnsi="Times New Roman" w:eastAsia="宋体" w:cs="Times New Roman"/>
                <w:b/>
                <w:bCs/>
                <w:snapToGrid w:val="0"/>
                <w:color w:val="auto"/>
                <w:spacing w:val="-16"/>
                <w:kern w:val="21"/>
                <w:sz w:val="21"/>
                <w:szCs w:val="21"/>
                <w:highlight w:val="none"/>
                <w:lang w:eastAsia="zh-CN"/>
              </w:rPr>
              <w:t>（</w:t>
            </w:r>
            <w:r>
              <w:rPr>
                <w:rFonts w:hint="default" w:ascii="Times New Roman" w:hAnsi="Times New Roman" w:eastAsia="宋体" w:cs="Times New Roman"/>
                <w:b/>
                <w:bCs/>
                <w:snapToGrid w:val="0"/>
                <w:color w:val="auto"/>
                <w:spacing w:val="-16"/>
                <w:kern w:val="21"/>
                <w:sz w:val="21"/>
                <w:szCs w:val="21"/>
                <w:highlight w:val="none"/>
              </w:rPr>
              <w:t>吨/年</w:t>
            </w:r>
            <w:r>
              <w:rPr>
                <w:rFonts w:hint="default" w:ascii="Times New Roman" w:hAnsi="Times New Roman" w:eastAsia="宋体" w:cs="Times New Roman"/>
                <w:b/>
                <w:bCs/>
                <w:snapToGrid w:val="0"/>
                <w:color w:val="auto"/>
                <w:spacing w:val="-16"/>
                <w:kern w:val="21"/>
                <w:sz w:val="21"/>
                <w:szCs w:val="21"/>
                <w:highlight w:val="none"/>
                <w:lang w:eastAsia="zh-CN"/>
              </w:rPr>
              <w:t>）</w:t>
            </w:r>
            <w:r>
              <w:rPr>
                <w:rFonts w:hint="default" w:ascii="Times New Roman" w:hAnsi="Times New Roman" w:eastAsia="宋体" w:cs="Times New Roman"/>
                <w:b/>
                <w:bCs/>
                <w:snapToGrid w:val="0"/>
                <w:color w:val="auto"/>
                <w:spacing w:val="-16"/>
                <w:kern w:val="21"/>
                <w:sz w:val="21"/>
                <w:szCs w:val="21"/>
                <w:highlight w:val="none"/>
              </w:rPr>
              <w:fldChar w:fldCharType="begin"/>
            </w:r>
            <w:r>
              <w:rPr>
                <w:rFonts w:hint="default" w:ascii="Times New Roman" w:hAnsi="Times New Roman" w:eastAsia="宋体" w:cs="Times New Roman"/>
                <w:b/>
                <w:bCs/>
                <w:snapToGrid w:val="0"/>
                <w:color w:val="auto"/>
                <w:spacing w:val="-16"/>
                <w:kern w:val="21"/>
                <w:sz w:val="21"/>
                <w:szCs w:val="21"/>
                <w:highlight w:val="none"/>
              </w:rPr>
              <w:instrText xml:space="preserve"> = 5 \* GB3 \* MERGEFORMAT </w:instrText>
            </w:r>
            <w:r>
              <w:rPr>
                <w:rFonts w:hint="default" w:ascii="Times New Roman" w:hAnsi="Times New Roman" w:eastAsia="宋体" w:cs="Times New Roman"/>
                <w:b/>
                <w:bCs/>
                <w:snapToGrid w:val="0"/>
                <w:color w:val="auto"/>
                <w:spacing w:val="-16"/>
                <w:kern w:val="21"/>
                <w:sz w:val="21"/>
                <w:szCs w:val="21"/>
                <w:highlight w:val="none"/>
              </w:rPr>
              <w:fldChar w:fldCharType="separate"/>
            </w:r>
            <w:r>
              <w:rPr>
                <w:rFonts w:hint="default" w:ascii="Times New Roman" w:hAnsi="Times New Roman" w:eastAsia="宋体" w:cs="Times New Roman"/>
                <w:b/>
                <w:bCs/>
                <w:color w:val="auto"/>
                <w:sz w:val="21"/>
                <w:szCs w:val="21"/>
                <w:highlight w:val="none"/>
              </w:rPr>
              <w:t>⑤</w:t>
            </w:r>
            <w:r>
              <w:rPr>
                <w:rFonts w:hint="default" w:ascii="Times New Roman" w:hAnsi="Times New Roman" w:eastAsia="宋体" w:cs="Times New Roman"/>
                <w:b/>
                <w:bCs/>
                <w:snapToGrid w:val="0"/>
                <w:color w:val="auto"/>
                <w:spacing w:val="-16"/>
                <w:kern w:val="21"/>
                <w:sz w:val="21"/>
                <w:szCs w:val="21"/>
                <w:highlight w:val="none"/>
              </w:rPr>
              <w:fldChar w:fldCharType="end"/>
            </w:r>
          </w:p>
        </w:tc>
        <w:tc>
          <w:tcPr>
            <w:tcW w:w="1900" w:type="dxa"/>
            <w:tcMar>
              <w:left w:w="28" w:type="dxa"/>
              <w:right w:w="28" w:type="dxa"/>
            </w:tcMar>
            <w:vAlign w:val="center"/>
          </w:tcPr>
          <w:p w14:paraId="01C115C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16"/>
                <w:kern w:val="21"/>
                <w:sz w:val="21"/>
                <w:szCs w:val="21"/>
                <w:highlight w:val="none"/>
              </w:rPr>
            </w:pPr>
            <w:r>
              <w:rPr>
                <w:rFonts w:hint="default" w:ascii="Times New Roman" w:hAnsi="Times New Roman" w:eastAsia="宋体" w:cs="Times New Roman"/>
                <w:b/>
                <w:bCs/>
                <w:snapToGrid w:val="0"/>
                <w:color w:val="auto"/>
                <w:spacing w:val="-16"/>
                <w:kern w:val="21"/>
                <w:sz w:val="21"/>
                <w:szCs w:val="21"/>
                <w:highlight w:val="none"/>
              </w:rPr>
              <w:t>本项目建成后</w:t>
            </w:r>
          </w:p>
          <w:p w14:paraId="40DB2DC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16"/>
                <w:kern w:val="21"/>
                <w:sz w:val="21"/>
                <w:szCs w:val="21"/>
                <w:highlight w:val="none"/>
              </w:rPr>
            </w:pPr>
            <w:r>
              <w:rPr>
                <w:rFonts w:hint="default" w:ascii="Times New Roman" w:hAnsi="Times New Roman" w:eastAsia="宋体" w:cs="Times New Roman"/>
                <w:b/>
                <w:bCs/>
                <w:snapToGrid w:val="0"/>
                <w:color w:val="auto"/>
                <w:spacing w:val="-16"/>
                <w:kern w:val="21"/>
                <w:sz w:val="21"/>
                <w:szCs w:val="21"/>
                <w:highlight w:val="none"/>
              </w:rPr>
              <w:t>全厂排放量（固体废物产生量）</w:t>
            </w:r>
            <w:r>
              <w:rPr>
                <w:rFonts w:hint="default" w:ascii="Times New Roman" w:hAnsi="Times New Roman" w:eastAsia="宋体" w:cs="Times New Roman"/>
                <w:b/>
                <w:bCs/>
                <w:snapToGrid w:val="0"/>
                <w:color w:val="auto"/>
                <w:spacing w:val="-16"/>
                <w:kern w:val="21"/>
                <w:sz w:val="21"/>
                <w:szCs w:val="21"/>
                <w:highlight w:val="none"/>
                <w:lang w:eastAsia="zh-CN"/>
              </w:rPr>
              <w:t>（</w:t>
            </w:r>
            <w:r>
              <w:rPr>
                <w:rFonts w:hint="default" w:ascii="Times New Roman" w:hAnsi="Times New Roman" w:eastAsia="宋体" w:cs="Times New Roman"/>
                <w:b/>
                <w:bCs/>
                <w:snapToGrid w:val="0"/>
                <w:color w:val="auto"/>
                <w:spacing w:val="-16"/>
                <w:kern w:val="21"/>
                <w:sz w:val="21"/>
                <w:szCs w:val="21"/>
                <w:highlight w:val="none"/>
              </w:rPr>
              <w:t>吨/年</w:t>
            </w:r>
            <w:r>
              <w:rPr>
                <w:rFonts w:hint="default" w:ascii="Times New Roman" w:hAnsi="Times New Roman" w:eastAsia="宋体" w:cs="Times New Roman"/>
                <w:b/>
                <w:bCs/>
                <w:snapToGrid w:val="0"/>
                <w:color w:val="auto"/>
                <w:spacing w:val="-16"/>
                <w:kern w:val="21"/>
                <w:sz w:val="21"/>
                <w:szCs w:val="21"/>
                <w:highlight w:val="none"/>
                <w:lang w:eastAsia="zh-CN"/>
              </w:rPr>
              <w:t>）</w:t>
            </w:r>
            <w:r>
              <w:rPr>
                <w:rFonts w:hint="default" w:ascii="Times New Roman" w:hAnsi="Times New Roman" w:eastAsia="宋体" w:cs="Times New Roman"/>
                <w:b/>
                <w:bCs/>
                <w:snapToGrid w:val="0"/>
                <w:color w:val="auto"/>
                <w:spacing w:val="-16"/>
                <w:kern w:val="21"/>
                <w:sz w:val="21"/>
                <w:szCs w:val="21"/>
                <w:highlight w:val="none"/>
              </w:rPr>
              <w:fldChar w:fldCharType="begin"/>
            </w:r>
            <w:r>
              <w:rPr>
                <w:rFonts w:hint="default" w:ascii="Times New Roman" w:hAnsi="Times New Roman" w:eastAsia="宋体" w:cs="Times New Roman"/>
                <w:b/>
                <w:bCs/>
                <w:snapToGrid w:val="0"/>
                <w:color w:val="auto"/>
                <w:spacing w:val="-16"/>
                <w:kern w:val="21"/>
                <w:sz w:val="21"/>
                <w:szCs w:val="21"/>
                <w:highlight w:val="none"/>
              </w:rPr>
              <w:instrText xml:space="preserve"> = 6 \* GB3 \* MERGEFORMAT </w:instrText>
            </w:r>
            <w:r>
              <w:rPr>
                <w:rFonts w:hint="default" w:ascii="Times New Roman" w:hAnsi="Times New Roman" w:eastAsia="宋体" w:cs="Times New Roman"/>
                <w:b/>
                <w:bCs/>
                <w:snapToGrid w:val="0"/>
                <w:color w:val="auto"/>
                <w:spacing w:val="-16"/>
                <w:kern w:val="21"/>
                <w:sz w:val="21"/>
                <w:szCs w:val="21"/>
                <w:highlight w:val="none"/>
              </w:rPr>
              <w:fldChar w:fldCharType="separate"/>
            </w:r>
            <w:r>
              <w:rPr>
                <w:rFonts w:hint="default" w:ascii="Times New Roman" w:hAnsi="Times New Roman" w:eastAsia="宋体" w:cs="Times New Roman"/>
                <w:b/>
                <w:bCs/>
                <w:color w:val="auto"/>
                <w:sz w:val="21"/>
                <w:szCs w:val="21"/>
                <w:highlight w:val="none"/>
              </w:rPr>
              <w:t>⑥</w:t>
            </w:r>
            <w:r>
              <w:rPr>
                <w:rFonts w:hint="default" w:ascii="Times New Roman" w:hAnsi="Times New Roman" w:eastAsia="宋体" w:cs="Times New Roman"/>
                <w:b/>
                <w:bCs/>
                <w:snapToGrid w:val="0"/>
                <w:color w:val="auto"/>
                <w:spacing w:val="-16"/>
                <w:kern w:val="21"/>
                <w:sz w:val="21"/>
                <w:szCs w:val="21"/>
                <w:highlight w:val="none"/>
              </w:rPr>
              <w:fldChar w:fldCharType="end"/>
            </w:r>
          </w:p>
        </w:tc>
        <w:tc>
          <w:tcPr>
            <w:tcW w:w="1354" w:type="dxa"/>
            <w:tcMar>
              <w:left w:w="28" w:type="dxa"/>
              <w:right w:w="28" w:type="dxa"/>
            </w:tcMar>
            <w:vAlign w:val="center"/>
          </w:tcPr>
          <w:p w14:paraId="65DDAB7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snapToGrid w:val="0"/>
                <w:color w:val="auto"/>
                <w:spacing w:val="-6"/>
                <w:kern w:val="21"/>
                <w:sz w:val="21"/>
                <w:szCs w:val="21"/>
                <w:highlight w:val="none"/>
              </w:rPr>
            </w:pPr>
            <w:r>
              <w:rPr>
                <w:rFonts w:hint="default" w:ascii="Times New Roman" w:hAnsi="Times New Roman" w:eastAsia="宋体" w:cs="Times New Roman"/>
                <w:b/>
                <w:bCs/>
                <w:snapToGrid w:val="0"/>
                <w:color w:val="auto"/>
                <w:spacing w:val="-6"/>
                <w:kern w:val="21"/>
                <w:sz w:val="21"/>
                <w:szCs w:val="21"/>
                <w:highlight w:val="none"/>
              </w:rPr>
              <w:t>变化量</w:t>
            </w:r>
            <w:r>
              <w:rPr>
                <w:rFonts w:hint="default" w:ascii="Times New Roman" w:hAnsi="Times New Roman" w:eastAsia="宋体" w:cs="Times New Roman"/>
                <w:b/>
                <w:bCs/>
                <w:snapToGrid w:val="0"/>
                <w:color w:val="auto"/>
                <w:spacing w:val="-6"/>
                <w:kern w:val="21"/>
                <w:sz w:val="21"/>
                <w:szCs w:val="21"/>
                <w:highlight w:val="none"/>
                <w:lang w:eastAsia="zh-CN"/>
              </w:rPr>
              <w:t>（</w:t>
            </w:r>
            <w:r>
              <w:rPr>
                <w:rFonts w:hint="default" w:ascii="Times New Roman" w:hAnsi="Times New Roman" w:eastAsia="宋体" w:cs="Times New Roman"/>
                <w:b/>
                <w:bCs/>
                <w:snapToGrid w:val="0"/>
                <w:color w:val="auto"/>
                <w:spacing w:val="-6"/>
                <w:kern w:val="21"/>
                <w:sz w:val="21"/>
                <w:szCs w:val="21"/>
                <w:highlight w:val="none"/>
              </w:rPr>
              <w:t>吨/年</w:t>
            </w:r>
            <w:r>
              <w:rPr>
                <w:rFonts w:hint="default" w:ascii="Times New Roman" w:hAnsi="Times New Roman" w:eastAsia="宋体" w:cs="Times New Roman"/>
                <w:b/>
                <w:bCs/>
                <w:snapToGrid w:val="0"/>
                <w:color w:val="auto"/>
                <w:spacing w:val="-6"/>
                <w:kern w:val="21"/>
                <w:sz w:val="21"/>
                <w:szCs w:val="21"/>
                <w:highlight w:val="none"/>
                <w:lang w:eastAsia="zh-CN"/>
              </w:rPr>
              <w:t>）</w:t>
            </w:r>
            <w:r>
              <w:rPr>
                <w:rFonts w:hint="default" w:ascii="Times New Roman" w:hAnsi="Times New Roman" w:eastAsia="宋体" w:cs="Times New Roman"/>
                <w:b/>
                <w:bCs/>
                <w:snapToGrid w:val="0"/>
                <w:color w:val="auto"/>
                <w:spacing w:val="-6"/>
                <w:kern w:val="21"/>
                <w:sz w:val="21"/>
                <w:szCs w:val="21"/>
                <w:highlight w:val="none"/>
              </w:rPr>
              <w:fldChar w:fldCharType="begin"/>
            </w:r>
            <w:r>
              <w:rPr>
                <w:rFonts w:hint="default" w:ascii="Times New Roman" w:hAnsi="Times New Roman" w:eastAsia="宋体" w:cs="Times New Roman"/>
                <w:b/>
                <w:bCs/>
                <w:snapToGrid w:val="0"/>
                <w:color w:val="auto"/>
                <w:spacing w:val="-6"/>
                <w:kern w:val="21"/>
                <w:sz w:val="21"/>
                <w:szCs w:val="21"/>
                <w:highlight w:val="none"/>
              </w:rPr>
              <w:instrText xml:space="preserve"> = 7 \* GB3 \* MERGEFORMAT </w:instrText>
            </w:r>
            <w:r>
              <w:rPr>
                <w:rFonts w:hint="default" w:ascii="Times New Roman" w:hAnsi="Times New Roman" w:eastAsia="宋体" w:cs="Times New Roman"/>
                <w:b/>
                <w:bCs/>
                <w:snapToGrid w:val="0"/>
                <w:color w:val="auto"/>
                <w:spacing w:val="-6"/>
                <w:kern w:val="21"/>
                <w:sz w:val="21"/>
                <w:szCs w:val="21"/>
                <w:highlight w:val="none"/>
              </w:rPr>
              <w:fldChar w:fldCharType="separate"/>
            </w:r>
            <w:r>
              <w:rPr>
                <w:rFonts w:hint="default" w:ascii="Times New Roman" w:hAnsi="Times New Roman" w:eastAsia="宋体" w:cs="Times New Roman"/>
                <w:b/>
                <w:bCs/>
                <w:color w:val="auto"/>
                <w:sz w:val="21"/>
                <w:szCs w:val="21"/>
                <w:highlight w:val="none"/>
              </w:rPr>
              <w:t>⑦</w:t>
            </w:r>
            <w:r>
              <w:rPr>
                <w:rFonts w:hint="default" w:ascii="Times New Roman" w:hAnsi="Times New Roman" w:eastAsia="宋体" w:cs="Times New Roman"/>
                <w:b/>
                <w:bCs/>
                <w:snapToGrid w:val="0"/>
                <w:color w:val="auto"/>
                <w:spacing w:val="-6"/>
                <w:kern w:val="21"/>
                <w:sz w:val="21"/>
                <w:szCs w:val="21"/>
                <w:highlight w:val="none"/>
              </w:rPr>
              <w:fldChar w:fldCharType="end"/>
            </w:r>
          </w:p>
        </w:tc>
      </w:tr>
      <w:tr w14:paraId="6817BD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356" w:type="dxa"/>
            <w:vMerge w:val="restart"/>
            <w:vAlign w:val="center"/>
          </w:tcPr>
          <w:p w14:paraId="3541E3A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废气</w:t>
            </w:r>
          </w:p>
        </w:tc>
        <w:tc>
          <w:tcPr>
            <w:tcW w:w="1697" w:type="dxa"/>
            <w:shd w:val="clear" w:color="auto" w:fill="auto"/>
            <w:vAlign w:val="center"/>
          </w:tcPr>
          <w:p w14:paraId="53B9C653">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val="0"/>
                <w:color w:val="auto"/>
                <w:kern w:val="21"/>
                <w:sz w:val="21"/>
                <w:szCs w:val="21"/>
                <w:highlight w:val="none"/>
                <w:lang w:val="en-US" w:eastAsia="zh-CN"/>
              </w:rPr>
              <w:t>颗粒物</w:t>
            </w:r>
          </w:p>
        </w:tc>
        <w:tc>
          <w:tcPr>
            <w:tcW w:w="1565" w:type="dxa"/>
            <w:vAlign w:val="center"/>
          </w:tcPr>
          <w:p w14:paraId="743EE726">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63C4DA1F">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79BD274D">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089A96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1.033</w:t>
            </w:r>
          </w:p>
        </w:tc>
        <w:tc>
          <w:tcPr>
            <w:tcW w:w="1550" w:type="dxa"/>
            <w:vAlign w:val="center"/>
          </w:tcPr>
          <w:p w14:paraId="1FED973C">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3350ED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1.033</w:t>
            </w:r>
          </w:p>
        </w:tc>
        <w:tc>
          <w:tcPr>
            <w:tcW w:w="1354" w:type="dxa"/>
            <w:vAlign w:val="center"/>
          </w:tcPr>
          <w:p w14:paraId="4ACEBB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+1.033</w:t>
            </w:r>
          </w:p>
        </w:tc>
      </w:tr>
      <w:tr w14:paraId="6273E5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356" w:type="dxa"/>
            <w:vMerge w:val="continue"/>
            <w:vAlign w:val="center"/>
          </w:tcPr>
          <w:p w14:paraId="45D9673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lang w:val="en-US" w:eastAsia="zh-CN"/>
              </w:rPr>
            </w:pPr>
          </w:p>
        </w:tc>
        <w:tc>
          <w:tcPr>
            <w:tcW w:w="1697" w:type="dxa"/>
            <w:shd w:val="clear" w:color="auto" w:fill="auto"/>
            <w:vAlign w:val="center"/>
          </w:tcPr>
          <w:p w14:paraId="156B4E0D">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val="0"/>
                <w:color w:val="auto"/>
                <w:kern w:val="21"/>
                <w:sz w:val="21"/>
                <w:szCs w:val="21"/>
                <w:highlight w:val="none"/>
                <w:lang w:val="en-US" w:eastAsia="zh-CN"/>
              </w:rPr>
              <w:t>非甲烷总烃</w:t>
            </w:r>
          </w:p>
        </w:tc>
        <w:tc>
          <w:tcPr>
            <w:tcW w:w="1565" w:type="dxa"/>
            <w:vAlign w:val="center"/>
          </w:tcPr>
          <w:p w14:paraId="07D03354">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583DB944">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3F0E9951">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474A00B7">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0.648</w:t>
            </w:r>
          </w:p>
        </w:tc>
        <w:tc>
          <w:tcPr>
            <w:tcW w:w="1550" w:type="dxa"/>
            <w:vAlign w:val="center"/>
          </w:tcPr>
          <w:p w14:paraId="229BAEA4">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0D834511">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0.648</w:t>
            </w:r>
          </w:p>
        </w:tc>
        <w:tc>
          <w:tcPr>
            <w:tcW w:w="1354" w:type="dxa"/>
            <w:vAlign w:val="center"/>
          </w:tcPr>
          <w:p w14:paraId="4BF2100B">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+0.648</w:t>
            </w:r>
          </w:p>
        </w:tc>
      </w:tr>
      <w:tr w14:paraId="49A7D8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356" w:type="dxa"/>
            <w:vMerge w:val="continue"/>
            <w:vAlign w:val="center"/>
          </w:tcPr>
          <w:p w14:paraId="4F9D42F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lang w:val="en-US" w:eastAsia="zh-CN"/>
              </w:rPr>
            </w:pPr>
          </w:p>
        </w:tc>
        <w:tc>
          <w:tcPr>
            <w:tcW w:w="1697" w:type="dxa"/>
            <w:shd w:val="clear" w:color="auto" w:fill="auto"/>
            <w:vAlign w:val="center"/>
          </w:tcPr>
          <w:p w14:paraId="7664AC1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b w:val="0"/>
                <w:color w:val="auto"/>
                <w:sz w:val="21"/>
                <w:szCs w:val="21"/>
                <w:highlight w:val="none"/>
              </w:rPr>
              <w:t>SO₂</w:t>
            </w:r>
          </w:p>
        </w:tc>
        <w:tc>
          <w:tcPr>
            <w:tcW w:w="1565" w:type="dxa"/>
            <w:vAlign w:val="center"/>
          </w:tcPr>
          <w:p w14:paraId="5A795B52">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6CB0968E">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40891163">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7F3A0BE4">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b w:val="0"/>
                <w:color w:val="auto"/>
                <w:sz w:val="21"/>
                <w:szCs w:val="21"/>
                <w:highlight w:val="none"/>
              </w:rPr>
              <w:t>0.0016</w:t>
            </w:r>
          </w:p>
        </w:tc>
        <w:tc>
          <w:tcPr>
            <w:tcW w:w="1550" w:type="dxa"/>
            <w:vAlign w:val="center"/>
          </w:tcPr>
          <w:p w14:paraId="316B78F0">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06302093">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b w:val="0"/>
                <w:color w:val="auto"/>
                <w:sz w:val="21"/>
                <w:szCs w:val="21"/>
                <w:highlight w:val="none"/>
              </w:rPr>
              <w:t>0.0016</w:t>
            </w:r>
          </w:p>
        </w:tc>
        <w:tc>
          <w:tcPr>
            <w:tcW w:w="1354" w:type="dxa"/>
            <w:vAlign w:val="center"/>
          </w:tcPr>
          <w:p w14:paraId="0972E60C">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b w:val="0"/>
                <w:color w:val="auto"/>
                <w:sz w:val="21"/>
                <w:szCs w:val="21"/>
                <w:highlight w:val="none"/>
              </w:rPr>
              <w:t>0.0016</w:t>
            </w:r>
          </w:p>
        </w:tc>
      </w:tr>
      <w:tr w14:paraId="4728AE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356" w:type="dxa"/>
            <w:vMerge w:val="continue"/>
            <w:vAlign w:val="center"/>
          </w:tcPr>
          <w:p w14:paraId="4E6A741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lang w:val="en-US" w:eastAsia="zh-CN"/>
              </w:rPr>
            </w:pPr>
          </w:p>
        </w:tc>
        <w:tc>
          <w:tcPr>
            <w:tcW w:w="1697" w:type="dxa"/>
            <w:shd w:val="clear" w:color="auto" w:fill="auto"/>
            <w:vAlign w:val="center"/>
          </w:tcPr>
          <w:p w14:paraId="432028A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b w:val="0"/>
                <w:color w:val="auto"/>
                <w:sz w:val="21"/>
                <w:szCs w:val="21"/>
                <w:highlight w:val="none"/>
              </w:rPr>
              <w:t>NOₓ</w:t>
            </w:r>
          </w:p>
        </w:tc>
        <w:tc>
          <w:tcPr>
            <w:tcW w:w="1565" w:type="dxa"/>
            <w:vAlign w:val="center"/>
          </w:tcPr>
          <w:p w14:paraId="693A1EC8">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5AF43E03">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2D293E6D">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39CEE40D">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b w:val="0"/>
                <w:color w:val="auto"/>
                <w:sz w:val="21"/>
                <w:szCs w:val="21"/>
                <w:highlight w:val="none"/>
              </w:rPr>
              <w:t>0.0748</w:t>
            </w:r>
          </w:p>
        </w:tc>
        <w:tc>
          <w:tcPr>
            <w:tcW w:w="1550" w:type="dxa"/>
            <w:vAlign w:val="center"/>
          </w:tcPr>
          <w:p w14:paraId="67A7C965">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38E3F1F8">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b w:val="0"/>
                <w:color w:val="auto"/>
                <w:sz w:val="21"/>
                <w:szCs w:val="21"/>
                <w:highlight w:val="none"/>
              </w:rPr>
              <w:t>0.0748</w:t>
            </w:r>
          </w:p>
        </w:tc>
        <w:tc>
          <w:tcPr>
            <w:tcW w:w="1354" w:type="dxa"/>
            <w:vAlign w:val="center"/>
          </w:tcPr>
          <w:p w14:paraId="423D4D5E">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+0.0748</w:t>
            </w:r>
          </w:p>
        </w:tc>
      </w:tr>
      <w:tr w14:paraId="7B8481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356" w:type="dxa"/>
            <w:vMerge w:val="restart"/>
            <w:vAlign w:val="center"/>
          </w:tcPr>
          <w:p w14:paraId="5FB5366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废水</w:t>
            </w:r>
          </w:p>
        </w:tc>
        <w:tc>
          <w:tcPr>
            <w:tcW w:w="1697" w:type="dxa"/>
            <w:shd w:val="clear" w:color="auto" w:fill="auto"/>
            <w:vAlign w:val="center"/>
          </w:tcPr>
          <w:p w14:paraId="5EB864F8">
            <w:pPr>
              <w:keepNext w:val="0"/>
              <w:keepLines w:val="0"/>
              <w:suppressLineNumbers w:val="0"/>
              <w:autoSpaceDE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COD</w:t>
            </w:r>
          </w:p>
        </w:tc>
        <w:tc>
          <w:tcPr>
            <w:tcW w:w="1565" w:type="dxa"/>
            <w:vAlign w:val="center"/>
          </w:tcPr>
          <w:p w14:paraId="2915B73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2825170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444E2F7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5933FB06">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rPr>
              <w:t>0</w:t>
            </w:r>
          </w:p>
        </w:tc>
        <w:tc>
          <w:tcPr>
            <w:tcW w:w="1550" w:type="dxa"/>
            <w:vAlign w:val="center"/>
          </w:tcPr>
          <w:p w14:paraId="4260ABC5">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3808BE25">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highlight w:val="none"/>
              </w:rPr>
              <w:t>0</w:t>
            </w:r>
          </w:p>
        </w:tc>
        <w:tc>
          <w:tcPr>
            <w:tcW w:w="1354" w:type="dxa"/>
            <w:vAlign w:val="center"/>
          </w:tcPr>
          <w:p w14:paraId="7FF2250A">
            <w:pPr>
              <w:keepNext w:val="0"/>
              <w:keepLines w:val="0"/>
              <w:suppressLineNumbers w:val="0"/>
              <w:spacing w:before="40" w:beforeAutospacing="0" w:after="4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highlight w:val="none"/>
              </w:rPr>
              <w:t>0</w:t>
            </w:r>
          </w:p>
        </w:tc>
      </w:tr>
      <w:tr w14:paraId="25BDEF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56" w:type="dxa"/>
            <w:vMerge w:val="continue"/>
            <w:vAlign w:val="center"/>
          </w:tcPr>
          <w:p w14:paraId="00A8CB6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p>
        </w:tc>
        <w:tc>
          <w:tcPr>
            <w:tcW w:w="1697" w:type="dxa"/>
            <w:shd w:val="clear" w:color="auto" w:fill="auto"/>
            <w:vAlign w:val="center"/>
          </w:tcPr>
          <w:p w14:paraId="7643C202">
            <w:pPr>
              <w:keepNext w:val="0"/>
              <w:keepLines w:val="0"/>
              <w:suppressLineNumbers w:val="0"/>
              <w:autoSpaceDE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氨氮</w:t>
            </w:r>
          </w:p>
        </w:tc>
        <w:tc>
          <w:tcPr>
            <w:tcW w:w="1565" w:type="dxa"/>
            <w:vAlign w:val="center"/>
          </w:tcPr>
          <w:p w14:paraId="2035A1F9">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6AEAF3CA">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367B076A">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7C24895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0</w:t>
            </w:r>
          </w:p>
        </w:tc>
        <w:tc>
          <w:tcPr>
            <w:tcW w:w="1550" w:type="dxa"/>
            <w:vAlign w:val="center"/>
          </w:tcPr>
          <w:p w14:paraId="0D1753A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36FE66A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color w:val="auto"/>
                <w:sz w:val="21"/>
                <w:szCs w:val="21"/>
                <w:highlight w:val="none"/>
              </w:rPr>
              <w:t>0</w:t>
            </w:r>
          </w:p>
        </w:tc>
        <w:tc>
          <w:tcPr>
            <w:tcW w:w="1354" w:type="dxa"/>
            <w:vAlign w:val="center"/>
          </w:tcPr>
          <w:p w14:paraId="58E14EB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r>
      <w:tr w14:paraId="2986C4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356" w:type="dxa"/>
            <w:vAlign w:val="center"/>
          </w:tcPr>
          <w:p w14:paraId="4F768DD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color w:val="auto"/>
                <w:sz w:val="21"/>
                <w:szCs w:val="21"/>
                <w:highlight w:val="none"/>
              </w:rPr>
              <w:t>生活垃圾</w:t>
            </w:r>
          </w:p>
        </w:tc>
        <w:tc>
          <w:tcPr>
            <w:tcW w:w="1697" w:type="dxa"/>
            <w:vAlign w:val="center"/>
          </w:tcPr>
          <w:p w14:paraId="456B3ADC">
            <w:pPr>
              <w:pStyle w:val="79"/>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生活垃圾</w:t>
            </w:r>
          </w:p>
        </w:tc>
        <w:tc>
          <w:tcPr>
            <w:tcW w:w="1565" w:type="dxa"/>
            <w:vAlign w:val="center"/>
          </w:tcPr>
          <w:p w14:paraId="19C7E73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4F633CF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734F173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7798AD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w:t>
            </w:r>
          </w:p>
        </w:tc>
        <w:tc>
          <w:tcPr>
            <w:tcW w:w="1550" w:type="dxa"/>
            <w:vAlign w:val="center"/>
          </w:tcPr>
          <w:p w14:paraId="01A718D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4A3FA2F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1.5</w:t>
            </w:r>
          </w:p>
        </w:tc>
        <w:tc>
          <w:tcPr>
            <w:tcW w:w="1354" w:type="dxa"/>
            <w:vAlign w:val="center"/>
          </w:tcPr>
          <w:p w14:paraId="4F0AE4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color w:val="auto"/>
                <w:sz w:val="21"/>
                <w:szCs w:val="21"/>
                <w:highlight w:val="none"/>
                <w:lang w:val="en-US" w:eastAsia="zh-CN"/>
              </w:rPr>
              <w:t>1.5</w:t>
            </w:r>
          </w:p>
        </w:tc>
      </w:tr>
      <w:tr w14:paraId="1B4564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356" w:type="dxa"/>
            <w:vMerge w:val="restart"/>
            <w:vAlign w:val="center"/>
          </w:tcPr>
          <w:p w14:paraId="679AE94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一般工业</w:t>
            </w:r>
          </w:p>
          <w:p w14:paraId="0A77413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固体废物</w:t>
            </w:r>
          </w:p>
        </w:tc>
        <w:tc>
          <w:tcPr>
            <w:tcW w:w="1697" w:type="dxa"/>
            <w:shd w:val="clear" w:color="auto" w:fill="auto"/>
            <w:vAlign w:val="center"/>
          </w:tcPr>
          <w:p w14:paraId="1B561AF6">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b w:val="0"/>
                <w:color w:val="auto"/>
                <w:sz w:val="21"/>
                <w:szCs w:val="21"/>
                <w:highlight w:val="none"/>
              </w:rPr>
              <w:t>抛丸钢渣（氧化皮、锈渣）</w:t>
            </w:r>
          </w:p>
        </w:tc>
        <w:tc>
          <w:tcPr>
            <w:tcW w:w="1565" w:type="dxa"/>
            <w:vAlign w:val="center"/>
          </w:tcPr>
          <w:p w14:paraId="10B18CB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5C8669B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26282FC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029DA96C">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1550" w:type="dxa"/>
            <w:vAlign w:val="center"/>
          </w:tcPr>
          <w:p w14:paraId="3D73DBC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23E622F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2.5</w:t>
            </w:r>
          </w:p>
        </w:tc>
        <w:tc>
          <w:tcPr>
            <w:tcW w:w="1354" w:type="dxa"/>
            <w:vAlign w:val="center"/>
          </w:tcPr>
          <w:p w14:paraId="7FA887E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color w:val="auto"/>
                <w:sz w:val="21"/>
                <w:szCs w:val="21"/>
                <w:highlight w:val="none"/>
                <w:lang w:val="en-US" w:eastAsia="zh-CN"/>
              </w:rPr>
              <w:t>2.5</w:t>
            </w:r>
          </w:p>
        </w:tc>
      </w:tr>
      <w:tr w14:paraId="50AB8C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356" w:type="dxa"/>
            <w:vMerge w:val="restart"/>
            <w:vAlign w:val="center"/>
          </w:tcPr>
          <w:p w14:paraId="0849E76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一般工业固体废物</w:t>
            </w:r>
          </w:p>
        </w:tc>
        <w:tc>
          <w:tcPr>
            <w:tcW w:w="1697" w:type="dxa"/>
            <w:shd w:val="clear" w:color="auto" w:fill="auto"/>
            <w:vAlign w:val="center"/>
          </w:tcPr>
          <w:p w14:paraId="52C131EE">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b w:val="0"/>
                <w:color w:val="auto"/>
                <w:sz w:val="21"/>
                <w:szCs w:val="21"/>
                <w:highlight w:val="none"/>
              </w:rPr>
              <w:t>抛丸布袋除尘器收集粉尘</w:t>
            </w:r>
          </w:p>
        </w:tc>
        <w:tc>
          <w:tcPr>
            <w:tcW w:w="1565" w:type="dxa"/>
            <w:vAlign w:val="center"/>
          </w:tcPr>
          <w:p w14:paraId="4F7010A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008A811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0C05042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5FF0DF3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3.82</w:t>
            </w:r>
          </w:p>
        </w:tc>
        <w:tc>
          <w:tcPr>
            <w:tcW w:w="1550" w:type="dxa"/>
            <w:vAlign w:val="center"/>
          </w:tcPr>
          <w:p w14:paraId="2E6B597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07A9E6D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3.82</w:t>
            </w:r>
          </w:p>
        </w:tc>
        <w:tc>
          <w:tcPr>
            <w:tcW w:w="1354" w:type="dxa"/>
            <w:vAlign w:val="center"/>
          </w:tcPr>
          <w:p w14:paraId="1D369A0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+3.82</w:t>
            </w:r>
          </w:p>
        </w:tc>
      </w:tr>
      <w:tr w14:paraId="768990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356" w:type="dxa"/>
            <w:vMerge w:val="continue"/>
            <w:vAlign w:val="center"/>
          </w:tcPr>
          <w:p w14:paraId="6B5096C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p>
        </w:tc>
        <w:tc>
          <w:tcPr>
            <w:tcW w:w="1697" w:type="dxa"/>
            <w:shd w:val="clear" w:color="auto" w:fill="auto"/>
            <w:vAlign w:val="center"/>
          </w:tcPr>
          <w:p w14:paraId="43E3C83D">
            <w:pPr>
              <w:keepNext w:val="0"/>
              <w:keepLines w:val="0"/>
              <w:suppressLineNumbers w:val="0"/>
              <w:autoSpaceDE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b w:val="0"/>
                <w:color w:val="auto"/>
                <w:sz w:val="21"/>
                <w:szCs w:val="21"/>
                <w:highlight w:val="none"/>
              </w:rPr>
              <w:t>废钢丸</w:t>
            </w:r>
          </w:p>
        </w:tc>
        <w:tc>
          <w:tcPr>
            <w:tcW w:w="1565" w:type="dxa"/>
            <w:vAlign w:val="center"/>
          </w:tcPr>
          <w:p w14:paraId="67E18E2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22FCB69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325CBD8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49D76E5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0.56</w:t>
            </w:r>
          </w:p>
        </w:tc>
        <w:tc>
          <w:tcPr>
            <w:tcW w:w="1550" w:type="dxa"/>
            <w:vAlign w:val="center"/>
          </w:tcPr>
          <w:p w14:paraId="50F06ED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79C6141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color w:val="auto"/>
                <w:sz w:val="21"/>
                <w:szCs w:val="21"/>
                <w:highlight w:val="none"/>
                <w:lang w:val="en-US" w:eastAsia="zh-CN"/>
              </w:rPr>
              <w:t>0.56</w:t>
            </w:r>
          </w:p>
        </w:tc>
        <w:tc>
          <w:tcPr>
            <w:tcW w:w="1354" w:type="dxa"/>
            <w:vAlign w:val="center"/>
          </w:tcPr>
          <w:p w14:paraId="5E67D2B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+0.56</w:t>
            </w:r>
          </w:p>
        </w:tc>
      </w:tr>
      <w:tr w14:paraId="07E7C3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356" w:type="dxa"/>
            <w:vMerge w:val="continue"/>
            <w:vAlign w:val="center"/>
          </w:tcPr>
          <w:p w14:paraId="4E6E0F4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p>
        </w:tc>
        <w:tc>
          <w:tcPr>
            <w:tcW w:w="1697" w:type="dxa"/>
            <w:shd w:val="clear" w:color="auto" w:fill="auto"/>
            <w:vAlign w:val="center"/>
          </w:tcPr>
          <w:p w14:paraId="0E0FF3FF">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color w:val="auto"/>
                <w:highlight w:val="none"/>
              </w:rPr>
              <w:t>回收粉末（旋风除尘器+滤筒除尘器收集）</w:t>
            </w:r>
          </w:p>
        </w:tc>
        <w:tc>
          <w:tcPr>
            <w:tcW w:w="1565" w:type="dxa"/>
            <w:vAlign w:val="center"/>
          </w:tcPr>
          <w:p w14:paraId="296ED51E">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12474346">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55BCA2E8">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63AB7DA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w:t>
            </w:r>
          </w:p>
        </w:tc>
        <w:tc>
          <w:tcPr>
            <w:tcW w:w="1550" w:type="dxa"/>
            <w:vAlign w:val="center"/>
          </w:tcPr>
          <w:p w14:paraId="49CAFA90">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49FED6F5">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w:t>
            </w:r>
          </w:p>
        </w:tc>
        <w:tc>
          <w:tcPr>
            <w:tcW w:w="1354" w:type="dxa"/>
            <w:vAlign w:val="center"/>
          </w:tcPr>
          <w:p w14:paraId="44FBF82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b w:val="0"/>
                <w:color w:val="auto"/>
                <w:sz w:val="21"/>
                <w:szCs w:val="21"/>
                <w:highlight w:val="none"/>
                <w:lang w:val="en-US" w:eastAsia="zh-CN"/>
              </w:rPr>
              <w:t>0</w:t>
            </w:r>
          </w:p>
        </w:tc>
      </w:tr>
      <w:tr w14:paraId="70B7E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356" w:type="dxa"/>
            <w:vMerge w:val="continue"/>
            <w:vAlign w:val="center"/>
          </w:tcPr>
          <w:p w14:paraId="49C7DB3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p>
        </w:tc>
        <w:tc>
          <w:tcPr>
            <w:tcW w:w="1697" w:type="dxa"/>
            <w:shd w:val="clear" w:color="auto" w:fill="auto"/>
            <w:vAlign w:val="center"/>
          </w:tcPr>
          <w:p w14:paraId="1D4CD13D">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废滤芯滤筒</w:t>
            </w:r>
          </w:p>
        </w:tc>
        <w:tc>
          <w:tcPr>
            <w:tcW w:w="1565" w:type="dxa"/>
            <w:vAlign w:val="center"/>
          </w:tcPr>
          <w:p w14:paraId="75521D3C">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1B0B8EF6">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21428951">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65506EE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0.3</w:t>
            </w:r>
          </w:p>
        </w:tc>
        <w:tc>
          <w:tcPr>
            <w:tcW w:w="1550" w:type="dxa"/>
            <w:vAlign w:val="center"/>
          </w:tcPr>
          <w:p w14:paraId="155B8887">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25CF4AF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0.3</w:t>
            </w:r>
          </w:p>
        </w:tc>
        <w:tc>
          <w:tcPr>
            <w:tcW w:w="1354" w:type="dxa"/>
            <w:vAlign w:val="center"/>
          </w:tcPr>
          <w:p w14:paraId="2C9AC99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b w:val="0"/>
                <w:color w:val="auto"/>
                <w:sz w:val="21"/>
                <w:szCs w:val="21"/>
                <w:highlight w:val="none"/>
                <w:lang w:val="en-US" w:eastAsia="zh-CN"/>
              </w:rPr>
              <w:t>0.3</w:t>
            </w:r>
          </w:p>
        </w:tc>
      </w:tr>
      <w:tr w14:paraId="318064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356" w:type="dxa"/>
            <w:vMerge w:val="continue"/>
            <w:vAlign w:val="center"/>
          </w:tcPr>
          <w:p w14:paraId="11810E6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p>
        </w:tc>
        <w:tc>
          <w:tcPr>
            <w:tcW w:w="1697" w:type="dxa"/>
            <w:shd w:val="clear" w:color="auto" w:fill="auto"/>
            <w:vAlign w:val="center"/>
          </w:tcPr>
          <w:p w14:paraId="035C690F">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废RO膜、废树脂</w:t>
            </w:r>
          </w:p>
        </w:tc>
        <w:tc>
          <w:tcPr>
            <w:tcW w:w="1565" w:type="dxa"/>
            <w:vAlign w:val="center"/>
          </w:tcPr>
          <w:p w14:paraId="29EDAA09">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3C8EEAB4">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1F8B7675">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7D46A30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0.05</w:t>
            </w:r>
          </w:p>
        </w:tc>
        <w:tc>
          <w:tcPr>
            <w:tcW w:w="1550" w:type="dxa"/>
            <w:vAlign w:val="center"/>
          </w:tcPr>
          <w:p w14:paraId="5D5793E3">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59776DB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0.05</w:t>
            </w:r>
          </w:p>
        </w:tc>
        <w:tc>
          <w:tcPr>
            <w:tcW w:w="1354" w:type="dxa"/>
            <w:vAlign w:val="center"/>
          </w:tcPr>
          <w:p w14:paraId="5CDBBA0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b w:val="0"/>
                <w:color w:val="auto"/>
                <w:sz w:val="21"/>
                <w:szCs w:val="21"/>
                <w:highlight w:val="none"/>
                <w:lang w:val="en-US" w:eastAsia="zh-CN"/>
              </w:rPr>
              <w:t>0.05</w:t>
            </w:r>
          </w:p>
        </w:tc>
      </w:tr>
      <w:tr w14:paraId="1DEB0C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356" w:type="dxa"/>
            <w:vMerge w:val="continue"/>
            <w:vAlign w:val="center"/>
          </w:tcPr>
          <w:p w14:paraId="631BFDB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p>
        </w:tc>
        <w:tc>
          <w:tcPr>
            <w:tcW w:w="1697" w:type="dxa"/>
            <w:shd w:val="clear" w:color="auto" w:fill="auto"/>
            <w:vAlign w:val="center"/>
          </w:tcPr>
          <w:p w14:paraId="00E17DA0">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废超滤膜（电泳线）</w:t>
            </w:r>
          </w:p>
        </w:tc>
        <w:tc>
          <w:tcPr>
            <w:tcW w:w="1565" w:type="dxa"/>
            <w:vAlign w:val="center"/>
          </w:tcPr>
          <w:p w14:paraId="05331BEB">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05327B90">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6740D9CD">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152228D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0.02</w:t>
            </w:r>
          </w:p>
        </w:tc>
        <w:tc>
          <w:tcPr>
            <w:tcW w:w="1550" w:type="dxa"/>
            <w:vAlign w:val="center"/>
          </w:tcPr>
          <w:p w14:paraId="79CDF64B">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74DA388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0.02</w:t>
            </w:r>
          </w:p>
        </w:tc>
        <w:tc>
          <w:tcPr>
            <w:tcW w:w="1354" w:type="dxa"/>
            <w:vAlign w:val="center"/>
          </w:tcPr>
          <w:p w14:paraId="4F9B3CE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b w:val="0"/>
                <w:color w:val="auto"/>
                <w:sz w:val="21"/>
                <w:szCs w:val="21"/>
                <w:highlight w:val="none"/>
                <w:lang w:val="en-US" w:eastAsia="zh-CN"/>
              </w:rPr>
              <w:t>0.02</w:t>
            </w:r>
          </w:p>
        </w:tc>
      </w:tr>
      <w:tr w14:paraId="5B003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1356" w:type="dxa"/>
            <w:vMerge w:val="continue"/>
            <w:vAlign w:val="center"/>
          </w:tcPr>
          <w:p w14:paraId="61E2948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p>
        </w:tc>
        <w:tc>
          <w:tcPr>
            <w:tcW w:w="1697" w:type="dxa"/>
            <w:shd w:val="clear" w:color="auto" w:fill="auto"/>
            <w:vAlign w:val="center"/>
          </w:tcPr>
          <w:p w14:paraId="79AE3299">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lang w:val="en-US" w:eastAsia="zh-CN"/>
              </w:rPr>
              <w:t>一</w:t>
            </w:r>
            <w:r>
              <w:rPr>
                <w:rFonts w:hint="default" w:ascii="Times New Roman" w:hAnsi="Times New Roman" w:eastAsia="宋体" w:cs="Times New Roman"/>
                <w:b w:val="0"/>
                <w:color w:val="auto"/>
                <w:sz w:val="21"/>
                <w:szCs w:val="21"/>
                <w:highlight w:val="none"/>
              </w:rPr>
              <w:t>般废包装材料</w:t>
            </w:r>
          </w:p>
        </w:tc>
        <w:tc>
          <w:tcPr>
            <w:tcW w:w="1565" w:type="dxa"/>
            <w:vAlign w:val="center"/>
          </w:tcPr>
          <w:p w14:paraId="23430DD8">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22564310">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2FF44DF7">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1E96E9A6">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1.0</w:t>
            </w:r>
          </w:p>
        </w:tc>
        <w:tc>
          <w:tcPr>
            <w:tcW w:w="1550" w:type="dxa"/>
            <w:vAlign w:val="center"/>
          </w:tcPr>
          <w:p w14:paraId="5AFF4496">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0061350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1.0</w:t>
            </w:r>
          </w:p>
        </w:tc>
        <w:tc>
          <w:tcPr>
            <w:tcW w:w="1354" w:type="dxa"/>
            <w:vAlign w:val="center"/>
          </w:tcPr>
          <w:p w14:paraId="3B10AE5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r>
      <w:tr w14:paraId="2A5908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356" w:type="dxa"/>
            <w:vMerge w:val="restart"/>
            <w:vAlign w:val="center"/>
          </w:tcPr>
          <w:p w14:paraId="4FB8B59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lang w:val="en-US" w:eastAsia="zh-CN"/>
              </w:rPr>
              <w:t>危险废物</w:t>
            </w:r>
          </w:p>
        </w:tc>
        <w:tc>
          <w:tcPr>
            <w:tcW w:w="1697" w:type="dxa"/>
            <w:vAlign w:val="center"/>
          </w:tcPr>
          <w:p w14:paraId="5FEAEC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color w:val="auto"/>
                <w:sz w:val="21"/>
                <w:szCs w:val="21"/>
                <w:highlight w:val="none"/>
              </w:rPr>
              <w:t>废活性炭</w:t>
            </w:r>
          </w:p>
        </w:tc>
        <w:tc>
          <w:tcPr>
            <w:tcW w:w="1565" w:type="dxa"/>
            <w:vAlign w:val="center"/>
          </w:tcPr>
          <w:p w14:paraId="4A4575C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4CA4D14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64D7A24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3FD7C4C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1.6</w:t>
            </w:r>
          </w:p>
        </w:tc>
        <w:tc>
          <w:tcPr>
            <w:tcW w:w="1550" w:type="dxa"/>
            <w:vAlign w:val="center"/>
          </w:tcPr>
          <w:p w14:paraId="200E7C6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0D1FF8F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1.6</w:t>
            </w:r>
          </w:p>
        </w:tc>
        <w:tc>
          <w:tcPr>
            <w:tcW w:w="1354" w:type="dxa"/>
            <w:vAlign w:val="center"/>
          </w:tcPr>
          <w:p w14:paraId="7D8D4AF7">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b w:val="0"/>
                <w:color w:val="auto"/>
                <w:sz w:val="21"/>
                <w:szCs w:val="21"/>
                <w:highlight w:val="none"/>
                <w:lang w:val="en-US" w:eastAsia="zh-CN"/>
              </w:rPr>
              <w:t>1.6</w:t>
            </w:r>
          </w:p>
        </w:tc>
      </w:tr>
      <w:tr w14:paraId="52C785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356" w:type="dxa"/>
            <w:vMerge w:val="continue"/>
            <w:vAlign w:val="center"/>
          </w:tcPr>
          <w:p w14:paraId="4643493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p>
        </w:tc>
        <w:tc>
          <w:tcPr>
            <w:tcW w:w="1697" w:type="dxa"/>
            <w:vAlign w:val="center"/>
          </w:tcPr>
          <w:p w14:paraId="0CD69A0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color w:val="auto"/>
                <w:sz w:val="21"/>
                <w:szCs w:val="21"/>
                <w:highlight w:val="none"/>
              </w:rPr>
              <w:t>废漆渣、</w:t>
            </w:r>
            <w:r>
              <w:rPr>
                <w:rFonts w:hint="default" w:ascii="Times New Roman" w:hAnsi="Times New Roman" w:cs="Times New Roman"/>
                <w:b w:val="0"/>
                <w:color w:val="auto"/>
                <w:sz w:val="21"/>
                <w:szCs w:val="21"/>
                <w:highlight w:val="none"/>
                <w:lang w:val="en-US" w:eastAsia="zh-CN"/>
              </w:rPr>
              <w:t>废纸盒、</w:t>
            </w:r>
            <w:r>
              <w:rPr>
                <w:rFonts w:hint="default" w:ascii="Times New Roman" w:hAnsi="Times New Roman" w:eastAsia="宋体" w:cs="Times New Roman"/>
                <w:b w:val="0"/>
                <w:color w:val="auto"/>
                <w:sz w:val="21"/>
                <w:szCs w:val="21"/>
                <w:highlight w:val="none"/>
              </w:rPr>
              <w:t>废过滤棉</w:t>
            </w:r>
          </w:p>
        </w:tc>
        <w:tc>
          <w:tcPr>
            <w:tcW w:w="1565" w:type="dxa"/>
            <w:vAlign w:val="center"/>
          </w:tcPr>
          <w:p w14:paraId="4FFCE2C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36E50A0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7F8C4AC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3671D55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1.8</w:t>
            </w:r>
          </w:p>
        </w:tc>
        <w:tc>
          <w:tcPr>
            <w:tcW w:w="1550" w:type="dxa"/>
            <w:vAlign w:val="center"/>
          </w:tcPr>
          <w:p w14:paraId="549E992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30195C3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val="0"/>
                <w:color w:val="auto"/>
                <w:sz w:val="21"/>
                <w:szCs w:val="21"/>
                <w:highlight w:val="none"/>
                <w:lang w:val="en-US" w:eastAsia="zh-CN"/>
              </w:rPr>
              <w:t>1.8</w:t>
            </w:r>
          </w:p>
        </w:tc>
        <w:tc>
          <w:tcPr>
            <w:tcW w:w="1354" w:type="dxa"/>
            <w:vAlign w:val="center"/>
          </w:tcPr>
          <w:p w14:paraId="48A0EE6A">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b w:val="0"/>
                <w:color w:val="auto"/>
                <w:sz w:val="21"/>
                <w:szCs w:val="21"/>
                <w:highlight w:val="none"/>
                <w:lang w:val="en-US" w:eastAsia="zh-CN"/>
              </w:rPr>
              <w:t>1.8</w:t>
            </w:r>
          </w:p>
        </w:tc>
      </w:tr>
      <w:tr w14:paraId="473BF0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6" w:type="dxa"/>
            <w:vMerge w:val="continue"/>
            <w:vAlign w:val="center"/>
          </w:tcPr>
          <w:p w14:paraId="594E5E5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p>
        </w:tc>
        <w:tc>
          <w:tcPr>
            <w:tcW w:w="1697" w:type="dxa"/>
            <w:vAlign w:val="center"/>
          </w:tcPr>
          <w:p w14:paraId="098CB146">
            <w:pPr>
              <w:pStyle w:val="62"/>
              <w:keepNext w:val="0"/>
              <w:keepLines w:val="0"/>
              <w:pageBreakBefore w:val="0"/>
              <w:widowControl w:val="0"/>
              <w:suppressLineNumbers w:val="0"/>
              <w:kinsoku/>
              <w:wordWrap/>
              <w:overflowPunct/>
              <w:topLinePunct w:val="0"/>
              <w:autoSpaceDE/>
              <w:autoSpaceDN/>
              <w:bidi w:val="0"/>
              <w:adjustRightInd/>
              <w:snapToGrid/>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color w:val="auto"/>
                <w:sz w:val="21"/>
                <w:szCs w:val="21"/>
                <w:highlight w:val="none"/>
              </w:rPr>
              <w:t>废化学品包装桶（袋）</w:t>
            </w:r>
          </w:p>
        </w:tc>
        <w:tc>
          <w:tcPr>
            <w:tcW w:w="1565" w:type="dxa"/>
            <w:vAlign w:val="center"/>
          </w:tcPr>
          <w:p w14:paraId="53CAF326">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0C251496">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17DC5311">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69F98BC1">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0.3</w:t>
            </w:r>
          </w:p>
        </w:tc>
        <w:tc>
          <w:tcPr>
            <w:tcW w:w="1550" w:type="dxa"/>
            <w:vAlign w:val="center"/>
          </w:tcPr>
          <w:p w14:paraId="461F7275">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2A95BF13">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color w:val="auto"/>
                <w:sz w:val="21"/>
                <w:szCs w:val="21"/>
                <w:highlight w:val="none"/>
                <w:lang w:val="en-US" w:eastAsia="zh-CN"/>
              </w:rPr>
              <w:t>0.3</w:t>
            </w:r>
          </w:p>
        </w:tc>
        <w:tc>
          <w:tcPr>
            <w:tcW w:w="1354" w:type="dxa"/>
            <w:vAlign w:val="center"/>
          </w:tcPr>
          <w:p w14:paraId="45DF65BF">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b w:val="0"/>
                <w:color w:val="auto"/>
                <w:sz w:val="21"/>
                <w:szCs w:val="21"/>
                <w:highlight w:val="none"/>
                <w:lang w:val="en-US" w:eastAsia="zh-CN"/>
              </w:rPr>
              <w:t>0.3</w:t>
            </w:r>
          </w:p>
        </w:tc>
      </w:tr>
      <w:tr w14:paraId="0FEDE3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6" w:type="dxa"/>
            <w:vMerge w:val="continue"/>
            <w:vAlign w:val="center"/>
          </w:tcPr>
          <w:p w14:paraId="74A0921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p>
        </w:tc>
        <w:tc>
          <w:tcPr>
            <w:tcW w:w="1697" w:type="dxa"/>
            <w:vAlign w:val="center"/>
          </w:tcPr>
          <w:p w14:paraId="1F6A5C0F">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b w:val="0"/>
                <w:color w:val="auto"/>
                <w:sz w:val="21"/>
                <w:szCs w:val="21"/>
                <w:highlight w:val="none"/>
              </w:rPr>
              <w:t>废水处理污泥</w:t>
            </w:r>
          </w:p>
        </w:tc>
        <w:tc>
          <w:tcPr>
            <w:tcW w:w="1565" w:type="dxa"/>
            <w:vAlign w:val="center"/>
          </w:tcPr>
          <w:p w14:paraId="3435E2E9">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53F60E13">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28187EBE">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71379AA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1.5</w:t>
            </w:r>
          </w:p>
        </w:tc>
        <w:tc>
          <w:tcPr>
            <w:tcW w:w="1550" w:type="dxa"/>
            <w:vAlign w:val="center"/>
          </w:tcPr>
          <w:p w14:paraId="58017377">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4EE88144">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b w:val="0"/>
                <w:color w:val="auto"/>
                <w:sz w:val="21"/>
                <w:szCs w:val="21"/>
                <w:highlight w:val="none"/>
                <w:lang w:val="en-US" w:eastAsia="zh-CN"/>
              </w:rPr>
              <w:t>1.5</w:t>
            </w:r>
          </w:p>
        </w:tc>
        <w:tc>
          <w:tcPr>
            <w:tcW w:w="1354" w:type="dxa"/>
            <w:vAlign w:val="center"/>
          </w:tcPr>
          <w:p w14:paraId="6F55A54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r>
      <w:tr w14:paraId="6B295B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356" w:type="dxa"/>
            <w:vMerge w:val="continue"/>
            <w:vAlign w:val="center"/>
          </w:tcPr>
          <w:p w14:paraId="0A1661F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p>
        </w:tc>
        <w:tc>
          <w:tcPr>
            <w:tcW w:w="1697" w:type="dxa"/>
            <w:vAlign w:val="center"/>
          </w:tcPr>
          <w:p w14:paraId="031498EB">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b w:val="0"/>
                <w:color w:val="auto"/>
                <w:sz w:val="21"/>
                <w:szCs w:val="21"/>
                <w:highlight w:val="none"/>
              </w:rPr>
              <w:t>电泳槽渣（电泳槽清槽及过滤残渣）</w:t>
            </w:r>
          </w:p>
        </w:tc>
        <w:tc>
          <w:tcPr>
            <w:tcW w:w="1565" w:type="dxa"/>
            <w:vAlign w:val="center"/>
          </w:tcPr>
          <w:p w14:paraId="7DFA5800">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3E3742ED">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54157B4B">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2E7FAF9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0.1</w:t>
            </w:r>
          </w:p>
        </w:tc>
        <w:tc>
          <w:tcPr>
            <w:tcW w:w="1550" w:type="dxa"/>
            <w:vAlign w:val="center"/>
          </w:tcPr>
          <w:p w14:paraId="4288DA8F">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41872570">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lang w:val="en-US" w:eastAsia="zh-CN"/>
              </w:rPr>
              <w:t>0.1</w:t>
            </w:r>
          </w:p>
        </w:tc>
        <w:tc>
          <w:tcPr>
            <w:tcW w:w="1354" w:type="dxa"/>
            <w:vAlign w:val="center"/>
          </w:tcPr>
          <w:p w14:paraId="74095F78">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b w:val="0"/>
                <w:color w:val="auto"/>
                <w:sz w:val="21"/>
                <w:szCs w:val="21"/>
                <w:highlight w:val="none"/>
                <w:lang w:val="en-US" w:eastAsia="zh-CN"/>
              </w:rPr>
              <w:t>0.1</w:t>
            </w:r>
          </w:p>
        </w:tc>
      </w:tr>
      <w:tr w14:paraId="12AE29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56" w:type="dxa"/>
            <w:vMerge w:val="continue"/>
            <w:vAlign w:val="center"/>
          </w:tcPr>
          <w:p w14:paraId="0ADB3D5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napToGrid w:val="0"/>
                <w:color w:val="auto"/>
                <w:kern w:val="21"/>
                <w:sz w:val="21"/>
                <w:szCs w:val="21"/>
                <w:highlight w:val="none"/>
              </w:rPr>
            </w:pPr>
          </w:p>
        </w:tc>
        <w:tc>
          <w:tcPr>
            <w:tcW w:w="1697" w:type="dxa"/>
            <w:vAlign w:val="center"/>
          </w:tcPr>
          <w:p w14:paraId="0F5A5B61">
            <w:pPr>
              <w:pStyle w:val="62"/>
              <w:keepNext w:val="0"/>
              <w:keepLines w:val="0"/>
              <w:pageBreakBefore w:val="0"/>
              <w:widowControl w:val="0"/>
              <w:suppressLineNumbers w:val="0"/>
              <w:kinsoku/>
              <w:wordWrap/>
              <w:overflowPunct/>
              <w:topLinePunct w:val="0"/>
              <w:autoSpaceDE/>
              <w:autoSpaceDN/>
              <w:bidi w:val="0"/>
              <w:spacing w:before="86"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color w:val="auto"/>
                <w:sz w:val="21"/>
                <w:szCs w:val="21"/>
                <w:highlight w:val="none"/>
              </w:rPr>
            </w:pPr>
            <w:r>
              <w:rPr>
                <w:rFonts w:hint="default" w:ascii="Times New Roman" w:hAnsi="Times New Roman" w:eastAsia="宋体" w:cs="Times New Roman"/>
                <w:color w:val="auto"/>
                <w:sz w:val="21"/>
                <w:szCs w:val="21"/>
                <w:highlight w:val="none"/>
              </w:rPr>
              <w:t>废机油及油桶</w:t>
            </w:r>
          </w:p>
        </w:tc>
        <w:tc>
          <w:tcPr>
            <w:tcW w:w="1565" w:type="dxa"/>
            <w:vAlign w:val="center"/>
          </w:tcPr>
          <w:p w14:paraId="2B0F2BAE">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375" w:type="dxa"/>
            <w:vAlign w:val="center"/>
          </w:tcPr>
          <w:p w14:paraId="4A820560">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15" w:type="dxa"/>
            <w:vAlign w:val="center"/>
          </w:tcPr>
          <w:p w14:paraId="6CDA94A9">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85" w:type="dxa"/>
            <w:vAlign w:val="center"/>
          </w:tcPr>
          <w:p w14:paraId="7C7F108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0.1</w:t>
            </w:r>
          </w:p>
        </w:tc>
        <w:tc>
          <w:tcPr>
            <w:tcW w:w="1550" w:type="dxa"/>
            <w:vAlign w:val="center"/>
          </w:tcPr>
          <w:p w14:paraId="0EE20F1F">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900" w:type="dxa"/>
            <w:vAlign w:val="center"/>
          </w:tcPr>
          <w:p w14:paraId="0A4F4899">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color w:val="auto"/>
                <w:sz w:val="21"/>
                <w:szCs w:val="21"/>
                <w:highlight w:val="none"/>
              </w:rPr>
              <w:t>0.1</w:t>
            </w:r>
          </w:p>
        </w:tc>
        <w:tc>
          <w:tcPr>
            <w:tcW w:w="1354" w:type="dxa"/>
            <w:vAlign w:val="center"/>
          </w:tcPr>
          <w:p w14:paraId="6D83656B">
            <w:pPr>
              <w:keepNext w:val="0"/>
              <w:keepLines w:val="0"/>
              <w:suppressLineNumbers w:val="0"/>
              <w:spacing w:before="40" w:beforeAutospacing="0" w:after="40" w:afterAutospacing="0" w:line="240" w:lineRule="auto"/>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b w:val="0"/>
                <w:color w:val="auto"/>
                <w:sz w:val="21"/>
                <w:szCs w:val="21"/>
                <w:highlight w:val="none"/>
              </w:rPr>
              <w:t>0.1</w:t>
            </w:r>
          </w:p>
        </w:tc>
      </w:tr>
    </w:tbl>
    <w:p w14:paraId="7416433C">
      <w:pPr>
        <w:adjustRightInd w:val="0"/>
        <w:snapToGrid w:val="0"/>
        <w:spacing w:before="249" w:beforeLines="80" w:after="31" w:afterLines="10" w:line="259" w:lineRule="auto"/>
        <w:jc w:val="left"/>
        <w:rPr>
          <w:rFonts w:hint="default" w:ascii="Times New Roman" w:hAnsi="Times New Roman" w:cs="Times New Roman"/>
          <w:snapToGrid w:val="0"/>
          <w:color w:val="auto"/>
          <w:spacing w:val="-6"/>
          <w:kern w:val="21"/>
          <w:szCs w:val="21"/>
          <w:highlight w:val="none"/>
        </w:rPr>
        <w:sectPr>
          <w:footerReference r:id="rId4" w:type="default"/>
          <w:pgSz w:w="16838" w:h="11906" w:orient="landscape"/>
          <w:pgMar w:top="1800" w:right="1440" w:bottom="1689" w:left="1440" w:header="851" w:footer="992" w:gutter="0"/>
          <w:pgBorders>
            <w:top w:val="none" w:sz="0" w:space="0"/>
            <w:left w:val="none" w:sz="0" w:space="0"/>
            <w:bottom w:val="none" w:sz="0" w:space="0"/>
            <w:right w:val="none" w:sz="0" w:space="0"/>
          </w:pgBorders>
          <w:cols w:space="720" w:num="1"/>
          <w:docGrid w:type="lines" w:linePitch="312" w:charSpace="0"/>
        </w:sect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kern w:val="0"/>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kern w:val="0"/>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kern w:val="0"/>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kern w:val="0"/>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kern w:val="0"/>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kern w:val="0"/>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kern w:val="0"/>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kern w:val="0"/>
          <w:szCs w:val="21"/>
          <w:highlight w:val="none"/>
        </w:rPr>
        <w:t>①</w:t>
      </w:r>
      <w:r>
        <w:rPr>
          <w:rFonts w:hint="default" w:ascii="Times New Roman" w:hAnsi="Times New Roman" w:cs="Times New Roman"/>
          <w:snapToGrid w:val="0"/>
          <w:color w:val="auto"/>
          <w:spacing w:val="-6"/>
          <w:kern w:val="21"/>
          <w:szCs w:val="21"/>
          <w:highlight w:val="none"/>
        </w:rPr>
        <w:fldChar w:fldCharType="end"/>
      </w:r>
    </w:p>
    <w:p w14:paraId="689FA923">
      <w:pPr>
        <w:jc w:val="center"/>
        <w:rPr>
          <w:rFonts w:hint="default" w:ascii="Times New Roman" w:hAnsi="Times New Roman" w:eastAsia="黑体" w:cs="Times New Roman"/>
          <w:b w:val="0"/>
          <w:sz w:val="30"/>
          <w:highlight w:val="none"/>
        </w:rPr>
      </w:pPr>
      <w:r>
        <w:rPr>
          <w:rFonts w:hint="default" w:ascii="Times New Roman" w:hAnsi="Times New Roman" w:eastAsia="黑体" w:cs="Times New Roman"/>
          <w:b w:val="0"/>
          <w:sz w:val="30"/>
          <w:highlight w:val="none"/>
        </w:rPr>
        <w:t>陕西秦源智联科技有限</w:t>
      </w:r>
      <w:r>
        <w:rPr>
          <w:rFonts w:hint="default" w:ascii="Times New Roman" w:hAnsi="Times New Roman" w:eastAsia="黑体" w:cs="Times New Roman"/>
          <w:b w:val="0"/>
          <w:sz w:val="30"/>
          <w:highlight w:val="none"/>
          <w:lang w:val="en-US" w:eastAsia="zh-CN"/>
        </w:rPr>
        <w:t>责任</w:t>
      </w:r>
      <w:r>
        <w:rPr>
          <w:rFonts w:hint="default" w:ascii="Times New Roman" w:hAnsi="Times New Roman" w:eastAsia="黑体" w:cs="Times New Roman"/>
          <w:b w:val="0"/>
          <w:sz w:val="30"/>
          <w:highlight w:val="none"/>
        </w:rPr>
        <w:t>公司环保绩效管理篇章</w:t>
      </w:r>
    </w:p>
    <w:p w14:paraId="35A906AE">
      <w:pPr>
        <w:jc w:val="center"/>
        <w:rPr>
          <w:rFonts w:hint="default" w:ascii="Times New Roman" w:hAnsi="Times New Roman" w:eastAsia="黑体" w:cs="Times New Roman"/>
          <w:b w:val="0"/>
          <w:sz w:val="30"/>
          <w:highlight w:val="none"/>
        </w:rPr>
      </w:pPr>
    </w:p>
    <w:p w14:paraId="46A91F69">
      <w:pPr>
        <w:jc w:val="center"/>
        <w:rPr>
          <w:rFonts w:hint="default" w:ascii="Times New Roman" w:hAnsi="Times New Roman" w:eastAsia="黑体" w:cs="Times New Roman"/>
          <w:b w:val="0"/>
          <w:sz w:val="30"/>
          <w:highlight w:val="none"/>
        </w:rPr>
      </w:pPr>
    </w:p>
    <w:p w14:paraId="0E78EAFE">
      <w:pPr>
        <w:spacing w:line="360" w:lineRule="auto"/>
        <w:rPr>
          <w:rFonts w:hint="default" w:ascii="Times New Roman" w:hAnsi="Times New Roman" w:cs="Times New Roman"/>
          <w:highlight w:val="none"/>
        </w:rPr>
      </w:pPr>
      <w:r>
        <w:rPr>
          <w:rFonts w:hint="default" w:ascii="Times New Roman" w:hAnsi="Times New Roman" w:eastAsia="宋体" w:cs="Times New Roman"/>
          <w:b/>
          <w:sz w:val="24"/>
          <w:highlight w:val="none"/>
        </w:rPr>
        <w:t>1、行业类别</w:t>
      </w:r>
    </w:p>
    <w:p w14:paraId="0C46789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eastAsia="宋体" w:cs="Times New Roman"/>
          <w:b w:val="0"/>
          <w:sz w:val="24"/>
          <w:szCs w:val="24"/>
          <w:highlight w:val="none"/>
        </w:rPr>
        <w:t>本项目属于国民经济行业分类（GB/T 4754-2017）中C3360金属表面处理及热处理加工（金属制品业C33）。</w:t>
      </w:r>
      <w:r>
        <w:rPr>
          <w:rFonts w:hint="default" w:ascii="Times New Roman" w:hAnsi="Times New Roman" w:eastAsia="宋体" w:cs="Times New Roman"/>
          <w:b w:val="0"/>
          <w:sz w:val="24"/>
          <w:szCs w:val="24"/>
          <w:highlight w:val="none"/>
        </w:rPr>
        <w:t>本项目主要涉气生产工艺为抛丸（喷砂）预处理及粉末喷涂、水性漆喷涂等涂装工序</w:t>
      </w:r>
      <w:r>
        <w:rPr>
          <w:rFonts w:hint="default" w:ascii="Times New Roman" w:hAnsi="Times New Roman" w:cs="Times New Roman"/>
          <w:b w:val="0"/>
          <w:sz w:val="24"/>
          <w:szCs w:val="24"/>
          <w:highlight w:val="none"/>
          <w:lang w:eastAsia="zh-CN"/>
        </w:rPr>
        <w:t>，</w:t>
      </w:r>
      <w:r>
        <w:rPr>
          <w:rFonts w:hint="default" w:ascii="Times New Roman" w:hAnsi="Times New Roman" w:eastAsia="宋体" w:cs="Times New Roman"/>
          <w:b w:val="0"/>
          <w:sz w:val="24"/>
          <w:szCs w:val="24"/>
          <w:highlight w:val="none"/>
        </w:rPr>
        <w:t>根据《重污染天气重点行业应急减排措施制定技术指南（2020年修订版）》（环办大气函〔2020〕340号）、关于印发《重污染天气重点行业绩效分级及减排措施》补充说明的通知（环办便函〔2021〕341号），属于重点行业中的</w:t>
      </w:r>
      <w:r>
        <w:rPr>
          <w:rFonts w:hint="default" w:ascii="Times New Roman" w:hAnsi="Times New Roman" w:cs="Times New Roman"/>
          <w:b w:val="0"/>
          <w:sz w:val="24"/>
          <w:szCs w:val="24"/>
          <w:highlight w:val="none"/>
          <w:lang w:eastAsia="zh-CN"/>
        </w:rPr>
        <w:t>“</w:t>
      </w:r>
      <w:r>
        <w:rPr>
          <w:rFonts w:hint="default" w:ascii="Times New Roman" w:hAnsi="Times New Roman" w:eastAsia="宋体" w:cs="Times New Roman"/>
          <w:b w:val="0"/>
          <w:sz w:val="24"/>
          <w:szCs w:val="24"/>
          <w:highlight w:val="none"/>
        </w:rPr>
        <w:t>三十九、工业涂装</w:t>
      </w:r>
      <w:r>
        <w:rPr>
          <w:rFonts w:hint="default" w:ascii="Times New Roman" w:hAnsi="Times New Roman" w:cs="Times New Roman"/>
          <w:b w:val="0"/>
          <w:sz w:val="24"/>
          <w:szCs w:val="24"/>
          <w:highlight w:val="none"/>
          <w:lang w:eastAsia="zh-CN"/>
        </w:rPr>
        <w:t>”</w:t>
      </w:r>
      <w:r>
        <w:rPr>
          <w:rFonts w:hint="default" w:ascii="Times New Roman" w:hAnsi="Times New Roman" w:eastAsia="宋体" w:cs="Times New Roman"/>
          <w:b w:val="0"/>
          <w:sz w:val="24"/>
          <w:szCs w:val="24"/>
          <w:highlight w:val="none"/>
        </w:rPr>
        <w:t>（工业涂装行业适用范围涵盖金属制品业（C33）（不包含C339），本项目C3360金属表面处理及热处理加工属于其适用范围）。</w:t>
      </w:r>
    </w:p>
    <w:p w14:paraId="66628590">
      <w:pPr>
        <w:spacing w:line="360" w:lineRule="auto"/>
        <w:rPr>
          <w:rFonts w:hint="default" w:ascii="Times New Roman" w:hAnsi="Times New Roman" w:cs="Times New Roman"/>
          <w:highlight w:val="none"/>
        </w:rPr>
      </w:pPr>
      <w:r>
        <w:rPr>
          <w:rFonts w:hint="default" w:ascii="Times New Roman" w:hAnsi="Times New Roman" w:eastAsia="宋体" w:cs="Times New Roman"/>
          <w:b/>
          <w:sz w:val="24"/>
          <w:highlight w:val="none"/>
        </w:rPr>
        <w:t>2、环保绩效等级</w:t>
      </w:r>
    </w:p>
    <w:p w14:paraId="3B8DB0B2">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eastAsia="宋体" w:cs="Times New Roman"/>
          <w:b w:val="0"/>
          <w:sz w:val="24"/>
          <w:szCs w:val="24"/>
          <w:highlight w:val="none"/>
        </w:rPr>
        <w:t>根据《西咸新区大气污染治理专项行动方案（2023-2027年）》：新区范围内新、改、扩建涉气重点行业企业应达到环保绩效A级、绩效引领性水平。故本项目应达到</w:t>
      </w:r>
      <w:r>
        <w:rPr>
          <w:rFonts w:hint="eastAsia" w:ascii="宋体" w:hAnsi="宋体" w:eastAsia="宋体" w:cs="宋体"/>
          <w:b w:val="0"/>
          <w:sz w:val="24"/>
          <w:szCs w:val="24"/>
          <w:highlight w:val="none"/>
          <w:lang w:eastAsia="zh-CN"/>
        </w:rPr>
        <w:t>“</w:t>
      </w:r>
      <w:r>
        <w:rPr>
          <w:rFonts w:hint="eastAsia" w:ascii="宋体" w:hAnsi="宋体" w:eastAsia="宋体" w:cs="宋体"/>
          <w:b w:val="0"/>
          <w:sz w:val="24"/>
          <w:szCs w:val="24"/>
          <w:highlight w:val="none"/>
        </w:rPr>
        <w:t>三十九、工业涂装</w:t>
      </w:r>
      <w:r>
        <w:rPr>
          <w:rFonts w:hint="eastAsia" w:ascii="宋体" w:hAnsi="宋体" w:eastAsia="宋体" w:cs="宋体"/>
          <w:b w:val="0"/>
          <w:sz w:val="24"/>
          <w:szCs w:val="24"/>
          <w:highlight w:val="none"/>
          <w:lang w:eastAsia="zh-CN"/>
        </w:rPr>
        <w:t>”</w:t>
      </w:r>
      <w:r>
        <w:rPr>
          <w:rFonts w:hint="default" w:ascii="Times New Roman" w:hAnsi="Times New Roman" w:eastAsia="宋体" w:cs="Times New Roman"/>
          <w:b w:val="0"/>
          <w:sz w:val="24"/>
          <w:szCs w:val="24"/>
          <w:highlight w:val="none"/>
        </w:rPr>
        <w:t>A级环保绩效要求。</w:t>
      </w:r>
    </w:p>
    <w:p w14:paraId="5AF78CC9">
      <w:pPr>
        <w:spacing w:line="360" w:lineRule="auto"/>
        <w:rPr>
          <w:rFonts w:hint="default" w:ascii="Times New Roman" w:hAnsi="Times New Roman" w:cs="Times New Roman"/>
          <w:highlight w:val="none"/>
        </w:rPr>
      </w:pPr>
      <w:r>
        <w:rPr>
          <w:rFonts w:hint="default" w:ascii="Times New Roman" w:hAnsi="Times New Roman" w:eastAsia="宋体" w:cs="Times New Roman"/>
          <w:b/>
          <w:sz w:val="24"/>
          <w:highlight w:val="none"/>
        </w:rPr>
        <w:t>3、项目环保绩效符合性分析</w:t>
      </w:r>
    </w:p>
    <w:p w14:paraId="61908FB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eastAsia="宋体" w:cs="Times New Roman"/>
          <w:b w:val="0"/>
          <w:sz w:val="24"/>
          <w:szCs w:val="24"/>
          <w:highlight w:val="none"/>
        </w:rPr>
        <w:t>本项目位于陕西省西咸新区沣西新城大王街道（大王108国道与东灵路十字向南300米），主要建设抛丸预处理、静电粉末喷涂及水性漆喷涂生产线，全自动阴极电泳生产线（分期建设），配套建设废气、废水、噪声、固废等环保治理设施。与工业涂装行业A级环保绩效相符性分析见下表。分析结果表明，本项目建设完成后，在原辅材料、无组织排放、VOCs治污设施、排放限值、监测监控水平、环境管理水平、运输方式、运输监管等方面，均可以满足工业涂装行业A级环保绩效相关要求。</w:t>
      </w:r>
    </w:p>
    <w:p w14:paraId="00953ED3">
      <w:pPr>
        <w:jc w:val="center"/>
        <w:rPr>
          <w:rFonts w:hint="default" w:ascii="Times New Roman" w:hAnsi="Times New Roman" w:cs="Times New Roman"/>
          <w:highlight w:val="none"/>
        </w:rPr>
      </w:pPr>
      <w:r>
        <w:rPr>
          <w:rFonts w:hint="default" w:ascii="Times New Roman" w:hAnsi="Times New Roman" w:eastAsia="宋体" w:cs="Times New Roman"/>
          <w:b/>
          <w:sz w:val="24"/>
          <w:highlight w:val="none"/>
        </w:rPr>
        <w:t>表1  本项目环保绩效指标分析</w:t>
      </w:r>
    </w:p>
    <w:tbl>
      <w:tblPr>
        <w:tblStyle w:val="3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35"/>
        <w:gridCol w:w="3205"/>
        <w:gridCol w:w="3773"/>
        <w:gridCol w:w="795"/>
      </w:tblGrid>
      <w:tr w14:paraId="625F8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35" w:type="dxa"/>
            <w:vAlign w:val="center"/>
          </w:tcPr>
          <w:p w14:paraId="581661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highlight w:val="none"/>
              </w:rPr>
            </w:pPr>
            <w:r>
              <w:rPr>
                <w:rFonts w:hint="default" w:ascii="Times New Roman" w:hAnsi="Times New Roman" w:eastAsia="宋体" w:cs="Times New Roman"/>
                <w:b/>
                <w:sz w:val="21"/>
                <w:highlight w:val="none"/>
              </w:rPr>
              <w:t>差异化指标</w:t>
            </w:r>
          </w:p>
        </w:tc>
        <w:tc>
          <w:tcPr>
            <w:tcW w:w="3205" w:type="dxa"/>
            <w:vAlign w:val="center"/>
          </w:tcPr>
          <w:p w14:paraId="3D8ECD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b/>
                <w:sz w:val="21"/>
                <w:highlight w:val="none"/>
              </w:rPr>
              <w:t>A级企业</w:t>
            </w:r>
          </w:p>
        </w:tc>
        <w:tc>
          <w:tcPr>
            <w:tcW w:w="3773" w:type="dxa"/>
            <w:vAlign w:val="center"/>
          </w:tcPr>
          <w:p w14:paraId="7095EA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highlight w:val="none"/>
              </w:rPr>
            </w:pPr>
            <w:r>
              <w:rPr>
                <w:rFonts w:hint="default" w:ascii="Times New Roman" w:hAnsi="Times New Roman" w:eastAsia="宋体" w:cs="Times New Roman"/>
                <w:b/>
                <w:sz w:val="21"/>
                <w:highlight w:val="none"/>
              </w:rPr>
              <w:t>本项目目前现状</w:t>
            </w:r>
          </w:p>
        </w:tc>
        <w:tc>
          <w:tcPr>
            <w:tcW w:w="795" w:type="dxa"/>
            <w:vAlign w:val="center"/>
          </w:tcPr>
          <w:p w14:paraId="47FBA0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highlight w:val="none"/>
              </w:rPr>
            </w:pPr>
            <w:r>
              <w:rPr>
                <w:rFonts w:hint="default" w:ascii="Times New Roman" w:hAnsi="Times New Roman" w:eastAsia="宋体" w:cs="Times New Roman"/>
                <w:b/>
                <w:sz w:val="21"/>
                <w:highlight w:val="none"/>
              </w:rPr>
              <w:t>符合性分析</w:t>
            </w:r>
          </w:p>
        </w:tc>
      </w:tr>
      <w:tr w14:paraId="38199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35" w:type="dxa"/>
            <w:vAlign w:val="center"/>
          </w:tcPr>
          <w:p w14:paraId="2E930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原辅材料</w:t>
            </w:r>
          </w:p>
        </w:tc>
        <w:tc>
          <w:tcPr>
            <w:tcW w:w="3205" w:type="dxa"/>
            <w:vAlign w:val="center"/>
          </w:tcPr>
          <w:p w14:paraId="52E032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1、使用粉末涂料；</w:t>
            </w:r>
          </w:p>
          <w:p w14:paraId="2729D3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2、使用符合《低挥发性有机化合物含量涂料产品技术要求》（GB/T 38597-2020）规定的低VOCs含量涂料产品。</w:t>
            </w:r>
          </w:p>
          <w:p w14:paraId="5CC439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p>
        </w:tc>
        <w:tc>
          <w:tcPr>
            <w:tcW w:w="3773" w:type="dxa"/>
            <w:vAlign w:val="center"/>
          </w:tcPr>
          <w:p w14:paraId="3F1373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1、粉末喷涂线使用粉末涂料；</w:t>
            </w:r>
          </w:p>
          <w:p w14:paraId="124162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2、水性漆喷涂线使用水性工业漆（水性丙烯酸漆），阴极电泳生产线使用水性阴极电泳漆</w:t>
            </w:r>
            <w:r>
              <w:rPr>
                <w:rFonts w:hint="default" w:ascii="Times New Roman" w:hAnsi="Times New Roman" w:cs="Times New Roman"/>
                <w:b w:val="0"/>
                <w:sz w:val="21"/>
                <w:highlight w:val="none"/>
                <w:lang w:eastAsia="zh-CN"/>
              </w:rPr>
              <w:t>，</w:t>
            </w:r>
            <w:r>
              <w:rPr>
                <w:rFonts w:hint="default" w:ascii="Times New Roman" w:hAnsi="Times New Roman" w:eastAsia="宋体" w:cs="Times New Roman"/>
                <w:b w:val="0"/>
                <w:sz w:val="21"/>
                <w:highlight w:val="none"/>
              </w:rPr>
              <w:t>VOC</w:t>
            </w:r>
            <w:r>
              <w:rPr>
                <w:rFonts w:hint="default" w:ascii="Times New Roman" w:hAnsi="Times New Roman" w:cs="Times New Roman"/>
                <w:b w:val="0"/>
                <w:sz w:val="21"/>
                <w:highlight w:val="none"/>
                <w:lang w:val="en-US" w:eastAsia="zh-CN"/>
              </w:rPr>
              <w:t>含量均</w:t>
            </w:r>
            <w:r>
              <w:rPr>
                <w:rFonts w:hint="default" w:ascii="Times New Roman" w:hAnsi="Times New Roman" w:eastAsia="宋体" w:cs="Times New Roman"/>
                <w:b w:val="0"/>
                <w:sz w:val="21"/>
                <w:highlight w:val="none"/>
              </w:rPr>
              <w:t>满足《低挥发性有机化合物含量涂料产品技术要求》（GB/T 38597-2020）规定的低VOCs含量涂料产品要求</w:t>
            </w:r>
            <w:r>
              <w:rPr>
                <w:rFonts w:hint="default" w:ascii="Times New Roman" w:hAnsi="Times New Roman" w:cs="Times New Roman"/>
                <w:b w:val="0"/>
                <w:sz w:val="21"/>
                <w:highlight w:val="none"/>
                <w:lang w:eastAsia="zh-CN"/>
              </w:rPr>
              <w:t>；</w:t>
            </w:r>
          </w:p>
        </w:tc>
        <w:tc>
          <w:tcPr>
            <w:tcW w:w="795" w:type="dxa"/>
            <w:vAlign w:val="center"/>
          </w:tcPr>
          <w:p w14:paraId="4CDEB0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符合</w:t>
            </w:r>
          </w:p>
        </w:tc>
      </w:tr>
      <w:tr w14:paraId="22489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35" w:type="dxa"/>
            <w:vAlign w:val="center"/>
          </w:tcPr>
          <w:p w14:paraId="486F7E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无组织排放</w:t>
            </w:r>
          </w:p>
        </w:tc>
        <w:tc>
          <w:tcPr>
            <w:tcW w:w="3205" w:type="dxa"/>
            <w:vAlign w:val="center"/>
          </w:tcPr>
          <w:p w14:paraId="45C3E5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1、满足《挥发性有机物无组织排放控制标准》（GB 37822-2019）特别控制要求；</w:t>
            </w:r>
          </w:p>
          <w:p w14:paraId="6D227C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2、VOCs物料存储于密闭容器或包装袋中，盛装VOCs物料的容器或包装袋存放于密闭负压的储库、料仓内；</w:t>
            </w:r>
          </w:p>
          <w:p w14:paraId="6578B1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3、除大型工件特殊作业（例如，船舶制造行业的分段总组、船台、船坞、造船码头等涂装工序）外，调漆、喷漆、流平、烘干、清洗等工序在密闭设备或密闭负压空间内操作；</w:t>
            </w:r>
          </w:p>
          <w:p w14:paraId="7C3A80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4、密闭回收废清洗剂；</w:t>
            </w:r>
          </w:p>
          <w:p w14:paraId="084FA4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5、建设干式喷漆房；使用湿式喷漆房时，循环水泵间和刮渣间应密闭，安装废气收集设施；</w:t>
            </w:r>
          </w:p>
          <w:p w14:paraId="45DE7D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6、采用静电喷涂、自动喷涂、高压无气喷涂或高流低压（HVLP）喷枪等高效涂装技术，不可使用手动空气喷涂技术。</w:t>
            </w:r>
          </w:p>
        </w:tc>
        <w:tc>
          <w:tcPr>
            <w:tcW w:w="3773" w:type="dxa"/>
            <w:vAlign w:val="center"/>
          </w:tcPr>
          <w:p w14:paraId="51C9BB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1、</w:t>
            </w:r>
            <w:r>
              <w:rPr>
                <w:rFonts w:hint="eastAsia" w:cs="Times New Roman"/>
                <w:b w:val="0"/>
                <w:sz w:val="21"/>
                <w:highlight w:val="none"/>
                <w:lang w:val="en-US" w:eastAsia="zh-CN"/>
              </w:rPr>
              <w:t>本项目</w:t>
            </w:r>
            <w:r>
              <w:rPr>
                <w:rFonts w:hint="default" w:ascii="Times New Roman" w:hAnsi="Times New Roman" w:eastAsia="宋体" w:cs="Times New Roman"/>
                <w:b w:val="0"/>
                <w:sz w:val="21"/>
                <w:highlight w:val="none"/>
              </w:rPr>
              <w:t>满足《挥发性有机物无组织排放控制标准》（GB 37822-2019；</w:t>
            </w:r>
          </w:p>
          <w:p w14:paraId="0EE5A4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2、</w:t>
            </w:r>
            <w:r>
              <w:rPr>
                <w:rFonts w:hint="eastAsia" w:cs="Times New Roman"/>
                <w:b w:val="0"/>
                <w:sz w:val="21"/>
                <w:highlight w:val="none"/>
                <w:lang w:val="en-US" w:eastAsia="zh-CN"/>
              </w:rPr>
              <w:t>本项目</w:t>
            </w:r>
            <w:r>
              <w:rPr>
                <w:rFonts w:hint="default" w:ascii="Times New Roman" w:hAnsi="Times New Roman" w:eastAsia="宋体" w:cs="Times New Roman"/>
                <w:b w:val="0"/>
                <w:sz w:val="21"/>
                <w:highlight w:val="none"/>
              </w:rPr>
              <w:t>VOCs物料存储于密闭容器</w:t>
            </w:r>
            <w:r>
              <w:rPr>
                <w:rFonts w:hint="eastAsia" w:cs="Times New Roman"/>
                <w:b w:val="0"/>
                <w:sz w:val="21"/>
                <w:highlight w:val="none"/>
                <w:lang w:val="en-US" w:eastAsia="zh-CN"/>
              </w:rPr>
              <w:t>和</w:t>
            </w:r>
            <w:r>
              <w:rPr>
                <w:rFonts w:hint="default" w:ascii="Times New Roman" w:hAnsi="Times New Roman" w:eastAsia="宋体" w:cs="Times New Roman"/>
                <w:b w:val="0"/>
                <w:sz w:val="21"/>
                <w:highlight w:val="none"/>
              </w:rPr>
              <w:t>包装袋中，盛装VOCs物料的容器或包装袋存放于密闭负压的</w:t>
            </w:r>
            <w:r>
              <w:rPr>
                <w:rFonts w:hint="eastAsia" w:cs="Times New Roman"/>
                <w:b w:val="0"/>
                <w:sz w:val="21"/>
                <w:highlight w:val="none"/>
                <w:lang w:val="en-US" w:eastAsia="zh-CN"/>
              </w:rPr>
              <w:t>原料库内</w:t>
            </w:r>
            <w:r>
              <w:rPr>
                <w:rFonts w:hint="default" w:ascii="Times New Roman" w:hAnsi="Times New Roman" w:eastAsia="宋体" w:cs="Times New Roman"/>
                <w:b w:val="0"/>
                <w:sz w:val="21"/>
                <w:highlight w:val="none"/>
              </w:rPr>
              <w:t>；</w:t>
            </w:r>
          </w:p>
          <w:p w14:paraId="3548BE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3、水性漆调漆</w:t>
            </w:r>
            <w:r>
              <w:rPr>
                <w:rFonts w:hint="default" w:ascii="Times New Roman" w:hAnsi="Times New Roman" w:cs="Times New Roman"/>
                <w:b w:val="0"/>
                <w:sz w:val="21"/>
                <w:highlight w:val="none"/>
                <w:lang w:eastAsia="zh-CN"/>
              </w:rPr>
              <w:t>、</w:t>
            </w:r>
            <w:r>
              <w:rPr>
                <w:rFonts w:hint="default" w:ascii="Times New Roman" w:hAnsi="Times New Roman" w:eastAsia="宋体" w:cs="Times New Roman"/>
                <w:b w:val="0"/>
                <w:sz w:val="21"/>
                <w:highlight w:val="none"/>
              </w:rPr>
              <w:t>喷涂、流平、烘干及粉末固化等工序均在密闭负压的喷漆室、流平段、固化烘道内操作；</w:t>
            </w:r>
          </w:p>
          <w:p w14:paraId="670E57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4、项目不使用有机溶剂类清洗剂，无废清洗剂产生；</w:t>
            </w:r>
          </w:p>
          <w:p w14:paraId="2A408A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highlight w:val="none"/>
                <w:lang w:eastAsia="zh-CN"/>
              </w:rPr>
            </w:pPr>
            <w:r>
              <w:rPr>
                <w:rFonts w:hint="default" w:ascii="Times New Roman" w:hAnsi="Times New Roman" w:eastAsia="宋体" w:cs="Times New Roman"/>
                <w:b w:val="0"/>
                <w:sz w:val="21"/>
                <w:highlight w:val="none"/>
              </w:rPr>
              <w:t>5、项目采用干式喷漆房</w:t>
            </w:r>
            <w:r>
              <w:rPr>
                <w:rFonts w:hint="default" w:ascii="Times New Roman" w:hAnsi="Times New Roman" w:cs="Times New Roman"/>
                <w:b w:val="0"/>
                <w:sz w:val="21"/>
                <w:highlight w:val="none"/>
                <w:lang w:eastAsia="zh-CN"/>
              </w:rPr>
              <w:t>；</w:t>
            </w:r>
          </w:p>
          <w:p w14:paraId="4802AE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6、粉末喷涂线采用自动往复喷涂机+静电喷涂高效涂装技术；水性漆喷涂线采用混气喷涂高效涂装技术。</w:t>
            </w:r>
          </w:p>
        </w:tc>
        <w:tc>
          <w:tcPr>
            <w:tcW w:w="795" w:type="dxa"/>
            <w:vAlign w:val="center"/>
          </w:tcPr>
          <w:p w14:paraId="3896D1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符合</w:t>
            </w:r>
          </w:p>
        </w:tc>
      </w:tr>
      <w:tr w14:paraId="3BDBE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35" w:type="dxa"/>
            <w:vAlign w:val="center"/>
          </w:tcPr>
          <w:p w14:paraId="79172C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VOCs治污设施</w:t>
            </w:r>
          </w:p>
        </w:tc>
        <w:tc>
          <w:tcPr>
            <w:tcW w:w="3205" w:type="dxa"/>
            <w:vAlign w:val="center"/>
          </w:tcPr>
          <w:p w14:paraId="3E0CDF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sz w:val="21"/>
                <w:szCs w:val="21"/>
                <w:highlight w:val="none"/>
              </w:rPr>
            </w:pPr>
            <w:r>
              <w:rPr>
                <w:rFonts w:hint="default" w:ascii="Times New Roman" w:hAnsi="Times New Roman" w:eastAsia="宋体" w:cs="Times New Roman"/>
                <w:b w:val="0"/>
                <w:sz w:val="21"/>
                <w:highlight w:val="none"/>
              </w:rPr>
              <w:t>1</w:t>
            </w:r>
            <w:r>
              <w:rPr>
                <w:rFonts w:hint="default" w:ascii="Times New Roman" w:hAnsi="Times New Roman" w:eastAsia="宋体" w:cs="Times New Roman"/>
                <w:b w:val="0"/>
                <w:sz w:val="21"/>
                <w:szCs w:val="21"/>
                <w:highlight w:val="none"/>
              </w:rPr>
              <w:t>、</w:t>
            </w:r>
            <w:r>
              <w:rPr>
                <w:rFonts w:hint="default" w:ascii="Times New Roman" w:hAnsi="Times New Roman" w:eastAsia="宋体" w:cs="Times New Roman"/>
                <w:sz w:val="21"/>
                <w:szCs w:val="21"/>
                <w:highlight w:val="none"/>
              </w:rPr>
              <w:t>喷涂废气设置干式的石灰石、纸盒或湿式的文丘里 等高效漆雾处理装置</w:t>
            </w:r>
            <w:r>
              <w:rPr>
                <w:rFonts w:hint="default" w:ascii="Times New Roman" w:hAnsi="Times New Roman" w:eastAsia="宋体" w:cs="Times New Roman"/>
                <w:b w:val="0"/>
                <w:sz w:val="21"/>
                <w:szCs w:val="21"/>
                <w:highlight w:val="none"/>
              </w:rPr>
              <w:t>；</w:t>
            </w:r>
          </w:p>
          <w:p w14:paraId="79508F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2、使用溶剂型涂料时，调漆、喷漆、流平、烘干、清洗等工序含VOCs废气采用吸附浓缩+燃烧、燃烧等治理技术，处理效率≥95%；</w:t>
            </w:r>
          </w:p>
          <w:p w14:paraId="092BE8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3、使用水性涂料（含水性UV）时，当车间或生产设施排气中非甲烷总烃（NMHC）初始排放速率≥2kg/h时，建设末端治污设施。</w:t>
            </w:r>
          </w:p>
        </w:tc>
        <w:tc>
          <w:tcPr>
            <w:tcW w:w="3773" w:type="dxa"/>
            <w:vAlign w:val="center"/>
          </w:tcPr>
          <w:p w14:paraId="3764C7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1、水性漆喷涂废气设置</w:t>
            </w:r>
            <w:r>
              <w:rPr>
                <w:rFonts w:hint="default" w:ascii="Times New Roman" w:hAnsi="Times New Roman" w:eastAsia="宋体" w:cs="Times New Roman"/>
                <w:b w:val="0"/>
                <w:sz w:val="21"/>
                <w:highlight w:val="none"/>
              </w:rPr>
              <w:t>干式</w:t>
            </w:r>
            <w:r>
              <w:rPr>
                <w:rFonts w:hint="default" w:ascii="Times New Roman" w:hAnsi="Times New Roman" w:cs="Times New Roman"/>
                <w:b w:val="0"/>
                <w:sz w:val="21"/>
                <w:highlight w:val="none"/>
                <w:lang w:val="en-US" w:eastAsia="zh-CN"/>
              </w:rPr>
              <w:t>纸盒</w:t>
            </w:r>
            <w:r>
              <w:rPr>
                <w:rFonts w:hint="default" w:ascii="Times New Roman" w:hAnsi="Times New Roman" w:eastAsia="宋体" w:cs="Times New Roman"/>
                <w:b w:val="0"/>
                <w:sz w:val="21"/>
                <w:highlight w:val="none"/>
              </w:rPr>
              <w:t>高效漆雾处理装置；</w:t>
            </w:r>
          </w:p>
          <w:p w14:paraId="7BE2F9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2、本项目不使用溶剂型涂料，不涉及；</w:t>
            </w:r>
          </w:p>
          <w:p w14:paraId="79A247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3、本项目使用水性涂料，NMHC初始排放速率≈0.25kg/h＜2kg/h，无需强制建设末端治污设施；项目仍建设末端治污设施——“干式过滤+二级活性炭吸附”装置（VOCs去除效率36%），从严执行。</w:t>
            </w:r>
          </w:p>
        </w:tc>
        <w:tc>
          <w:tcPr>
            <w:tcW w:w="795" w:type="dxa"/>
            <w:vAlign w:val="center"/>
          </w:tcPr>
          <w:p w14:paraId="53F7B2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符合</w:t>
            </w:r>
          </w:p>
        </w:tc>
      </w:tr>
      <w:tr w14:paraId="003F1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4" w:hRule="atLeast"/>
        </w:trPr>
        <w:tc>
          <w:tcPr>
            <w:tcW w:w="1235" w:type="dxa"/>
            <w:vAlign w:val="center"/>
          </w:tcPr>
          <w:p w14:paraId="2CB387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排放限值</w:t>
            </w:r>
          </w:p>
        </w:tc>
        <w:tc>
          <w:tcPr>
            <w:tcW w:w="3205" w:type="dxa"/>
            <w:vAlign w:val="center"/>
          </w:tcPr>
          <w:p w14:paraId="676877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1、在连续一年的监测数据中，车间或生产设施排气筒排放的NMHC为20-30mg/m³、TVOC为40-50mg/m³；</w:t>
            </w:r>
          </w:p>
          <w:p w14:paraId="1599C4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2、厂区内无组织排放监控点NMHC的小时平均浓度值不超过6mg/m³、任意一次浓度值不超过20mg/m³；</w:t>
            </w:r>
          </w:p>
          <w:p w14:paraId="1D2AD5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3、其他各项污染物稳定达到现行排放控制要求，并从严地方要求。</w:t>
            </w:r>
          </w:p>
        </w:tc>
        <w:tc>
          <w:tcPr>
            <w:tcW w:w="3773" w:type="dxa"/>
            <w:vAlign w:val="center"/>
          </w:tcPr>
          <w:p w14:paraId="60478B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1、本项目为新建项目，暂无连续一年监测数据；根据源强核算，DA003排气筒NMHC排放浓度＜20mg/m³，满足A级绩效要求（NMHC 20-30mg/m³）评价已提出相关自行监测要求；</w:t>
            </w:r>
          </w:p>
          <w:p w14:paraId="440639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2、项目采取密闭负压收集、车间微负压及VOCs物料密闭储存等措施后，厂区内无组织排放监控点NMHC小时平均浓度值不超过6mg/m³、任意一次浓度值不超过20mg/m³，满足GB 37822-2019特别控制要求；评价已提出相关自行监测要求；</w:t>
            </w:r>
          </w:p>
          <w:p w14:paraId="3E0CC1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3、评价已提出以下要求：</w:t>
            </w:r>
          </w:p>
          <w:p w14:paraId="572E07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1）废气：抛丸、喷粉颗粒物排放满足《大气污染物综合排放标准》（GB16297-1996）表2二级标准及无组织排放监控浓度限值；厂界非甲烷总烃满足《挥发性有机物排放控制标准》（DB61/T1061-2017）表3企业边界监控点浓度限值（≤3mg/m³）；天然气燃烧废气颗粒物、SO₂、NOₓ满足</w:t>
            </w:r>
            <w:r>
              <w:rPr>
                <w:rFonts w:hint="default" w:ascii="Times New Roman" w:hAnsi="Times New Roman" w:cs="Times New Roman"/>
                <w:b w:val="0"/>
                <w:sz w:val="21"/>
                <w:highlight w:val="none"/>
                <w:lang w:eastAsia="zh-CN"/>
              </w:rPr>
              <w:t>《</w:t>
            </w:r>
            <w:r>
              <w:rPr>
                <w:rFonts w:hint="default" w:ascii="Times New Roman" w:hAnsi="Times New Roman" w:eastAsia="宋体" w:cs="Times New Roman"/>
                <w:b w:val="0"/>
                <w:sz w:val="21"/>
                <w:highlight w:val="none"/>
              </w:rPr>
              <w:t>陕西省工业炉窑大气污染综合治理实施方案》限值要求（颗粒物≤30mg/m³、SO₂≤200mg/m³、NOₓ≤300mg/m³）；</w:t>
            </w:r>
          </w:p>
        </w:tc>
        <w:tc>
          <w:tcPr>
            <w:tcW w:w="795" w:type="dxa"/>
            <w:vAlign w:val="center"/>
          </w:tcPr>
          <w:p w14:paraId="124B18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符合</w:t>
            </w:r>
          </w:p>
        </w:tc>
      </w:tr>
      <w:tr w14:paraId="137AF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35" w:type="dxa"/>
            <w:vAlign w:val="center"/>
          </w:tcPr>
          <w:p w14:paraId="600EC8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监测监控水平</w:t>
            </w:r>
          </w:p>
        </w:tc>
        <w:tc>
          <w:tcPr>
            <w:tcW w:w="3205" w:type="dxa"/>
            <w:vAlign w:val="center"/>
          </w:tcPr>
          <w:p w14:paraId="4E81CE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1、严格执行《排污许可证申请与核发技术规范 总则》（HJ 942-2018）以及相关行业排污许可证申请与核发技术规范规定的自行监测管理要求；</w:t>
            </w:r>
          </w:p>
          <w:p w14:paraId="502A3B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2、重点排污企业风量大于10000m³/h的主要排放口，有机废气排放口安装NMHC在线监测设施（FID检测器），自动监控数据保存一年以上；</w:t>
            </w:r>
          </w:p>
          <w:p w14:paraId="626625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3、安装DCS系统、仪器仪表等装置，连续测量并记录治理设施控制指标温度、压力（压差）、时间和频率值。再生式活性炭连续自动测量并记录温度、再生时间和更换周期；更换式活性炭记录温度、更换周期及更换量；数据保存一年以上。</w:t>
            </w:r>
          </w:p>
        </w:tc>
        <w:tc>
          <w:tcPr>
            <w:tcW w:w="3773" w:type="dxa"/>
            <w:vAlign w:val="center"/>
          </w:tcPr>
          <w:p w14:paraId="4A3225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1</w:t>
            </w:r>
            <w:r>
              <w:rPr>
                <w:rFonts w:hint="default" w:ascii="Times New Roman" w:hAnsi="Times New Roman" w:eastAsia="宋体" w:cs="Times New Roman"/>
                <w:b w:val="0"/>
                <w:sz w:val="21"/>
                <w:highlight w:val="none"/>
              </w:rPr>
              <w:t>、评价已制定运营期自行监测计划（废气有组织排放口、厂界无组织及厂区内NMHC、噪声等定期监测），严格执行HJ 942-2018及《排污单位自行监测技术指南 总则》（HJ 819-2017）规定的自行监测管理要求；</w:t>
            </w:r>
          </w:p>
          <w:p w14:paraId="2A4B6C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2、本项目不属于重点排污企业（未纳入重点排污单位名录），不涉及；</w:t>
            </w:r>
          </w:p>
          <w:p w14:paraId="27E48D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eastAsia="宋体" w:cs="Times New Roman"/>
                <w:highlight w:val="none"/>
                <w:lang w:eastAsia="zh-CN"/>
              </w:rPr>
            </w:pPr>
            <w:r>
              <w:rPr>
                <w:rFonts w:hint="default" w:ascii="Times New Roman" w:hAnsi="Times New Roman" w:eastAsia="宋体" w:cs="Times New Roman"/>
                <w:b w:val="0"/>
                <w:sz w:val="21"/>
                <w:highlight w:val="none"/>
              </w:rPr>
              <w:t>3、本次建设安装安装DCS系统、仪器仪表等装置，连续测量并记录治理设施控制指标温度、压力（压差）、时间和频率值。</w:t>
            </w:r>
            <w:r>
              <w:rPr>
                <w:rFonts w:hint="eastAsia" w:cs="Times New Roman"/>
                <w:b w:val="0"/>
                <w:sz w:val="21"/>
                <w:highlight w:val="none"/>
                <w:lang w:val="en-US" w:eastAsia="zh-CN"/>
              </w:rPr>
              <w:t>本项目不采用再生式活性炭。</w:t>
            </w:r>
            <w:r>
              <w:rPr>
                <w:rFonts w:hint="default" w:ascii="Times New Roman" w:hAnsi="Times New Roman" w:eastAsia="宋体" w:cs="Times New Roman"/>
                <w:b w:val="0"/>
                <w:sz w:val="21"/>
                <w:highlight w:val="none"/>
              </w:rPr>
              <w:t>数据保存一年以上。</w:t>
            </w:r>
          </w:p>
        </w:tc>
        <w:tc>
          <w:tcPr>
            <w:tcW w:w="795" w:type="dxa"/>
            <w:vAlign w:val="center"/>
          </w:tcPr>
          <w:p w14:paraId="05269B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符合</w:t>
            </w:r>
          </w:p>
        </w:tc>
      </w:tr>
      <w:tr w14:paraId="04BA4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35" w:type="dxa"/>
            <w:vMerge w:val="restart"/>
            <w:vAlign w:val="center"/>
          </w:tcPr>
          <w:p w14:paraId="7BF6E5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环境管理水平</w:t>
            </w:r>
          </w:p>
        </w:tc>
        <w:tc>
          <w:tcPr>
            <w:tcW w:w="3205" w:type="dxa"/>
            <w:vAlign w:val="center"/>
          </w:tcPr>
          <w:p w14:paraId="56B4A3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环保档案齐全：1、环评批复文件；2、排污许可证及季度、年度执行报告；3、竣工验收文件；4、废气治理设施运行管理规程；5、一年内废气监测报告</w:t>
            </w:r>
          </w:p>
        </w:tc>
        <w:tc>
          <w:tcPr>
            <w:tcW w:w="3773" w:type="dxa"/>
            <w:vAlign w:val="center"/>
          </w:tcPr>
          <w:p w14:paraId="148753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环境影响评价正在进行中（本报告表已编制完成待报批），环评批复文件取得后归档；2、项目建成投入实际排污前依法申领排污许可证，严格落实持证排污要求，并按规定提交执行报告；3、项目投产使用前自行组织生态环境保护设施竣工验收（“三同时”制度），验收合格后方可投入生产运行；4、已制定废气治理设施运行管理规程（治理设施日常巡检维护、建立运行台账、活性炭定期更换制度等）；5、按自行监测计划开展废气例行监测（对DA001、DA002、DA003排气筒定期委托监测等）。</w:t>
            </w:r>
          </w:p>
        </w:tc>
        <w:tc>
          <w:tcPr>
            <w:tcW w:w="795" w:type="dxa"/>
            <w:vMerge w:val="restart"/>
            <w:vAlign w:val="center"/>
          </w:tcPr>
          <w:p w14:paraId="639075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符合</w:t>
            </w:r>
          </w:p>
        </w:tc>
      </w:tr>
      <w:tr w14:paraId="52C3C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35" w:type="dxa"/>
            <w:vMerge w:val="continue"/>
          </w:tcPr>
          <w:p w14:paraId="4FC87C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highlight w:val="none"/>
              </w:rPr>
            </w:pPr>
          </w:p>
        </w:tc>
        <w:tc>
          <w:tcPr>
            <w:tcW w:w="3205" w:type="dxa"/>
            <w:vAlign w:val="center"/>
          </w:tcPr>
          <w:p w14:paraId="22FF2F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台账记录：1、生产设施运行管理信息（生产时间、运行负荷、产品产量等，必须具备近一年及以上所用涂料的密度、扣水后VOCs含量、含水率（水性涂料）等信息的检测报告）；2、废气污染治理设施运行管理信息（燃烧室温度、冷凝温度、过滤材料更换频次、吸附剂更换频次、催化剂更换频次）；3、监测记录信息（主要污染排放口废气排放记录（手工监测或在线监测）等）；4、主要原辅材料消耗记录；5、燃料（天然气）消耗记录</w:t>
            </w:r>
          </w:p>
        </w:tc>
        <w:tc>
          <w:tcPr>
            <w:tcW w:w="3773" w:type="dxa"/>
            <w:vAlign w:val="center"/>
          </w:tcPr>
          <w:p w14:paraId="77354D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企业</w:t>
            </w:r>
            <w:r>
              <w:rPr>
                <w:rFonts w:hint="eastAsia" w:cs="Times New Roman"/>
                <w:b w:val="0"/>
                <w:sz w:val="21"/>
                <w:highlight w:val="none"/>
                <w:lang w:val="en-US" w:eastAsia="zh-CN"/>
              </w:rPr>
              <w:t>应</w:t>
            </w:r>
            <w:r>
              <w:rPr>
                <w:rFonts w:hint="default" w:ascii="Times New Roman" w:hAnsi="Times New Roman" w:eastAsia="宋体" w:cs="Times New Roman"/>
                <w:b w:val="0"/>
                <w:sz w:val="21"/>
                <w:highlight w:val="none"/>
              </w:rPr>
              <w:t>建立完整生态环境管理台账，1、生产设施运行管理信息（生产时间、运行负荷、产品产量等，必须具备近一年及以上所用涂料的密度、扣水后VOCs含量、含水率（水性涂料）等信息的检测报告）；2、废气污染治理设施运行管理信息（燃烧室温度、冷凝温度、过滤材料更换频次、吸附剂更换频次、催化剂更换频次）；3、监测记录信息（主要污染排放口废气排放记录（手工监测或在线监测）等）；4、主要原辅材料消耗记录；5、燃料（天然气）消耗记录。</w:t>
            </w:r>
          </w:p>
        </w:tc>
        <w:tc>
          <w:tcPr>
            <w:tcW w:w="795" w:type="dxa"/>
            <w:vMerge w:val="continue"/>
            <w:vAlign w:val="center"/>
          </w:tcPr>
          <w:p w14:paraId="3A82D8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highlight w:val="none"/>
              </w:rPr>
            </w:pPr>
          </w:p>
        </w:tc>
      </w:tr>
      <w:tr w14:paraId="69F9C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35" w:type="dxa"/>
            <w:vMerge w:val="continue"/>
          </w:tcPr>
          <w:p w14:paraId="53B331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highlight w:val="none"/>
              </w:rPr>
            </w:pPr>
          </w:p>
        </w:tc>
        <w:tc>
          <w:tcPr>
            <w:tcW w:w="3205" w:type="dxa"/>
            <w:vAlign w:val="center"/>
          </w:tcPr>
          <w:p w14:paraId="038555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人员配置：设置环保部门，配备专职环保人员，并具备相应的环境管理能力。</w:t>
            </w:r>
          </w:p>
        </w:tc>
        <w:tc>
          <w:tcPr>
            <w:tcW w:w="3773" w:type="dxa"/>
            <w:vAlign w:val="center"/>
          </w:tcPr>
          <w:p w14:paraId="5DB653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cs="Times New Roman"/>
                <w:b w:val="0"/>
                <w:sz w:val="21"/>
                <w:highlight w:val="none"/>
                <w:lang w:val="en-US" w:eastAsia="zh-CN"/>
              </w:rPr>
              <w:t>企业应</w:t>
            </w:r>
            <w:r>
              <w:rPr>
                <w:rFonts w:hint="default" w:ascii="Times New Roman" w:hAnsi="Times New Roman" w:eastAsia="宋体" w:cs="Times New Roman"/>
                <w:b w:val="0"/>
                <w:sz w:val="21"/>
                <w:highlight w:val="none"/>
              </w:rPr>
              <w:t>建</w:t>
            </w:r>
            <w:r>
              <w:rPr>
                <w:rFonts w:hint="default" w:ascii="Times New Roman" w:hAnsi="Times New Roman" w:eastAsia="宋体" w:cs="Times New Roman"/>
                <w:b w:val="0"/>
                <w:sz w:val="21"/>
                <w:highlight w:val="none"/>
              </w:rPr>
              <w:t>立企业内部环境保护机构，配备专职环保人员并具备相应的环境管理能力，制定与环境管理相适应的规章制度及细则，加强对生产人员的环保教育。</w:t>
            </w:r>
          </w:p>
        </w:tc>
        <w:tc>
          <w:tcPr>
            <w:tcW w:w="795" w:type="dxa"/>
            <w:vMerge w:val="continue"/>
            <w:vAlign w:val="center"/>
          </w:tcPr>
          <w:p w14:paraId="627956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Times New Roman" w:hAnsi="Times New Roman" w:cs="Times New Roman"/>
                <w:highlight w:val="none"/>
              </w:rPr>
            </w:pPr>
          </w:p>
        </w:tc>
      </w:tr>
      <w:tr w14:paraId="45AD3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35" w:type="dxa"/>
            <w:vAlign w:val="center"/>
          </w:tcPr>
          <w:p w14:paraId="678CAB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运输方式</w:t>
            </w:r>
          </w:p>
        </w:tc>
        <w:tc>
          <w:tcPr>
            <w:tcW w:w="3205" w:type="dxa"/>
            <w:vAlign w:val="center"/>
          </w:tcPr>
          <w:p w14:paraId="15AA2B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1、物料公路运输全部使用达到国五及以上排放标准重型载货车辆（含燃气）或新能源车辆；</w:t>
            </w:r>
          </w:p>
          <w:p w14:paraId="5F86D5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2、厂内运输车辆全部达到国五及以上排放标准（含燃气）或使用新能源车辆；</w:t>
            </w:r>
          </w:p>
          <w:p w14:paraId="6538DE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3、厂内非道路移动机械全部达到国三及以上排放标准或使用新能源机械。</w:t>
            </w:r>
          </w:p>
        </w:tc>
        <w:tc>
          <w:tcPr>
            <w:tcW w:w="3773" w:type="dxa"/>
            <w:vAlign w:val="center"/>
          </w:tcPr>
          <w:p w14:paraId="73E482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1、物料公路运输全部使用达到国五及以上排放标准重型载货车辆（含燃气）或新能源车辆；</w:t>
            </w:r>
          </w:p>
          <w:p w14:paraId="692042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2、厂内无运输车辆；</w:t>
            </w:r>
          </w:p>
          <w:p w14:paraId="34C528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3、厂内仅配备电动叉车（新能源机械）。</w:t>
            </w:r>
          </w:p>
        </w:tc>
        <w:tc>
          <w:tcPr>
            <w:tcW w:w="795" w:type="dxa"/>
            <w:vAlign w:val="center"/>
          </w:tcPr>
          <w:p w14:paraId="081BAB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符合</w:t>
            </w:r>
          </w:p>
        </w:tc>
      </w:tr>
      <w:tr w14:paraId="0A0E3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35" w:type="dxa"/>
            <w:vAlign w:val="center"/>
          </w:tcPr>
          <w:p w14:paraId="6B2E53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运输监管</w:t>
            </w:r>
          </w:p>
        </w:tc>
        <w:tc>
          <w:tcPr>
            <w:tcW w:w="3205" w:type="dxa"/>
            <w:vAlign w:val="center"/>
          </w:tcPr>
          <w:p w14:paraId="6DB645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参照《重污染天气重点行业移动源应急管理技术指南》建立门禁系统和电子台账。</w:t>
            </w:r>
          </w:p>
        </w:tc>
        <w:tc>
          <w:tcPr>
            <w:tcW w:w="3773" w:type="dxa"/>
            <w:vAlign w:val="center"/>
          </w:tcPr>
          <w:p w14:paraId="433471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本项目按照A级绩效要求，参照《重污染天气重点行业移动源应急管理技术指南》建设门禁系统和电子台账，对进出厂区运输车辆实施登记管理。</w:t>
            </w:r>
          </w:p>
        </w:tc>
        <w:tc>
          <w:tcPr>
            <w:tcW w:w="795" w:type="dxa"/>
            <w:vAlign w:val="center"/>
          </w:tcPr>
          <w:p w14:paraId="4B0A84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highlight w:val="none"/>
              </w:rPr>
            </w:pPr>
            <w:r>
              <w:rPr>
                <w:rFonts w:hint="default" w:ascii="Times New Roman" w:hAnsi="Times New Roman" w:eastAsia="宋体" w:cs="Times New Roman"/>
                <w:b w:val="0"/>
                <w:sz w:val="21"/>
                <w:highlight w:val="none"/>
              </w:rPr>
              <w:t>符合</w:t>
            </w:r>
          </w:p>
        </w:tc>
      </w:tr>
    </w:tbl>
    <w:p w14:paraId="466578BD">
      <w:pPr>
        <w:rPr>
          <w:rFonts w:hint="default" w:ascii="Times New Roman" w:hAnsi="Times New Roman" w:cs="Times New Roman"/>
          <w:highlight w:val="none"/>
        </w:rPr>
      </w:pPr>
    </w:p>
    <w:p w14:paraId="0E40FBF5">
      <w:pPr>
        <w:adjustRightInd w:val="0"/>
        <w:snapToGrid w:val="0"/>
        <w:spacing w:before="249" w:beforeLines="80" w:after="31" w:afterLines="10" w:line="259" w:lineRule="auto"/>
        <w:jc w:val="left"/>
        <w:rPr>
          <w:rFonts w:hint="default" w:ascii="Times New Roman" w:hAnsi="Times New Roman" w:cs="Times New Roman"/>
          <w:snapToGrid w:val="0"/>
          <w:color w:val="auto"/>
          <w:spacing w:val="-6"/>
          <w:kern w:val="21"/>
          <w:szCs w:val="21"/>
          <w:highlight w:val="none"/>
        </w:rPr>
      </w:pPr>
    </w:p>
    <w:sectPr>
      <w:pgSz w:w="11906" w:h="16838"/>
      <w:pgMar w:top="1701" w:right="1531" w:bottom="1701" w:left="153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7FE541E-2D68-48BE-A60F-67AEA251B6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4CB44EAB-3F3B-45F9-AF8D-0481E23C55F0}"/>
  </w:font>
  <w:font w:name="等线">
    <w:panose1 w:val="02010600030101010101"/>
    <w:charset w:val="86"/>
    <w:family w:val="auto"/>
    <w:pitch w:val="default"/>
    <w:sig w:usb0="A00002BF" w:usb1="38CF7CFA" w:usb2="00000016" w:usb3="00000000" w:csb0="0004000F" w:csb1="00000000"/>
  </w:font>
  <w:font w:name="方正楷体_GB2312">
    <w:panose1 w:val="02000000000000000000"/>
    <w:charset w:val="86"/>
    <w:family w:val="auto"/>
    <w:pitch w:val="default"/>
    <w:sig w:usb0="A00002BF" w:usb1="184F6CFA" w:usb2="00000012" w:usb3="00000000" w:csb0="00040001" w:csb1="00000000"/>
    <w:embedRegular r:id="rId3" w:fontKey="{E81E9DD3-4A4D-4C60-ABA7-B564A944FEAF}"/>
  </w:font>
  <w:font w:name="方正小标宋_GBK">
    <w:panose1 w:val="02000000000000000000"/>
    <w:charset w:val="86"/>
    <w:family w:val="script"/>
    <w:pitch w:val="default"/>
    <w:sig w:usb0="A00002BF" w:usb1="38CF7CFA" w:usb2="00082016" w:usb3="00000000" w:csb0="00040001" w:csb1="00000000"/>
    <w:embedRegular r:id="rId4" w:fontKey="{DA1F04C8-62EA-4291-A1F5-C941DAA124D7}"/>
  </w:font>
  <w:font w:name="楷体_GB2312">
    <w:panose1 w:val="02010609030101010101"/>
    <w:charset w:val="86"/>
    <w:family w:val="auto"/>
    <w:pitch w:val="default"/>
    <w:sig w:usb0="00000001" w:usb1="080E0000" w:usb2="00000000" w:usb3="00000000" w:csb0="00040000" w:csb1="00000000"/>
    <w:embedRegular r:id="rId5" w:fontKey="{C2B58995-FDB9-4B1E-8328-06B4E62E3C99}"/>
  </w:font>
  <w:font w:name="华文仿宋">
    <w:panose1 w:val="02010600040101010101"/>
    <w:charset w:val="86"/>
    <w:family w:val="auto"/>
    <w:pitch w:val="default"/>
    <w:sig w:usb0="00000287" w:usb1="080F0000" w:usb2="00000000" w:usb3="00000000" w:csb0="0004009F" w:csb1="DFD70000"/>
    <w:embedRegular r:id="rId6" w:fontKey="{6E1A711D-C362-4397-8052-8863182F66D4}"/>
  </w:font>
  <w:font w:name="仿宋_GB2312">
    <w:panose1 w:val="02010609030101010101"/>
    <w:charset w:val="86"/>
    <w:family w:val="auto"/>
    <w:pitch w:val="default"/>
    <w:sig w:usb0="00000001" w:usb1="080E0000" w:usb2="00000000" w:usb3="00000000" w:csb0="00040000" w:csb1="00000000"/>
    <w:embedRegular r:id="rId7" w:fontKey="{659C75AF-0CDD-4480-943F-4D748567D277}"/>
  </w:font>
  <w:font w:name="Wingdings 2">
    <w:panose1 w:val="05020102010507070707"/>
    <w:charset w:val="02"/>
    <w:family w:val="roman"/>
    <w:pitch w:val="default"/>
    <w:sig w:usb0="00000000" w:usb1="00000000" w:usb2="00000000" w:usb3="00000000" w:csb0="80000000" w:csb1="00000000"/>
    <w:embedRegular r:id="rId8" w:fontKey="{58AC62AC-2E24-4D0E-B031-1A4E12E21EAA}"/>
  </w:font>
  <w:font w:name="微软雅黑">
    <w:panose1 w:val="020B0503020204020204"/>
    <w:charset w:val="86"/>
    <w:family w:val="auto"/>
    <w:pitch w:val="default"/>
    <w:sig w:usb0="80000287" w:usb1="2ACF3C50" w:usb2="00000016" w:usb3="00000000" w:csb0="0004001F" w:csb1="00000000"/>
    <w:embedRegular r:id="rId9" w:fontKey="{65281758-28D9-4310-BF16-EC2860DFD4C1}"/>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embedRegular r:id="rId10" w:fontKey="{651AE033-1BD1-43FE-B130-B788CB96AF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8D742">
    <w:pPr>
      <w:pStyle w:val="19"/>
      <w:ind w:left="-199" w:leftChars="-95" w:firstLine="198" w:firstLineChars="110"/>
    </w:pPr>
  </w:p>
  <w:p w14:paraId="0562D349">
    <w:pPr>
      <w:pStyle w:val="19"/>
      <w:tabs>
        <w:tab w:val="center" w:pos="769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045D8">
                          <w:pPr>
                            <w:pStyle w:val="19"/>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35F045D8">
                    <w:pPr>
                      <w:pStyle w:val="19"/>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5D1FE">
    <w:pPr>
      <w:pStyle w:val="19"/>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DF99BD">
                          <w:pPr>
                            <w:pStyle w:val="19"/>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4CDF99BD">
                    <w:pPr>
                      <w:pStyle w:val="19"/>
                    </w:pPr>
                    <w:r>
                      <w:fldChar w:fldCharType="begin"/>
                    </w:r>
                    <w:r>
                      <w:instrText xml:space="preserve"> PAGE  \* MERGEFORMAT </w:instrText>
                    </w:r>
                    <w:r>
                      <w:fldChar w:fldCharType="separate"/>
                    </w:r>
                    <w:r>
                      <w:t>52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D74971"/>
    <w:multiLevelType w:val="singleLevel"/>
    <w:tmpl w:val="BBD74971"/>
    <w:lvl w:ilvl="0" w:tentative="0">
      <w:start w:val="1"/>
      <w:numFmt w:val="decimal"/>
      <w:lvlText w:val="%1."/>
      <w:lvlJc w:val="left"/>
      <w:pPr>
        <w:tabs>
          <w:tab w:val="left" w:pos="312"/>
        </w:tabs>
      </w:pPr>
    </w:lvl>
  </w:abstractNum>
  <w:abstractNum w:abstractNumId="1">
    <w:nsid w:val="D0384FBE"/>
    <w:multiLevelType w:val="singleLevel"/>
    <w:tmpl w:val="D0384FBE"/>
    <w:lvl w:ilvl="0" w:tentative="0">
      <w:start w:val="2"/>
      <w:numFmt w:val="decimal"/>
      <w:lvlText w:val="%1."/>
      <w:lvlJc w:val="left"/>
      <w:pPr>
        <w:tabs>
          <w:tab w:val="left" w:pos="312"/>
        </w:tabs>
      </w:pPr>
    </w:lvl>
  </w:abstractNum>
  <w:abstractNum w:abstractNumId="2">
    <w:nsid w:val="ED6DC219"/>
    <w:multiLevelType w:val="singleLevel"/>
    <w:tmpl w:val="ED6DC219"/>
    <w:lvl w:ilvl="0" w:tentative="0">
      <w:start w:val="2"/>
      <w:numFmt w:val="decimal"/>
      <w:suff w:val="nothing"/>
      <w:lvlText w:val="（%1）"/>
      <w:lvlJc w:val="left"/>
    </w:lvl>
  </w:abstractNum>
  <w:abstractNum w:abstractNumId="3">
    <w:nsid w:val="00000005"/>
    <w:multiLevelType w:val="multilevel"/>
    <w:tmpl w:val="00000005"/>
    <w:lvl w:ilvl="0" w:tentative="0">
      <w:start w:val="1"/>
      <w:numFmt w:val="decimal"/>
      <w:isLgl/>
      <w:suff w:val="space"/>
      <w:lvlText w:val="第%1章"/>
      <w:lvlJc w:val="center"/>
      <w:pPr>
        <w:tabs>
          <w:tab w:val="left" w:pos="0"/>
        </w:tabs>
        <w:ind w:left="0" w:firstLine="0"/>
      </w:pPr>
      <w:rPr>
        <w:rFonts w:hint="default" w:ascii="Times New Roman" w:hAnsi="Times New Roman" w:eastAsia="宋体" w:cs="Times New Roman"/>
        <w:b/>
        <w:bCs/>
        <w:i w:val="0"/>
        <w:sz w:val="32"/>
        <w:szCs w:val="32"/>
        <w:lang w:val="en-US"/>
      </w:rPr>
    </w:lvl>
    <w:lvl w:ilvl="1" w:tentative="0">
      <w:start w:val="1"/>
      <w:numFmt w:val="decimal"/>
      <w:isLgl/>
      <w:suff w:val="space"/>
      <w:lvlText w:val="%1.%2"/>
      <w:lvlJc w:val="left"/>
      <w:pPr>
        <w:tabs>
          <w:tab w:val="left" w:pos="0"/>
        </w:tabs>
        <w:ind w:left="0" w:firstLine="0"/>
      </w:pPr>
      <w:rPr>
        <w:rFonts w:hint="default" w:ascii="Times New Roman" w:hAnsi="Times New Roman" w:eastAsia="宋体"/>
        <w:b/>
        <w:bCs/>
        <w:i w:val="0"/>
        <w:sz w:val="28"/>
        <w:szCs w:val="28"/>
      </w:rPr>
    </w:lvl>
    <w:lvl w:ilvl="2" w:tentative="0">
      <w:start w:val="1"/>
      <w:numFmt w:val="decimal"/>
      <w:isLgl/>
      <w:suff w:val="space"/>
      <w:lvlText w:val="%1.%2.%3"/>
      <w:lvlJc w:val="left"/>
      <w:pPr>
        <w:tabs>
          <w:tab w:val="left" w:pos="0"/>
        </w:tabs>
        <w:ind w:left="0" w:firstLine="0"/>
      </w:pPr>
      <w:rPr>
        <w:rFonts w:hint="default" w:ascii="Times New Roman" w:hAnsi="Times New Roman" w:eastAsia="宋体" w:cs="Times New Roman"/>
        <w:b/>
        <w:bCs/>
        <w:i w:val="0"/>
        <w:iCs w:val="0"/>
        <w:caps w:val="0"/>
        <w:smallCaps w:val="0"/>
        <w:color w:val="auto"/>
        <w:spacing w:val="0"/>
        <w:w w:val="100"/>
        <w:kern w:val="0"/>
        <w:position w:val="0"/>
        <w:sz w:val="24"/>
        <w:szCs w:val="24"/>
        <w:u w:val="none"/>
        <w:shd w:val="clear" w:color="auto" w:fill="auto"/>
        <w:lang w:val="en-US" w:eastAsia="zh-CN"/>
      </w:rPr>
    </w:lvl>
    <w:lvl w:ilvl="3" w:tentative="0">
      <w:start w:val="1"/>
      <w:numFmt w:val="decimal"/>
      <w:pStyle w:val="5"/>
      <w:isLgl/>
      <w:suff w:val="space"/>
      <w:lvlText w:val="%1.%2.%3.%4"/>
      <w:lvlJc w:val="left"/>
      <w:pPr>
        <w:tabs>
          <w:tab w:val="left" w:pos="0"/>
        </w:tabs>
        <w:ind w:left="4253" w:firstLine="0"/>
      </w:pPr>
      <w:rPr>
        <w:rFonts w:hint="default" w:ascii="Times New Roman" w:hAnsi="Times New Roman" w:eastAsia="宋体"/>
        <w:b/>
        <w:bCs/>
        <w:i w:val="0"/>
        <w:sz w:val="24"/>
        <w:szCs w:val="24"/>
      </w:rPr>
    </w:lvl>
    <w:lvl w:ilvl="4" w:tentative="0">
      <w:start w:val="1"/>
      <w:numFmt w:val="decimal"/>
      <w:isLgl/>
      <w:lvlText w:val="%1.%2.%3.%4.%5"/>
      <w:lvlJc w:val="left"/>
      <w:pPr>
        <w:tabs>
          <w:tab w:val="left" w:pos="1713"/>
        </w:tabs>
        <w:ind w:left="633" w:firstLine="0"/>
      </w:pPr>
      <w:rPr>
        <w:rFonts w:hint="default" w:ascii="Times New Roman" w:hAnsi="Times New Roman" w:eastAsia="宋体"/>
        <w:b/>
        <w:i w:val="0"/>
        <w:sz w:val="24"/>
      </w:rPr>
    </w:lvl>
    <w:lvl w:ilvl="5" w:tentative="0">
      <w:start w:val="1"/>
      <w:numFmt w:val="decimal"/>
      <w:isLgl/>
      <w:lvlText w:val="%1.%2.%3.%4.%5.%6"/>
      <w:lvlJc w:val="left"/>
      <w:pPr>
        <w:tabs>
          <w:tab w:val="left" w:pos="2433"/>
        </w:tabs>
        <w:ind w:left="1767" w:hanging="1134"/>
      </w:pPr>
      <w:rPr>
        <w:rFonts w:hint="eastAsia"/>
      </w:rPr>
    </w:lvl>
    <w:lvl w:ilvl="6" w:tentative="0">
      <w:start w:val="1"/>
      <w:numFmt w:val="decimal"/>
      <w:lvlText w:val="%1.%2.%3.%4.%5.%6.%7."/>
      <w:lvlJc w:val="left"/>
      <w:pPr>
        <w:tabs>
          <w:tab w:val="left" w:pos="1909"/>
        </w:tabs>
        <w:ind w:left="1909" w:hanging="1276"/>
      </w:pPr>
      <w:rPr>
        <w:rFonts w:hint="eastAsia"/>
      </w:rPr>
    </w:lvl>
    <w:lvl w:ilvl="7" w:tentative="0">
      <w:start w:val="1"/>
      <w:numFmt w:val="decimal"/>
      <w:lvlText w:val="%1.%2.%3.%4.%5.%6.%7.%8."/>
      <w:lvlJc w:val="left"/>
      <w:pPr>
        <w:tabs>
          <w:tab w:val="left" w:pos="2051"/>
        </w:tabs>
        <w:ind w:left="2051" w:hanging="1418"/>
      </w:pPr>
      <w:rPr>
        <w:rFonts w:hint="eastAsia"/>
      </w:rPr>
    </w:lvl>
    <w:lvl w:ilvl="8" w:tentative="0">
      <w:start w:val="1"/>
      <w:numFmt w:val="decimal"/>
      <w:lvlText w:val="%1.%2.%3.%4.%5.%6.%7.%8.%9."/>
      <w:lvlJc w:val="left"/>
      <w:pPr>
        <w:tabs>
          <w:tab w:val="left" w:pos="2192"/>
        </w:tabs>
        <w:ind w:left="2192" w:hanging="1559"/>
      </w:pPr>
      <w:rPr>
        <w:rFonts w:hint="eastAsia"/>
      </w:rPr>
    </w:lvl>
  </w:abstractNum>
  <w:abstractNum w:abstractNumId="4">
    <w:nsid w:val="604DAA9F"/>
    <w:multiLevelType w:val="singleLevel"/>
    <w:tmpl w:val="604DAA9F"/>
    <w:lvl w:ilvl="0" w:tentative="0">
      <w:start w:val="1"/>
      <w:numFmt w:val="bullet"/>
      <w:pStyle w:val="16"/>
      <w:lvlText w:val=""/>
      <w:lvlJc w:val="left"/>
      <w:pPr>
        <w:tabs>
          <w:tab w:val="left" w:pos="2040"/>
        </w:tabs>
        <w:ind w:left="2040" w:hanging="360"/>
      </w:pPr>
      <w:rPr>
        <w:rFonts w:hint="default" w:ascii="Wingdings" w:hAnsi="Wingdings"/>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0NjdkYjAxYTBkN2ZmMWQxNWY3MDAxNThhZTFmMTAifQ=="/>
  </w:docVars>
  <w:rsids>
    <w:rsidRoot w:val="60622526"/>
    <w:rsid w:val="000371CA"/>
    <w:rsid w:val="00046CA0"/>
    <w:rsid w:val="00052A18"/>
    <w:rsid w:val="00067D1B"/>
    <w:rsid w:val="000B3FA6"/>
    <w:rsid w:val="000E3FC3"/>
    <w:rsid w:val="00100BA1"/>
    <w:rsid w:val="00103897"/>
    <w:rsid w:val="002235CA"/>
    <w:rsid w:val="00225A44"/>
    <w:rsid w:val="00271E65"/>
    <w:rsid w:val="002B7779"/>
    <w:rsid w:val="003541E9"/>
    <w:rsid w:val="003C468C"/>
    <w:rsid w:val="00473031"/>
    <w:rsid w:val="00476E7E"/>
    <w:rsid w:val="004A631B"/>
    <w:rsid w:val="004D1FB9"/>
    <w:rsid w:val="004E43BF"/>
    <w:rsid w:val="0056288A"/>
    <w:rsid w:val="00577718"/>
    <w:rsid w:val="005B3384"/>
    <w:rsid w:val="005C77E6"/>
    <w:rsid w:val="005D3026"/>
    <w:rsid w:val="005E5C04"/>
    <w:rsid w:val="006423E0"/>
    <w:rsid w:val="006911F9"/>
    <w:rsid w:val="006951D0"/>
    <w:rsid w:val="006E7CF9"/>
    <w:rsid w:val="007810F1"/>
    <w:rsid w:val="00781192"/>
    <w:rsid w:val="0078768E"/>
    <w:rsid w:val="007F6BB6"/>
    <w:rsid w:val="00883349"/>
    <w:rsid w:val="008D138C"/>
    <w:rsid w:val="00A97848"/>
    <w:rsid w:val="00AD4458"/>
    <w:rsid w:val="00AD59DC"/>
    <w:rsid w:val="00AF5B66"/>
    <w:rsid w:val="00B30BFA"/>
    <w:rsid w:val="00BD55EF"/>
    <w:rsid w:val="00BE7797"/>
    <w:rsid w:val="00BF09AA"/>
    <w:rsid w:val="00BF68E6"/>
    <w:rsid w:val="00C32EDD"/>
    <w:rsid w:val="00C36B5B"/>
    <w:rsid w:val="00C93C6C"/>
    <w:rsid w:val="00CC3245"/>
    <w:rsid w:val="00CF5521"/>
    <w:rsid w:val="00D057FC"/>
    <w:rsid w:val="00D5063D"/>
    <w:rsid w:val="00D732BA"/>
    <w:rsid w:val="00D90B2D"/>
    <w:rsid w:val="00E54D24"/>
    <w:rsid w:val="00ED5986"/>
    <w:rsid w:val="00F2166E"/>
    <w:rsid w:val="00F9257D"/>
    <w:rsid w:val="010D6029"/>
    <w:rsid w:val="012913E6"/>
    <w:rsid w:val="01413E5F"/>
    <w:rsid w:val="015772A4"/>
    <w:rsid w:val="015B6D94"/>
    <w:rsid w:val="016D1EEA"/>
    <w:rsid w:val="017E0CD4"/>
    <w:rsid w:val="01810535"/>
    <w:rsid w:val="0187402D"/>
    <w:rsid w:val="018F2A41"/>
    <w:rsid w:val="01993D60"/>
    <w:rsid w:val="019B1886"/>
    <w:rsid w:val="019F706F"/>
    <w:rsid w:val="01AA1101"/>
    <w:rsid w:val="01B6221C"/>
    <w:rsid w:val="01C3218B"/>
    <w:rsid w:val="01C42B8B"/>
    <w:rsid w:val="01CC5EE4"/>
    <w:rsid w:val="01CC715B"/>
    <w:rsid w:val="01CE3A0A"/>
    <w:rsid w:val="01D90CF6"/>
    <w:rsid w:val="01EB45BC"/>
    <w:rsid w:val="01EE7C08"/>
    <w:rsid w:val="01F11CD4"/>
    <w:rsid w:val="01F200F8"/>
    <w:rsid w:val="01F90CAD"/>
    <w:rsid w:val="0200793B"/>
    <w:rsid w:val="022B3571"/>
    <w:rsid w:val="022E118C"/>
    <w:rsid w:val="023B5DE0"/>
    <w:rsid w:val="0259765B"/>
    <w:rsid w:val="02720839"/>
    <w:rsid w:val="0273010D"/>
    <w:rsid w:val="027509AC"/>
    <w:rsid w:val="02825959"/>
    <w:rsid w:val="02844DF9"/>
    <w:rsid w:val="02867E41"/>
    <w:rsid w:val="029429C0"/>
    <w:rsid w:val="029D33DC"/>
    <w:rsid w:val="029D518A"/>
    <w:rsid w:val="02A15075"/>
    <w:rsid w:val="02B40E52"/>
    <w:rsid w:val="02B56978"/>
    <w:rsid w:val="02BC1AB4"/>
    <w:rsid w:val="02C679DF"/>
    <w:rsid w:val="02CE3596"/>
    <w:rsid w:val="02D33229"/>
    <w:rsid w:val="02E96621"/>
    <w:rsid w:val="02EB05EB"/>
    <w:rsid w:val="02EB4148"/>
    <w:rsid w:val="02EF26DD"/>
    <w:rsid w:val="02F33C8E"/>
    <w:rsid w:val="030710F8"/>
    <w:rsid w:val="03231B33"/>
    <w:rsid w:val="033B0ED8"/>
    <w:rsid w:val="034321D6"/>
    <w:rsid w:val="034877EC"/>
    <w:rsid w:val="035179D4"/>
    <w:rsid w:val="0362419F"/>
    <w:rsid w:val="03632E30"/>
    <w:rsid w:val="036C34DA"/>
    <w:rsid w:val="0374413D"/>
    <w:rsid w:val="03767EB5"/>
    <w:rsid w:val="037800D1"/>
    <w:rsid w:val="0388408C"/>
    <w:rsid w:val="038A69F0"/>
    <w:rsid w:val="03971FE3"/>
    <w:rsid w:val="03980544"/>
    <w:rsid w:val="039B5B6E"/>
    <w:rsid w:val="039D7B38"/>
    <w:rsid w:val="03AE7BD5"/>
    <w:rsid w:val="03B86720"/>
    <w:rsid w:val="03B92498"/>
    <w:rsid w:val="03D177E1"/>
    <w:rsid w:val="03D41080"/>
    <w:rsid w:val="03DD7F34"/>
    <w:rsid w:val="03E017D2"/>
    <w:rsid w:val="03EA2651"/>
    <w:rsid w:val="04025BED"/>
    <w:rsid w:val="04030F36"/>
    <w:rsid w:val="04082AD7"/>
    <w:rsid w:val="040D7402"/>
    <w:rsid w:val="041E22FB"/>
    <w:rsid w:val="044A0ED5"/>
    <w:rsid w:val="045B671D"/>
    <w:rsid w:val="04765325"/>
    <w:rsid w:val="04770389"/>
    <w:rsid w:val="047D1717"/>
    <w:rsid w:val="04812FB5"/>
    <w:rsid w:val="04835B52"/>
    <w:rsid w:val="04AB3B8E"/>
    <w:rsid w:val="04BF763A"/>
    <w:rsid w:val="04C5780A"/>
    <w:rsid w:val="04E13A54"/>
    <w:rsid w:val="04F17C1F"/>
    <w:rsid w:val="04FA4B16"/>
    <w:rsid w:val="05096457"/>
    <w:rsid w:val="05107E95"/>
    <w:rsid w:val="051379D8"/>
    <w:rsid w:val="051E0804"/>
    <w:rsid w:val="052102F4"/>
    <w:rsid w:val="05266D56"/>
    <w:rsid w:val="052E66A1"/>
    <w:rsid w:val="053504A1"/>
    <w:rsid w:val="054B35C3"/>
    <w:rsid w:val="054D3C9F"/>
    <w:rsid w:val="054D402B"/>
    <w:rsid w:val="056621AB"/>
    <w:rsid w:val="056703FD"/>
    <w:rsid w:val="05706B86"/>
    <w:rsid w:val="058F1702"/>
    <w:rsid w:val="059B27FA"/>
    <w:rsid w:val="05A5708C"/>
    <w:rsid w:val="05A607FA"/>
    <w:rsid w:val="05AA2098"/>
    <w:rsid w:val="05AF3B52"/>
    <w:rsid w:val="05B922DB"/>
    <w:rsid w:val="05C313AC"/>
    <w:rsid w:val="05CC64B2"/>
    <w:rsid w:val="05CF0487"/>
    <w:rsid w:val="05EF3F4F"/>
    <w:rsid w:val="05FB28F4"/>
    <w:rsid w:val="05FB4360"/>
    <w:rsid w:val="06071298"/>
    <w:rsid w:val="060A0D89"/>
    <w:rsid w:val="060E6ACB"/>
    <w:rsid w:val="060F45F1"/>
    <w:rsid w:val="061E65E2"/>
    <w:rsid w:val="0626380A"/>
    <w:rsid w:val="062A64C0"/>
    <w:rsid w:val="0635503F"/>
    <w:rsid w:val="06544B57"/>
    <w:rsid w:val="065B4268"/>
    <w:rsid w:val="0664493D"/>
    <w:rsid w:val="068C252A"/>
    <w:rsid w:val="069A3762"/>
    <w:rsid w:val="06A411DD"/>
    <w:rsid w:val="06C23411"/>
    <w:rsid w:val="06D80E87"/>
    <w:rsid w:val="06E415DA"/>
    <w:rsid w:val="06E60D29"/>
    <w:rsid w:val="06E93094"/>
    <w:rsid w:val="06F34995"/>
    <w:rsid w:val="0708176C"/>
    <w:rsid w:val="07097292"/>
    <w:rsid w:val="07106873"/>
    <w:rsid w:val="071719AF"/>
    <w:rsid w:val="07252162"/>
    <w:rsid w:val="072F4F4B"/>
    <w:rsid w:val="073C06A5"/>
    <w:rsid w:val="073E6F3C"/>
    <w:rsid w:val="07487DBA"/>
    <w:rsid w:val="07520C39"/>
    <w:rsid w:val="075F5104"/>
    <w:rsid w:val="07683FB9"/>
    <w:rsid w:val="076B3AA9"/>
    <w:rsid w:val="07707311"/>
    <w:rsid w:val="07740BAF"/>
    <w:rsid w:val="07925A94"/>
    <w:rsid w:val="07936B9A"/>
    <w:rsid w:val="079C1EB4"/>
    <w:rsid w:val="079E3E7E"/>
    <w:rsid w:val="07CF206C"/>
    <w:rsid w:val="0808579C"/>
    <w:rsid w:val="08114679"/>
    <w:rsid w:val="08122176"/>
    <w:rsid w:val="081540A0"/>
    <w:rsid w:val="081805AC"/>
    <w:rsid w:val="081B34D0"/>
    <w:rsid w:val="08234384"/>
    <w:rsid w:val="08283748"/>
    <w:rsid w:val="082C5D12"/>
    <w:rsid w:val="082E4AA0"/>
    <w:rsid w:val="08326375"/>
    <w:rsid w:val="08357123"/>
    <w:rsid w:val="08387E2F"/>
    <w:rsid w:val="08400A92"/>
    <w:rsid w:val="084B79DF"/>
    <w:rsid w:val="085A292F"/>
    <w:rsid w:val="08615377"/>
    <w:rsid w:val="088272FC"/>
    <w:rsid w:val="08AE3041"/>
    <w:rsid w:val="08B66FA6"/>
    <w:rsid w:val="08BA6A96"/>
    <w:rsid w:val="08D00067"/>
    <w:rsid w:val="08D51B22"/>
    <w:rsid w:val="08DA60EF"/>
    <w:rsid w:val="08ED366F"/>
    <w:rsid w:val="08F46583"/>
    <w:rsid w:val="08F5187C"/>
    <w:rsid w:val="09110F69"/>
    <w:rsid w:val="091F4B4B"/>
    <w:rsid w:val="09246B6F"/>
    <w:rsid w:val="0925299D"/>
    <w:rsid w:val="092B3F6C"/>
    <w:rsid w:val="09327E3B"/>
    <w:rsid w:val="093C394F"/>
    <w:rsid w:val="093D7CB1"/>
    <w:rsid w:val="095A2027"/>
    <w:rsid w:val="095A2D1D"/>
    <w:rsid w:val="09670057"/>
    <w:rsid w:val="096C4286"/>
    <w:rsid w:val="096E162E"/>
    <w:rsid w:val="09756E61"/>
    <w:rsid w:val="097D0913"/>
    <w:rsid w:val="098153CA"/>
    <w:rsid w:val="09840E52"/>
    <w:rsid w:val="098506D5"/>
    <w:rsid w:val="0996182F"/>
    <w:rsid w:val="099948FD"/>
    <w:rsid w:val="09B07E99"/>
    <w:rsid w:val="09B62700"/>
    <w:rsid w:val="09BA060C"/>
    <w:rsid w:val="09BC4A90"/>
    <w:rsid w:val="09BC683E"/>
    <w:rsid w:val="09DE0562"/>
    <w:rsid w:val="09E35B78"/>
    <w:rsid w:val="09EB2C7F"/>
    <w:rsid w:val="09F14739"/>
    <w:rsid w:val="09F158A1"/>
    <w:rsid w:val="09FB55B8"/>
    <w:rsid w:val="0A0009B5"/>
    <w:rsid w:val="0A083831"/>
    <w:rsid w:val="0A256191"/>
    <w:rsid w:val="0A283998"/>
    <w:rsid w:val="0A342878"/>
    <w:rsid w:val="0A3D4C57"/>
    <w:rsid w:val="0A481E7F"/>
    <w:rsid w:val="0A4A209B"/>
    <w:rsid w:val="0A516F86"/>
    <w:rsid w:val="0A6C3083"/>
    <w:rsid w:val="0A7106B0"/>
    <w:rsid w:val="0A7C5E1E"/>
    <w:rsid w:val="0A85631C"/>
    <w:rsid w:val="0A8A487F"/>
    <w:rsid w:val="0A8F7AAE"/>
    <w:rsid w:val="0A943062"/>
    <w:rsid w:val="0AA96DC2"/>
    <w:rsid w:val="0AAC7730"/>
    <w:rsid w:val="0ACE6829"/>
    <w:rsid w:val="0AE05A5D"/>
    <w:rsid w:val="0AF618DB"/>
    <w:rsid w:val="0AFE4069"/>
    <w:rsid w:val="0B0835EB"/>
    <w:rsid w:val="0B224DC6"/>
    <w:rsid w:val="0B354AFA"/>
    <w:rsid w:val="0B41349E"/>
    <w:rsid w:val="0B445583"/>
    <w:rsid w:val="0B4C599F"/>
    <w:rsid w:val="0B6D4294"/>
    <w:rsid w:val="0B774EE9"/>
    <w:rsid w:val="0B7A42BB"/>
    <w:rsid w:val="0B8769D7"/>
    <w:rsid w:val="0B923CFA"/>
    <w:rsid w:val="0BCD088E"/>
    <w:rsid w:val="0BD95485"/>
    <w:rsid w:val="0BE633F6"/>
    <w:rsid w:val="0BEA7692"/>
    <w:rsid w:val="0BFB189F"/>
    <w:rsid w:val="0BFC1173"/>
    <w:rsid w:val="0C0149DC"/>
    <w:rsid w:val="0C060244"/>
    <w:rsid w:val="0C063DA0"/>
    <w:rsid w:val="0C0B7609"/>
    <w:rsid w:val="0C0D2B91"/>
    <w:rsid w:val="0C187218"/>
    <w:rsid w:val="0C193AD3"/>
    <w:rsid w:val="0C1C1816"/>
    <w:rsid w:val="0C201171"/>
    <w:rsid w:val="0C2801BA"/>
    <w:rsid w:val="0C2A3F33"/>
    <w:rsid w:val="0C2D2D0D"/>
    <w:rsid w:val="0C3703FE"/>
    <w:rsid w:val="0C37664F"/>
    <w:rsid w:val="0C3923C8"/>
    <w:rsid w:val="0C452A7D"/>
    <w:rsid w:val="0C460641"/>
    <w:rsid w:val="0C50326D"/>
    <w:rsid w:val="0C54755F"/>
    <w:rsid w:val="0C632FA1"/>
    <w:rsid w:val="0C7A40A5"/>
    <w:rsid w:val="0C7B478E"/>
    <w:rsid w:val="0C8732F9"/>
    <w:rsid w:val="0C874EE1"/>
    <w:rsid w:val="0C9231F7"/>
    <w:rsid w:val="0C9910B8"/>
    <w:rsid w:val="0CA06260"/>
    <w:rsid w:val="0CA35A93"/>
    <w:rsid w:val="0CAE1672"/>
    <w:rsid w:val="0CB212DC"/>
    <w:rsid w:val="0CB3217A"/>
    <w:rsid w:val="0CDD71F7"/>
    <w:rsid w:val="0CF82843"/>
    <w:rsid w:val="0CF84031"/>
    <w:rsid w:val="0D062877"/>
    <w:rsid w:val="0D0B3D64"/>
    <w:rsid w:val="0D194A15"/>
    <w:rsid w:val="0D1D3A97"/>
    <w:rsid w:val="0D1F336B"/>
    <w:rsid w:val="0D22463D"/>
    <w:rsid w:val="0D2B7F62"/>
    <w:rsid w:val="0D31309F"/>
    <w:rsid w:val="0D374B59"/>
    <w:rsid w:val="0D584ACF"/>
    <w:rsid w:val="0D5B23CC"/>
    <w:rsid w:val="0D5E3032"/>
    <w:rsid w:val="0D78530F"/>
    <w:rsid w:val="0DA16476"/>
    <w:rsid w:val="0DA815B3"/>
    <w:rsid w:val="0DAF6CC4"/>
    <w:rsid w:val="0DB066B9"/>
    <w:rsid w:val="0DB53CD0"/>
    <w:rsid w:val="0DD423A8"/>
    <w:rsid w:val="0DDB6F15"/>
    <w:rsid w:val="0DDE4FD5"/>
    <w:rsid w:val="0DEB76F2"/>
    <w:rsid w:val="0DFA5EE2"/>
    <w:rsid w:val="0E012A71"/>
    <w:rsid w:val="0E02242B"/>
    <w:rsid w:val="0E0D7180"/>
    <w:rsid w:val="0E1327A4"/>
    <w:rsid w:val="0E407A3D"/>
    <w:rsid w:val="0E43752E"/>
    <w:rsid w:val="0E4A08BC"/>
    <w:rsid w:val="0E4D3F08"/>
    <w:rsid w:val="0E4F08B6"/>
    <w:rsid w:val="0E5F6C53"/>
    <w:rsid w:val="0E6354DA"/>
    <w:rsid w:val="0E7D7D71"/>
    <w:rsid w:val="0E864717"/>
    <w:rsid w:val="0E8A2A67"/>
    <w:rsid w:val="0EA753E8"/>
    <w:rsid w:val="0EAA4EB7"/>
    <w:rsid w:val="0EBB70C4"/>
    <w:rsid w:val="0EBD5885"/>
    <w:rsid w:val="0EC0292C"/>
    <w:rsid w:val="0EE06B2A"/>
    <w:rsid w:val="0EE505E5"/>
    <w:rsid w:val="0EF36B22"/>
    <w:rsid w:val="0EF56D77"/>
    <w:rsid w:val="0F0C3DC3"/>
    <w:rsid w:val="0F122834"/>
    <w:rsid w:val="0F16079E"/>
    <w:rsid w:val="0F1B7B63"/>
    <w:rsid w:val="0F2652BC"/>
    <w:rsid w:val="0F266F32"/>
    <w:rsid w:val="0F2C6214"/>
    <w:rsid w:val="0F3A0931"/>
    <w:rsid w:val="0F3D21CF"/>
    <w:rsid w:val="0F3E03DD"/>
    <w:rsid w:val="0F4C05FA"/>
    <w:rsid w:val="0F6C5013"/>
    <w:rsid w:val="0F7B6853"/>
    <w:rsid w:val="0F8120BC"/>
    <w:rsid w:val="0F8676D2"/>
    <w:rsid w:val="0F8B2F3A"/>
    <w:rsid w:val="0F8C0A60"/>
    <w:rsid w:val="0FA1450C"/>
    <w:rsid w:val="0FB64C71"/>
    <w:rsid w:val="0FBA381F"/>
    <w:rsid w:val="0FBB0301"/>
    <w:rsid w:val="0FDA6D40"/>
    <w:rsid w:val="0FE12B5A"/>
    <w:rsid w:val="0FE67D3D"/>
    <w:rsid w:val="0FF26B15"/>
    <w:rsid w:val="1009668F"/>
    <w:rsid w:val="10120F66"/>
    <w:rsid w:val="101A42BE"/>
    <w:rsid w:val="101A69D7"/>
    <w:rsid w:val="102A1DC3"/>
    <w:rsid w:val="103233B6"/>
    <w:rsid w:val="10362FD1"/>
    <w:rsid w:val="10394744"/>
    <w:rsid w:val="1041196E"/>
    <w:rsid w:val="10482BD9"/>
    <w:rsid w:val="104C2755"/>
    <w:rsid w:val="10557129"/>
    <w:rsid w:val="10716CAF"/>
    <w:rsid w:val="10967DE9"/>
    <w:rsid w:val="109776BD"/>
    <w:rsid w:val="10A120A4"/>
    <w:rsid w:val="10A331A5"/>
    <w:rsid w:val="10A818CA"/>
    <w:rsid w:val="10B4356B"/>
    <w:rsid w:val="10B95885"/>
    <w:rsid w:val="10C009C2"/>
    <w:rsid w:val="10C5095D"/>
    <w:rsid w:val="10CA6968"/>
    <w:rsid w:val="10CD30DE"/>
    <w:rsid w:val="10E439D5"/>
    <w:rsid w:val="10ED552F"/>
    <w:rsid w:val="10F9567A"/>
    <w:rsid w:val="10FA4AAC"/>
    <w:rsid w:val="1111121D"/>
    <w:rsid w:val="111D1A6D"/>
    <w:rsid w:val="111D5E14"/>
    <w:rsid w:val="1122342A"/>
    <w:rsid w:val="11295CD8"/>
    <w:rsid w:val="11370089"/>
    <w:rsid w:val="113874D2"/>
    <w:rsid w:val="115B4B8E"/>
    <w:rsid w:val="115B5CE1"/>
    <w:rsid w:val="116C0B49"/>
    <w:rsid w:val="116E08FD"/>
    <w:rsid w:val="11780BFF"/>
    <w:rsid w:val="117B0D8C"/>
    <w:rsid w:val="11835E2C"/>
    <w:rsid w:val="119E3805"/>
    <w:rsid w:val="119F0F1F"/>
    <w:rsid w:val="11BB562D"/>
    <w:rsid w:val="11D62FF5"/>
    <w:rsid w:val="11F0177A"/>
    <w:rsid w:val="11F823DD"/>
    <w:rsid w:val="12174F59"/>
    <w:rsid w:val="12241424"/>
    <w:rsid w:val="12372F05"/>
    <w:rsid w:val="123B762F"/>
    <w:rsid w:val="12577104"/>
    <w:rsid w:val="126F08F1"/>
    <w:rsid w:val="12771554"/>
    <w:rsid w:val="12865C3B"/>
    <w:rsid w:val="128819B3"/>
    <w:rsid w:val="1299596E"/>
    <w:rsid w:val="129C545E"/>
    <w:rsid w:val="129E4D32"/>
    <w:rsid w:val="12A63908"/>
    <w:rsid w:val="12B227F0"/>
    <w:rsid w:val="12BE3627"/>
    <w:rsid w:val="12CF75E2"/>
    <w:rsid w:val="12DE5A77"/>
    <w:rsid w:val="12F6091F"/>
    <w:rsid w:val="13042E95"/>
    <w:rsid w:val="13053122"/>
    <w:rsid w:val="130F3E82"/>
    <w:rsid w:val="130F79DE"/>
    <w:rsid w:val="131B2827"/>
    <w:rsid w:val="131D1623"/>
    <w:rsid w:val="131D659F"/>
    <w:rsid w:val="132873D1"/>
    <w:rsid w:val="1329181A"/>
    <w:rsid w:val="134974F6"/>
    <w:rsid w:val="135950FD"/>
    <w:rsid w:val="135D699C"/>
    <w:rsid w:val="13622204"/>
    <w:rsid w:val="13722A67"/>
    <w:rsid w:val="13760BC4"/>
    <w:rsid w:val="13806B2E"/>
    <w:rsid w:val="13901E1C"/>
    <w:rsid w:val="13A730B3"/>
    <w:rsid w:val="13B106EE"/>
    <w:rsid w:val="13DB3D64"/>
    <w:rsid w:val="13DF1AA7"/>
    <w:rsid w:val="13E40E6B"/>
    <w:rsid w:val="13F07810"/>
    <w:rsid w:val="13FF42B8"/>
    <w:rsid w:val="14031F46"/>
    <w:rsid w:val="1403449E"/>
    <w:rsid w:val="140E5EE8"/>
    <w:rsid w:val="141467EE"/>
    <w:rsid w:val="142851FC"/>
    <w:rsid w:val="142A3C04"/>
    <w:rsid w:val="142E7C0F"/>
    <w:rsid w:val="14342437"/>
    <w:rsid w:val="14412082"/>
    <w:rsid w:val="144A3613"/>
    <w:rsid w:val="144C07BE"/>
    <w:rsid w:val="145402E0"/>
    <w:rsid w:val="145C6C53"/>
    <w:rsid w:val="14720225"/>
    <w:rsid w:val="147A357D"/>
    <w:rsid w:val="147A5F2B"/>
    <w:rsid w:val="14825FC2"/>
    <w:rsid w:val="14904534"/>
    <w:rsid w:val="14987A67"/>
    <w:rsid w:val="149C1746"/>
    <w:rsid w:val="14A34882"/>
    <w:rsid w:val="14A90F1B"/>
    <w:rsid w:val="14B545B5"/>
    <w:rsid w:val="14BA57AE"/>
    <w:rsid w:val="14CA62B3"/>
    <w:rsid w:val="14DF1632"/>
    <w:rsid w:val="14E05AD6"/>
    <w:rsid w:val="14ED2FA2"/>
    <w:rsid w:val="14EE69F3"/>
    <w:rsid w:val="15015A4D"/>
    <w:rsid w:val="151614F8"/>
    <w:rsid w:val="15165F8A"/>
    <w:rsid w:val="152534E9"/>
    <w:rsid w:val="152D26FB"/>
    <w:rsid w:val="15364B23"/>
    <w:rsid w:val="15512530"/>
    <w:rsid w:val="155251A4"/>
    <w:rsid w:val="15595889"/>
    <w:rsid w:val="156D6C3E"/>
    <w:rsid w:val="15783F61"/>
    <w:rsid w:val="157B75AD"/>
    <w:rsid w:val="157F1109"/>
    <w:rsid w:val="15897F1C"/>
    <w:rsid w:val="158E7089"/>
    <w:rsid w:val="15917C93"/>
    <w:rsid w:val="159468C1"/>
    <w:rsid w:val="159863B1"/>
    <w:rsid w:val="15995C85"/>
    <w:rsid w:val="15B5361B"/>
    <w:rsid w:val="15C16C66"/>
    <w:rsid w:val="15DD0268"/>
    <w:rsid w:val="15E433A4"/>
    <w:rsid w:val="15EF3AF7"/>
    <w:rsid w:val="15F35395"/>
    <w:rsid w:val="162437A1"/>
    <w:rsid w:val="162C08A7"/>
    <w:rsid w:val="16314110"/>
    <w:rsid w:val="16353C00"/>
    <w:rsid w:val="16386A6E"/>
    <w:rsid w:val="16443E43"/>
    <w:rsid w:val="164976AB"/>
    <w:rsid w:val="165A3666"/>
    <w:rsid w:val="16614BA8"/>
    <w:rsid w:val="16667FF6"/>
    <w:rsid w:val="166D15EC"/>
    <w:rsid w:val="16832BBD"/>
    <w:rsid w:val="1686445B"/>
    <w:rsid w:val="169C7F0D"/>
    <w:rsid w:val="16A11295"/>
    <w:rsid w:val="16A668AC"/>
    <w:rsid w:val="16B25250"/>
    <w:rsid w:val="16B965DF"/>
    <w:rsid w:val="16BF21A1"/>
    <w:rsid w:val="16BF796D"/>
    <w:rsid w:val="16C136E5"/>
    <w:rsid w:val="16C55077"/>
    <w:rsid w:val="16C86822"/>
    <w:rsid w:val="16D626D4"/>
    <w:rsid w:val="170830C2"/>
    <w:rsid w:val="170B2D8B"/>
    <w:rsid w:val="17163A31"/>
    <w:rsid w:val="171C4DC0"/>
    <w:rsid w:val="172779EC"/>
    <w:rsid w:val="17325709"/>
    <w:rsid w:val="174560C4"/>
    <w:rsid w:val="175723F4"/>
    <w:rsid w:val="1758293B"/>
    <w:rsid w:val="175B2190"/>
    <w:rsid w:val="175D528F"/>
    <w:rsid w:val="17677AB2"/>
    <w:rsid w:val="176B037C"/>
    <w:rsid w:val="176F3141"/>
    <w:rsid w:val="176F4EEF"/>
    <w:rsid w:val="17773DA4"/>
    <w:rsid w:val="17797B1C"/>
    <w:rsid w:val="177E3384"/>
    <w:rsid w:val="177E5132"/>
    <w:rsid w:val="17926AC8"/>
    <w:rsid w:val="17970792"/>
    <w:rsid w:val="17992095"/>
    <w:rsid w:val="17996410"/>
    <w:rsid w:val="179B7586"/>
    <w:rsid w:val="179C380B"/>
    <w:rsid w:val="179D1A5D"/>
    <w:rsid w:val="17A0154D"/>
    <w:rsid w:val="17A20BF0"/>
    <w:rsid w:val="17C1794E"/>
    <w:rsid w:val="17C27715"/>
    <w:rsid w:val="17CF598E"/>
    <w:rsid w:val="17FA7FA2"/>
    <w:rsid w:val="17FF6273"/>
    <w:rsid w:val="180513B0"/>
    <w:rsid w:val="1807337A"/>
    <w:rsid w:val="181A12FF"/>
    <w:rsid w:val="182A3622"/>
    <w:rsid w:val="184410B8"/>
    <w:rsid w:val="18534811"/>
    <w:rsid w:val="18581E27"/>
    <w:rsid w:val="1864257A"/>
    <w:rsid w:val="186C7681"/>
    <w:rsid w:val="188449CB"/>
    <w:rsid w:val="18903A4D"/>
    <w:rsid w:val="18945513"/>
    <w:rsid w:val="18A230A3"/>
    <w:rsid w:val="18A312F5"/>
    <w:rsid w:val="18C354F3"/>
    <w:rsid w:val="18CE20EA"/>
    <w:rsid w:val="18E12580"/>
    <w:rsid w:val="18ED6A14"/>
    <w:rsid w:val="18FE29CF"/>
    <w:rsid w:val="19030304"/>
    <w:rsid w:val="19045B0B"/>
    <w:rsid w:val="190F0CF7"/>
    <w:rsid w:val="191574ED"/>
    <w:rsid w:val="191C2E55"/>
    <w:rsid w:val="19266AB6"/>
    <w:rsid w:val="192D5062"/>
    <w:rsid w:val="194523AC"/>
    <w:rsid w:val="1949557C"/>
    <w:rsid w:val="19634179"/>
    <w:rsid w:val="19695781"/>
    <w:rsid w:val="19704EBF"/>
    <w:rsid w:val="19717795"/>
    <w:rsid w:val="19792055"/>
    <w:rsid w:val="19A277FE"/>
    <w:rsid w:val="19AC242B"/>
    <w:rsid w:val="19B05279"/>
    <w:rsid w:val="19B4308D"/>
    <w:rsid w:val="19B71113"/>
    <w:rsid w:val="19BB266E"/>
    <w:rsid w:val="19BE215E"/>
    <w:rsid w:val="19D13C3F"/>
    <w:rsid w:val="19E33973"/>
    <w:rsid w:val="19EC2827"/>
    <w:rsid w:val="19F459F1"/>
    <w:rsid w:val="1A0173C8"/>
    <w:rsid w:val="1A116732"/>
    <w:rsid w:val="1A146457"/>
    <w:rsid w:val="1A206975"/>
    <w:rsid w:val="1A2B77F4"/>
    <w:rsid w:val="1A3D46A9"/>
    <w:rsid w:val="1A4268EB"/>
    <w:rsid w:val="1A435C2A"/>
    <w:rsid w:val="1A491A28"/>
    <w:rsid w:val="1A4C32C6"/>
    <w:rsid w:val="1A646862"/>
    <w:rsid w:val="1A6A7BF0"/>
    <w:rsid w:val="1A6E55F0"/>
    <w:rsid w:val="1A797BAB"/>
    <w:rsid w:val="1A7A7E33"/>
    <w:rsid w:val="1AB53561"/>
    <w:rsid w:val="1AB7679C"/>
    <w:rsid w:val="1AC11F06"/>
    <w:rsid w:val="1AC217DA"/>
    <w:rsid w:val="1ACB7064"/>
    <w:rsid w:val="1AE50082"/>
    <w:rsid w:val="1AF06347"/>
    <w:rsid w:val="1AF77E61"/>
    <w:rsid w:val="1B0462E3"/>
    <w:rsid w:val="1B056B32"/>
    <w:rsid w:val="1B063DBD"/>
    <w:rsid w:val="1B1C538E"/>
    <w:rsid w:val="1B214753"/>
    <w:rsid w:val="1B481CDF"/>
    <w:rsid w:val="1B4A1593"/>
    <w:rsid w:val="1B59213E"/>
    <w:rsid w:val="1B5A1A13"/>
    <w:rsid w:val="1B673353"/>
    <w:rsid w:val="1B754A9E"/>
    <w:rsid w:val="1B8A22F8"/>
    <w:rsid w:val="1B8D003A"/>
    <w:rsid w:val="1B904D56"/>
    <w:rsid w:val="1B9405AB"/>
    <w:rsid w:val="1B9F38C9"/>
    <w:rsid w:val="1BB92BDD"/>
    <w:rsid w:val="1BC34195"/>
    <w:rsid w:val="1BD6553D"/>
    <w:rsid w:val="1BDC68CC"/>
    <w:rsid w:val="1BEA0FE8"/>
    <w:rsid w:val="1BF2581B"/>
    <w:rsid w:val="1C063DFC"/>
    <w:rsid w:val="1C0E2F29"/>
    <w:rsid w:val="1C13053F"/>
    <w:rsid w:val="1C380FDF"/>
    <w:rsid w:val="1C3D380E"/>
    <w:rsid w:val="1C3E30E2"/>
    <w:rsid w:val="1C3E5861"/>
    <w:rsid w:val="1C406787"/>
    <w:rsid w:val="1C42303D"/>
    <w:rsid w:val="1C434466"/>
    <w:rsid w:val="1C445E18"/>
    <w:rsid w:val="1C4A375A"/>
    <w:rsid w:val="1C4C1CA3"/>
    <w:rsid w:val="1C6C5EA1"/>
    <w:rsid w:val="1C7879D5"/>
    <w:rsid w:val="1C7D00AF"/>
    <w:rsid w:val="1C7F5BD5"/>
    <w:rsid w:val="1C8054A9"/>
    <w:rsid w:val="1C872CDB"/>
    <w:rsid w:val="1C8E406A"/>
    <w:rsid w:val="1C986C96"/>
    <w:rsid w:val="1C9A5D29"/>
    <w:rsid w:val="1CA3304B"/>
    <w:rsid w:val="1CAD4A39"/>
    <w:rsid w:val="1CB6711D"/>
    <w:rsid w:val="1CC13735"/>
    <w:rsid w:val="1CC23D13"/>
    <w:rsid w:val="1CC47A8B"/>
    <w:rsid w:val="1CCC06EE"/>
    <w:rsid w:val="1CCC554A"/>
    <w:rsid w:val="1CD37CCF"/>
    <w:rsid w:val="1CD96F21"/>
    <w:rsid w:val="1CF06AD2"/>
    <w:rsid w:val="1CFC0FD3"/>
    <w:rsid w:val="1CFE2569"/>
    <w:rsid w:val="1D014845"/>
    <w:rsid w:val="1D036806"/>
    <w:rsid w:val="1D102CD1"/>
    <w:rsid w:val="1D1A76AB"/>
    <w:rsid w:val="1D61177E"/>
    <w:rsid w:val="1D6848BB"/>
    <w:rsid w:val="1D743260"/>
    <w:rsid w:val="1D81260B"/>
    <w:rsid w:val="1D854584"/>
    <w:rsid w:val="1D8B67FB"/>
    <w:rsid w:val="1D8D41A7"/>
    <w:rsid w:val="1D976F4E"/>
    <w:rsid w:val="1D9C264E"/>
    <w:rsid w:val="1DA962DF"/>
    <w:rsid w:val="1DD93F7F"/>
    <w:rsid w:val="1DE2466D"/>
    <w:rsid w:val="1DE877AA"/>
    <w:rsid w:val="1E0D4F63"/>
    <w:rsid w:val="1E1862E1"/>
    <w:rsid w:val="1E2307E2"/>
    <w:rsid w:val="1E2F6166"/>
    <w:rsid w:val="1E37603B"/>
    <w:rsid w:val="1E3C465E"/>
    <w:rsid w:val="1E3E5A13"/>
    <w:rsid w:val="1E4106C9"/>
    <w:rsid w:val="1E4A2212"/>
    <w:rsid w:val="1E5B2ED9"/>
    <w:rsid w:val="1E6908EA"/>
    <w:rsid w:val="1E796654"/>
    <w:rsid w:val="1E7D6144"/>
    <w:rsid w:val="1E7F5B46"/>
    <w:rsid w:val="1E892D3B"/>
    <w:rsid w:val="1E8F7C25"/>
    <w:rsid w:val="1E917E41"/>
    <w:rsid w:val="1E960FB4"/>
    <w:rsid w:val="1EA72C5A"/>
    <w:rsid w:val="1EB3181B"/>
    <w:rsid w:val="1EB87933"/>
    <w:rsid w:val="1ED01E43"/>
    <w:rsid w:val="1ED57D2E"/>
    <w:rsid w:val="1EE95587"/>
    <w:rsid w:val="1EEB2585"/>
    <w:rsid w:val="1EF04B68"/>
    <w:rsid w:val="1EFA59E6"/>
    <w:rsid w:val="1F02489B"/>
    <w:rsid w:val="1F08738A"/>
    <w:rsid w:val="1F196E7F"/>
    <w:rsid w:val="1F1C0DD2"/>
    <w:rsid w:val="1F3975F4"/>
    <w:rsid w:val="1F531646"/>
    <w:rsid w:val="1F664E2A"/>
    <w:rsid w:val="1F751511"/>
    <w:rsid w:val="1F7E6617"/>
    <w:rsid w:val="1FA113F2"/>
    <w:rsid w:val="1FA31BDA"/>
    <w:rsid w:val="1FB9794B"/>
    <w:rsid w:val="1FC34680"/>
    <w:rsid w:val="1FD53D5E"/>
    <w:rsid w:val="1FD75D28"/>
    <w:rsid w:val="1FDE70B6"/>
    <w:rsid w:val="1FEC17CF"/>
    <w:rsid w:val="1FFB3609"/>
    <w:rsid w:val="20087C8F"/>
    <w:rsid w:val="200C59D1"/>
    <w:rsid w:val="20144886"/>
    <w:rsid w:val="201B2ADA"/>
    <w:rsid w:val="201E74B3"/>
    <w:rsid w:val="20210D51"/>
    <w:rsid w:val="202F77B6"/>
    <w:rsid w:val="20623843"/>
    <w:rsid w:val="2063580D"/>
    <w:rsid w:val="206A094A"/>
    <w:rsid w:val="207C324D"/>
    <w:rsid w:val="207D68CF"/>
    <w:rsid w:val="208C7EE6"/>
    <w:rsid w:val="208F356B"/>
    <w:rsid w:val="20A200E4"/>
    <w:rsid w:val="20BD316F"/>
    <w:rsid w:val="20C86D4E"/>
    <w:rsid w:val="20CC6F0F"/>
    <w:rsid w:val="20D504B9"/>
    <w:rsid w:val="20E1612E"/>
    <w:rsid w:val="21050034"/>
    <w:rsid w:val="211567E3"/>
    <w:rsid w:val="2124312A"/>
    <w:rsid w:val="2130749E"/>
    <w:rsid w:val="2132002E"/>
    <w:rsid w:val="2140759E"/>
    <w:rsid w:val="214E3DC8"/>
    <w:rsid w:val="21674E89"/>
    <w:rsid w:val="21731FC6"/>
    <w:rsid w:val="217867A4"/>
    <w:rsid w:val="21787096"/>
    <w:rsid w:val="21824F16"/>
    <w:rsid w:val="21920158"/>
    <w:rsid w:val="21942142"/>
    <w:rsid w:val="2197751D"/>
    <w:rsid w:val="21A51484"/>
    <w:rsid w:val="21A5341F"/>
    <w:rsid w:val="21B17FE2"/>
    <w:rsid w:val="21B87493"/>
    <w:rsid w:val="21BA320B"/>
    <w:rsid w:val="21C1794F"/>
    <w:rsid w:val="21C806DA"/>
    <w:rsid w:val="21DA565B"/>
    <w:rsid w:val="21E17309"/>
    <w:rsid w:val="21E83DB2"/>
    <w:rsid w:val="21ED4759"/>
    <w:rsid w:val="2200680C"/>
    <w:rsid w:val="221943D6"/>
    <w:rsid w:val="222039B6"/>
    <w:rsid w:val="222E3C91"/>
    <w:rsid w:val="2237485C"/>
    <w:rsid w:val="22462CF1"/>
    <w:rsid w:val="22477195"/>
    <w:rsid w:val="22511DC1"/>
    <w:rsid w:val="225368FE"/>
    <w:rsid w:val="2265586D"/>
    <w:rsid w:val="227825F1"/>
    <w:rsid w:val="22AA7723"/>
    <w:rsid w:val="22B45EAC"/>
    <w:rsid w:val="22B67B82"/>
    <w:rsid w:val="22BD1205"/>
    <w:rsid w:val="22C66C3F"/>
    <w:rsid w:val="22CA6542"/>
    <w:rsid w:val="22CC0FA4"/>
    <w:rsid w:val="22D24584"/>
    <w:rsid w:val="22DB5B2F"/>
    <w:rsid w:val="22E63A45"/>
    <w:rsid w:val="22F1348C"/>
    <w:rsid w:val="22F17100"/>
    <w:rsid w:val="22F4274D"/>
    <w:rsid w:val="2305495A"/>
    <w:rsid w:val="230E1A60"/>
    <w:rsid w:val="23103A2A"/>
    <w:rsid w:val="231A0405"/>
    <w:rsid w:val="231A3B42"/>
    <w:rsid w:val="23270C12"/>
    <w:rsid w:val="23294AEC"/>
    <w:rsid w:val="232E2103"/>
    <w:rsid w:val="2335523F"/>
    <w:rsid w:val="233B0605"/>
    <w:rsid w:val="233D5EA2"/>
    <w:rsid w:val="234B5616"/>
    <w:rsid w:val="234E6DF2"/>
    <w:rsid w:val="235A1C5C"/>
    <w:rsid w:val="23711FEF"/>
    <w:rsid w:val="237A5348"/>
    <w:rsid w:val="23865BB6"/>
    <w:rsid w:val="238735C1"/>
    <w:rsid w:val="238D17B0"/>
    <w:rsid w:val="23932947"/>
    <w:rsid w:val="23A979DB"/>
    <w:rsid w:val="23B03DAD"/>
    <w:rsid w:val="23BA5A98"/>
    <w:rsid w:val="23D305B4"/>
    <w:rsid w:val="23FE0BB4"/>
    <w:rsid w:val="24030E99"/>
    <w:rsid w:val="24090756"/>
    <w:rsid w:val="240D3B04"/>
    <w:rsid w:val="241F6520"/>
    <w:rsid w:val="24213A15"/>
    <w:rsid w:val="242A0B1C"/>
    <w:rsid w:val="242B219E"/>
    <w:rsid w:val="244020ED"/>
    <w:rsid w:val="24697B84"/>
    <w:rsid w:val="247578BD"/>
    <w:rsid w:val="247E4D3A"/>
    <w:rsid w:val="247E76DD"/>
    <w:rsid w:val="24904744"/>
    <w:rsid w:val="249830A5"/>
    <w:rsid w:val="24A217AC"/>
    <w:rsid w:val="24B13BE8"/>
    <w:rsid w:val="24B2466D"/>
    <w:rsid w:val="24BD56F9"/>
    <w:rsid w:val="24C06D8A"/>
    <w:rsid w:val="24ED286E"/>
    <w:rsid w:val="25050C41"/>
    <w:rsid w:val="253357AE"/>
    <w:rsid w:val="25401C79"/>
    <w:rsid w:val="25496D80"/>
    <w:rsid w:val="25537BFE"/>
    <w:rsid w:val="256169E0"/>
    <w:rsid w:val="25657932"/>
    <w:rsid w:val="25697422"/>
    <w:rsid w:val="256B59EC"/>
    <w:rsid w:val="2580651A"/>
    <w:rsid w:val="25867FD4"/>
    <w:rsid w:val="25897AC4"/>
    <w:rsid w:val="259C695B"/>
    <w:rsid w:val="25B432C7"/>
    <w:rsid w:val="25BF5294"/>
    <w:rsid w:val="25E01FB6"/>
    <w:rsid w:val="25EC3BAF"/>
    <w:rsid w:val="25F413E1"/>
    <w:rsid w:val="25F80DA5"/>
    <w:rsid w:val="25FE400E"/>
    <w:rsid w:val="260158AC"/>
    <w:rsid w:val="26070381"/>
    <w:rsid w:val="26154EB4"/>
    <w:rsid w:val="262B46D7"/>
    <w:rsid w:val="26325A66"/>
    <w:rsid w:val="26327B15"/>
    <w:rsid w:val="26486845"/>
    <w:rsid w:val="265836BB"/>
    <w:rsid w:val="26612BE0"/>
    <w:rsid w:val="266C3B1C"/>
    <w:rsid w:val="26861CA2"/>
    <w:rsid w:val="26887965"/>
    <w:rsid w:val="269A360B"/>
    <w:rsid w:val="26A12175"/>
    <w:rsid w:val="26AB5818"/>
    <w:rsid w:val="26AF70B6"/>
    <w:rsid w:val="26B66697"/>
    <w:rsid w:val="26B85D13"/>
    <w:rsid w:val="26BE379D"/>
    <w:rsid w:val="26C42420"/>
    <w:rsid w:val="26C568DA"/>
    <w:rsid w:val="26CD1C32"/>
    <w:rsid w:val="26D66D39"/>
    <w:rsid w:val="26E03714"/>
    <w:rsid w:val="26E05A50"/>
    <w:rsid w:val="26F21B50"/>
    <w:rsid w:val="26F45411"/>
    <w:rsid w:val="26FB054E"/>
    <w:rsid w:val="2741157D"/>
    <w:rsid w:val="274C2B57"/>
    <w:rsid w:val="275163C0"/>
    <w:rsid w:val="276205CD"/>
    <w:rsid w:val="27637EA1"/>
    <w:rsid w:val="27677991"/>
    <w:rsid w:val="27710810"/>
    <w:rsid w:val="27853B3C"/>
    <w:rsid w:val="27952750"/>
    <w:rsid w:val="27B30E28"/>
    <w:rsid w:val="27B626C7"/>
    <w:rsid w:val="27B64475"/>
    <w:rsid w:val="27BF77CD"/>
    <w:rsid w:val="27C44DE4"/>
    <w:rsid w:val="27D9008B"/>
    <w:rsid w:val="27EA37A1"/>
    <w:rsid w:val="27FC4AF8"/>
    <w:rsid w:val="27FD1F46"/>
    <w:rsid w:val="27FF233A"/>
    <w:rsid w:val="28013942"/>
    <w:rsid w:val="280478D6"/>
    <w:rsid w:val="281F4299"/>
    <w:rsid w:val="281F64BE"/>
    <w:rsid w:val="282633A8"/>
    <w:rsid w:val="28333D17"/>
    <w:rsid w:val="28481571"/>
    <w:rsid w:val="28500425"/>
    <w:rsid w:val="285F4B0C"/>
    <w:rsid w:val="28620159"/>
    <w:rsid w:val="28667C49"/>
    <w:rsid w:val="287E1436"/>
    <w:rsid w:val="28836A4D"/>
    <w:rsid w:val="2891579A"/>
    <w:rsid w:val="289B3D96"/>
    <w:rsid w:val="289E642A"/>
    <w:rsid w:val="28A70580"/>
    <w:rsid w:val="28C504D7"/>
    <w:rsid w:val="28CE392E"/>
    <w:rsid w:val="28D15A45"/>
    <w:rsid w:val="28D50A2D"/>
    <w:rsid w:val="28D70B46"/>
    <w:rsid w:val="28E13773"/>
    <w:rsid w:val="28F17E5A"/>
    <w:rsid w:val="28F25888"/>
    <w:rsid w:val="29094D4C"/>
    <w:rsid w:val="290E43E6"/>
    <w:rsid w:val="29167CC5"/>
    <w:rsid w:val="291E6775"/>
    <w:rsid w:val="29283150"/>
    <w:rsid w:val="292D0766"/>
    <w:rsid w:val="29337438"/>
    <w:rsid w:val="293D4E4D"/>
    <w:rsid w:val="294A6C02"/>
    <w:rsid w:val="29642175"/>
    <w:rsid w:val="29714AF7"/>
    <w:rsid w:val="297168A5"/>
    <w:rsid w:val="299146FF"/>
    <w:rsid w:val="29990610"/>
    <w:rsid w:val="29A8094A"/>
    <w:rsid w:val="29BF3AB4"/>
    <w:rsid w:val="29C11B6A"/>
    <w:rsid w:val="29C50B41"/>
    <w:rsid w:val="29C56BF1"/>
    <w:rsid w:val="29DA08EE"/>
    <w:rsid w:val="29EB70CF"/>
    <w:rsid w:val="2A007FE7"/>
    <w:rsid w:val="2A07545B"/>
    <w:rsid w:val="2A1A518F"/>
    <w:rsid w:val="2A263B34"/>
    <w:rsid w:val="2A4D10C0"/>
    <w:rsid w:val="2A521023"/>
    <w:rsid w:val="2A5F0DF4"/>
    <w:rsid w:val="2A5F1C5E"/>
    <w:rsid w:val="2A677CA8"/>
    <w:rsid w:val="2A6B1546"/>
    <w:rsid w:val="2A70797C"/>
    <w:rsid w:val="2A77438F"/>
    <w:rsid w:val="2A7D74CC"/>
    <w:rsid w:val="2A8675BA"/>
    <w:rsid w:val="2A9C2048"/>
    <w:rsid w:val="2A9F5945"/>
    <w:rsid w:val="2AA36F32"/>
    <w:rsid w:val="2AAD417B"/>
    <w:rsid w:val="2AC55FB0"/>
    <w:rsid w:val="2AC9482C"/>
    <w:rsid w:val="2AD01CF1"/>
    <w:rsid w:val="2AD215C5"/>
    <w:rsid w:val="2AD57308"/>
    <w:rsid w:val="2AD90BA6"/>
    <w:rsid w:val="2ADC2444"/>
    <w:rsid w:val="2ADF07C0"/>
    <w:rsid w:val="2ADF3CE2"/>
    <w:rsid w:val="2AE1270F"/>
    <w:rsid w:val="2AE86693"/>
    <w:rsid w:val="2AE9007F"/>
    <w:rsid w:val="2AEF03C9"/>
    <w:rsid w:val="2B02634F"/>
    <w:rsid w:val="2B22254D"/>
    <w:rsid w:val="2B3109E2"/>
    <w:rsid w:val="2B457FE9"/>
    <w:rsid w:val="2B773770"/>
    <w:rsid w:val="2B7B1C5D"/>
    <w:rsid w:val="2B817E3F"/>
    <w:rsid w:val="2B85488A"/>
    <w:rsid w:val="2B9A79A4"/>
    <w:rsid w:val="2B9B2EEA"/>
    <w:rsid w:val="2BA07916"/>
    <w:rsid w:val="2BC2163A"/>
    <w:rsid w:val="2BC730F4"/>
    <w:rsid w:val="2BE37D65"/>
    <w:rsid w:val="2BFF63EA"/>
    <w:rsid w:val="2C047EA4"/>
    <w:rsid w:val="2C1A3224"/>
    <w:rsid w:val="2C26606D"/>
    <w:rsid w:val="2C273B93"/>
    <w:rsid w:val="2C283529"/>
    <w:rsid w:val="2C302A48"/>
    <w:rsid w:val="2C3116AB"/>
    <w:rsid w:val="2C3C763E"/>
    <w:rsid w:val="2C42277B"/>
    <w:rsid w:val="2C5865F5"/>
    <w:rsid w:val="2C5B47CB"/>
    <w:rsid w:val="2C646BB5"/>
    <w:rsid w:val="2C666469"/>
    <w:rsid w:val="2C866B0B"/>
    <w:rsid w:val="2C8905F6"/>
    <w:rsid w:val="2CA567FD"/>
    <w:rsid w:val="2CB27900"/>
    <w:rsid w:val="2CBF1BAC"/>
    <w:rsid w:val="2CD86C3B"/>
    <w:rsid w:val="2CEB4BC0"/>
    <w:rsid w:val="2CED40D9"/>
    <w:rsid w:val="2D0D36B6"/>
    <w:rsid w:val="2D0D4B37"/>
    <w:rsid w:val="2D157E8F"/>
    <w:rsid w:val="2D1D601D"/>
    <w:rsid w:val="2D5507DE"/>
    <w:rsid w:val="2D735A67"/>
    <w:rsid w:val="2D7F39A8"/>
    <w:rsid w:val="2D834DF9"/>
    <w:rsid w:val="2DCD15FA"/>
    <w:rsid w:val="2DD65871"/>
    <w:rsid w:val="2DDB2E87"/>
    <w:rsid w:val="2DDF2977"/>
    <w:rsid w:val="2DEA30CA"/>
    <w:rsid w:val="2DEA6524"/>
    <w:rsid w:val="2DF52CAD"/>
    <w:rsid w:val="2DF61A6F"/>
    <w:rsid w:val="2E096E45"/>
    <w:rsid w:val="2E1F2D74"/>
    <w:rsid w:val="2E2E25DF"/>
    <w:rsid w:val="2E32053F"/>
    <w:rsid w:val="2E4B242D"/>
    <w:rsid w:val="2E4E18AB"/>
    <w:rsid w:val="2E56250D"/>
    <w:rsid w:val="2E597998"/>
    <w:rsid w:val="2E5D799C"/>
    <w:rsid w:val="2E6E6BCE"/>
    <w:rsid w:val="2E70537D"/>
    <w:rsid w:val="2E71076C"/>
    <w:rsid w:val="2E797950"/>
    <w:rsid w:val="2E823302"/>
    <w:rsid w:val="2E8250B1"/>
    <w:rsid w:val="2E8C4181"/>
    <w:rsid w:val="2EA25CE1"/>
    <w:rsid w:val="2EA74B17"/>
    <w:rsid w:val="2EA94D33"/>
    <w:rsid w:val="2EC07B78"/>
    <w:rsid w:val="2EE71204"/>
    <w:rsid w:val="2F0401BB"/>
    <w:rsid w:val="2F0F2DE8"/>
    <w:rsid w:val="2F17377A"/>
    <w:rsid w:val="2F174C86"/>
    <w:rsid w:val="2F192FE1"/>
    <w:rsid w:val="2F260AE1"/>
    <w:rsid w:val="2F340AA1"/>
    <w:rsid w:val="2F422FF1"/>
    <w:rsid w:val="2F4552CD"/>
    <w:rsid w:val="2F4A3E20"/>
    <w:rsid w:val="2F7B4DDE"/>
    <w:rsid w:val="2F827A5E"/>
    <w:rsid w:val="2F8512FC"/>
    <w:rsid w:val="2F866E22"/>
    <w:rsid w:val="2F880DEC"/>
    <w:rsid w:val="2F8C268B"/>
    <w:rsid w:val="2F8C4439"/>
    <w:rsid w:val="2F8C713C"/>
    <w:rsid w:val="2F8F217B"/>
    <w:rsid w:val="2F9212C6"/>
    <w:rsid w:val="2F921D46"/>
    <w:rsid w:val="2F947791"/>
    <w:rsid w:val="2F970416"/>
    <w:rsid w:val="2F972DDE"/>
    <w:rsid w:val="2FA774C5"/>
    <w:rsid w:val="2FAA2B11"/>
    <w:rsid w:val="2FB24CD5"/>
    <w:rsid w:val="2FCA6D0F"/>
    <w:rsid w:val="2FE53B49"/>
    <w:rsid w:val="2FE71157"/>
    <w:rsid w:val="2FF41FDE"/>
    <w:rsid w:val="2FFF10AF"/>
    <w:rsid w:val="30071D11"/>
    <w:rsid w:val="300C37CC"/>
    <w:rsid w:val="30145578"/>
    <w:rsid w:val="30291B42"/>
    <w:rsid w:val="30426727"/>
    <w:rsid w:val="304E5B92"/>
    <w:rsid w:val="305D4027"/>
    <w:rsid w:val="3069477A"/>
    <w:rsid w:val="309A4933"/>
    <w:rsid w:val="309D08C8"/>
    <w:rsid w:val="309D2F86"/>
    <w:rsid w:val="30A27C8C"/>
    <w:rsid w:val="30A457B2"/>
    <w:rsid w:val="30A532D8"/>
    <w:rsid w:val="30A752A2"/>
    <w:rsid w:val="30A9726C"/>
    <w:rsid w:val="30B11C7D"/>
    <w:rsid w:val="30BA3228"/>
    <w:rsid w:val="30E67B79"/>
    <w:rsid w:val="30ED267A"/>
    <w:rsid w:val="30F85AFE"/>
    <w:rsid w:val="30F86898"/>
    <w:rsid w:val="30FC114A"/>
    <w:rsid w:val="310E5DFD"/>
    <w:rsid w:val="310F78FA"/>
    <w:rsid w:val="31391E91"/>
    <w:rsid w:val="313A6116"/>
    <w:rsid w:val="313A6212"/>
    <w:rsid w:val="313D392C"/>
    <w:rsid w:val="313E79B5"/>
    <w:rsid w:val="314B3E80"/>
    <w:rsid w:val="314D19A6"/>
    <w:rsid w:val="314D409C"/>
    <w:rsid w:val="31552F50"/>
    <w:rsid w:val="315B61CA"/>
    <w:rsid w:val="31717D8A"/>
    <w:rsid w:val="3174343A"/>
    <w:rsid w:val="31921AAF"/>
    <w:rsid w:val="31A83080"/>
    <w:rsid w:val="31AB45E8"/>
    <w:rsid w:val="31BB1005"/>
    <w:rsid w:val="31C0486E"/>
    <w:rsid w:val="31CF2D03"/>
    <w:rsid w:val="31D125D7"/>
    <w:rsid w:val="31D57F25"/>
    <w:rsid w:val="31E57F3A"/>
    <w:rsid w:val="31EA7C43"/>
    <w:rsid w:val="31F75DB5"/>
    <w:rsid w:val="31F91B2E"/>
    <w:rsid w:val="31FB3AF8"/>
    <w:rsid w:val="31FE335B"/>
    <w:rsid w:val="320104FF"/>
    <w:rsid w:val="320603EC"/>
    <w:rsid w:val="321D581C"/>
    <w:rsid w:val="3221750A"/>
    <w:rsid w:val="32313075"/>
    <w:rsid w:val="3231760E"/>
    <w:rsid w:val="3239174D"/>
    <w:rsid w:val="323B3EF4"/>
    <w:rsid w:val="325F1B1E"/>
    <w:rsid w:val="325F2DA1"/>
    <w:rsid w:val="32696CB3"/>
    <w:rsid w:val="32776F4A"/>
    <w:rsid w:val="327F2033"/>
    <w:rsid w:val="328231EB"/>
    <w:rsid w:val="329655CE"/>
    <w:rsid w:val="32A777DC"/>
    <w:rsid w:val="32AC088E"/>
    <w:rsid w:val="32AE46C6"/>
    <w:rsid w:val="32BB5035"/>
    <w:rsid w:val="32BC5D3C"/>
    <w:rsid w:val="32BD6FFF"/>
    <w:rsid w:val="32C42F86"/>
    <w:rsid w:val="32C91500"/>
    <w:rsid w:val="32CD6857"/>
    <w:rsid w:val="32D63C1D"/>
    <w:rsid w:val="32DA54BB"/>
    <w:rsid w:val="32DD31FD"/>
    <w:rsid w:val="32E225C2"/>
    <w:rsid w:val="32E427DE"/>
    <w:rsid w:val="32EC069E"/>
    <w:rsid w:val="32ED1692"/>
    <w:rsid w:val="33122EA7"/>
    <w:rsid w:val="33174961"/>
    <w:rsid w:val="331A2663"/>
    <w:rsid w:val="33264BA4"/>
    <w:rsid w:val="3333106F"/>
    <w:rsid w:val="33332E1D"/>
    <w:rsid w:val="3335354B"/>
    <w:rsid w:val="33631954"/>
    <w:rsid w:val="337A6170"/>
    <w:rsid w:val="337F42B4"/>
    <w:rsid w:val="33823753"/>
    <w:rsid w:val="33865643"/>
    <w:rsid w:val="339E007A"/>
    <w:rsid w:val="33A02192"/>
    <w:rsid w:val="33A31D51"/>
    <w:rsid w:val="33C1323B"/>
    <w:rsid w:val="33C85F98"/>
    <w:rsid w:val="33DC34B5"/>
    <w:rsid w:val="33E33858"/>
    <w:rsid w:val="33F16F60"/>
    <w:rsid w:val="33FE342B"/>
    <w:rsid w:val="34060532"/>
    <w:rsid w:val="341C7496"/>
    <w:rsid w:val="34264730"/>
    <w:rsid w:val="34433534"/>
    <w:rsid w:val="344F1ED9"/>
    <w:rsid w:val="346F60D7"/>
    <w:rsid w:val="347B0F20"/>
    <w:rsid w:val="348E0BA6"/>
    <w:rsid w:val="3499149E"/>
    <w:rsid w:val="349D49F2"/>
    <w:rsid w:val="34A246FE"/>
    <w:rsid w:val="34A35D81"/>
    <w:rsid w:val="34B34216"/>
    <w:rsid w:val="34C24459"/>
    <w:rsid w:val="34D66156"/>
    <w:rsid w:val="34DD74E5"/>
    <w:rsid w:val="34FC2127"/>
    <w:rsid w:val="34FD63BA"/>
    <w:rsid w:val="35026F4B"/>
    <w:rsid w:val="35082F60"/>
    <w:rsid w:val="350B742E"/>
    <w:rsid w:val="354237EC"/>
    <w:rsid w:val="35487054"/>
    <w:rsid w:val="35523A2F"/>
    <w:rsid w:val="35613C72"/>
    <w:rsid w:val="3575596F"/>
    <w:rsid w:val="3579545F"/>
    <w:rsid w:val="357A2F85"/>
    <w:rsid w:val="357B3B1A"/>
    <w:rsid w:val="3586192A"/>
    <w:rsid w:val="359361EE"/>
    <w:rsid w:val="3598472C"/>
    <w:rsid w:val="35B31528"/>
    <w:rsid w:val="35B446E9"/>
    <w:rsid w:val="35BB6201"/>
    <w:rsid w:val="35C764F0"/>
    <w:rsid w:val="35CE1A4F"/>
    <w:rsid w:val="35D42696"/>
    <w:rsid w:val="35EA010B"/>
    <w:rsid w:val="35EA38E5"/>
    <w:rsid w:val="35EF44E1"/>
    <w:rsid w:val="35F729AC"/>
    <w:rsid w:val="36045B33"/>
    <w:rsid w:val="360D204B"/>
    <w:rsid w:val="360F36CE"/>
    <w:rsid w:val="36254176"/>
    <w:rsid w:val="36274EBB"/>
    <w:rsid w:val="362D624A"/>
    <w:rsid w:val="36317E51"/>
    <w:rsid w:val="36370E76"/>
    <w:rsid w:val="36397FB9"/>
    <w:rsid w:val="36432D79"/>
    <w:rsid w:val="364D1A9A"/>
    <w:rsid w:val="364F591B"/>
    <w:rsid w:val="36543D61"/>
    <w:rsid w:val="36573411"/>
    <w:rsid w:val="365E4655"/>
    <w:rsid w:val="36631812"/>
    <w:rsid w:val="3667175C"/>
    <w:rsid w:val="36681030"/>
    <w:rsid w:val="36794B8A"/>
    <w:rsid w:val="36820344"/>
    <w:rsid w:val="369167D9"/>
    <w:rsid w:val="36965B9D"/>
    <w:rsid w:val="36987B67"/>
    <w:rsid w:val="36D47726"/>
    <w:rsid w:val="36D668E1"/>
    <w:rsid w:val="36D729D5"/>
    <w:rsid w:val="36DA1F9A"/>
    <w:rsid w:val="36DB3EF8"/>
    <w:rsid w:val="36E4644E"/>
    <w:rsid w:val="36F11025"/>
    <w:rsid w:val="3701378C"/>
    <w:rsid w:val="3708072C"/>
    <w:rsid w:val="3710594F"/>
    <w:rsid w:val="371D006C"/>
    <w:rsid w:val="371D3482"/>
    <w:rsid w:val="372B2789"/>
    <w:rsid w:val="373E4335"/>
    <w:rsid w:val="373F4487"/>
    <w:rsid w:val="37421881"/>
    <w:rsid w:val="375717D0"/>
    <w:rsid w:val="37607F59"/>
    <w:rsid w:val="376E2676"/>
    <w:rsid w:val="37721B96"/>
    <w:rsid w:val="377B6691"/>
    <w:rsid w:val="377C1237"/>
    <w:rsid w:val="377D1FF4"/>
    <w:rsid w:val="37873738"/>
    <w:rsid w:val="37941132"/>
    <w:rsid w:val="379E11AD"/>
    <w:rsid w:val="37AF6043"/>
    <w:rsid w:val="37B95EF8"/>
    <w:rsid w:val="37D84772"/>
    <w:rsid w:val="37DC1CD5"/>
    <w:rsid w:val="37E5673F"/>
    <w:rsid w:val="37EE37B7"/>
    <w:rsid w:val="37F232A7"/>
    <w:rsid w:val="37F7266B"/>
    <w:rsid w:val="37FE1C4C"/>
    <w:rsid w:val="37FE39FA"/>
    <w:rsid w:val="38196A86"/>
    <w:rsid w:val="381E5E4A"/>
    <w:rsid w:val="382316B2"/>
    <w:rsid w:val="382D2531"/>
    <w:rsid w:val="38362C53"/>
    <w:rsid w:val="38500B74"/>
    <w:rsid w:val="385611D8"/>
    <w:rsid w:val="38563836"/>
    <w:rsid w:val="38581886"/>
    <w:rsid w:val="386817BB"/>
    <w:rsid w:val="386B418F"/>
    <w:rsid w:val="386C32CA"/>
    <w:rsid w:val="386F3993"/>
    <w:rsid w:val="3873136E"/>
    <w:rsid w:val="38763ED8"/>
    <w:rsid w:val="388436EE"/>
    <w:rsid w:val="389A3401"/>
    <w:rsid w:val="38A748FD"/>
    <w:rsid w:val="38AC5B4C"/>
    <w:rsid w:val="38B77E9B"/>
    <w:rsid w:val="38CA7D80"/>
    <w:rsid w:val="38CD7870"/>
    <w:rsid w:val="38D74374"/>
    <w:rsid w:val="38DF25D8"/>
    <w:rsid w:val="38E5105E"/>
    <w:rsid w:val="38FD63A7"/>
    <w:rsid w:val="39355B41"/>
    <w:rsid w:val="393625B5"/>
    <w:rsid w:val="393C6ED0"/>
    <w:rsid w:val="396B3311"/>
    <w:rsid w:val="398048E2"/>
    <w:rsid w:val="39842625"/>
    <w:rsid w:val="3986639D"/>
    <w:rsid w:val="39A24859"/>
    <w:rsid w:val="39A44A75"/>
    <w:rsid w:val="39B527DE"/>
    <w:rsid w:val="39C15930"/>
    <w:rsid w:val="39D10380"/>
    <w:rsid w:val="39D7744C"/>
    <w:rsid w:val="39D81FF4"/>
    <w:rsid w:val="39DA3FF3"/>
    <w:rsid w:val="39DC5FBD"/>
    <w:rsid w:val="39E05B41"/>
    <w:rsid w:val="39E6508D"/>
    <w:rsid w:val="39F350B4"/>
    <w:rsid w:val="3A0F59AF"/>
    <w:rsid w:val="3A156272"/>
    <w:rsid w:val="3A175247"/>
    <w:rsid w:val="3A19526E"/>
    <w:rsid w:val="3A1C71C2"/>
    <w:rsid w:val="3A240A4F"/>
    <w:rsid w:val="3A257582"/>
    <w:rsid w:val="3A306341"/>
    <w:rsid w:val="3A394687"/>
    <w:rsid w:val="3A3C4CAD"/>
    <w:rsid w:val="3A3F7042"/>
    <w:rsid w:val="3A414072"/>
    <w:rsid w:val="3A4678DA"/>
    <w:rsid w:val="3A4818A4"/>
    <w:rsid w:val="3A550FAE"/>
    <w:rsid w:val="3A80103E"/>
    <w:rsid w:val="3AA97F72"/>
    <w:rsid w:val="3AB111F7"/>
    <w:rsid w:val="3AB962FE"/>
    <w:rsid w:val="3AC151B3"/>
    <w:rsid w:val="3AC56A51"/>
    <w:rsid w:val="3AC64B87"/>
    <w:rsid w:val="3AEF602E"/>
    <w:rsid w:val="3AF47336"/>
    <w:rsid w:val="3B015A41"/>
    <w:rsid w:val="3B077069"/>
    <w:rsid w:val="3B1B48C3"/>
    <w:rsid w:val="3B247C1B"/>
    <w:rsid w:val="3B2F2060"/>
    <w:rsid w:val="3B351E28"/>
    <w:rsid w:val="3B381919"/>
    <w:rsid w:val="3B3836C7"/>
    <w:rsid w:val="3B385475"/>
    <w:rsid w:val="3B3D2A8B"/>
    <w:rsid w:val="3B3D6F2F"/>
    <w:rsid w:val="3B4007CD"/>
    <w:rsid w:val="3B404329"/>
    <w:rsid w:val="3B4402BD"/>
    <w:rsid w:val="3B462AC1"/>
    <w:rsid w:val="3B602C1D"/>
    <w:rsid w:val="3B6C3ADB"/>
    <w:rsid w:val="3B7F12F6"/>
    <w:rsid w:val="3B820DE6"/>
    <w:rsid w:val="3B870EA8"/>
    <w:rsid w:val="3B871F58"/>
    <w:rsid w:val="3B8E32E7"/>
    <w:rsid w:val="3BA14335"/>
    <w:rsid w:val="3BA945C4"/>
    <w:rsid w:val="3BBA7C64"/>
    <w:rsid w:val="3BBF6CAA"/>
    <w:rsid w:val="3BC66F24"/>
    <w:rsid w:val="3BD030FF"/>
    <w:rsid w:val="3BD8642A"/>
    <w:rsid w:val="3BDB708D"/>
    <w:rsid w:val="3BE31551"/>
    <w:rsid w:val="3BF07952"/>
    <w:rsid w:val="3BF770DE"/>
    <w:rsid w:val="3C067321"/>
    <w:rsid w:val="3C1B218D"/>
    <w:rsid w:val="3C261771"/>
    <w:rsid w:val="3C2B4FD9"/>
    <w:rsid w:val="3C2C4053"/>
    <w:rsid w:val="3C3A521C"/>
    <w:rsid w:val="3C4936B2"/>
    <w:rsid w:val="3C6B3628"/>
    <w:rsid w:val="3C7A1ABD"/>
    <w:rsid w:val="3C8566E3"/>
    <w:rsid w:val="3C964B49"/>
    <w:rsid w:val="3CA8662A"/>
    <w:rsid w:val="3CAE0AD9"/>
    <w:rsid w:val="3CAF407B"/>
    <w:rsid w:val="3CBC5ACD"/>
    <w:rsid w:val="3CCF3BB7"/>
    <w:rsid w:val="3CD94A35"/>
    <w:rsid w:val="3CE21E78"/>
    <w:rsid w:val="3CE84408"/>
    <w:rsid w:val="3CED228F"/>
    <w:rsid w:val="3CEF6007"/>
    <w:rsid w:val="3CF47AC1"/>
    <w:rsid w:val="3CF8088C"/>
    <w:rsid w:val="3CF8135F"/>
    <w:rsid w:val="3D073351"/>
    <w:rsid w:val="3D0D7B7D"/>
    <w:rsid w:val="3D123B91"/>
    <w:rsid w:val="3D1779E0"/>
    <w:rsid w:val="3D2C2DB7"/>
    <w:rsid w:val="3D3D4FC4"/>
    <w:rsid w:val="3D4B1A69"/>
    <w:rsid w:val="3D4F21FC"/>
    <w:rsid w:val="3D5B62D3"/>
    <w:rsid w:val="3D6764E5"/>
    <w:rsid w:val="3D74650C"/>
    <w:rsid w:val="3D74686C"/>
    <w:rsid w:val="3D78424E"/>
    <w:rsid w:val="3D785FFC"/>
    <w:rsid w:val="3D8472C7"/>
    <w:rsid w:val="3D8726E3"/>
    <w:rsid w:val="3DAA497A"/>
    <w:rsid w:val="3DAF292E"/>
    <w:rsid w:val="3DBE7D8F"/>
    <w:rsid w:val="3DC70D32"/>
    <w:rsid w:val="3DFC6C2D"/>
    <w:rsid w:val="3E0A3EC6"/>
    <w:rsid w:val="3E0E69B8"/>
    <w:rsid w:val="3E157CEF"/>
    <w:rsid w:val="3E233DE6"/>
    <w:rsid w:val="3E296CBB"/>
    <w:rsid w:val="3E2B1849"/>
    <w:rsid w:val="3E353EED"/>
    <w:rsid w:val="3E3F4D6C"/>
    <w:rsid w:val="3E414576"/>
    <w:rsid w:val="3E432AAE"/>
    <w:rsid w:val="3E46721D"/>
    <w:rsid w:val="3E4D56DB"/>
    <w:rsid w:val="3E5C76CC"/>
    <w:rsid w:val="3E5F0F6A"/>
    <w:rsid w:val="3E622809"/>
    <w:rsid w:val="3E7C7D6E"/>
    <w:rsid w:val="3E846635"/>
    <w:rsid w:val="3E8F56A6"/>
    <w:rsid w:val="3E9C5D1B"/>
    <w:rsid w:val="3EA90437"/>
    <w:rsid w:val="3EAE3F20"/>
    <w:rsid w:val="3EB70DA6"/>
    <w:rsid w:val="3EBB0897"/>
    <w:rsid w:val="3EC27CA4"/>
    <w:rsid w:val="3EC314F9"/>
    <w:rsid w:val="3ED26B8E"/>
    <w:rsid w:val="3EDB2CE7"/>
    <w:rsid w:val="3EDF0565"/>
    <w:rsid w:val="3EF9316D"/>
    <w:rsid w:val="3F0227F8"/>
    <w:rsid w:val="3F11495A"/>
    <w:rsid w:val="3F147FA7"/>
    <w:rsid w:val="3F19380F"/>
    <w:rsid w:val="3F1C4E43"/>
    <w:rsid w:val="3F224721"/>
    <w:rsid w:val="3F253F62"/>
    <w:rsid w:val="3F261A88"/>
    <w:rsid w:val="3F2B095C"/>
    <w:rsid w:val="3F2C130C"/>
    <w:rsid w:val="3F2C3542"/>
    <w:rsid w:val="3F3917BB"/>
    <w:rsid w:val="3F406FEE"/>
    <w:rsid w:val="3F43088C"/>
    <w:rsid w:val="3F636838"/>
    <w:rsid w:val="3F650802"/>
    <w:rsid w:val="3F6525B0"/>
    <w:rsid w:val="3F6727CC"/>
    <w:rsid w:val="3F725B45"/>
    <w:rsid w:val="3F7647BE"/>
    <w:rsid w:val="3F7E31F5"/>
    <w:rsid w:val="3F80388E"/>
    <w:rsid w:val="3F8269C0"/>
    <w:rsid w:val="3F890995"/>
    <w:rsid w:val="3FA806EF"/>
    <w:rsid w:val="3FAE21A9"/>
    <w:rsid w:val="3FB672B0"/>
    <w:rsid w:val="3FB83028"/>
    <w:rsid w:val="3FBD3AE8"/>
    <w:rsid w:val="3FC108EA"/>
    <w:rsid w:val="3FC25C55"/>
    <w:rsid w:val="3FCF2120"/>
    <w:rsid w:val="3FD15E98"/>
    <w:rsid w:val="3FDE204E"/>
    <w:rsid w:val="3FE61840"/>
    <w:rsid w:val="3FEE07F8"/>
    <w:rsid w:val="3FEF631E"/>
    <w:rsid w:val="40095632"/>
    <w:rsid w:val="400B3158"/>
    <w:rsid w:val="4022763E"/>
    <w:rsid w:val="402B0D8B"/>
    <w:rsid w:val="403F1053"/>
    <w:rsid w:val="404E573A"/>
    <w:rsid w:val="4060397D"/>
    <w:rsid w:val="40672358"/>
    <w:rsid w:val="40A11AE2"/>
    <w:rsid w:val="40A3502A"/>
    <w:rsid w:val="40B03CFF"/>
    <w:rsid w:val="40B05AAD"/>
    <w:rsid w:val="40B21825"/>
    <w:rsid w:val="40B530C4"/>
    <w:rsid w:val="40C913D4"/>
    <w:rsid w:val="40CB072D"/>
    <w:rsid w:val="40D17D7B"/>
    <w:rsid w:val="40E57E4D"/>
    <w:rsid w:val="40FD6DCE"/>
    <w:rsid w:val="41006A35"/>
    <w:rsid w:val="410A340F"/>
    <w:rsid w:val="41156D84"/>
    <w:rsid w:val="411A73CB"/>
    <w:rsid w:val="41214BFD"/>
    <w:rsid w:val="414032D5"/>
    <w:rsid w:val="4162149D"/>
    <w:rsid w:val="41635DB9"/>
    <w:rsid w:val="416B7CF1"/>
    <w:rsid w:val="416E7E42"/>
    <w:rsid w:val="41736541"/>
    <w:rsid w:val="41760AA5"/>
    <w:rsid w:val="41874A60"/>
    <w:rsid w:val="41AA0C03"/>
    <w:rsid w:val="41AA233E"/>
    <w:rsid w:val="41B45A71"/>
    <w:rsid w:val="41B64AD1"/>
    <w:rsid w:val="41B92566"/>
    <w:rsid w:val="41C6300E"/>
    <w:rsid w:val="41CF53FB"/>
    <w:rsid w:val="41DC3659"/>
    <w:rsid w:val="41E00614"/>
    <w:rsid w:val="41F06AA9"/>
    <w:rsid w:val="41F8770C"/>
    <w:rsid w:val="41FE425C"/>
    <w:rsid w:val="42072045"/>
    <w:rsid w:val="42091919"/>
    <w:rsid w:val="42132798"/>
    <w:rsid w:val="421A678E"/>
    <w:rsid w:val="422B630F"/>
    <w:rsid w:val="422C5607"/>
    <w:rsid w:val="422E312E"/>
    <w:rsid w:val="42380450"/>
    <w:rsid w:val="42415557"/>
    <w:rsid w:val="4249440B"/>
    <w:rsid w:val="424B6413"/>
    <w:rsid w:val="42523FFF"/>
    <w:rsid w:val="42554B5E"/>
    <w:rsid w:val="425D1C65"/>
    <w:rsid w:val="427032BB"/>
    <w:rsid w:val="427633FA"/>
    <w:rsid w:val="42764AD5"/>
    <w:rsid w:val="42982C9D"/>
    <w:rsid w:val="42A925FC"/>
    <w:rsid w:val="42C955C2"/>
    <w:rsid w:val="42D31F27"/>
    <w:rsid w:val="42F174FD"/>
    <w:rsid w:val="42F75C15"/>
    <w:rsid w:val="43194C1F"/>
    <w:rsid w:val="431E7646"/>
    <w:rsid w:val="432F53AF"/>
    <w:rsid w:val="433B01F8"/>
    <w:rsid w:val="433E6F44"/>
    <w:rsid w:val="433E7706"/>
    <w:rsid w:val="43424558"/>
    <w:rsid w:val="434966DD"/>
    <w:rsid w:val="438020AF"/>
    <w:rsid w:val="438211FC"/>
    <w:rsid w:val="43853221"/>
    <w:rsid w:val="438639AB"/>
    <w:rsid w:val="4387343D"/>
    <w:rsid w:val="438A4CDB"/>
    <w:rsid w:val="439176A5"/>
    <w:rsid w:val="439E0787"/>
    <w:rsid w:val="439E42E3"/>
    <w:rsid w:val="43AB7A8A"/>
    <w:rsid w:val="43AD2778"/>
    <w:rsid w:val="43B35DB6"/>
    <w:rsid w:val="43C006FD"/>
    <w:rsid w:val="43C26223"/>
    <w:rsid w:val="43D146B8"/>
    <w:rsid w:val="43D32522"/>
    <w:rsid w:val="43E73EDC"/>
    <w:rsid w:val="43E85D96"/>
    <w:rsid w:val="43E91A02"/>
    <w:rsid w:val="43EF2D90"/>
    <w:rsid w:val="43F90938"/>
    <w:rsid w:val="43F9776B"/>
    <w:rsid w:val="43FF55FF"/>
    <w:rsid w:val="4407632C"/>
    <w:rsid w:val="440B18C9"/>
    <w:rsid w:val="44166A5A"/>
    <w:rsid w:val="44280D42"/>
    <w:rsid w:val="44366A11"/>
    <w:rsid w:val="44507CD3"/>
    <w:rsid w:val="44564BBE"/>
    <w:rsid w:val="445B0426"/>
    <w:rsid w:val="44727C49"/>
    <w:rsid w:val="4475773A"/>
    <w:rsid w:val="447C53F1"/>
    <w:rsid w:val="448B0D0B"/>
    <w:rsid w:val="449556E6"/>
    <w:rsid w:val="449818C5"/>
    <w:rsid w:val="44A8366B"/>
    <w:rsid w:val="44B00772"/>
    <w:rsid w:val="44B403A0"/>
    <w:rsid w:val="44D501D8"/>
    <w:rsid w:val="44E65F41"/>
    <w:rsid w:val="44E95A32"/>
    <w:rsid w:val="44F3065E"/>
    <w:rsid w:val="45034D45"/>
    <w:rsid w:val="4508235C"/>
    <w:rsid w:val="450D755A"/>
    <w:rsid w:val="450E2B5C"/>
    <w:rsid w:val="450F36EA"/>
    <w:rsid w:val="451C1963"/>
    <w:rsid w:val="45394A3E"/>
    <w:rsid w:val="45397FCD"/>
    <w:rsid w:val="4545710C"/>
    <w:rsid w:val="454607EE"/>
    <w:rsid w:val="454D4212"/>
    <w:rsid w:val="45561319"/>
    <w:rsid w:val="45592BB7"/>
    <w:rsid w:val="455C4456"/>
    <w:rsid w:val="457B7A6B"/>
    <w:rsid w:val="45800144"/>
    <w:rsid w:val="45B1654F"/>
    <w:rsid w:val="45B9392A"/>
    <w:rsid w:val="45BF7797"/>
    <w:rsid w:val="45C269AF"/>
    <w:rsid w:val="45CA5863"/>
    <w:rsid w:val="45D65FB6"/>
    <w:rsid w:val="45EA7CB3"/>
    <w:rsid w:val="45F60406"/>
    <w:rsid w:val="45F91D99"/>
    <w:rsid w:val="46146ADE"/>
    <w:rsid w:val="4622744D"/>
    <w:rsid w:val="462E61DA"/>
    <w:rsid w:val="46307118"/>
    <w:rsid w:val="4639132E"/>
    <w:rsid w:val="465313B5"/>
    <w:rsid w:val="4654134D"/>
    <w:rsid w:val="46601D24"/>
    <w:rsid w:val="46607F75"/>
    <w:rsid w:val="46717A8D"/>
    <w:rsid w:val="468772B0"/>
    <w:rsid w:val="46AC31BB"/>
    <w:rsid w:val="46B2273B"/>
    <w:rsid w:val="46B9747D"/>
    <w:rsid w:val="46D06EA9"/>
    <w:rsid w:val="46EC63A6"/>
    <w:rsid w:val="47094169"/>
    <w:rsid w:val="471C7F42"/>
    <w:rsid w:val="47215957"/>
    <w:rsid w:val="47246288"/>
    <w:rsid w:val="472965B9"/>
    <w:rsid w:val="4766336A"/>
    <w:rsid w:val="47721D0E"/>
    <w:rsid w:val="47797541"/>
    <w:rsid w:val="477A6E15"/>
    <w:rsid w:val="478B23DE"/>
    <w:rsid w:val="478F28C0"/>
    <w:rsid w:val="47903C77"/>
    <w:rsid w:val="47941C85"/>
    <w:rsid w:val="479E2784"/>
    <w:rsid w:val="47BB54A9"/>
    <w:rsid w:val="47BC742D"/>
    <w:rsid w:val="47BE73FC"/>
    <w:rsid w:val="47C562E2"/>
    <w:rsid w:val="47CA7D9C"/>
    <w:rsid w:val="47DE14D9"/>
    <w:rsid w:val="47E032D7"/>
    <w:rsid w:val="47E04ECA"/>
    <w:rsid w:val="47E114F6"/>
    <w:rsid w:val="47E96E38"/>
    <w:rsid w:val="480149E2"/>
    <w:rsid w:val="480E5EDB"/>
    <w:rsid w:val="48153C8D"/>
    <w:rsid w:val="48160602"/>
    <w:rsid w:val="481922D5"/>
    <w:rsid w:val="48315726"/>
    <w:rsid w:val="483B2A48"/>
    <w:rsid w:val="485A1B16"/>
    <w:rsid w:val="4860425D"/>
    <w:rsid w:val="48855A71"/>
    <w:rsid w:val="48904B42"/>
    <w:rsid w:val="48A56114"/>
    <w:rsid w:val="48B65B6A"/>
    <w:rsid w:val="48C668F6"/>
    <w:rsid w:val="48D65B21"/>
    <w:rsid w:val="48DA1B79"/>
    <w:rsid w:val="48DD53FB"/>
    <w:rsid w:val="48E1539E"/>
    <w:rsid w:val="48FA020D"/>
    <w:rsid w:val="49014440"/>
    <w:rsid w:val="490326B0"/>
    <w:rsid w:val="49033566"/>
    <w:rsid w:val="49107A31"/>
    <w:rsid w:val="49133E94"/>
    <w:rsid w:val="491C14A9"/>
    <w:rsid w:val="49327CD0"/>
    <w:rsid w:val="49327E86"/>
    <w:rsid w:val="4937506D"/>
    <w:rsid w:val="4953791E"/>
    <w:rsid w:val="495851E9"/>
    <w:rsid w:val="49641B2B"/>
    <w:rsid w:val="497E2BEC"/>
    <w:rsid w:val="49832187"/>
    <w:rsid w:val="49832EC6"/>
    <w:rsid w:val="498B70B7"/>
    <w:rsid w:val="498D1081"/>
    <w:rsid w:val="499A379E"/>
    <w:rsid w:val="499A72FA"/>
    <w:rsid w:val="49AA1C33"/>
    <w:rsid w:val="49B303BC"/>
    <w:rsid w:val="49B7315D"/>
    <w:rsid w:val="49BE123B"/>
    <w:rsid w:val="49BF6D61"/>
    <w:rsid w:val="49C820BA"/>
    <w:rsid w:val="49CB1BAA"/>
    <w:rsid w:val="49CC2EDA"/>
    <w:rsid w:val="49CC7DFC"/>
    <w:rsid w:val="49D95ED1"/>
    <w:rsid w:val="49DA3B9B"/>
    <w:rsid w:val="49E2487A"/>
    <w:rsid w:val="49F16531"/>
    <w:rsid w:val="49FE5ADB"/>
    <w:rsid w:val="4A0B78AA"/>
    <w:rsid w:val="4A1452FF"/>
    <w:rsid w:val="4A1B48DF"/>
    <w:rsid w:val="4A1C3426"/>
    <w:rsid w:val="4A4C4A99"/>
    <w:rsid w:val="4A592677"/>
    <w:rsid w:val="4A5E47CC"/>
    <w:rsid w:val="4A633B90"/>
    <w:rsid w:val="4A71427F"/>
    <w:rsid w:val="4A7A2B5F"/>
    <w:rsid w:val="4A867782"/>
    <w:rsid w:val="4A881849"/>
    <w:rsid w:val="4A8F2BD7"/>
    <w:rsid w:val="4AAF6DD6"/>
    <w:rsid w:val="4ACE1952"/>
    <w:rsid w:val="4ADF53D0"/>
    <w:rsid w:val="4AEB42B2"/>
    <w:rsid w:val="4AF320B9"/>
    <w:rsid w:val="4B054C48"/>
    <w:rsid w:val="4B074E64"/>
    <w:rsid w:val="4B0B04B0"/>
    <w:rsid w:val="4B0C61BF"/>
    <w:rsid w:val="4B1331CA"/>
    <w:rsid w:val="4B25074D"/>
    <w:rsid w:val="4B3043BA"/>
    <w:rsid w:val="4B343D27"/>
    <w:rsid w:val="4B3B27D1"/>
    <w:rsid w:val="4B441C14"/>
    <w:rsid w:val="4B4A5F4D"/>
    <w:rsid w:val="4B517B93"/>
    <w:rsid w:val="4B6202EC"/>
    <w:rsid w:val="4B62209A"/>
    <w:rsid w:val="4B6422B6"/>
    <w:rsid w:val="4B863FDA"/>
    <w:rsid w:val="4B9A5CD8"/>
    <w:rsid w:val="4BA920F7"/>
    <w:rsid w:val="4BAA3667"/>
    <w:rsid w:val="4BB9615E"/>
    <w:rsid w:val="4BBC79FC"/>
    <w:rsid w:val="4BC14BB0"/>
    <w:rsid w:val="4BC92119"/>
    <w:rsid w:val="4BCB40E3"/>
    <w:rsid w:val="4BE33007"/>
    <w:rsid w:val="4BE60F1D"/>
    <w:rsid w:val="4BE7762B"/>
    <w:rsid w:val="4C13549C"/>
    <w:rsid w:val="4C247459"/>
    <w:rsid w:val="4C39729F"/>
    <w:rsid w:val="4C3E58C4"/>
    <w:rsid w:val="4C417F01"/>
    <w:rsid w:val="4C460B17"/>
    <w:rsid w:val="4C466C94"/>
    <w:rsid w:val="4C4D68A6"/>
    <w:rsid w:val="4C5477EB"/>
    <w:rsid w:val="4C612351"/>
    <w:rsid w:val="4C641089"/>
    <w:rsid w:val="4C6836E0"/>
    <w:rsid w:val="4C6E2B99"/>
    <w:rsid w:val="4C6F4A6E"/>
    <w:rsid w:val="4C724EDE"/>
    <w:rsid w:val="4C7D0850"/>
    <w:rsid w:val="4C83051A"/>
    <w:rsid w:val="4C8E75EA"/>
    <w:rsid w:val="4CB608EF"/>
    <w:rsid w:val="4CC22EB1"/>
    <w:rsid w:val="4CC76658"/>
    <w:rsid w:val="4CC823D1"/>
    <w:rsid w:val="4CDB65A8"/>
    <w:rsid w:val="4CE03BBE"/>
    <w:rsid w:val="4CEE1E37"/>
    <w:rsid w:val="4CF431C6"/>
    <w:rsid w:val="4D097879"/>
    <w:rsid w:val="4D1D096E"/>
    <w:rsid w:val="4D2515D1"/>
    <w:rsid w:val="4D3820A2"/>
    <w:rsid w:val="4D397FFF"/>
    <w:rsid w:val="4D3A5285"/>
    <w:rsid w:val="4D4001B9"/>
    <w:rsid w:val="4D450975"/>
    <w:rsid w:val="4D4A2E50"/>
    <w:rsid w:val="4D4C5F59"/>
    <w:rsid w:val="4D534390"/>
    <w:rsid w:val="4D625E3B"/>
    <w:rsid w:val="4D64659D"/>
    <w:rsid w:val="4D657D8E"/>
    <w:rsid w:val="4D8B58D8"/>
    <w:rsid w:val="4D926C66"/>
    <w:rsid w:val="4D98594B"/>
    <w:rsid w:val="4DAF534D"/>
    <w:rsid w:val="4DB469D7"/>
    <w:rsid w:val="4DB52C4D"/>
    <w:rsid w:val="4DD728CB"/>
    <w:rsid w:val="4DF82475"/>
    <w:rsid w:val="4DFC2C44"/>
    <w:rsid w:val="4DFF1E22"/>
    <w:rsid w:val="4E047438"/>
    <w:rsid w:val="4E4C234C"/>
    <w:rsid w:val="4E5008D0"/>
    <w:rsid w:val="4E516261"/>
    <w:rsid w:val="4E537616"/>
    <w:rsid w:val="4E5403C0"/>
    <w:rsid w:val="4E5A0E12"/>
    <w:rsid w:val="4E5B528D"/>
    <w:rsid w:val="4E5C54C6"/>
    <w:rsid w:val="4E5E7C38"/>
    <w:rsid w:val="4E6F4101"/>
    <w:rsid w:val="4E710F72"/>
    <w:rsid w:val="4E8972EB"/>
    <w:rsid w:val="4E9A405C"/>
    <w:rsid w:val="4EA76741"/>
    <w:rsid w:val="4EA83870"/>
    <w:rsid w:val="4EBC7D13"/>
    <w:rsid w:val="4EC15329"/>
    <w:rsid w:val="4EDB288F"/>
    <w:rsid w:val="4EDB4BC8"/>
    <w:rsid w:val="4EDE5EDB"/>
    <w:rsid w:val="4EE51E06"/>
    <w:rsid w:val="4EE72119"/>
    <w:rsid w:val="4EEA4880"/>
    <w:rsid w:val="4EF034BC"/>
    <w:rsid w:val="4EFC5D87"/>
    <w:rsid w:val="4EFE032C"/>
    <w:rsid w:val="4F1813ED"/>
    <w:rsid w:val="4F196F13"/>
    <w:rsid w:val="4F1D45B9"/>
    <w:rsid w:val="4F310701"/>
    <w:rsid w:val="4F350D03"/>
    <w:rsid w:val="4F42646A"/>
    <w:rsid w:val="4F4C1097"/>
    <w:rsid w:val="4F4F2935"/>
    <w:rsid w:val="4F674123"/>
    <w:rsid w:val="4F764780"/>
    <w:rsid w:val="4F7C5E20"/>
    <w:rsid w:val="4F885D2B"/>
    <w:rsid w:val="4F911547"/>
    <w:rsid w:val="4F986314"/>
    <w:rsid w:val="4FA26F09"/>
    <w:rsid w:val="4FA5088A"/>
    <w:rsid w:val="4FA62E9D"/>
    <w:rsid w:val="4FC77813"/>
    <w:rsid w:val="4FCC21D8"/>
    <w:rsid w:val="4FD9013F"/>
    <w:rsid w:val="4FEE65F2"/>
    <w:rsid w:val="50083210"/>
    <w:rsid w:val="50210776"/>
    <w:rsid w:val="502A587C"/>
    <w:rsid w:val="503009B9"/>
    <w:rsid w:val="50334005"/>
    <w:rsid w:val="503E1327"/>
    <w:rsid w:val="503F0BFC"/>
    <w:rsid w:val="5043693E"/>
    <w:rsid w:val="504A0043"/>
    <w:rsid w:val="504A7CCC"/>
    <w:rsid w:val="505B0F90"/>
    <w:rsid w:val="50632ECA"/>
    <w:rsid w:val="50680152"/>
    <w:rsid w:val="507E7856"/>
    <w:rsid w:val="50854B05"/>
    <w:rsid w:val="50972AC3"/>
    <w:rsid w:val="50A8054F"/>
    <w:rsid w:val="50BB2978"/>
    <w:rsid w:val="50C1440D"/>
    <w:rsid w:val="50C2636D"/>
    <w:rsid w:val="50C35389"/>
    <w:rsid w:val="50C64B87"/>
    <w:rsid w:val="50D70E34"/>
    <w:rsid w:val="50DB26D2"/>
    <w:rsid w:val="50DC644B"/>
    <w:rsid w:val="50DE0415"/>
    <w:rsid w:val="50E7551B"/>
    <w:rsid w:val="50E84DEF"/>
    <w:rsid w:val="50EA1D68"/>
    <w:rsid w:val="50EC7FE3"/>
    <w:rsid w:val="50F33EC0"/>
    <w:rsid w:val="50F43794"/>
    <w:rsid w:val="5103143F"/>
    <w:rsid w:val="510348BD"/>
    <w:rsid w:val="51044B29"/>
    <w:rsid w:val="510B65CE"/>
    <w:rsid w:val="510C4F82"/>
    <w:rsid w:val="510E0CFA"/>
    <w:rsid w:val="5110454F"/>
    <w:rsid w:val="512419C7"/>
    <w:rsid w:val="51277588"/>
    <w:rsid w:val="512A365A"/>
    <w:rsid w:val="513B13C3"/>
    <w:rsid w:val="51523EFE"/>
    <w:rsid w:val="51532BB1"/>
    <w:rsid w:val="515943BF"/>
    <w:rsid w:val="515C2CB6"/>
    <w:rsid w:val="515F7ECA"/>
    <w:rsid w:val="51735001"/>
    <w:rsid w:val="51786173"/>
    <w:rsid w:val="51791EEB"/>
    <w:rsid w:val="517F5754"/>
    <w:rsid w:val="51844B18"/>
    <w:rsid w:val="51A026B3"/>
    <w:rsid w:val="51AD4AC0"/>
    <w:rsid w:val="51B35153"/>
    <w:rsid w:val="51BE0A70"/>
    <w:rsid w:val="51DC4954"/>
    <w:rsid w:val="51DD247A"/>
    <w:rsid w:val="51E60AEB"/>
    <w:rsid w:val="51E67581"/>
    <w:rsid w:val="51F15F26"/>
    <w:rsid w:val="51FE042F"/>
    <w:rsid w:val="52043EAB"/>
    <w:rsid w:val="520D4018"/>
    <w:rsid w:val="521E31BF"/>
    <w:rsid w:val="522679F4"/>
    <w:rsid w:val="52350508"/>
    <w:rsid w:val="524D13AE"/>
    <w:rsid w:val="525210BA"/>
    <w:rsid w:val="5257222D"/>
    <w:rsid w:val="52727066"/>
    <w:rsid w:val="52821276"/>
    <w:rsid w:val="528B637A"/>
    <w:rsid w:val="529214B7"/>
    <w:rsid w:val="5294522F"/>
    <w:rsid w:val="529671F9"/>
    <w:rsid w:val="529B480F"/>
    <w:rsid w:val="52A35472"/>
    <w:rsid w:val="52AD62F0"/>
    <w:rsid w:val="52AE4D91"/>
    <w:rsid w:val="52B16251"/>
    <w:rsid w:val="52B458D1"/>
    <w:rsid w:val="52BB569C"/>
    <w:rsid w:val="52C13DE8"/>
    <w:rsid w:val="52CF270B"/>
    <w:rsid w:val="52D61424"/>
    <w:rsid w:val="52DC2732"/>
    <w:rsid w:val="52EE0A88"/>
    <w:rsid w:val="52F12681"/>
    <w:rsid w:val="52F83A10"/>
    <w:rsid w:val="53095C1D"/>
    <w:rsid w:val="5311687F"/>
    <w:rsid w:val="532B7CFC"/>
    <w:rsid w:val="533C1FF3"/>
    <w:rsid w:val="53476745"/>
    <w:rsid w:val="536410A5"/>
    <w:rsid w:val="53760DD8"/>
    <w:rsid w:val="537C0F42"/>
    <w:rsid w:val="538E6122"/>
    <w:rsid w:val="5396336E"/>
    <w:rsid w:val="539B1FEC"/>
    <w:rsid w:val="53A56FC8"/>
    <w:rsid w:val="53BF0089"/>
    <w:rsid w:val="53BF62DB"/>
    <w:rsid w:val="53C03E02"/>
    <w:rsid w:val="53C27B7A"/>
    <w:rsid w:val="53C441A7"/>
    <w:rsid w:val="53E775E0"/>
    <w:rsid w:val="53EF085D"/>
    <w:rsid w:val="53FF492A"/>
    <w:rsid w:val="54047867"/>
    <w:rsid w:val="54210D44"/>
    <w:rsid w:val="54324CFF"/>
    <w:rsid w:val="543C455E"/>
    <w:rsid w:val="544E5391"/>
    <w:rsid w:val="545D2668"/>
    <w:rsid w:val="54640C31"/>
    <w:rsid w:val="547215A0"/>
    <w:rsid w:val="5477021B"/>
    <w:rsid w:val="547F3CBD"/>
    <w:rsid w:val="54854C0B"/>
    <w:rsid w:val="54857525"/>
    <w:rsid w:val="548E5CAE"/>
    <w:rsid w:val="54972DB4"/>
    <w:rsid w:val="54B5148C"/>
    <w:rsid w:val="54B716A8"/>
    <w:rsid w:val="54B81694"/>
    <w:rsid w:val="54BC6CBF"/>
    <w:rsid w:val="54BF0B57"/>
    <w:rsid w:val="54C92A81"/>
    <w:rsid w:val="54ED3248"/>
    <w:rsid w:val="54F36B90"/>
    <w:rsid w:val="54F47E52"/>
    <w:rsid w:val="550E3200"/>
    <w:rsid w:val="55222FC6"/>
    <w:rsid w:val="554743D2"/>
    <w:rsid w:val="55502851"/>
    <w:rsid w:val="5555739E"/>
    <w:rsid w:val="55651104"/>
    <w:rsid w:val="5579508C"/>
    <w:rsid w:val="558422A5"/>
    <w:rsid w:val="55AC0AE1"/>
    <w:rsid w:val="55B55BE8"/>
    <w:rsid w:val="55C37BD9"/>
    <w:rsid w:val="55C62214"/>
    <w:rsid w:val="55D50038"/>
    <w:rsid w:val="55DE2F29"/>
    <w:rsid w:val="55E22755"/>
    <w:rsid w:val="55E517F1"/>
    <w:rsid w:val="55EA175E"/>
    <w:rsid w:val="55F24813"/>
    <w:rsid w:val="55F304BE"/>
    <w:rsid w:val="55F85B58"/>
    <w:rsid w:val="5609560D"/>
    <w:rsid w:val="560E52F8"/>
    <w:rsid w:val="5612303A"/>
    <w:rsid w:val="562B73C9"/>
    <w:rsid w:val="5640680F"/>
    <w:rsid w:val="5641208E"/>
    <w:rsid w:val="56565961"/>
    <w:rsid w:val="566F4E48"/>
    <w:rsid w:val="568602D2"/>
    <w:rsid w:val="568A3CC6"/>
    <w:rsid w:val="568E6439"/>
    <w:rsid w:val="569B7451"/>
    <w:rsid w:val="569D042A"/>
    <w:rsid w:val="56AF5A31"/>
    <w:rsid w:val="56B37C4E"/>
    <w:rsid w:val="56B54AE7"/>
    <w:rsid w:val="56CC5A3F"/>
    <w:rsid w:val="56D71B8E"/>
    <w:rsid w:val="56FB3ACE"/>
    <w:rsid w:val="57014E5D"/>
    <w:rsid w:val="57067CC1"/>
    <w:rsid w:val="570A3D11"/>
    <w:rsid w:val="570D68CF"/>
    <w:rsid w:val="571526B6"/>
    <w:rsid w:val="571670D4"/>
    <w:rsid w:val="57193F55"/>
    <w:rsid w:val="571C6B19"/>
    <w:rsid w:val="57256D9D"/>
    <w:rsid w:val="57371141"/>
    <w:rsid w:val="5738327B"/>
    <w:rsid w:val="57390153"/>
    <w:rsid w:val="573963A5"/>
    <w:rsid w:val="57437223"/>
    <w:rsid w:val="574511ED"/>
    <w:rsid w:val="57527466"/>
    <w:rsid w:val="576F1DC6"/>
    <w:rsid w:val="577675F9"/>
    <w:rsid w:val="577D0987"/>
    <w:rsid w:val="578357F2"/>
    <w:rsid w:val="578D600F"/>
    <w:rsid w:val="57AB4705"/>
    <w:rsid w:val="57AC2359"/>
    <w:rsid w:val="57B343A9"/>
    <w:rsid w:val="57C245EC"/>
    <w:rsid w:val="57DA2C14"/>
    <w:rsid w:val="57E63BF7"/>
    <w:rsid w:val="57E900DB"/>
    <w:rsid w:val="57FA5FD2"/>
    <w:rsid w:val="5809221B"/>
    <w:rsid w:val="581666E6"/>
    <w:rsid w:val="58276B45"/>
    <w:rsid w:val="58296419"/>
    <w:rsid w:val="582D3BE8"/>
    <w:rsid w:val="58586CFE"/>
    <w:rsid w:val="5861075E"/>
    <w:rsid w:val="587020A4"/>
    <w:rsid w:val="58767B37"/>
    <w:rsid w:val="587E5B38"/>
    <w:rsid w:val="58801DB1"/>
    <w:rsid w:val="58823D7B"/>
    <w:rsid w:val="58871392"/>
    <w:rsid w:val="58896C6A"/>
    <w:rsid w:val="589720B6"/>
    <w:rsid w:val="58C60DFE"/>
    <w:rsid w:val="58C83E84"/>
    <w:rsid w:val="58F05189"/>
    <w:rsid w:val="590D7AE9"/>
    <w:rsid w:val="59167547"/>
    <w:rsid w:val="59183582"/>
    <w:rsid w:val="591C71A8"/>
    <w:rsid w:val="59575208"/>
    <w:rsid w:val="59710D24"/>
    <w:rsid w:val="5980693E"/>
    <w:rsid w:val="59853B23"/>
    <w:rsid w:val="59876471"/>
    <w:rsid w:val="5987789B"/>
    <w:rsid w:val="598B6C60"/>
    <w:rsid w:val="599853F9"/>
    <w:rsid w:val="59AF6DF2"/>
    <w:rsid w:val="59B605EE"/>
    <w:rsid w:val="59BD32BD"/>
    <w:rsid w:val="59E44CEE"/>
    <w:rsid w:val="59EF71EF"/>
    <w:rsid w:val="5A001D7C"/>
    <w:rsid w:val="5A0A61CB"/>
    <w:rsid w:val="5A1137EC"/>
    <w:rsid w:val="5A144EA7"/>
    <w:rsid w:val="5A3410A5"/>
    <w:rsid w:val="5A364E7A"/>
    <w:rsid w:val="5A413A7D"/>
    <w:rsid w:val="5A4B6B1B"/>
    <w:rsid w:val="5A557999"/>
    <w:rsid w:val="5A5A124E"/>
    <w:rsid w:val="5A5A51FD"/>
    <w:rsid w:val="5A5F6122"/>
    <w:rsid w:val="5A7476F4"/>
    <w:rsid w:val="5A7E3EBC"/>
    <w:rsid w:val="5A8042EB"/>
    <w:rsid w:val="5A871B1D"/>
    <w:rsid w:val="5A875679"/>
    <w:rsid w:val="5A89319F"/>
    <w:rsid w:val="5A8E79AB"/>
    <w:rsid w:val="5A940FDE"/>
    <w:rsid w:val="5A971D60"/>
    <w:rsid w:val="5AA21B93"/>
    <w:rsid w:val="5AB3646E"/>
    <w:rsid w:val="5ABD0186"/>
    <w:rsid w:val="5AC5005A"/>
    <w:rsid w:val="5ACE2385"/>
    <w:rsid w:val="5ADA7E9F"/>
    <w:rsid w:val="5AED76EB"/>
    <w:rsid w:val="5AF2343A"/>
    <w:rsid w:val="5B045EB1"/>
    <w:rsid w:val="5B066A5F"/>
    <w:rsid w:val="5B070568"/>
    <w:rsid w:val="5B072F91"/>
    <w:rsid w:val="5B0D3DD0"/>
    <w:rsid w:val="5B163C88"/>
    <w:rsid w:val="5B1A5DBB"/>
    <w:rsid w:val="5B264E92"/>
    <w:rsid w:val="5B3F7D02"/>
    <w:rsid w:val="5B4D0671"/>
    <w:rsid w:val="5B6A7475"/>
    <w:rsid w:val="5B6E2B54"/>
    <w:rsid w:val="5B755624"/>
    <w:rsid w:val="5B773B42"/>
    <w:rsid w:val="5B7C71A8"/>
    <w:rsid w:val="5B9F7BC4"/>
    <w:rsid w:val="5BA97484"/>
    <w:rsid w:val="5BAB5397"/>
    <w:rsid w:val="5BAC35E9"/>
    <w:rsid w:val="5BAF4E87"/>
    <w:rsid w:val="5BB24978"/>
    <w:rsid w:val="5BC36B85"/>
    <w:rsid w:val="5BDC72D8"/>
    <w:rsid w:val="5BE427E9"/>
    <w:rsid w:val="5BED59B0"/>
    <w:rsid w:val="5C07081F"/>
    <w:rsid w:val="5C074CC3"/>
    <w:rsid w:val="5C0A0310"/>
    <w:rsid w:val="5C0D1686"/>
    <w:rsid w:val="5C0F2BFF"/>
    <w:rsid w:val="5C227C2E"/>
    <w:rsid w:val="5C270EC2"/>
    <w:rsid w:val="5C273E95"/>
    <w:rsid w:val="5C284A34"/>
    <w:rsid w:val="5C3929A3"/>
    <w:rsid w:val="5C533A65"/>
    <w:rsid w:val="5C5A1A53"/>
    <w:rsid w:val="5C5B500F"/>
    <w:rsid w:val="5C78796F"/>
    <w:rsid w:val="5C7A36E7"/>
    <w:rsid w:val="5C7B745F"/>
    <w:rsid w:val="5C7D248A"/>
    <w:rsid w:val="5C805DFE"/>
    <w:rsid w:val="5C910A31"/>
    <w:rsid w:val="5C9A78E6"/>
    <w:rsid w:val="5CA3087F"/>
    <w:rsid w:val="5CC606DB"/>
    <w:rsid w:val="5CC6692D"/>
    <w:rsid w:val="5CDB424F"/>
    <w:rsid w:val="5CDD3C76"/>
    <w:rsid w:val="5CE172C2"/>
    <w:rsid w:val="5CE2303B"/>
    <w:rsid w:val="5CE63DA4"/>
    <w:rsid w:val="5CFC7D64"/>
    <w:rsid w:val="5CFF1E3E"/>
    <w:rsid w:val="5D121B72"/>
    <w:rsid w:val="5D1C4638"/>
    <w:rsid w:val="5D236628"/>
    <w:rsid w:val="5D2E4F87"/>
    <w:rsid w:val="5D445AA3"/>
    <w:rsid w:val="5D7C6FEB"/>
    <w:rsid w:val="5D7E2D63"/>
    <w:rsid w:val="5D885990"/>
    <w:rsid w:val="5DAB5B22"/>
    <w:rsid w:val="5DB1138B"/>
    <w:rsid w:val="5DBD6EF0"/>
    <w:rsid w:val="5DC05B6C"/>
    <w:rsid w:val="5DC67D61"/>
    <w:rsid w:val="5E1216FE"/>
    <w:rsid w:val="5E13627E"/>
    <w:rsid w:val="5E231BA8"/>
    <w:rsid w:val="5E28102D"/>
    <w:rsid w:val="5E2E29DB"/>
    <w:rsid w:val="5E3577AE"/>
    <w:rsid w:val="5E8C0BF6"/>
    <w:rsid w:val="5E916AC6"/>
    <w:rsid w:val="5E9A1E1F"/>
    <w:rsid w:val="5EA57C17"/>
    <w:rsid w:val="5EB3311C"/>
    <w:rsid w:val="5EB427B5"/>
    <w:rsid w:val="5EC450EE"/>
    <w:rsid w:val="5EC7073A"/>
    <w:rsid w:val="5EEE7526"/>
    <w:rsid w:val="5F011C07"/>
    <w:rsid w:val="5F0545C8"/>
    <w:rsid w:val="5F2B0CC9"/>
    <w:rsid w:val="5F367EFB"/>
    <w:rsid w:val="5F39296D"/>
    <w:rsid w:val="5F4678B1"/>
    <w:rsid w:val="5F7C38D5"/>
    <w:rsid w:val="5F846E03"/>
    <w:rsid w:val="5F8A1E93"/>
    <w:rsid w:val="5F9A6465"/>
    <w:rsid w:val="5F9A7BFD"/>
    <w:rsid w:val="5FAB74A0"/>
    <w:rsid w:val="5FC03B07"/>
    <w:rsid w:val="5FC865E5"/>
    <w:rsid w:val="5FD2383A"/>
    <w:rsid w:val="5FDE21DF"/>
    <w:rsid w:val="5FE62E42"/>
    <w:rsid w:val="5FE86BBA"/>
    <w:rsid w:val="5FED28FE"/>
    <w:rsid w:val="5FF92B75"/>
    <w:rsid w:val="5FFE462F"/>
    <w:rsid w:val="600A2FD4"/>
    <w:rsid w:val="600A6B30"/>
    <w:rsid w:val="60116111"/>
    <w:rsid w:val="60145C01"/>
    <w:rsid w:val="602D6CC3"/>
    <w:rsid w:val="60326060"/>
    <w:rsid w:val="6054424F"/>
    <w:rsid w:val="60597AB8"/>
    <w:rsid w:val="60622526"/>
    <w:rsid w:val="607034DD"/>
    <w:rsid w:val="608A7C71"/>
    <w:rsid w:val="608F3E7C"/>
    <w:rsid w:val="60940AF0"/>
    <w:rsid w:val="609D79A4"/>
    <w:rsid w:val="60A56859"/>
    <w:rsid w:val="60A725D1"/>
    <w:rsid w:val="60AC7BE7"/>
    <w:rsid w:val="60AF592A"/>
    <w:rsid w:val="60C2550E"/>
    <w:rsid w:val="60CD7D73"/>
    <w:rsid w:val="60D31D71"/>
    <w:rsid w:val="60D3786A"/>
    <w:rsid w:val="60D63EE6"/>
    <w:rsid w:val="60D94755"/>
    <w:rsid w:val="60DA190E"/>
    <w:rsid w:val="60E23609"/>
    <w:rsid w:val="60EF08C9"/>
    <w:rsid w:val="60EF5D26"/>
    <w:rsid w:val="60F83D92"/>
    <w:rsid w:val="610D7308"/>
    <w:rsid w:val="61151C31"/>
    <w:rsid w:val="61165BEF"/>
    <w:rsid w:val="611D2893"/>
    <w:rsid w:val="61291238"/>
    <w:rsid w:val="61346F25"/>
    <w:rsid w:val="613D2F35"/>
    <w:rsid w:val="613F6CAD"/>
    <w:rsid w:val="615F2EAC"/>
    <w:rsid w:val="6160048A"/>
    <w:rsid w:val="61630BEE"/>
    <w:rsid w:val="61733CD6"/>
    <w:rsid w:val="61751E4D"/>
    <w:rsid w:val="618078E7"/>
    <w:rsid w:val="61810BB9"/>
    <w:rsid w:val="61845F23"/>
    <w:rsid w:val="61850081"/>
    <w:rsid w:val="619C4100"/>
    <w:rsid w:val="619F774C"/>
    <w:rsid w:val="61A30FEA"/>
    <w:rsid w:val="61AF3E33"/>
    <w:rsid w:val="61B72CE8"/>
    <w:rsid w:val="61DA0784"/>
    <w:rsid w:val="61E44F1F"/>
    <w:rsid w:val="61E6537B"/>
    <w:rsid w:val="61E74859"/>
    <w:rsid w:val="61F47A98"/>
    <w:rsid w:val="61F71336"/>
    <w:rsid w:val="61FC06FB"/>
    <w:rsid w:val="62037CDB"/>
    <w:rsid w:val="62043CB1"/>
    <w:rsid w:val="62084A6A"/>
    <w:rsid w:val="621243C2"/>
    <w:rsid w:val="621F2000"/>
    <w:rsid w:val="62267D49"/>
    <w:rsid w:val="622D4D58"/>
    <w:rsid w:val="622F6D22"/>
    <w:rsid w:val="623054B0"/>
    <w:rsid w:val="6232236E"/>
    <w:rsid w:val="623563AE"/>
    <w:rsid w:val="623606C6"/>
    <w:rsid w:val="623C143F"/>
    <w:rsid w:val="62400DDA"/>
    <w:rsid w:val="62456545"/>
    <w:rsid w:val="625E6E3F"/>
    <w:rsid w:val="62604565"/>
    <w:rsid w:val="6263077A"/>
    <w:rsid w:val="626544F2"/>
    <w:rsid w:val="62685D90"/>
    <w:rsid w:val="626C5880"/>
    <w:rsid w:val="62724EC0"/>
    <w:rsid w:val="62730D97"/>
    <w:rsid w:val="627715C0"/>
    <w:rsid w:val="6283706E"/>
    <w:rsid w:val="62894684"/>
    <w:rsid w:val="628C1A7E"/>
    <w:rsid w:val="629F6A6C"/>
    <w:rsid w:val="62A212A2"/>
    <w:rsid w:val="62A50D92"/>
    <w:rsid w:val="62BA71DD"/>
    <w:rsid w:val="62C073FA"/>
    <w:rsid w:val="62C21041"/>
    <w:rsid w:val="62C31A1B"/>
    <w:rsid w:val="62C3746A"/>
    <w:rsid w:val="62CC4571"/>
    <w:rsid w:val="62E278F0"/>
    <w:rsid w:val="62E33669"/>
    <w:rsid w:val="62E73159"/>
    <w:rsid w:val="62E82FD3"/>
    <w:rsid w:val="62EC69C1"/>
    <w:rsid w:val="62EF200D"/>
    <w:rsid w:val="630352C8"/>
    <w:rsid w:val="63041F5D"/>
    <w:rsid w:val="630A5099"/>
    <w:rsid w:val="63144A9E"/>
    <w:rsid w:val="631B2082"/>
    <w:rsid w:val="631F4D38"/>
    <w:rsid w:val="63251B06"/>
    <w:rsid w:val="632B573B"/>
    <w:rsid w:val="63310878"/>
    <w:rsid w:val="63352116"/>
    <w:rsid w:val="63377A7A"/>
    <w:rsid w:val="634265E1"/>
    <w:rsid w:val="63471E49"/>
    <w:rsid w:val="6353259C"/>
    <w:rsid w:val="63594A8A"/>
    <w:rsid w:val="635976C3"/>
    <w:rsid w:val="63770981"/>
    <w:rsid w:val="638022E2"/>
    <w:rsid w:val="6381535B"/>
    <w:rsid w:val="63860E8D"/>
    <w:rsid w:val="63870498"/>
    <w:rsid w:val="63911317"/>
    <w:rsid w:val="63A63014"/>
    <w:rsid w:val="63AE011A"/>
    <w:rsid w:val="63B05C41"/>
    <w:rsid w:val="63B21468"/>
    <w:rsid w:val="63B82D47"/>
    <w:rsid w:val="63C94F54"/>
    <w:rsid w:val="63D77671"/>
    <w:rsid w:val="63E47698"/>
    <w:rsid w:val="63EE2B85"/>
    <w:rsid w:val="63EF49BB"/>
    <w:rsid w:val="6404589F"/>
    <w:rsid w:val="641206A9"/>
    <w:rsid w:val="641309B4"/>
    <w:rsid w:val="64143FA1"/>
    <w:rsid w:val="642467B0"/>
    <w:rsid w:val="64287ECD"/>
    <w:rsid w:val="642B3519"/>
    <w:rsid w:val="642D3D62"/>
    <w:rsid w:val="642F3009"/>
    <w:rsid w:val="643E4FFA"/>
    <w:rsid w:val="644545DB"/>
    <w:rsid w:val="645C1924"/>
    <w:rsid w:val="646D3132"/>
    <w:rsid w:val="6472739A"/>
    <w:rsid w:val="647924D6"/>
    <w:rsid w:val="648275DD"/>
    <w:rsid w:val="648844C8"/>
    <w:rsid w:val="64893EE4"/>
    <w:rsid w:val="64A32C6A"/>
    <w:rsid w:val="64B33C3A"/>
    <w:rsid w:val="64B81251"/>
    <w:rsid w:val="64BA11E3"/>
    <w:rsid w:val="64C01EB3"/>
    <w:rsid w:val="64CA2D32"/>
    <w:rsid w:val="64DD2A65"/>
    <w:rsid w:val="64DD319A"/>
    <w:rsid w:val="64E85DEA"/>
    <w:rsid w:val="64F13D73"/>
    <w:rsid w:val="64FC15ED"/>
    <w:rsid w:val="6509512B"/>
    <w:rsid w:val="65110961"/>
    <w:rsid w:val="65197815"/>
    <w:rsid w:val="651F45B8"/>
    <w:rsid w:val="65266274"/>
    <w:rsid w:val="654241CF"/>
    <w:rsid w:val="65562818"/>
    <w:rsid w:val="65570BC6"/>
    <w:rsid w:val="655A1441"/>
    <w:rsid w:val="655F347A"/>
    <w:rsid w:val="6569254B"/>
    <w:rsid w:val="656B62C3"/>
    <w:rsid w:val="656D3CD1"/>
    <w:rsid w:val="657D7DA4"/>
    <w:rsid w:val="658362FC"/>
    <w:rsid w:val="65861857"/>
    <w:rsid w:val="6589499B"/>
    <w:rsid w:val="659B647C"/>
    <w:rsid w:val="659D0447"/>
    <w:rsid w:val="65AC068A"/>
    <w:rsid w:val="65AE6FB6"/>
    <w:rsid w:val="65B006F3"/>
    <w:rsid w:val="65C75519"/>
    <w:rsid w:val="65D025CA"/>
    <w:rsid w:val="65D200F0"/>
    <w:rsid w:val="65DF45BB"/>
    <w:rsid w:val="65E676F8"/>
    <w:rsid w:val="65E971E8"/>
    <w:rsid w:val="65F31D9F"/>
    <w:rsid w:val="65F55B8D"/>
    <w:rsid w:val="660758C0"/>
    <w:rsid w:val="66081D64"/>
    <w:rsid w:val="66265470"/>
    <w:rsid w:val="66280ED6"/>
    <w:rsid w:val="662A7F2C"/>
    <w:rsid w:val="66453FD5"/>
    <w:rsid w:val="6646463A"/>
    <w:rsid w:val="66486604"/>
    <w:rsid w:val="66573403"/>
    <w:rsid w:val="66612AFE"/>
    <w:rsid w:val="666845B1"/>
    <w:rsid w:val="666A01B5"/>
    <w:rsid w:val="668D4017"/>
    <w:rsid w:val="6691124C"/>
    <w:rsid w:val="66AE1605"/>
    <w:rsid w:val="66DC6D4D"/>
    <w:rsid w:val="66DE2AC5"/>
    <w:rsid w:val="66E225B5"/>
    <w:rsid w:val="66EA3218"/>
    <w:rsid w:val="66EE2460"/>
    <w:rsid w:val="66F61BBC"/>
    <w:rsid w:val="66F67E0E"/>
    <w:rsid w:val="67006EDF"/>
    <w:rsid w:val="67024A05"/>
    <w:rsid w:val="670F0ED0"/>
    <w:rsid w:val="67141D0B"/>
    <w:rsid w:val="672114F8"/>
    <w:rsid w:val="6732696D"/>
    <w:rsid w:val="673E1CC7"/>
    <w:rsid w:val="673E5311"/>
    <w:rsid w:val="674548F2"/>
    <w:rsid w:val="674C7100"/>
    <w:rsid w:val="67554111"/>
    <w:rsid w:val="676E3E49"/>
    <w:rsid w:val="677C174D"/>
    <w:rsid w:val="678C0773"/>
    <w:rsid w:val="679413D5"/>
    <w:rsid w:val="67987117"/>
    <w:rsid w:val="679F2254"/>
    <w:rsid w:val="67AC671F"/>
    <w:rsid w:val="67C1666E"/>
    <w:rsid w:val="67CE2B39"/>
    <w:rsid w:val="67D85766"/>
    <w:rsid w:val="67DF4D46"/>
    <w:rsid w:val="67E1461B"/>
    <w:rsid w:val="67E92EA9"/>
    <w:rsid w:val="68024591"/>
    <w:rsid w:val="680D3662"/>
    <w:rsid w:val="681A7B2C"/>
    <w:rsid w:val="682236F5"/>
    <w:rsid w:val="68444BA9"/>
    <w:rsid w:val="684626D0"/>
    <w:rsid w:val="68497369"/>
    <w:rsid w:val="68541290"/>
    <w:rsid w:val="6856186B"/>
    <w:rsid w:val="685748DD"/>
    <w:rsid w:val="6888718C"/>
    <w:rsid w:val="688F051A"/>
    <w:rsid w:val="689063CF"/>
    <w:rsid w:val="689478DF"/>
    <w:rsid w:val="68A112AF"/>
    <w:rsid w:val="68AD09A1"/>
    <w:rsid w:val="68D26659"/>
    <w:rsid w:val="68E72104"/>
    <w:rsid w:val="68E85E7D"/>
    <w:rsid w:val="68F0088D"/>
    <w:rsid w:val="68FD1C09"/>
    <w:rsid w:val="69012A9A"/>
    <w:rsid w:val="69021FA8"/>
    <w:rsid w:val="690A7BA1"/>
    <w:rsid w:val="69232124"/>
    <w:rsid w:val="69313380"/>
    <w:rsid w:val="693764BC"/>
    <w:rsid w:val="693B3C03"/>
    <w:rsid w:val="693C5C0C"/>
    <w:rsid w:val="694974FD"/>
    <w:rsid w:val="69532A03"/>
    <w:rsid w:val="6954706E"/>
    <w:rsid w:val="696F1F2A"/>
    <w:rsid w:val="69794D27"/>
    <w:rsid w:val="698060B5"/>
    <w:rsid w:val="698D6660"/>
    <w:rsid w:val="698D6C59"/>
    <w:rsid w:val="69931944"/>
    <w:rsid w:val="699E02E9"/>
    <w:rsid w:val="69A16971"/>
    <w:rsid w:val="69AE2C22"/>
    <w:rsid w:val="69B80FA9"/>
    <w:rsid w:val="69C51D1A"/>
    <w:rsid w:val="69C75A92"/>
    <w:rsid w:val="69D07E37"/>
    <w:rsid w:val="69D871E5"/>
    <w:rsid w:val="69E00902"/>
    <w:rsid w:val="69E2467A"/>
    <w:rsid w:val="69E30726"/>
    <w:rsid w:val="69E63D52"/>
    <w:rsid w:val="69E80549"/>
    <w:rsid w:val="69EA149B"/>
    <w:rsid w:val="69EA4DEB"/>
    <w:rsid w:val="69EC6364"/>
    <w:rsid w:val="69FA5E67"/>
    <w:rsid w:val="69FC1C8E"/>
    <w:rsid w:val="69FD3262"/>
    <w:rsid w:val="69FD3B9A"/>
    <w:rsid w:val="6A057F2C"/>
    <w:rsid w:val="6A2F0853"/>
    <w:rsid w:val="6A4175F2"/>
    <w:rsid w:val="6A5C2459"/>
    <w:rsid w:val="6A6257BB"/>
    <w:rsid w:val="6A721EA2"/>
    <w:rsid w:val="6A75729C"/>
    <w:rsid w:val="6A773014"/>
    <w:rsid w:val="6A795B01"/>
    <w:rsid w:val="6A7F636D"/>
    <w:rsid w:val="6A885221"/>
    <w:rsid w:val="6A894A25"/>
    <w:rsid w:val="6A8D4C80"/>
    <w:rsid w:val="6A997812"/>
    <w:rsid w:val="6AB0249B"/>
    <w:rsid w:val="6AB778B5"/>
    <w:rsid w:val="6AB97690"/>
    <w:rsid w:val="6ABA73A5"/>
    <w:rsid w:val="6AC77447"/>
    <w:rsid w:val="6AE0139C"/>
    <w:rsid w:val="6AE4490D"/>
    <w:rsid w:val="6AF208ED"/>
    <w:rsid w:val="6B1A4EE6"/>
    <w:rsid w:val="6B2036AC"/>
    <w:rsid w:val="6B207439"/>
    <w:rsid w:val="6B351850"/>
    <w:rsid w:val="6B3C5138"/>
    <w:rsid w:val="6B3E4ABF"/>
    <w:rsid w:val="6B481462"/>
    <w:rsid w:val="6B484828"/>
    <w:rsid w:val="6B4A0729"/>
    <w:rsid w:val="6B4A24D7"/>
    <w:rsid w:val="6B5275DD"/>
    <w:rsid w:val="6B807383"/>
    <w:rsid w:val="6BA240C1"/>
    <w:rsid w:val="6BA75920"/>
    <w:rsid w:val="6BB513B4"/>
    <w:rsid w:val="6BB90FAB"/>
    <w:rsid w:val="6BBA7E94"/>
    <w:rsid w:val="6BC4672D"/>
    <w:rsid w:val="6BC93D43"/>
    <w:rsid w:val="6BCE3108"/>
    <w:rsid w:val="6BD10E4A"/>
    <w:rsid w:val="6BD12BF8"/>
    <w:rsid w:val="6BD43284"/>
    <w:rsid w:val="6BDB5825"/>
    <w:rsid w:val="6BE02E60"/>
    <w:rsid w:val="6BF40694"/>
    <w:rsid w:val="6C007039"/>
    <w:rsid w:val="6C223454"/>
    <w:rsid w:val="6C262F44"/>
    <w:rsid w:val="6C417D7E"/>
    <w:rsid w:val="6C4B29AA"/>
    <w:rsid w:val="6C557385"/>
    <w:rsid w:val="6C5A499B"/>
    <w:rsid w:val="6C6677E4"/>
    <w:rsid w:val="6C764577"/>
    <w:rsid w:val="6C7A2185"/>
    <w:rsid w:val="6C7D4B2E"/>
    <w:rsid w:val="6C8B2DA7"/>
    <w:rsid w:val="6C8D2FC3"/>
    <w:rsid w:val="6CA65E33"/>
    <w:rsid w:val="6CAE6A95"/>
    <w:rsid w:val="6CB00A5F"/>
    <w:rsid w:val="6CB73B9C"/>
    <w:rsid w:val="6CD2544E"/>
    <w:rsid w:val="6CD72490"/>
    <w:rsid w:val="6CDC7AA6"/>
    <w:rsid w:val="6D0019E7"/>
    <w:rsid w:val="6D050DAB"/>
    <w:rsid w:val="6D062D75"/>
    <w:rsid w:val="6D0843F7"/>
    <w:rsid w:val="6D1504AB"/>
    <w:rsid w:val="6D167FCA"/>
    <w:rsid w:val="6D201BB4"/>
    <w:rsid w:val="6D244414"/>
    <w:rsid w:val="6D25144D"/>
    <w:rsid w:val="6D2A0812"/>
    <w:rsid w:val="6D386DDF"/>
    <w:rsid w:val="6D394EF9"/>
    <w:rsid w:val="6D400035"/>
    <w:rsid w:val="6D437B25"/>
    <w:rsid w:val="6D6064C5"/>
    <w:rsid w:val="6D633D24"/>
    <w:rsid w:val="6D731584"/>
    <w:rsid w:val="6D8141AA"/>
    <w:rsid w:val="6D8473FC"/>
    <w:rsid w:val="6D8D2B4F"/>
    <w:rsid w:val="6D920165"/>
    <w:rsid w:val="6D96027F"/>
    <w:rsid w:val="6DA00AD4"/>
    <w:rsid w:val="6DB037F2"/>
    <w:rsid w:val="6DC04CD2"/>
    <w:rsid w:val="6DFB3F5C"/>
    <w:rsid w:val="6DFB5D0A"/>
    <w:rsid w:val="6E20779E"/>
    <w:rsid w:val="6E2434B3"/>
    <w:rsid w:val="6E246A10"/>
    <w:rsid w:val="6E262802"/>
    <w:rsid w:val="6E3041D1"/>
    <w:rsid w:val="6E316BBC"/>
    <w:rsid w:val="6E3631E6"/>
    <w:rsid w:val="6E4E6782"/>
    <w:rsid w:val="6E535B46"/>
    <w:rsid w:val="6E775CD9"/>
    <w:rsid w:val="6E861409"/>
    <w:rsid w:val="6E8B4399"/>
    <w:rsid w:val="6E9758D2"/>
    <w:rsid w:val="6E9A19C7"/>
    <w:rsid w:val="6EA45A0E"/>
    <w:rsid w:val="6EAB5982"/>
    <w:rsid w:val="6EC261BD"/>
    <w:rsid w:val="6EE06D62"/>
    <w:rsid w:val="6EE82732"/>
    <w:rsid w:val="6EED0DE1"/>
    <w:rsid w:val="6EFA4214"/>
    <w:rsid w:val="6EFB5F66"/>
    <w:rsid w:val="6F0B4673"/>
    <w:rsid w:val="6F0D0399"/>
    <w:rsid w:val="6F0D040F"/>
    <w:rsid w:val="6F0D3F9D"/>
    <w:rsid w:val="6F0F1D22"/>
    <w:rsid w:val="6F295D26"/>
    <w:rsid w:val="6F394D3C"/>
    <w:rsid w:val="6F4316AD"/>
    <w:rsid w:val="6F484F7F"/>
    <w:rsid w:val="6F4E3582"/>
    <w:rsid w:val="6F524050"/>
    <w:rsid w:val="6F653D83"/>
    <w:rsid w:val="6F7044D6"/>
    <w:rsid w:val="6F793947"/>
    <w:rsid w:val="6F7F2B05"/>
    <w:rsid w:val="6F8F0E00"/>
    <w:rsid w:val="6F926B42"/>
    <w:rsid w:val="6FA81EC2"/>
    <w:rsid w:val="6FA8684E"/>
    <w:rsid w:val="6FC10684"/>
    <w:rsid w:val="6FD85466"/>
    <w:rsid w:val="6FDD67F7"/>
    <w:rsid w:val="6FE95C1F"/>
    <w:rsid w:val="6FEA4288"/>
    <w:rsid w:val="6FED3D79"/>
    <w:rsid w:val="6FF45107"/>
    <w:rsid w:val="701D640C"/>
    <w:rsid w:val="7020414E"/>
    <w:rsid w:val="70392C76"/>
    <w:rsid w:val="703947D7"/>
    <w:rsid w:val="703A6FBE"/>
    <w:rsid w:val="70622071"/>
    <w:rsid w:val="70641D22"/>
    <w:rsid w:val="70651B61"/>
    <w:rsid w:val="706C2EEF"/>
    <w:rsid w:val="70757FF6"/>
    <w:rsid w:val="70761FC0"/>
    <w:rsid w:val="70891CF3"/>
    <w:rsid w:val="709659C5"/>
    <w:rsid w:val="70974410"/>
    <w:rsid w:val="70A00DEB"/>
    <w:rsid w:val="70A02B99"/>
    <w:rsid w:val="70BC3E77"/>
    <w:rsid w:val="70D07922"/>
    <w:rsid w:val="70D34D1C"/>
    <w:rsid w:val="70DD3DED"/>
    <w:rsid w:val="70E909E4"/>
    <w:rsid w:val="70EB4D64"/>
    <w:rsid w:val="70F62876"/>
    <w:rsid w:val="70F73101"/>
    <w:rsid w:val="7104367C"/>
    <w:rsid w:val="710E5EDF"/>
    <w:rsid w:val="71146042"/>
    <w:rsid w:val="711D729F"/>
    <w:rsid w:val="71233EF6"/>
    <w:rsid w:val="712B4B58"/>
    <w:rsid w:val="712F2DC0"/>
    <w:rsid w:val="7130216F"/>
    <w:rsid w:val="71397275"/>
    <w:rsid w:val="71481C0E"/>
    <w:rsid w:val="714F0C57"/>
    <w:rsid w:val="715069EC"/>
    <w:rsid w:val="719C5A56"/>
    <w:rsid w:val="719D7123"/>
    <w:rsid w:val="71A54968"/>
    <w:rsid w:val="71A82761"/>
    <w:rsid w:val="71BE096F"/>
    <w:rsid w:val="71C81856"/>
    <w:rsid w:val="71D1092D"/>
    <w:rsid w:val="71D14D55"/>
    <w:rsid w:val="71E05943"/>
    <w:rsid w:val="71E66F1E"/>
    <w:rsid w:val="71ED0060"/>
    <w:rsid w:val="71F66F14"/>
    <w:rsid w:val="71FA0BD5"/>
    <w:rsid w:val="71FB41EE"/>
    <w:rsid w:val="72023B0B"/>
    <w:rsid w:val="72077373"/>
    <w:rsid w:val="720F447A"/>
    <w:rsid w:val="72190E55"/>
    <w:rsid w:val="721F290F"/>
    <w:rsid w:val="72203F91"/>
    <w:rsid w:val="72247F25"/>
    <w:rsid w:val="722A3062"/>
    <w:rsid w:val="72345C8F"/>
    <w:rsid w:val="724179B2"/>
    <w:rsid w:val="72440537"/>
    <w:rsid w:val="725453FE"/>
    <w:rsid w:val="72556331"/>
    <w:rsid w:val="72587BCF"/>
    <w:rsid w:val="725D51E5"/>
    <w:rsid w:val="727128B9"/>
    <w:rsid w:val="727B563D"/>
    <w:rsid w:val="729143FC"/>
    <w:rsid w:val="729561C9"/>
    <w:rsid w:val="729624A5"/>
    <w:rsid w:val="729C2CCE"/>
    <w:rsid w:val="729C3F60"/>
    <w:rsid w:val="72B868C0"/>
    <w:rsid w:val="72BB1F0C"/>
    <w:rsid w:val="72C830E4"/>
    <w:rsid w:val="72CA214F"/>
    <w:rsid w:val="72E17BC5"/>
    <w:rsid w:val="72E651DB"/>
    <w:rsid w:val="72F53670"/>
    <w:rsid w:val="72FF3793"/>
    <w:rsid w:val="7305737D"/>
    <w:rsid w:val="731107FB"/>
    <w:rsid w:val="73115DF8"/>
    <w:rsid w:val="73196B42"/>
    <w:rsid w:val="73234AF8"/>
    <w:rsid w:val="732857F3"/>
    <w:rsid w:val="73326672"/>
    <w:rsid w:val="73335F46"/>
    <w:rsid w:val="73463ECB"/>
    <w:rsid w:val="734B3290"/>
    <w:rsid w:val="735465E8"/>
    <w:rsid w:val="73601B6D"/>
    <w:rsid w:val="73880040"/>
    <w:rsid w:val="738D5656"/>
    <w:rsid w:val="73987BB2"/>
    <w:rsid w:val="7399224D"/>
    <w:rsid w:val="73C6236E"/>
    <w:rsid w:val="73C6500C"/>
    <w:rsid w:val="73D239B1"/>
    <w:rsid w:val="73DC038C"/>
    <w:rsid w:val="73DD3837"/>
    <w:rsid w:val="73E72A46"/>
    <w:rsid w:val="73EA0CFB"/>
    <w:rsid w:val="73F8607C"/>
    <w:rsid w:val="74143B46"/>
    <w:rsid w:val="74270954"/>
    <w:rsid w:val="74295CFB"/>
    <w:rsid w:val="743E2DF5"/>
    <w:rsid w:val="744C0614"/>
    <w:rsid w:val="744F3E92"/>
    <w:rsid w:val="746565D3"/>
    <w:rsid w:val="74722479"/>
    <w:rsid w:val="74756441"/>
    <w:rsid w:val="747B5DF7"/>
    <w:rsid w:val="748850B7"/>
    <w:rsid w:val="7496678D"/>
    <w:rsid w:val="749D0A29"/>
    <w:rsid w:val="749D4072"/>
    <w:rsid w:val="74A215D5"/>
    <w:rsid w:val="74D33D47"/>
    <w:rsid w:val="74D6127F"/>
    <w:rsid w:val="74D81140"/>
    <w:rsid w:val="74EE5CBC"/>
    <w:rsid w:val="74F33160"/>
    <w:rsid w:val="74F6722B"/>
    <w:rsid w:val="74FD086C"/>
    <w:rsid w:val="74FD680C"/>
    <w:rsid w:val="75157FF9"/>
    <w:rsid w:val="75287D2D"/>
    <w:rsid w:val="752E4BC6"/>
    <w:rsid w:val="7530273D"/>
    <w:rsid w:val="75323666"/>
    <w:rsid w:val="75363ACC"/>
    <w:rsid w:val="753C7334"/>
    <w:rsid w:val="754B57C9"/>
    <w:rsid w:val="75685A81"/>
    <w:rsid w:val="756E5368"/>
    <w:rsid w:val="75735A9C"/>
    <w:rsid w:val="75736ACE"/>
    <w:rsid w:val="75880E08"/>
    <w:rsid w:val="758E56B6"/>
    <w:rsid w:val="75956A44"/>
    <w:rsid w:val="75AA1A1C"/>
    <w:rsid w:val="75AB270C"/>
    <w:rsid w:val="75AD36EC"/>
    <w:rsid w:val="75B72E5F"/>
    <w:rsid w:val="75D41399"/>
    <w:rsid w:val="75D457BF"/>
    <w:rsid w:val="75DE03EB"/>
    <w:rsid w:val="75E225E6"/>
    <w:rsid w:val="75FA1C00"/>
    <w:rsid w:val="75FF0122"/>
    <w:rsid w:val="760140DA"/>
    <w:rsid w:val="760342F6"/>
    <w:rsid w:val="761738FD"/>
    <w:rsid w:val="7618749F"/>
    <w:rsid w:val="76200BC8"/>
    <w:rsid w:val="7621477C"/>
    <w:rsid w:val="762A1882"/>
    <w:rsid w:val="762F50EB"/>
    <w:rsid w:val="7630676D"/>
    <w:rsid w:val="7634625D"/>
    <w:rsid w:val="763E7E9A"/>
    <w:rsid w:val="764C7B3D"/>
    <w:rsid w:val="764F3FFB"/>
    <w:rsid w:val="765B1A3C"/>
    <w:rsid w:val="765C57B4"/>
    <w:rsid w:val="76724FD8"/>
    <w:rsid w:val="76774D15"/>
    <w:rsid w:val="76797FEA"/>
    <w:rsid w:val="76880357"/>
    <w:rsid w:val="76945B56"/>
    <w:rsid w:val="76B949B4"/>
    <w:rsid w:val="76BF5F6B"/>
    <w:rsid w:val="76BF646F"/>
    <w:rsid w:val="76CF6212"/>
    <w:rsid w:val="76D65566"/>
    <w:rsid w:val="76E87042"/>
    <w:rsid w:val="76F90845"/>
    <w:rsid w:val="76FE3F87"/>
    <w:rsid w:val="771019C9"/>
    <w:rsid w:val="77103460"/>
    <w:rsid w:val="77251E0C"/>
    <w:rsid w:val="772616E6"/>
    <w:rsid w:val="77297D8C"/>
    <w:rsid w:val="77423369"/>
    <w:rsid w:val="77444BC6"/>
    <w:rsid w:val="77495D38"/>
    <w:rsid w:val="774B75E6"/>
    <w:rsid w:val="775B6EA5"/>
    <w:rsid w:val="77636CFD"/>
    <w:rsid w:val="77644920"/>
    <w:rsid w:val="77696B99"/>
    <w:rsid w:val="777A05E8"/>
    <w:rsid w:val="777E5046"/>
    <w:rsid w:val="779276DF"/>
    <w:rsid w:val="7794492F"/>
    <w:rsid w:val="779D6084"/>
    <w:rsid w:val="77A46D61"/>
    <w:rsid w:val="77A95340"/>
    <w:rsid w:val="77B65EE0"/>
    <w:rsid w:val="77C70FE5"/>
    <w:rsid w:val="77DB36AD"/>
    <w:rsid w:val="77DC095A"/>
    <w:rsid w:val="77E45A61"/>
    <w:rsid w:val="78080136"/>
    <w:rsid w:val="780C3400"/>
    <w:rsid w:val="780F0875"/>
    <w:rsid w:val="78120820"/>
    <w:rsid w:val="78130758"/>
    <w:rsid w:val="781A76D5"/>
    <w:rsid w:val="78252301"/>
    <w:rsid w:val="782B18E2"/>
    <w:rsid w:val="782B3690"/>
    <w:rsid w:val="78362761"/>
    <w:rsid w:val="786F7A21"/>
    <w:rsid w:val="78762721"/>
    <w:rsid w:val="78932A2E"/>
    <w:rsid w:val="789D6CAA"/>
    <w:rsid w:val="78A376CA"/>
    <w:rsid w:val="78A53442"/>
    <w:rsid w:val="78AA797A"/>
    <w:rsid w:val="78B10039"/>
    <w:rsid w:val="78BE62B2"/>
    <w:rsid w:val="78C37D6C"/>
    <w:rsid w:val="78C966FA"/>
    <w:rsid w:val="78E92B21"/>
    <w:rsid w:val="78EF290F"/>
    <w:rsid w:val="79050385"/>
    <w:rsid w:val="79052133"/>
    <w:rsid w:val="79075EAB"/>
    <w:rsid w:val="790A1468"/>
    <w:rsid w:val="79133380"/>
    <w:rsid w:val="792702FB"/>
    <w:rsid w:val="79365532"/>
    <w:rsid w:val="794C38BE"/>
    <w:rsid w:val="79584959"/>
    <w:rsid w:val="795E3E9C"/>
    <w:rsid w:val="795E51BB"/>
    <w:rsid w:val="7991107F"/>
    <w:rsid w:val="799B093F"/>
    <w:rsid w:val="79A454A8"/>
    <w:rsid w:val="79C618C2"/>
    <w:rsid w:val="79C8388C"/>
    <w:rsid w:val="79E63D12"/>
    <w:rsid w:val="79F00F06"/>
    <w:rsid w:val="79F20909"/>
    <w:rsid w:val="79FB745F"/>
    <w:rsid w:val="79FC7092"/>
    <w:rsid w:val="79FF36AB"/>
    <w:rsid w:val="7A0348C4"/>
    <w:rsid w:val="7A044199"/>
    <w:rsid w:val="7A0B3779"/>
    <w:rsid w:val="7A0B7B0A"/>
    <w:rsid w:val="7A1F0FD2"/>
    <w:rsid w:val="7A26000D"/>
    <w:rsid w:val="7A28257D"/>
    <w:rsid w:val="7A396538"/>
    <w:rsid w:val="7A410F49"/>
    <w:rsid w:val="7A440A39"/>
    <w:rsid w:val="7A4D5B40"/>
    <w:rsid w:val="7A4F7B0A"/>
    <w:rsid w:val="7A5A200A"/>
    <w:rsid w:val="7A5F5873"/>
    <w:rsid w:val="7A6510DB"/>
    <w:rsid w:val="7A7466CC"/>
    <w:rsid w:val="7A765096"/>
    <w:rsid w:val="7A772BBC"/>
    <w:rsid w:val="7A787CE0"/>
    <w:rsid w:val="7A8C2B0C"/>
    <w:rsid w:val="7A965738"/>
    <w:rsid w:val="7A9763C5"/>
    <w:rsid w:val="7A9D6AC7"/>
    <w:rsid w:val="7AC5601E"/>
    <w:rsid w:val="7AD149C3"/>
    <w:rsid w:val="7AE9269A"/>
    <w:rsid w:val="7AED1666"/>
    <w:rsid w:val="7AF83CFD"/>
    <w:rsid w:val="7B02692A"/>
    <w:rsid w:val="7B072192"/>
    <w:rsid w:val="7B134E72"/>
    <w:rsid w:val="7B354F51"/>
    <w:rsid w:val="7B4909FD"/>
    <w:rsid w:val="7B4F1751"/>
    <w:rsid w:val="7B560A24"/>
    <w:rsid w:val="7B5B24DE"/>
    <w:rsid w:val="7B5F3D7C"/>
    <w:rsid w:val="7B6A44CF"/>
    <w:rsid w:val="7B906335"/>
    <w:rsid w:val="7BA2010D"/>
    <w:rsid w:val="7BA268EC"/>
    <w:rsid w:val="7BB75966"/>
    <w:rsid w:val="7BD7051D"/>
    <w:rsid w:val="7BD74E83"/>
    <w:rsid w:val="7BDD3848"/>
    <w:rsid w:val="7BDD621A"/>
    <w:rsid w:val="7BE14791"/>
    <w:rsid w:val="7BE25E9B"/>
    <w:rsid w:val="7BE40F02"/>
    <w:rsid w:val="7BE61DA8"/>
    <w:rsid w:val="7BFC15CB"/>
    <w:rsid w:val="7C282F2D"/>
    <w:rsid w:val="7C507B69"/>
    <w:rsid w:val="7C556F2D"/>
    <w:rsid w:val="7C574A54"/>
    <w:rsid w:val="7C5D5F5A"/>
    <w:rsid w:val="7C604753"/>
    <w:rsid w:val="7C6B2151"/>
    <w:rsid w:val="7C701FB9"/>
    <w:rsid w:val="7C773348"/>
    <w:rsid w:val="7C916338"/>
    <w:rsid w:val="7C961964"/>
    <w:rsid w:val="7C9712F4"/>
    <w:rsid w:val="7C9C690A"/>
    <w:rsid w:val="7CA0464C"/>
    <w:rsid w:val="7CA11C62"/>
    <w:rsid w:val="7CA56B7F"/>
    <w:rsid w:val="7CA83501"/>
    <w:rsid w:val="7CAD4FBB"/>
    <w:rsid w:val="7CB93960"/>
    <w:rsid w:val="7CCD6C4F"/>
    <w:rsid w:val="7CD267D0"/>
    <w:rsid w:val="7CD525D7"/>
    <w:rsid w:val="7D142945"/>
    <w:rsid w:val="7D180D4D"/>
    <w:rsid w:val="7D225061"/>
    <w:rsid w:val="7D262727"/>
    <w:rsid w:val="7D316CED"/>
    <w:rsid w:val="7D3E3E65"/>
    <w:rsid w:val="7D3E798A"/>
    <w:rsid w:val="7D4460EE"/>
    <w:rsid w:val="7D580A83"/>
    <w:rsid w:val="7D690EE2"/>
    <w:rsid w:val="7D6B23E7"/>
    <w:rsid w:val="7D761851"/>
    <w:rsid w:val="7D7A7799"/>
    <w:rsid w:val="7D7F0706"/>
    <w:rsid w:val="7D8D1A8E"/>
    <w:rsid w:val="7DA261A2"/>
    <w:rsid w:val="7DAC5273"/>
    <w:rsid w:val="7DAC7021"/>
    <w:rsid w:val="7DB72754"/>
    <w:rsid w:val="7DB87212"/>
    <w:rsid w:val="7DC9403A"/>
    <w:rsid w:val="7DC963A0"/>
    <w:rsid w:val="7DCF5AC3"/>
    <w:rsid w:val="7DD32B96"/>
    <w:rsid w:val="7DDA3B8E"/>
    <w:rsid w:val="7DE16B71"/>
    <w:rsid w:val="7DE3085D"/>
    <w:rsid w:val="7DF95DE4"/>
    <w:rsid w:val="7DFC1D56"/>
    <w:rsid w:val="7E17093E"/>
    <w:rsid w:val="7E1C41A7"/>
    <w:rsid w:val="7E2D569D"/>
    <w:rsid w:val="7E355225"/>
    <w:rsid w:val="7E3B7A4F"/>
    <w:rsid w:val="7E417769"/>
    <w:rsid w:val="7E4D25B2"/>
    <w:rsid w:val="7E5356EF"/>
    <w:rsid w:val="7E6950CA"/>
    <w:rsid w:val="7E6D0BB5"/>
    <w:rsid w:val="7E906162"/>
    <w:rsid w:val="7E941F8F"/>
    <w:rsid w:val="7E971A7F"/>
    <w:rsid w:val="7E9E2C74"/>
    <w:rsid w:val="7EA61CC2"/>
    <w:rsid w:val="7EAF501B"/>
    <w:rsid w:val="7EC33B5B"/>
    <w:rsid w:val="7EC6354B"/>
    <w:rsid w:val="7ED26C70"/>
    <w:rsid w:val="7ED32F9C"/>
    <w:rsid w:val="7EDB1194"/>
    <w:rsid w:val="7EDB5E10"/>
    <w:rsid w:val="7EE34CC4"/>
    <w:rsid w:val="7EE66563"/>
    <w:rsid w:val="7EF82E56"/>
    <w:rsid w:val="7F01514B"/>
    <w:rsid w:val="7F0F7867"/>
    <w:rsid w:val="7F271EEE"/>
    <w:rsid w:val="7F38184C"/>
    <w:rsid w:val="7F42098D"/>
    <w:rsid w:val="7F4D213E"/>
    <w:rsid w:val="7F4F4108"/>
    <w:rsid w:val="7F606315"/>
    <w:rsid w:val="7F62208D"/>
    <w:rsid w:val="7F6D458E"/>
    <w:rsid w:val="7F6F1EA3"/>
    <w:rsid w:val="7F821C55"/>
    <w:rsid w:val="7F824394"/>
    <w:rsid w:val="7F833DB1"/>
    <w:rsid w:val="7F8738A2"/>
    <w:rsid w:val="7F8A3392"/>
    <w:rsid w:val="7F8C2C66"/>
    <w:rsid w:val="7F912972"/>
    <w:rsid w:val="7F914720"/>
    <w:rsid w:val="7F9D2B3C"/>
    <w:rsid w:val="7FAF1490"/>
    <w:rsid w:val="7FDC64DC"/>
    <w:rsid w:val="7FE417C3"/>
    <w:rsid w:val="7FE505C8"/>
    <w:rsid w:val="7FEC4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99" w:semiHidden="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name="Salutation"/>
    <w:lsdException w:qFormat="1" w:unhideWhenUsed="0" w:uiPriority="0" w:semiHidden="0" w:name="Date"/>
    <w:lsdException w:qFormat="1" w:unhideWhenUsed="0" w:uiPriority="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156" w:beforeLines="50" w:after="156" w:afterLines="50" w:line="360" w:lineRule="auto"/>
      <w:jc w:val="left"/>
      <w:outlineLvl w:val="2"/>
    </w:pPr>
    <w:rPr>
      <w:rFonts w:eastAsia="黑体"/>
      <w:sz w:val="28"/>
    </w:rPr>
  </w:style>
  <w:style w:type="paragraph" w:styleId="5">
    <w:name w:val="heading 4"/>
    <w:basedOn w:val="1"/>
    <w:next w:val="1"/>
    <w:autoRedefine/>
    <w:qFormat/>
    <w:uiPriority w:val="0"/>
    <w:pPr>
      <w:keepNext/>
      <w:keepLines/>
      <w:numPr>
        <w:ilvl w:val="3"/>
        <w:numId w:val="1"/>
      </w:numPr>
      <w:tabs>
        <w:tab w:val="clear" w:pos="0"/>
      </w:tabs>
      <w:spacing w:line="360" w:lineRule="auto"/>
      <w:jc w:val="left"/>
      <w:outlineLvl w:val="3"/>
    </w:pPr>
    <w:rPr>
      <w:b/>
      <w:bCs/>
    </w:rPr>
  </w:style>
  <w:style w:type="character" w:default="1" w:styleId="34">
    <w:name w:val="Default Paragraph Font"/>
    <w:semiHidden/>
    <w:unhideWhenUsed/>
    <w:qFormat/>
    <w:uiPriority w:val="1"/>
  </w:style>
  <w:style w:type="table" w:default="1" w:styleId="3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List 3"/>
    <w:basedOn w:val="1"/>
    <w:next w:val="1"/>
    <w:autoRedefine/>
    <w:qFormat/>
    <w:uiPriority w:val="0"/>
    <w:pPr>
      <w:autoSpaceDE w:val="0"/>
      <w:autoSpaceDN w:val="0"/>
      <w:adjustRightInd w:val="0"/>
      <w:spacing w:line="288" w:lineRule="auto"/>
      <w:ind w:left="1260" w:hanging="420"/>
      <w:jc w:val="left"/>
      <w:textAlignment w:val="baseline"/>
    </w:pPr>
    <w:rPr>
      <w:kern w:val="0"/>
      <w:sz w:val="24"/>
      <w:szCs w:val="20"/>
    </w:rPr>
  </w:style>
  <w:style w:type="paragraph" w:styleId="7">
    <w:name w:val="Normal Indent"/>
    <w:basedOn w:val="1"/>
    <w:next w:val="1"/>
    <w:autoRedefine/>
    <w:qFormat/>
    <w:uiPriority w:val="0"/>
    <w:pPr>
      <w:ind w:firstLine="200" w:firstLineChars="200"/>
    </w:pPr>
    <w:rPr>
      <w:sz w:val="28"/>
    </w:rPr>
  </w:style>
  <w:style w:type="paragraph" w:styleId="8">
    <w:name w:val="caption"/>
    <w:basedOn w:val="1"/>
    <w:next w:val="1"/>
    <w:qFormat/>
    <w:uiPriority w:val="99"/>
    <w:pPr>
      <w:jc w:val="center"/>
    </w:pPr>
    <w:rPr>
      <w:b/>
      <w:szCs w:val="20"/>
    </w:rPr>
  </w:style>
  <w:style w:type="paragraph" w:styleId="9">
    <w:name w:val="annotation text"/>
    <w:basedOn w:val="1"/>
    <w:link w:val="67"/>
    <w:autoRedefine/>
    <w:semiHidden/>
    <w:qFormat/>
    <w:uiPriority w:val="0"/>
    <w:pPr>
      <w:jc w:val="left"/>
    </w:pPr>
    <w:rPr>
      <w:kern w:val="0"/>
      <w:sz w:val="24"/>
      <w:szCs w:val="20"/>
    </w:rPr>
  </w:style>
  <w:style w:type="paragraph" w:styleId="10">
    <w:name w:val="Salutation"/>
    <w:basedOn w:val="1"/>
    <w:next w:val="1"/>
    <w:autoRedefine/>
    <w:semiHidden/>
    <w:qFormat/>
    <w:uiPriority w:val="99"/>
    <w:pPr>
      <w:pBdr>
        <w:top w:val="single" w:color="auto" w:sz="4" w:space="1"/>
      </w:pBdr>
      <w:adjustRightInd w:val="0"/>
      <w:spacing w:line="360" w:lineRule="atLeast"/>
      <w:jc w:val="left"/>
      <w:textAlignment w:val="baseline"/>
    </w:pPr>
    <w:rPr>
      <w:kern w:val="0"/>
      <w:sz w:val="24"/>
    </w:rPr>
  </w:style>
  <w:style w:type="paragraph" w:styleId="11">
    <w:name w:val="Body Text"/>
    <w:basedOn w:val="1"/>
    <w:next w:val="1"/>
    <w:autoRedefine/>
    <w:qFormat/>
    <w:uiPriority w:val="0"/>
    <w:pPr>
      <w:widowControl/>
      <w:snapToGrid w:val="0"/>
      <w:spacing w:before="60" w:after="160" w:line="259" w:lineRule="auto"/>
      <w:ind w:right="113"/>
    </w:pPr>
    <w:rPr>
      <w:kern w:val="0"/>
      <w:sz w:val="18"/>
      <w:szCs w:val="20"/>
    </w:rPr>
  </w:style>
  <w:style w:type="paragraph" w:styleId="12">
    <w:name w:val="Body Text Indent"/>
    <w:basedOn w:val="1"/>
    <w:next w:val="13"/>
    <w:qFormat/>
    <w:uiPriority w:val="0"/>
    <w:pPr>
      <w:spacing w:line="500" w:lineRule="exact"/>
      <w:ind w:firstLine="556"/>
    </w:pPr>
    <w:rPr>
      <w:sz w:val="28"/>
    </w:rPr>
  </w:style>
  <w:style w:type="paragraph" w:styleId="13">
    <w:name w:val="Body Text First Indent 2"/>
    <w:basedOn w:val="12"/>
    <w:next w:val="1"/>
    <w:autoRedefine/>
    <w:qFormat/>
    <w:uiPriority w:val="99"/>
    <w:pPr>
      <w:spacing w:after="120"/>
      <w:ind w:left="420" w:leftChars="200" w:firstLine="420" w:firstLineChars="200"/>
    </w:pPr>
  </w:style>
  <w:style w:type="paragraph" w:styleId="14">
    <w:name w:val="Block Text"/>
    <w:basedOn w:val="1"/>
    <w:next w:val="1"/>
    <w:qFormat/>
    <w:uiPriority w:val="0"/>
    <w:pPr>
      <w:autoSpaceDE w:val="0"/>
      <w:autoSpaceDN w:val="0"/>
      <w:adjustRightInd w:val="0"/>
      <w:spacing w:before="1" w:line="537" w:lineRule="exact"/>
      <w:ind w:left="88" w:right="6"/>
    </w:pPr>
    <w:rPr>
      <w:kern w:val="0"/>
      <w:sz w:val="28"/>
      <w:szCs w:val="20"/>
    </w:rPr>
  </w:style>
  <w:style w:type="paragraph" w:styleId="15">
    <w:name w:val="Plain Text"/>
    <w:basedOn w:val="1"/>
    <w:autoRedefine/>
    <w:qFormat/>
    <w:uiPriority w:val="0"/>
    <w:rPr>
      <w:rFonts w:ascii="宋体" w:hAnsi="Courier New"/>
    </w:rPr>
  </w:style>
  <w:style w:type="paragraph" w:styleId="16">
    <w:name w:val="List Bullet 5"/>
    <w:basedOn w:val="1"/>
    <w:autoRedefine/>
    <w:qFormat/>
    <w:uiPriority w:val="0"/>
    <w:pPr>
      <w:numPr>
        <w:ilvl w:val="0"/>
        <w:numId w:val="2"/>
      </w:numPr>
    </w:pPr>
  </w:style>
  <w:style w:type="paragraph" w:styleId="17">
    <w:name w:val="Date"/>
    <w:basedOn w:val="1"/>
    <w:next w:val="1"/>
    <w:autoRedefine/>
    <w:qFormat/>
    <w:uiPriority w:val="0"/>
    <w:pPr>
      <w:ind w:left="100" w:leftChars="2500"/>
    </w:pPr>
    <w:rPr>
      <w:kern w:val="0"/>
      <w:sz w:val="24"/>
      <w:szCs w:val="20"/>
    </w:rPr>
  </w:style>
  <w:style w:type="paragraph" w:styleId="18">
    <w:name w:val="Body Text Indent 2"/>
    <w:basedOn w:val="1"/>
    <w:qFormat/>
    <w:uiPriority w:val="0"/>
    <w:pPr>
      <w:spacing w:line="500" w:lineRule="exact"/>
      <w:ind w:firstLine="556"/>
    </w:pPr>
    <w:rPr>
      <w:bCs/>
      <w:sz w:val="28"/>
    </w:rPr>
  </w:style>
  <w:style w:type="paragraph" w:styleId="19">
    <w:name w:val="footer"/>
    <w:basedOn w:val="1"/>
    <w:autoRedefine/>
    <w:qFormat/>
    <w:uiPriority w:val="99"/>
    <w:pPr>
      <w:tabs>
        <w:tab w:val="center" w:pos="4153"/>
        <w:tab w:val="right" w:pos="8306"/>
      </w:tabs>
      <w:snapToGrid w:val="0"/>
      <w:jc w:val="left"/>
    </w:pPr>
    <w:rPr>
      <w:kern w:val="0"/>
      <w:sz w:val="18"/>
      <w:szCs w:val="20"/>
    </w:rPr>
  </w:style>
  <w:style w:type="paragraph" w:styleId="20">
    <w:name w:val="header"/>
    <w:basedOn w:val="1"/>
    <w:next w:val="2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21">
    <w:name w:val="样式5"/>
    <w:basedOn w:val="22"/>
    <w:next w:val="1"/>
    <w:qFormat/>
    <w:uiPriority w:val="0"/>
    <w:pPr>
      <w:adjustRightInd/>
      <w:snapToGrid/>
      <w:spacing w:before="120" w:after="120" w:line="400" w:lineRule="exact"/>
      <w:ind w:firstLine="480"/>
    </w:pPr>
    <w:rPr>
      <w:iCs/>
      <w:szCs w:val="20"/>
    </w:rPr>
  </w:style>
  <w:style w:type="paragraph" w:customStyle="1" w:styleId="22">
    <w:name w:val="样式3"/>
    <w:basedOn w:val="23"/>
    <w:next w:val="11"/>
    <w:autoRedefine/>
    <w:qFormat/>
    <w:uiPriority w:val="0"/>
    <w:pPr>
      <w:widowControl w:val="0"/>
      <w:spacing w:line="500" w:lineRule="exact"/>
      <w:ind w:firstLine="200" w:firstLineChars="200"/>
      <w:jc w:val="both"/>
      <w:outlineLvl w:val="1"/>
    </w:pPr>
    <w:rPr>
      <w:rFonts w:ascii="Times New Roman" w:hAnsi="Times New Roman" w:eastAsia="宋体" w:cs="Times New Roman"/>
      <w:b/>
      <w:kern w:val="2"/>
      <w:sz w:val="24"/>
      <w:lang w:val="en-US" w:eastAsia="zh-CN" w:bidi="ar-SA"/>
    </w:rPr>
  </w:style>
  <w:style w:type="paragraph" w:styleId="23">
    <w:name w:val="List"/>
    <w:basedOn w:val="1"/>
    <w:qFormat/>
    <w:uiPriority w:val="99"/>
    <w:pPr>
      <w:ind w:left="200" w:hanging="200" w:hangingChars="200"/>
    </w:pPr>
  </w:style>
  <w:style w:type="paragraph" w:styleId="24">
    <w:name w:val="toc 1"/>
    <w:basedOn w:val="1"/>
    <w:next w:val="1"/>
    <w:autoRedefine/>
    <w:qFormat/>
    <w:uiPriority w:val="0"/>
    <w:pPr>
      <w:tabs>
        <w:tab w:val="center" w:pos="9000"/>
      </w:tabs>
      <w:snapToGrid w:val="0"/>
      <w:spacing w:line="305" w:lineRule="auto"/>
    </w:pPr>
    <w:rPr>
      <w:rFonts w:eastAsia="黑体"/>
      <w:caps/>
      <w:sz w:val="32"/>
      <w:szCs w:val="32"/>
    </w:rPr>
  </w:style>
  <w:style w:type="paragraph" w:styleId="25">
    <w:name w:val="index heading"/>
    <w:basedOn w:val="1"/>
    <w:next w:val="26"/>
    <w:semiHidden/>
    <w:qFormat/>
    <w:uiPriority w:val="0"/>
    <w:rPr>
      <w:rFonts w:ascii="Arial" w:hAnsi="Arial" w:cs="Arial"/>
      <w:b/>
      <w:bCs/>
    </w:rPr>
  </w:style>
  <w:style w:type="paragraph" w:styleId="26">
    <w:name w:val="index 1"/>
    <w:basedOn w:val="1"/>
    <w:next w:val="1"/>
    <w:qFormat/>
    <w:uiPriority w:val="0"/>
    <w:pPr>
      <w:spacing w:line="192" w:lineRule="auto"/>
      <w:jc w:val="center"/>
    </w:pPr>
    <w:rPr>
      <w:rFonts w:ascii="宋体" w:hAnsi="宋体"/>
      <w:szCs w:val="20"/>
    </w:rPr>
  </w:style>
  <w:style w:type="paragraph" w:styleId="27">
    <w:name w:val="table of figures"/>
    <w:basedOn w:val="1"/>
    <w:next w:val="1"/>
    <w:autoRedefine/>
    <w:unhideWhenUsed/>
    <w:qFormat/>
    <w:uiPriority w:val="99"/>
    <w:pPr>
      <w:ind w:left="200" w:leftChars="200" w:hanging="200" w:hangingChars="200"/>
    </w:pPr>
  </w:style>
  <w:style w:type="paragraph" w:styleId="28">
    <w:name w:val="Body Text 2"/>
    <w:basedOn w:val="1"/>
    <w:next w:val="1"/>
    <w:autoRedefine/>
    <w:qFormat/>
    <w:uiPriority w:val="0"/>
    <w:pPr>
      <w:spacing w:after="120" w:line="480" w:lineRule="auto"/>
    </w:pPr>
  </w:style>
  <w:style w:type="paragraph" w:styleId="29">
    <w:name w:val="Normal (Web)"/>
    <w:basedOn w:val="1"/>
    <w:autoRedefine/>
    <w:qFormat/>
    <w:uiPriority w:val="99"/>
    <w:pPr>
      <w:widowControl/>
      <w:spacing w:before="100" w:beforeAutospacing="1" w:after="100" w:afterAutospacing="1"/>
      <w:jc w:val="left"/>
    </w:pPr>
    <w:rPr>
      <w:rFonts w:ascii="宋体" w:hAnsi="宋体"/>
      <w:kern w:val="0"/>
      <w:sz w:val="24"/>
      <w:szCs w:val="20"/>
    </w:rPr>
  </w:style>
  <w:style w:type="paragraph" w:styleId="30">
    <w:name w:val="annotation subject"/>
    <w:basedOn w:val="9"/>
    <w:next w:val="9"/>
    <w:link w:val="68"/>
    <w:autoRedefine/>
    <w:qFormat/>
    <w:uiPriority w:val="0"/>
    <w:rPr>
      <w:b/>
      <w:bCs/>
      <w:kern w:val="2"/>
      <w:sz w:val="21"/>
      <w:szCs w:val="24"/>
    </w:rPr>
  </w:style>
  <w:style w:type="paragraph" w:styleId="31">
    <w:name w:val="Body Text First Indent"/>
    <w:basedOn w:val="11"/>
    <w:next w:val="27"/>
    <w:autoRedefine/>
    <w:semiHidden/>
    <w:qFormat/>
    <w:uiPriority w:val="0"/>
    <w:pPr>
      <w:framePr w:wrap="around" w:vAnchor="margin" w:hAnchor="text" w:yAlign="top"/>
      <w:snapToGrid/>
      <w:spacing w:after="120" w:line="480" w:lineRule="exact"/>
      <w:ind w:firstLine="420" w:firstLineChars="100"/>
    </w:pPr>
  </w:style>
  <w:style w:type="table" w:styleId="33">
    <w:name w:val="Table Grid"/>
    <w:basedOn w:val="3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b/>
    </w:rPr>
  </w:style>
  <w:style w:type="character" w:styleId="36">
    <w:name w:val="page number"/>
    <w:autoRedefine/>
    <w:qFormat/>
    <w:uiPriority w:val="0"/>
  </w:style>
  <w:style w:type="character" w:styleId="37">
    <w:name w:val="Emphasis"/>
    <w:basedOn w:val="34"/>
    <w:autoRedefine/>
    <w:qFormat/>
    <w:uiPriority w:val="0"/>
    <w:rPr>
      <w:i/>
    </w:rPr>
  </w:style>
  <w:style w:type="character" w:styleId="38">
    <w:name w:val="Hyperlink"/>
    <w:basedOn w:val="34"/>
    <w:autoRedefine/>
    <w:qFormat/>
    <w:uiPriority w:val="0"/>
    <w:rPr>
      <w:color w:val="0000FF"/>
      <w:u w:val="single"/>
    </w:rPr>
  </w:style>
  <w:style w:type="character" w:styleId="39">
    <w:name w:val="annotation reference"/>
    <w:autoRedefine/>
    <w:qFormat/>
    <w:uiPriority w:val="99"/>
    <w:rPr>
      <w:sz w:val="21"/>
    </w:rPr>
  </w:style>
  <w:style w:type="paragraph" w:customStyle="1" w:styleId="40">
    <w:name w:val="样式 正文文本 + 首行缩进:  2 字符"/>
    <w:basedOn w:val="11"/>
    <w:qFormat/>
    <w:uiPriority w:val="0"/>
    <w:pPr>
      <w:widowControl w:val="0"/>
      <w:snapToGrid/>
      <w:spacing w:before="0" w:after="0" w:line="540" w:lineRule="exact"/>
      <w:ind w:right="0"/>
      <w:jc w:val="center"/>
    </w:pPr>
    <w:rPr>
      <w:rFonts w:ascii="黑体" w:hAnsi="黑体" w:eastAsia="黑体"/>
      <w:b/>
      <w:kern w:val="2"/>
      <w:sz w:val="24"/>
      <w:szCs w:val="22"/>
    </w:rPr>
  </w:style>
  <w:style w:type="paragraph" w:customStyle="1" w:styleId="41">
    <w:name w:val="Default"/>
    <w:basedOn w:val="42"/>
    <w:autoRedefine/>
    <w:qFormat/>
    <w:uiPriority w:val="0"/>
    <w:pPr>
      <w:autoSpaceDE w:val="0"/>
      <w:autoSpaceDN w:val="0"/>
    </w:pPr>
    <w:rPr>
      <w:rFonts w:hAnsi="宋体" w:cs="宋体"/>
    </w:rPr>
  </w:style>
  <w:style w:type="paragraph" w:customStyle="1" w:styleId="42">
    <w:name w:val="纯文本1"/>
    <w:basedOn w:val="1"/>
    <w:autoRedefine/>
    <w:qFormat/>
    <w:uiPriority w:val="0"/>
    <w:pPr>
      <w:adjustRightInd w:val="0"/>
    </w:pPr>
    <w:rPr>
      <w:rFonts w:ascii="宋体" w:hAnsi="Courier New"/>
      <w:szCs w:val="20"/>
    </w:rPr>
  </w:style>
  <w:style w:type="paragraph" w:customStyle="1" w:styleId="43">
    <w:name w:val="文本"/>
    <w:basedOn w:val="1"/>
    <w:next w:val="1"/>
    <w:qFormat/>
    <w:uiPriority w:val="0"/>
    <w:pPr>
      <w:snapToGrid w:val="0"/>
      <w:spacing w:line="360" w:lineRule="auto"/>
      <w:ind w:firstLine="560" w:firstLineChars="200"/>
    </w:pPr>
    <w:rPr>
      <w:rFonts w:eastAsia="仿宋"/>
      <w:sz w:val="28"/>
      <w:szCs w:val="28"/>
    </w:rPr>
  </w:style>
  <w:style w:type="paragraph" w:customStyle="1" w:styleId="44">
    <w:name w:val="样式1"/>
    <w:basedOn w:val="25"/>
    <w:next w:val="1"/>
    <w:qFormat/>
    <w:uiPriority w:val="0"/>
    <w:pPr>
      <w:spacing w:line="500" w:lineRule="exact"/>
      <w:ind w:firstLine="496" w:firstLineChars="200"/>
    </w:pPr>
    <w:rPr>
      <w:spacing w:val="4"/>
      <w:sz w:val="24"/>
      <w:szCs w:val="20"/>
    </w:rPr>
  </w:style>
  <w:style w:type="paragraph" w:customStyle="1" w:styleId="45">
    <w:name w:val="1正文段落"/>
    <w:basedOn w:val="1"/>
    <w:autoRedefine/>
    <w:qFormat/>
    <w:uiPriority w:val="0"/>
    <w:pPr>
      <w:spacing w:line="360" w:lineRule="auto"/>
      <w:ind w:firstLine="480" w:firstLineChars="200"/>
      <w:jc w:val="left"/>
    </w:pPr>
    <w:rPr>
      <w:kern w:val="0"/>
      <w:sz w:val="24"/>
      <w:szCs w:val="22"/>
    </w:rPr>
  </w:style>
  <w:style w:type="paragraph" w:customStyle="1" w:styleId="46">
    <w:name w:val="xl27"/>
    <w:basedOn w:val="1"/>
    <w:next w:val="47"/>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47">
    <w:name w:val="A正文"/>
    <w:basedOn w:val="1"/>
    <w:autoRedefine/>
    <w:unhideWhenUsed/>
    <w:qFormat/>
    <w:uiPriority w:val="0"/>
    <w:pPr>
      <w:widowControl/>
      <w:spacing w:line="360" w:lineRule="auto"/>
      <w:ind w:firstLine="200" w:firstLineChars="200"/>
      <w:jc w:val="left"/>
    </w:pPr>
    <w:rPr>
      <w:kern w:val="0"/>
      <w:sz w:val="24"/>
      <w:szCs w:val="22"/>
    </w:rPr>
  </w:style>
  <w:style w:type="paragraph" w:customStyle="1" w:styleId="48">
    <w:name w:val="标题2"/>
    <w:basedOn w:val="3"/>
    <w:next w:val="3"/>
    <w:autoRedefine/>
    <w:qFormat/>
    <w:uiPriority w:val="0"/>
    <w:pPr>
      <w:keepLines w:val="0"/>
      <w:adjustRightInd w:val="0"/>
      <w:snapToGrid w:val="0"/>
      <w:spacing w:before="0" w:after="0" w:line="360" w:lineRule="auto"/>
    </w:pPr>
    <w:rPr>
      <w:rFonts w:ascii="黑体" w:hAnsi="Times New Roman"/>
      <w:snapToGrid w:val="0"/>
      <w:kern w:val="0"/>
      <w:sz w:val="24"/>
      <w:szCs w:val="20"/>
    </w:rPr>
  </w:style>
  <w:style w:type="paragraph" w:customStyle="1" w:styleId="49">
    <w:name w:val="表格内容"/>
    <w:basedOn w:val="50"/>
    <w:next w:val="15"/>
    <w:autoRedefine/>
    <w:qFormat/>
    <w:uiPriority w:val="0"/>
    <w:pPr>
      <w:framePr w:wrap="around"/>
      <w:spacing w:line="240" w:lineRule="atLeast"/>
    </w:pPr>
    <w:rPr>
      <w:rFonts w:eastAsia="宋体"/>
      <w:sz w:val="21"/>
    </w:rPr>
  </w:style>
  <w:style w:type="paragraph" w:customStyle="1" w:styleId="50">
    <w:name w:val="表格标题"/>
    <w:basedOn w:val="31"/>
    <w:next w:val="49"/>
    <w:autoRedefine/>
    <w:qFormat/>
    <w:uiPriority w:val="0"/>
    <w:pPr>
      <w:framePr w:wrap="around"/>
      <w:adjustRightInd w:val="0"/>
      <w:snapToGrid w:val="0"/>
      <w:jc w:val="center"/>
    </w:pPr>
    <w:rPr>
      <w:rFonts w:eastAsia="黑体"/>
      <w:b/>
      <w:snapToGrid w:val="0"/>
      <w:sz w:val="24"/>
    </w:rPr>
  </w:style>
  <w:style w:type="paragraph" w:customStyle="1" w:styleId="51">
    <w:name w:val="Table Text"/>
    <w:basedOn w:val="1"/>
    <w:autoRedefine/>
    <w:semiHidden/>
    <w:qFormat/>
    <w:uiPriority w:val="0"/>
    <w:rPr>
      <w:rFonts w:ascii="宋体" w:hAnsi="宋体" w:cs="宋体"/>
      <w:sz w:val="17"/>
      <w:szCs w:val="17"/>
      <w:lang w:eastAsia="en-US"/>
    </w:rPr>
  </w:style>
  <w:style w:type="table" w:customStyle="1" w:styleId="52">
    <w:name w:val="Table Normal"/>
    <w:autoRedefine/>
    <w:semiHidden/>
    <w:unhideWhenUsed/>
    <w:qFormat/>
    <w:uiPriority w:val="0"/>
    <w:tblPr>
      <w:tblCellMar>
        <w:top w:w="0" w:type="dxa"/>
        <w:left w:w="0" w:type="dxa"/>
        <w:bottom w:w="0" w:type="dxa"/>
        <w:right w:w="0" w:type="dxa"/>
      </w:tblCellMar>
    </w:tblPr>
  </w:style>
  <w:style w:type="paragraph" w:customStyle="1" w:styleId="53">
    <w:name w:val="表格"/>
    <w:basedOn w:val="11"/>
    <w:next w:val="1"/>
    <w:autoRedefine/>
    <w:qFormat/>
    <w:uiPriority w:val="0"/>
    <w:pPr>
      <w:adjustRightInd w:val="0"/>
      <w:snapToGrid w:val="0"/>
      <w:spacing w:beforeLines="10" w:afterLines="10" w:line="259" w:lineRule="auto"/>
      <w:jc w:val="center"/>
    </w:pPr>
    <w:rPr>
      <w:rFonts w:ascii="宋体"/>
      <w:kern w:val="0"/>
      <w:szCs w:val="20"/>
    </w:rPr>
  </w:style>
  <w:style w:type="paragraph" w:customStyle="1" w:styleId="54">
    <w:name w:val="表格文字"/>
    <w:basedOn w:val="7"/>
    <w:autoRedefine/>
    <w:qFormat/>
    <w:uiPriority w:val="0"/>
    <w:pPr>
      <w:ind w:firstLine="0" w:firstLineChars="0"/>
      <w:jc w:val="center"/>
    </w:pPr>
    <w:rPr>
      <w:sz w:val="21"/>
      <w:szCs w:val="21"/>
    </w:rPr>
  </w:style>
  <w:style w:type="paragraph" w:customStyle="1" w:styleId="55">
    <w:name w:val="表1表2"/>
    <w:basedOn w:val="1"/>
    <w:autoRedefine/>
    <w:qFormat/>
    <w:uiPriority w:val="0"/>
    <w:pPr>
      <w:autoSpaceDE w:val="0"/>
      <w:autoSpaceDN w:val="0"/>
      <w:adjustRightInd w:val="0"/>
      <w:snapToGrid w:val="0"/>
      <w:jc w:val="center"/>
      <w:textAlignment w:val="center"/>
    </w:pPr>
    <w:rPr>
      <w:kern w:val="0"/>
      <w:szCs w:val="21"/>
    </w:rPr>
  </w:style>
  <w:style w:type="paragraph" w:styleId="56">
    <w:name w:val="No Spacing"/>
    <w:basedOn w:val="1"/>
    <w:autoRedefine/>
    <w:qFormat/>
    <w:uiPriority w:val="1"/>
    <w:pPr>
      <w:adjustRightInd w:val="0"/>
      <w:snapToGrid w:val="0"/>
      <w:ind w:firstLine="480"/>
    </w:pPr>
    <w:rPr>
      <w:rFonts w:ascii="Arial" w:hAnsi="Arial" w:eastAsia="仿宋"/>
      <w:w w:val="90"/>
    </w:rPr>
  </w:style>
  <w:style w:type="paragraph" w:customStyle="1" w:styleId="57">
    <w:name w:val="p0"/>
    <w:basedOn w:val="1"/>
    <w:autoRedefine/>
    <w:qFormat/>
    <w:uiPriority w:val="0"/>
    <w:pPr>
      <w:widowControl/>
    </w:pPr>
    <w:rPr>
      <w:kern w:val="0"/>
      <w:szCs w:val="21"/>
    </w:rPr>
  </w:style>
  <w:style w:type="paragraph" w:customStyle="1" w:styleId="58">
    <w:name w:val="正文 首行缩进:  2 字符"/>
    <w:autoRedefine/>
    <w:qFormat/>
    <w:uiPriority w:val="0"/>
    <w:pPr>
      <w:widowControl w:val="0"/>
      <w:spacing w:beforeLines="50" w:line="360" w:lineRule="auto"/>
      <w:ind w:firstLine="420" w:firstLineChars="200"/>
      <w:jc w:val="both"/>
    </w:pPr>
    <w:rPr>
      <w:rFonts w:ascii="宋体" w:hAnsi="宋体" w:eastAsia="宋体" w:cs="Times New Roman"/>
      <w:color w:val="000000"/>
      <w:kern w:val="2"/>
      <w:sz w:val="21"/>
      <w:szCs w:val="24"/>
      <w:lang w:val="en-US" w:eastAsia="zh-CN" w:bidi="ar-SA"/>
    </w:rPr>
  </w:style>
  <w:style w:type="paragraph" w:customStyle="1" w:styleId="59">
    <w:name w:val="Default1"/>
    <w:basedOn w:val="1"/>
    <w:autoRedefine/>
    <w:qFormat/>
    <w:uiPriority w:val="0"/>
    <w:pPr>
      <w:autoSpaceDE w:val="0"/>
      <w:autoSpaceDN w:val="0"/>
      <w:adjustRightInd w:val="0"/>
      <w:jc w:val="left"/>
    </w:pPr>
    <w:rPr>
      <w:rFonts w:ascii="宋体" w:hAnsi="宋体" w:cs="宋体"/>
      <w:color w:val="000000"/>
      <w:kern w:val="0"/>
      <w:sz w:val="24"/>
    </w:rPr>
  </w:style>
  <w:style w:type="paragraph" w:styleId="60">
    <w:name w:val="List Paragraph"/>
    <w:basedOn w:val="1"/>
    <w:autoRedefine/>
    <w:qFormat/>
    <w:uiPriority w:val="34"/>
    <w:pPr>
      <w:ind w:firstLine="420" w:firstLineChars="200"/>
    </w:pPr>
    <w:rPr>
      <w:szCs w:val="20"/>
    </w:rPr>
  </w:style>
  <w:style w:type="paragraph" w:customStyle="1" w:styleId="61">
    <w:name w:val="目录 53"/>
    <w:next w:val="1"/>
    <w:autoRedefine/>
    <w:qFormat/>
    <w:uiPriority w:val="0"/>
    <w:pPr>
      <w:widowControl w:val="0"/>
      <w:ind w:left="840"/>
      <w:jc w:val="both"/>
    </w:pPr>
    <w:rPr>
      <w:rFonts w:ascii="Times New Roman" w:hAnsi="Times New Roman" w:eastAsia="宋体" w:cs="宋体"/>
      <w:color w:val="000000"/>
      <w:kern w:val="2"/>
      <w:sz w:val="21"/>
      <w:szCs w:val="24"/>
      <w:lang w:val="en-US" w:eastAsia="zh-CN" w:bidi="ar-SA"/>
    </w:rPr>
  </w:style>
  <w:style w:type="paragraph" w:customStyle="1" w:styleId="62">
    <w:name w:val="Table Paragraph"/>
    <w:basedOn w:val="1"/>
    <w:autoRedefine/>
    <w:qFormat/>
    <w:uiPriority w:val="1"/>
  </w:style>
  <w:style w:type="paragraph" w:customStyle="1" w:styleId="63">
    <w:name w:val="正式文本"/>
    <w:basedOn w:val="1"/>
    <w:autoRedefine/>
    <w:qFormat/>
    <w:uiPriority w:val="0"/>
    <w:pPr>
      <w:adjustRightInd w:val="0"/>
      <w:snapToGrid w:val="0"/>
      <w:spacing w:line="360" w:lineRule="auto"/>
      <w:ind w:firstLine="420" w:firstLineChars="200"/>
      <w:jc w:val="left"/>
    </w:pPr>
    <w:rPr>
      <w:bCs/>
      <w:szCs w:val="21"/>
    </w:rPr>
  </w:style>
  <w:style w:type="character" w:customStyle="1" w:styleId="64">
    <w:name w:val="fontstyle11"/>
    <w:autoRedefine/>
    <w:qFormat/>
    <w:uiPriority w:val="0"/>
    <w:rPr>
      <w:rFonts w:hint="default" w:ascii="Times New Roman" w:hAnsi="Times New Roman" w:cs="Times New Roman"/>
      <w:b/>
      <w:color w:val="000000"/>
      <w:sz w:val="22"/>
      <w:szCs w:val="22"/>
    </w:rPr>
  </w:style>
  <w:style w:type="paragraph" w:customStyle="1" w:styleId="65">
    <w:name w:val="正文001"/>
    <w:basedOn w:val="1"/>
    <w:autoRedefine/>
    <w:qFormat/>
    <w:uiPriority w:val="0"/>
    <w:pPr>
      <w:adjustRightInd w:val="0"/>
      <w:spacing w:before="60" w:line="420" w:lineRule="exact"/>
      <w:ind w:firstLine="482"/>
    </w:pPr>
    <w:rPr>
      <w:rFonts w:ascii="宋体" w:hAnsi="宋体"/>
      <w:kern w:val="0"/>
    </w:rPr>
  </w:style>
  <w:style w:type="paragraph" w:customStyle="1" w:styleId="66">
    <w:name w:val="表格内容自定"/>
    <w:basedOn w:val="1"/>
    <w:autoRedefine/>
    <w:qFormat/>
    <w:uiPriority w:val="0"/>
    <w:pPr>
      <w:spacing w:line="280" w:lineRule="exact"/>
      <w:jc w:val="center"/>
    </w:pPr>
    <w:rPr>
      <w:kern w:val="0"/>
      <w:sz w:val="18"/>
      <w:szCs w:val="18"/>
    </w:rPr>
  </w:style>
  <w:style w:type="character" w:customStyle="1" w:styleId="67">
    <w:name w:val="批注文字 字符"/>
    <w:basedOn w:val="34"/>
    <w:link w:val="9"/>
    <w:autoRedefine/>
    <w:semiHidden/>
    <w:qFormat/>
    <w:uiPriority w:val="0"/>
    <w:rPr>
      <w:sz w:val="24"/>
    </w:rPr>
  </w:style>
  <w:style w:type="character" w:customStyle="1" w:styleId="68">
    <w:name w:val="批注主题 字符"/>
    <w:basedOn w:val="67"/>
    <w:link w:val="30"/>
    <w:autoRedefine/>
    <w:qFormat/>
    <w:uiPriority w:val="0"/>
    <w:rPr>
      <w:b/>
      <w:bCs/>
      <w:kern w:val="2"/>
      <w:sz w:val="21"/>
      <w:szCs w:val="24"/>
    </w:rPr>
  </w:style>
  <w:style w:type="paragraph" w:customStyle="1" w:styleId="69">
    <w:name w:val="表格字体"/>
    <w:basedOn w:val="54"/>
    <w:next w:val="1"/>
    <w:autoRedefine/>
    <w:qFormat/>
    <w:uiPriority w:val="0"/>
    <w:pPr>
      <w:spacing w:line="360" w:lineRule="exact"/>
    </w:pPr>
  </w:style>
  <w:style w:type="paragraph" w:customStyle="1" w:styleId="70">
    <w:name w:val="图表表题"/>
    <w:basedOn w:val="1"/>
    <w:autoRedefine/>
    <w:qFormat/>
    <w:uiPriority w:val="0"/>
    <w:pPr>
      <w:autoSpaceDE w:val="0"/>
      <w:autoSpaceDN w:val="0"/>
      <w:adjustRightInd w:val="0"/>
      <w:snapToGrid w:val="0"/>
      <w:jc w:val="center"/>
    </w:pPr>
    <w:rPr>
      <w:rFonts w:hint="eastAsia" w:cs="宋体"/>
      <w:b/>
      <w:bCs/>
    </w:rPr>
  </w:style>
  <w:style w:type="paragraph" w:customStyle="1" w:styleId="71">
    <w:name w:val="图、表标题"/>
    <w:basedOn w:val="1"/>
    <w:autoRedefine/>
    <w:qFormat/>
    <w:uiPriority w:val="0"/>
    <w:pPr>
      <w:jc w:val="center"/>
    </w:pPr>
    <w:rPr>
      <w:b/>
    </w:rPr>
  </w:style>
  <w:style w:type="paragraph" w:customStyle="1" w:styleId="72">
    <w:name w:val="+正文"/>
    <w:basedOn w:val="1"/>
    <w:autoRedefine/>
    <w:qFormat/>
    <w:uiPriority w:val="0"/>
    <w:pPr>
      <w:widowControl/>
      <w:spacing w:line="360" w:lineRule="auto"/>
      <w:ind w:firstLine="200" w:firstLineChars="200"/>
    </w:pPr>
    <w:rPr>
      <w:rFonts w:cs="宋体"/>
      <w:sz w:val="24"/>
    </w:rPr>
  </w:style>
  <w:style w:type="paragraph" w:customStyle="1" w:styleId="73">
    <w:name w:val="中文报告书样式"/>
    <w:basedOn w:val="1"/>
    <w:qFormat/>
    <w:uiPriority w:val="0"/>
    <w:pPr>
      <w:adjustRightInd w:val="0"/>
      <w:spacing w:line="480" w:lineRule="atLeast"/>
      <w:ind w:firstLine="482"/>
      <w:textAlignment w:val="baseline"/>
    </w:pPr>
    <w:rPr>
      <w:kern w:val="24"/>
      <w:sz w:val="24"/>
      <w:szCs w:val="20"/>
    </w:rPr>
  </w:style>
  <w:style w:type="paragraph" w:customStyle="1" w:styleId="74">
    <w:name w:val="4表头、图头格式"/>
    <w:basedOn w:val="1"/>
    <w:qFormat/>
    <w:uiPriority w:val="0"/>
    <w:pPr>
      <w:jc w:val="center"/>
    </w:pPr>
    <w:rPr>
      <w:rFonts w:cs="Calibri"/>
      <w:b/>
      <w:kern w:val="0"/>
      <w:szCs w:val="21"/>
    </w:rPr>
  </w:style>
  <w:style w:type="paragraph" w:customStyle="1" w:styleId="75">
    <w:name w:val="报告表三级标题"/>
    <w:basedOn w:val="76"/>
    <w:next w:val="1"/>
    <w:qFormat/>
    <w:uiPriority w:val="0"/>
    <w:pPr>
      <w:spacing w:before="0" w:beforeLines="0" w:after="0" w:afterLines="0" w:line="360" w:lineRule="auto"/>
    </w:pPr>
    <w:rPr>
      <w:b/>
      <w:sz w:val="28"/>
    </w:rPr>
  </w:style>
  <w:style w:type="paragraph" w:customStyle="1" w:styleId="76">
    <w:name w:val="报告表二级标题"/>
    <w:basedOn w:val="77"/>
    <w:next w:val="78"/>
    <w:qFormat/>
    <w:uiPriority w:val="0"/>
    <w:pPr>
      <w:spacing w:before="156" w:beforeLines="50"/>
    </w:pPr>
    <w:rPr>
      <w:rFonts w:eastAsia="宋体"/>
      <w:kern w:val="0"/>
      <w:sz w:val="30"/>
    </w:rPr>
  </w:style>
  <w:style w:type="paragraph" w:customStyle="1" w:styleId="77">
    <w:name w:val="报告表一级标题"/>
    <w:basedOn w:val="1"/>
    <w:next w:val="78"/>
    <w:qFormat/>
    <w:uiPriority w:val="0"/>
    <w:pPr>
      <w:spacing w:after="156" w:afterLines="50"/>
      <w:jc w:val="left"/>
      <w:outlineLvl w:val="0"/>
    </w:pPr>
    <w:rPr>
      <w:rFonts w:eastAsia="黑体"/>
      <w:sz w:val="32"/>
    </w:rPr>
  </w:style>
  <w:style w:type="paragraph" w:customStyle="1" w:styleId="78">
    <w:name w:val="报告表正文"/>
    <w:basedOn w:val="1"/>
    <w:qFormat/>
    <w:uiPriority w:val="0"/>
    <w:pPr>
      <w:ind w:firstLine="640" w:firstLineChars="200"/>
    </w:pPr>
  </w:style>
  <w:style w:type="paragraph" w:customStyle="1" w:styleId="79">
    <w:name w:val="正文_17"/>
    <w:qFormat/>
    <w:uiPriority w:val="0"/>
    <w:pPr>
      <w:widowControl w:val="0"/>
      <w:jc w:val="both"/>
    </w:pPr>
    <w:rPr>
      <w:rFonts w:ascii="等线" w:hAnsi="等线" w:eastAsia="等线" w:cs="Times New Roman"/>
      <w:kern w:val="2"/>
      <w:sz w:val="21"/>
      <w:szCs w:val="22"/>
      <w:lang w:val="en-US" w:eastAsia="zh-CN" w:bidi="ar-SA"/>
    </w:rPr>
  </w:style>
  <w:style w:type="paragraph" w:customStyle="1" w:styleId="80">
    <w:name w:val="报告 两端对齐 首行缩进:  2 字符"/>
    <w:autoRedefine/>
    <w:qFormat/>
    <w:uiPriority w:val="0"/>
    <w:pPr>
      <w:spacing w:line="360" w:lineRule="auto"/>
      <w:ind w:firstLine="200" w:firstLineChars="200"/>
      <w:jc w:val="both"/>
    </w:pPr>
    <w:rPr>
      <w:rFonts w:ascii="宋体" w:hAnsi="Times New Roman" w:eastAsia="宋体" w:cs="宋体"/>
      <w:kern w:val="2"/>
      <w:sz w:val="24"/>
      <w:szCs w:val="24"/>
      <w:lang w:val="en-US" w:eastAsia="zh-CN" w:bidi="ar-SA"/>
    </w:rPr>
  </w:style>
  <w:style w:type="paragraph" w:customStyle="1" w:styleId="81">
    <w:name w:val="管线正文"/>
    <w:basedOn w:val="1"/>
    <w:qFormat/>
    <w:uiPriority w:val="0"/>
    <w:pPr>
      <w:spacing w:line="360" w:lineRule="auto"/>
      <w:ind w:firstLine="482"/>
      <w:jc w:val="both"/>
      <w:textAlignment w:val="baseline"/>
    </w:pPr>
    <w:rPr>
      <w:rFonts w:ascii="Times New Roman" w:hAnsi="Times New Roman" w:eastAsia="宋体" w:cs="Times New Roman"/>
      <w:sz w:val="24"/>
      <w:szCs w:val="24"/>
    </w:rPr>
  </w:style>
  <w:style w:type="paragraph" w:customStyle="1" w:styleId="82">
    <w:name w:val="图表标题"/>
    <w:basedOn w:val="18"/>
    <w:qFormat/>
    <w:uiPriority w:val="0"/>
    <w:pPr>
      <w:spacing w:beforeLines="50" w:after="0" w:line="240" w:lineRule="auto"/>
      <w:ind w:left="0" w:leftChars="0" w:firstLine="200" w:firstLineChars="200"/>
      <w:jc w:val="center"/>
    </w:pPr>
    <w:rPr>
      <w:rFonts w:ascii="宋体" w:hAnsi="宋体" w:eastAsia="黑体"/>
      <w:kern w:val="0"/>
      <w:sz w:val="24"/>
      <w:szCs w:val="22"/>
    </w:rPr>
  </w:style>
  <w:style w:type="paragraph" w:customStyle="1" w:styleId="83">
    <w:name w:val="表格居中"/>
    <w:basedOn w:val="1"/>
    <w:next w:val="1"/>
    <w:qFormat/>
    <w:uiPriority w:val="0"/>
    <w:pPr>
      <w:adjustRightInd w:val="0"/>
      <w:snapToGrid w:val="0"/>
      <w:spacing w:line="240" w:lineRule="auto"/>
      <w:jc w:val="center"/>
    </w:pPr>
    <w:rPr>
      <w:kern w:val="0"/>
      <w:sz w:val="21"/>
      <w:szCs w:val="21"/>
    </w:rPr>
  </w:style>
  <w:style w:type="paragraph" w:customStyle="1" w:styleId="84">
    <w:name w:val="环评报告表表格文字（内）"/>
    <w:basedOn w:val="1"/>
    <w:qFormat/>
    <w:uiPriority w:val="0"/>
    <w:pPr>
      <w:adjustRightInd w:val="0"/>
      <w:snapToGrid w:val="0"/>
      <w:jc w:val="center"/>
    </w:pPr>
    <w:rPr>
      <w:snapToGrid w:val="0"/>
      <w:szCs w:val="21"/>
    </w:rPr>
  </w:style>
  <w:style w:type="paragraph" w:customStyle="1" w:styleId="85">
    <w:name w:val="样式 样式 样式 首行缩进:  1 字符 + 首行缩进:  2 字符1 + 首行缩进:  2 字符2"/>
    <w:basedOn w:val="1"/>
    <w:qFormat/>
    <w:uiPriority w:val="0"/>
    <w:pPr>
      <w:spacing w:line="360" w:lineRule="auto"/>
      <w:ind w:firstLine="480" w:firstLineChars="200"/>
    </w:pPr>
    <w:rPr>
      <w:rFonts w:cs="宋体"/>
      <w:sz w:val="24"/>
      <w:szCs w:val="20"/>
    </w:rPr>
  </w:style>
  <w:style w:type="paragraph" w:customStyle="1" w:styleId="86">
    <w:name w:val="表格内文字"/>
    <w:basedOn w:val="1"/>
    <w:next w:val="11"/>
    <w:qFormat/>
    <w:uiPriority w:val="0"/>
    <w:pPr>
      <w:spacing w:line="240" w:lineRule="auto"/>
      <w:ind w:firstLine="0" w:firstLineChars="0"/>
      <w:jc w:val="center"/>
    </w:pPr>
    <w:rPr>
      <w:rFonts w:ascii="Times New Roman" w:hAnsi="Times New Roman" w:eastAsia="宋体" w:cs="Times New Roman"/>
      <w:kern w:val="21"/>
      <w:sz w:val="21"/>
      <w:szCs w:val="21"/>
    </w:rPr>
  </w:style>
  <w:style w:type="paragraph" w:customStyle="1" w:styleId="87">
    <w:name w:val="【表中文字】"/>
    <w:basedOn w:val="1"/>
    <w:next w:val="1"/>
    <w:qFormat/>
    <w:uiPriority w:val="0"/>
    <w:pPr>
      <w:widowControl w:val="0"/>
      <w:spacing w:line="240" w:lineRule="auto"/>
      <w:jc w:val="center"/>
    </w:pPr>
    <w:rPr>
      <w:color w:val="auto"/>
      <w:sz w:val="21"/>
      <w:szCs w:val="20"/>
    </w:rPr>
  </w:style>
  <w:style w:type="paragraph" w:customStyle="1" w:styleId="88">
    <w:name w:val="正文1"/>
    <w:basedOn w:val="15"/>
    <w:qFormat/>
    <w:uiPriority w:val="0"/>
    <w:pPr>
      <w:ind w:firstLine="552"/>
    </w:pPr>
    <w:rPr>
      <w:rFonts w:ascii="方正楷体_GB2312" w:eastAsia="方正楷体_GB2312"/>
      <w:b/>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2.emf"/><Relationship Id="rId7" Type="http://schemas.openxmlformats.org/officeDocument/2006/relationships/oleObject" Target="embeddings/oleObject1.bin"/><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png"/><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footer" Target="foot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image" Target="media/image6.emf"/><Relationship Id="rId15" Type="http://schemas.openxmlformats.org/officeDocument/2006/relationships/oleObject" Target="embeddings/oleObject5.bin"/><Relationship Id="rId14" Type="http://schemas.openxmlformats.org/officeDocument/2006/relationships/image" Target="media/image5.emf"/><Relationship Id="rId13" Type="http://schemas.openxmlformats.org/officeDocument/2006/relationships/oleObject" Target="embeddings/oleObject4.bin"/><Relationship Id="rId12" Type="http://schemas.openxmlformats.org/officeDocument/2006/relationships/image" Target="media/image4.emf"/><Relationship Id="rId11" Type="http://schemas.openxmlformats.org/officeDocument/2006/relationships/oleObject" Target="embeddings/oleObject3.bin"/><Relationship Id="rId10" Type="http://schemas.openxmlformats.org/officeDocument/2006/relationships/image" Target="media/image3.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b18a52e1-5718-4994-b6e1-b639dbfc12ba</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41533892</paraID>
      <start>4</start>
      <end>10</end>
      <status>modified</status>
      <modifiedWord>“三线一单”</modifiedWord>
      <trackRevisions>false</trackRevisions>
    </reviewItem>
    <reviewItem>
      <errorID>193d7712-50ba-4e61-8adc-2ee144254f78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2B4F7421</paraID>
      <start>23</start>
      <end>24</end>
      <status>modified</status>
      <modifiedWord>—</modifiedWord>
      <trackRevisions>false</trackRevisions>
    </reviewItem>
    <reviewItem>
      <errorID>360fb1aa-fa7d-450f-bce0-1a0f10741711</errorID>
      <errorWord>）</errorWord>
      <group>L1_Word</group>
      <groupName>字词问题</groupName>
      <ability>L2_Typo</ability>
      <abilityName>字词错误</abilityName>
      <candidateList>
        <item>年）</item>
      </candidateList>
      <explain/>
      <paraID>3B7224F0</paraID>
      <start>30</start>
      <end>32</end>
      <status>modified</status>
      <modifiedWord>年）</modifiedWord>
      <trackRevisions>false</trackRevisions>
    </reviewItem>
    <reviewItem>
      <errorID>9be200c2-78b6-4e8b-be75-4960542decf1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406AED57</paraID>
      <start>18</start>
      <end>19</end>
      <status>unmodified</status>
      <modifiedWord/>
      <trackRevisions>false</trackRevisions>
    </reviewItem>
    <reviewItem>
      <errorID>6243097d-6819-4e62-aed0-43d1208c5f63</errorID>
      <errorWord>部</errorWord>
      <group>L1_Word</group>
      <groupName>字词问题</groupName>
      <ability>L2_Typo</ability>
      <abilityName>字词错误</abilityName>
      <candidateList>
        <item>地带</item>
      </candidateList>
      <explain/>
      <paraID>39C5175B</paraID>
      <start>20</start>
      <end>21</end>
      <status>unmodified</status>
      <modifiedWord/>
      <trackRevisions>false</trackRevisions>
    </reviewItem>
    <reviewItem>
      <errorID>2d597a5c-40af-4c68-acc9-c33717778d11</errorID>
      <errorWord>、</errorWord>
      <group>L1_Grammar</group>
      <groupName>语法问题</groupName>
      <ability>L2_Grammar</ability>
      <abilityName>语法错误</abilityName>
      <candidateList>
        <item>街道、</item>
      </candidateList>
      <explain/>
      <paraID>39C5175B</paraID>
      <start>51</start>
      <end>52</end>
      <status>unmodified</status>
      <modifiedWord/>
      <trackRevisions>false</trackRevisions>
    </reviewItem>
    <reviewItem>
      <errorID>25adaa6a-3259-46ba-9d35-217a05d396ff</errorID>
      <errorWord>-</errorWord>
      <group>L1_Format</group>
      <groupName>格式问题</groupName>
      <ability>L2_HalfPunc_CN</ability>
      <abilityName>全半角问题</abilityName>
      <candidateList>
        <item>－</item>
      </candidateList>
      <explain>文本全半角错误。</explain>
      <paraID>17D65EFC</paraID>
      <start>16</start>
      <end>17</end>
      <status>unmodified</status>
      <modifiedWord/>
      <trackRevisions>false</trackRevisions>
    </reviewItem>
    <reviewItem>
      <errorID>37d82aff-ba72-4238-8601-3aff79d09bac</errorID>
      <errorWord>(</errorWord>
      <group>L1_Punc</group>
      <groupName>标点问题</groupName>
      <ability>L2_Punc_CN</ability>
      <abilityName>标点符号问题</abilityName>
      <candidateList>
        <item>（</item>
      </candidateList>
      <explain/>
      <paraID> 151B477</paraID>
      <start>13</start>
      <end>14</end>
      <status>unmodified</status>
      <modifiedWord/>
      <trackRevisions>false</trackRevisions>
    </reviewItem>
    <reviewItem>
      <errorID>779788d5-9dd8-4bac-87fe-34ebde0929c5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151B477</paraID>
      <start>18</start>
      <end>19</end>
      <status>unmodified</status>
      <modifiedWord/>
      <trackRevisions>false</trackRevisions>
    </reviewItem>
    <reviewItem>
      <errorID>faae3b3c-ee70-4963-9734-39f3a071392b</errorID>
      <errorWord>)</errorWord>
      <group>L1_Punc</group>
      <groupName>标点问题</groupName>
      <ability>L2_Punc_CN</ability>
      <abilityName>标点符号问题</abilityName>
      <candidateList>
        <item>）</item>
      </candidateList>
      <explain/>
      <paraID> 151B477</paraID>
      <start>24</start>
      <end>25</end>
      <status>unmodified</status>
      <modifiedWord/>
      <trackRevisions>false</trackRevisions>
    </reviewItem>
    <reviewItem>
      <errorID>1f6b4f49-acb7-4de6-b51f-cc0090a07fa4</errorID>
      <errorWord>三高</errorWord>
      <group>L1_Punc</group>
      <groupName>标点问题</groupName>
      <ability>L2_Punc_CN</ability>
      <abilityName>标点符号问题</abilityName>
      <candidateList>
        <item>“三高”</item>
      </candidateList>
      <explain/>
      <paraID>3281BE43</paraID>
      <start>36</start>
      <end>40</end>
      <status>modified</status>
      <modifiedWord>“三高”</modifiedWord>
      <trackRevisions>false</trackRevisions>
    </reviewItem>
    <reviewItem>
      <errorID>da4dd506-ae98-496f-89fa-5283a5cdfd65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760977BD</paraID>
      <start>18</start>
      <end>19</end>
      <status>modified</status>
      <modifiedWord>—</modifiedWord>
      <trackRevisions>false</trackRevisions>
    </reviewItem>
    <reviewItem>
      <errorID>c10e4fb3-d1d3-476e-b89a-1a69ebab1053</errorID>
      <errorWord>[2018]61号</errorWord>
      <group>L1_Knowledge</group>
      <groupName>知识性问题</groupName>
      <ability>L2_Knowledge</ability>
      <abilityName>其他知识</abilityName>
      <candidateList>
        <item>〔2018〕61号</item>
      </candidateList>
      <explain>发文字号格式错误。</explain>
      <paraID>760977BD</paraID>
      <start>43</start>
      <end>52</end>
      <status>modified</status>
      <modifiedWord>〔2018〕61号</modifiedWord>
      <trackRevisions>false</trackRevisions>
    </reviewItem>
    <reviewItem>
      <errorID>ddb01506-68a2-4b41-b8e1-2cdc3a98018b</errorID>
      <errorWord>加大无</errorWord>
      <group>L1_Word</group>
      <groupName>字词问题</groupName>
      <ability>L2_Typo</ability>
      <abilityName>字词错误</abilityName>
      <candidateList>
        <item>加大</item>
      </candidateList>
      <explain/>
      <paraID>3B96574F</paraID>
      <start>43</start>
      <end>46</end>
      <status>ignored</status>
      <modifiedWord/>
      <trackRevisions>false</trackRevisions>
    </reviewItem>
    <reviewItem>
      <errorID>16cbe0c7-626c-4459-8a92-3c433518efa8</errorID>
      <errorWord>污水厂</errorWord>
      <group>L1_Word</group>
      <groupName>字词问题</groupName>
      <ability>L2_Typo</ability>
      <abilityName>字词错误</abilityName>
      <candidateList>
        <item>污水处理厂</item>
      </candidateList>
      <explain/>
      <paraID> 98F472F</paraID>
      <start>29</start>
      <end>32</end>
      <status>ignored</status>
      <modifiedWord/>
      <trackRevisions>false</trackRevisions>
    </reviewItem>
    <reviewItem>
      <errorID>5bd903df-0113-4a38-a188-d27642ecbb0c</errorID>
      <errorWord>城乡结合部</errorWord>
      <group>L1_Knowledge</group>
      <groupName>知识性问题</groupName>
      <ability>L2_Knowledge</ability>
      <abilityName>其他知识</abilityName>
      <candidateList>
        <item>城乡接合部</item>
      </candidateList>
      <explain/>
      <paraID>11C85E35</paraID>
      <start>161</start>
      <end>166</end>
      <status>ignored</status>
      <modifiedWord/>
      <trackRevisions>false</trackRevisions>
    </reviewItem>
    <reviewItem>
      <errorID>f02c4a42-32e2-411f-9514-c62c5206cc35</errorID>
      <errorWord>本</errorWord>
      <group>L1_Punc</group>
      <groupName>标点问题</groupName>
      <ability>L2_Punc_CN</ability>
      <abilityName>标点符号问题</abilityName>
      <candidateList>
        <item>. 本</item>
      </candidateList>
      <explain/>
      <paraID>2837E375</paraID>
      <start>1</start>
      <end>4</end>
      <status>modified</status>
      <modifiedWord>. 本</modifiedWord>
      <trackRevisions>false</trackRevisions>
    </reviewItem>
    <reviewItem>
      <errorID>297676dd-bd1d-4322-84c7-cac75da0fa4d</errorID>
      <errorWord>，</errorWord>
      <group>L1_Grammar</group>
      <groupName>语法问题</groupName>
      <ability>L2_Grammar</ability>
      <abilityName>语法错误</abilityName>
      <candidateList>
        <item>措施，</item>
      </candidateList>
      <explain/>
      <paraID>49F01F1C</paraID>
      <start>94</start>
      <end>95</end>
      <status>ignored</status>
      <modifiedWord/>
      <trackRevisions>false</trackRevisions>
    </reviewItem>
    <reviewItem>
      <errorID>cdf4f950-8702-469b-b069-e68f75427a85</errorID>
      <errorWord>单位</errorWord>
      <group>L1_Word</group>
      <groupName>字词问题</groupName>
      <ability>L2_Typo</ability>
      <abilityName>字词错误</abilityName>
      <candidateList>
        <item>的单位</item>
      </candidateList>
      <explain/>
      <paraID>49F01F1C</paraID>
      <start>116</start>
      <end>118</end>
      <status>ignored</status>
      <modifiedWord/>
      <trackRevisions>false</trackRevisions>
    </reviewItem>
    <reviewItem>
      <errorID>3c50121f-2d66-4f44-bebf-afef93429178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43912C8B</paraID>
      <start>28</start>
      <end>29</end>
      <status>modified</status>
      <modifiedWord>—</modifiedWord>
      <trackRevisions>false</trackRevisions>
    </reviewItem>
    <reviewItem>
      <errorID>956c3d09-4366-484d-aa90-d7c8f5f9b255</errorID>
      <errorWord>(</errorWord>
      <group>L1_Format</group>
      <groupName>格式问题</groupName>
      <ability>L2_HalfPunc_CN</ability>
      <abilityName>全半角问题</abilityName>
      <candidateList>
        <item>（</item>
      </candidateList>
      <explain>文本全半角错误。</explain>
      <paraID>27B68760</paraID>
      <start>37</start>
      <end>38</end>
      <status>modified</status>
      <modifiedWord>（</modifiedWord>
      <trackRevisions>false</trackRevisions>
    </reviewItem>
    <reviewItem>
      <errorID>53335783-7968-4d38-9569-c1f48ccbfa8a</errorID>
      <errorWord>)</errorWord>
      <group>L1_Format</group>
      <groupName>格式问题</groupName>
      <ability>L2_HalfPunc_CN</ability>
      <abilityName>全半角问题</abilityName>
      <candidateList>
        <item>）</item>
      </candidateList>
      <explain>文本全半角错误。</explain>
      <paraID>27B68760</paraID>
      <start>67</start>
      <end>68</end>
      <status>modified</status>
      <modifiedWord>）</modifiedWord>
      <trackRevisions>false</trackRevisions>
    </reviewItem>
    <reviewItem>
      <errorID>9f3dd3e5-d5ac-47c6-86ee-117b0ed5dcb8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6146342D</paraID>
      <start>25</start>
      <end>26</end>
      <status>modified</status>
      <modifiedWord>—</modifiedWord>
      <trackRevisions>false</trackRevisions>
    </reviewItem>
    <reviewItem>
      <errorID>4dc39d8e-37e7-48d8-a626-84474fe6e706</errorID>
      <errorWord>(</errorWord>
      <group>L1_Format</group>
      <groupName>格式问题</groupName>
      <ability>L2_HalfPunc_CN</ability>
      <abilityName>全半角问题</abilityName>
      <candidateList>
        <item>（</item>
      </candidateList>
      <explain>文本全半角错误。</explain>
      <paraID>36DF47B0</paraID>
      <start>38</start>
      <end>39</end>
      <status>modified</status>
      <modifiedWord>（</modifiedWord>
      <trackRevisions>false</trackRevisions>
    </reviewItem>
    <reviewItem>
      <errorID>094724af-eb4c-4b5b-9bd8-d3818b6cdac8</errorID>
      <errorWord>)</errorWord>
      <group>L1_Format</group>
      <groupName>格式问题</groupName>
      <ability>L2_HalfPunc_CN</ability>
      <abilityName>全半角问题</abilityName>
      <candidateList>
        <item>）</item>
      </candidateList>
      <explain>文本全半角错误。</explain>
      <paraID>27F2D6D5</paraID>
      <start>9</start>
      <end>10</end>
      <status>modified</status>
      <modifiedWord>）</modifiedWord>
      <trackRevisions>false</trackRevisions>
    </reviewItem>
    <reviewItem>
      <errorID>3bf9c59d-753d-4465-af92-6923aa1adfa9</errorID>
      <errorWord>西安市</errorWord>
      <group>L1_Punc</group>
      <groupName>标点问题</groupName>
      <ability>L2_Punc_CN</ability>
      <abilityName>标点符号问题</abilityName>
      <candidateList>
        <item>《西安市</item>
      </candidateList>
      <explain/>
      <paraID>27F2D6D5</paraID>
      <start>11</start>
      <end>15</end>
      <status>modified</status>
      <modifiedWord>《西安市</modifiedWord>
      <trackRevisions>false</trackRevisions>
    </reviewItem>
    <reviewItem>
      <errorID>d12bce09-19c7-4889-a13a-88e9aad4e64b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27F2D6D5</paraID>
      <start>54</start>
      <end>55</end>
      <status>ignored</status>
      <modifiedWord/>
      <trackRevisions>false</trackRevisions>
    </reviewItem>
    <reviewItem>
      <errorID>96ccc7be-9f29-4ebf-90a1-7b40434816dc</errorID>
      <errorWord>(</errorWord>
      <group>L1_Format</group>
      <groupName>格式问题</groupName>
      <ability>L2_HalfPunc_CN</ability>
      <abilityName>全半角问题</abilityName>
      <candidateList>
        <item>（</item>
      </candidateList>
      <explain>文本全半角错误。</explain>
      <paraID>27F2D6D5</paraID>
      <start>55</start>
      <end>56</end>
      <status>modified</status>
      <modifiedWord>（</modifiedWord>
      <trackRevisions>false</trackRevisions>
    </reviewItem>
    <reviewItem>
      <errorID>49ec4dac-d36b-44a7-b70a-06e45551efc3</errorID>
      <errorWord>)</errorWord>
      <group>L1_Format</group>
      <groupName>格式问题</groupName>
      <ability>L2_HalfPunc_CN</ability>
      <abilityName>全半角问题</abilityName>
      <candidateList>
        <item>）</item>
      </candidateList>
      <explain>文本全半角错误。</explain>
      <paraID>7829EFE0</paraID>
      <start>1</start>
      <end>2</end>
      <status>modified</status>
      <modifiedWord>）</modifiedWord>
      <trackRevisions>false</trackRevisions>
    </reviewItem>
    <reviewItem>
      <errorID>ac496d40-f153-499e-a4b2-f75d6e44e4d9</errorID>
      <errorWord>除恶臭异味治理外</errorWord>
      <group>L1_Punc</group>
      <groupName>标点问题</groupName>
      <ability>L2_Punc_CN</ability>
      <abilityName>标点符号问题</abilityName>
      <candidateList>
        <item>（除恶臭异味治理外）</item>
      </candidateList>
      <explain/>
      <paraID>661CED63</paraID>
      <start>53</start>
      <end>61</end>
      <status>ignored</status>
      <modifiedWord/>
      <trackRevisions>false</trackRevisions>
    </reviewItem>
    <reviewItem>
      <errorID>7faac99e-438c-487e-b1d7-6451b3f9544a</errorID>
      <errorWord>(颗粒活性炭)</errorWord>
      <group>L1_Punc</group>
      <groupName>标点问题</groupName>
      <ability>L2_Punc_CN</ability>
      <abilityName>标点符号问题</abilityName>
      <candidateList>
        <item>（颗粒活性炭）</item>
      </candidateList>
      <explain/>
      <paraID>3DF9AE2D</paraID>
      <start>44</start>
      <end>51</end>
      <status>ignored</status>
      <modifiedWord/>
      <trackRevisions>false</trackRevisions>
    </reviewItem>
    <reviewItem>
      <errorID>458e0096-f8fc-4d7b-9e6d-ce88e2346ab1</errorID>
      <errorWord>(蜂窝活性炭)</errorWord>
      <group>L1_Punc</group>
      <groupName>标点问题</groupName>
      <ability>L2_Punc_CN</ability>
      <abilityName>标点符号问题</abilityName>
      <candidateList>
        <item>（蜂窝活性炭）</item>
      </candidateList>
      <explain/>
      <paraID>3DF9AE2D</paraID>
      <start>56</start>
      <end>63</end>
      <status>modified</status>
      <modifiedWord>（蜂窝活性炭）</modifiedWord>
      <trackRevisions>false</trackRevisions>
    </reviewItem>
    <reviewItem>
      <errorID>9633a52d-e1e1-4441-bc25-e596e59d402a</errorID>
      <errorWord>(</errorWord>
      <group>L1_Format</group>
      <groupName>格式问题</groupName>
      <ability>L2_HalfPunc_CN</ability>
      <abilityName>全半角问题</abilityName>
      <candidateList>
        <item>（</item>
      </candidateList>
      <explain>文本全半角错误。</explain>
      <paraID>3DF9AE2D</paraID>
      <start>115</start>
      <end>116</end>
      <status>modified</status>
      <modifiedWord>（</modifiedWord>
      <trackRevisions>false</trackRevisions>
    </reviewItem>
    <reviewItem>
      <errorID>fb530a3f-f550-4c4b-b8bc-f65072d9d6f2</errorID>
      <errorWord>)</errorWord>
      <group>L1_Format</group>
      <groupName>格式问题</groupName>
      <ability>L2_HalfPunc_CN</ability>
      <abilityName>全半角问题</abilityName>
      <candidateList>
        <item>）</item>
      </candidateList>
      <explain>文本全半角错误。</explain>
      <paraID>3DF9AE2D</paraID>
      <start>124</start>
      <end>125</end>
      <status>modified</status>
      <modifiedWord>）</modifiedWord>
      <trackRevisions>false</trackRevisions>
    </reviewItem>
    <reviewItem>
      <errorID>3cc677db-d0aa-45d9-9da9-756c54e017be</errorID>
      <errorWord>胶粘剂</errorWord>
      <group>L1_Word</group>
      <groupName>字词问题</groupName>
      <ability>L2_Typo</ability>
      <abilityName>字词错误</abilityName>
      <candidateList>
        <item>胶黏剂</item>
      </candidateList>
      <explain/>
      <paraID>7FE38C4C</paraID>
      <start>25</start>
      <end>28</end>
      <status>ignored</status>
      <modifiedWord/>
      <trackRevisions>false</trackRevisions>
    </reviewItem>
    <reviewItem>
      <errorID>8e2ac7de-f16e-4c96-92ab-4f66e358708c</errorID>
      <errorWord>(</errorWord>
      <group>L1_Format</group>
      <groupName>格式问题</groupName>
      <ability>L2_HalfPunc_CN</ability>
      <abilityName>全半角问题</abilityName>
      <candidateList>
        <item>（</item>
      </candidateList>
      <explain>文本全半角错误。</explain>
      <paraID>7FE38C4C</paraID>
      <start>117</start>
      <end>118</end>
      <status>modified</status>
      <modifiedWord>（</modifiedWord>
      <trackRevisions>false</trackRevisions>
    </reviewItem>
    <reviewItem>
      <errorID>4371cd6e-0294-406c-88df-4a07a3458a46</errorID>
      <errorWord>)</errorWord>
      <group>L1_Format</group>
      <groupName>格式问题</groupName>
      <ability>L2_HalfPunc_CN</ability>
      <abilityName>全半角问题</abilityName>
      <candidateList>
        <item>）</item>
      </candidateList>
      <explain>文本全半角错误。</explain>
      <paraID>7FE38C4C</paraID>
      <start>121</start>
      <end>122</end>
      <status>modified</status>
      <modifiedWord>）</modifiedWord>
      <trackRevisions>false</trackRevisions>
    </reviewItem>
    <reviewItem>
      <errorID>e2c68c81-ce20-4f34-b14f-4a0eec2154af</errorID>
      <errorWord>(</errorWord>
      <group>L1_Format</group>
      <groupName>格式问题</groupName>
      <ability>L2_HalfPunc_CN</ability>
      <abilityName>全半角问题</abilityName>
      <candidateList>
        <item>（</item>
      </candidateList>
      <explain>文本全半角错误。</explain>
      <paraID>7720105A</paraID>
      <start>54</start>
      <end>55</end>
      <status>modified</status>
      <modifiedWord>（</modifiedWord>
      <trackRevisions>false</trackRevisions>
    </reviewItem>
    <reviewItem>
      <errorID>31d885e5-a677-4601-9228-40b5022bf4d2</errorID>
      <errorWord>)</errorWord>
      <group>L1_Format</group>
      <groupName>格式问题</groupName>
      <ability>L2_HalfPunc_CN</ability>
      <abilityName>全半角问题</abilityName>
      <candidateList>
        <item>）</item>
      </candidateList>
      <explain>文本全半角错误。</explain>
      <paraID>7720105A</paraID>
      <start>63</start>
      <end>64</end>
      <status>modified</status>
      <modifiedWord>）</modifiedWord>
      <trackRevisions>false</trackRevisions>
    </reviewItem>
    <reviewItem>
      <errorID>777f4e2a-2b11-4fb4-8eb4-e66e5fa1c274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D43FDE4</paraID>
      <start>22</start>
      <end>23</end>
      <status>modified</status>
      <modifiedWord>—</modifiedWord>
      <trackRevisions>false</trackRevisions>
    </reviewItem>
    <reviewItem>
      <errorID>73d8444b-16f1-48d3-bb4c-3d85db36903b</errorID>
      <errorWord>(</errorWord>
      <group>L1_Format</group>
      <groupName>格式问题</groupName>
      <ability>L2_HalfPunc_CN</ability>
      <abilityName>全半角问题</abilityName>
      <candidateList>
        <item>（</item>
      </candidateList>
      <explain>文本全半角错误。</explain>
      <paraID>5D84B395</paraID>
      <start>17</start>
      <end>18</end>
      <status>modified</status>
      <modifiedWord>（</modifiedWord>
      <trackRevisions>false</trackRevisions>
    </reviewItem>
    <reviewItem>
      <errorID>8af11b33-278b-4cd7-8838-712d80a6ff78</errorID>
      <errorWord>)</errorWord>
      <group>L1_Format</group>
      <groupName>格式问题</groupName>
      <ability>L2_HalfPunc_CN</ability>
      <abilityName>全半角问题</abilityName>
      <candidateList>
        <item>）</item>
      </candidateList>
      <explain>文本全半角错误。</explain>
      <paraID>614A34F3</paraID>
      <start>4</start>
      <end>5</end>
      <status>modified</status>
      <modifiedWord>）</modifiedWord>
      <trackRevisions>false</trackRevisions>
    </reviewItem>
    <reviewItem>
      <errorID>416d2d40-f880-44a4-87dc-272bc2ef1529</errorID>
      <errorWord>》</errorWord>
      <group>L1_Word</group>
      <groupName>字词问题</groupName>
      <ability>L2_Typo</ability>
      <abilityName>字词错误</abilityName>
      <candidateList>
        <item>》等</item>
      </candidateList>
      <explain/>
      <paraID>63313DED</paraID>
      <start>57</start>
      <end>59</end>
      <status>modified</status>
      <modifiedWord>》等</modifiedWord>
      <trackRevisions>false</trackRevisions>
    </reviewItem>
    <reviewItem>
      <errorID>05afd4ce-6d3b-4fd8-b7ea-4f3941f63da7</errorID>
      <errorWord>规定，本项目属于名录中</errorWord>
      <group>L1_Grammar</group>
      <groupName>语法问题</groupName>
      <ability>L2_Grammar</ability>
      <abilityName>语法错误</abilityName>
      <candidateList>
        <item>规定</item>
      </candidateList>
      <explain/>
      <paraID>63313DED</paraID>
      <start>61</start>
      <end>72</end>
      <status>ignored</status>
      <modifiedWord/>
      <trackRevisions>false</trackRevisions>
    </reviewItem>
    <reviewItem>
      <errorID>55e42669-ccb8-4edd-9df3-a0df164d197d</errorID>
      <errorWord>属于名录中</errorWord>
      <group>L1_Grammar</group>
      <groupName>语法问题</groupName>
      <ability>L2_Grammar</ability>
      <abilityName>语法错误</abilityName>
      <candidateList>
        <item>属于</item>
      </candidateList>
      <explain/>
      <paraID>63313DED</paraID>
      <start>76</start>
      <end>81</end>
      <status>ignored</status>
      <modifiedWord/>
      <trackRevisions>false</trackRevisions>
    </reviewItem>
    <reviewItem>
      <errorID>83169dc0-3419-42e0-b9f0-78ce392b02d3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75CCDBCE</paraID>
      <start>33</start>
      <end>34</end>
      <status>unmodified</status>
      <modifiedWord/>
      <trackRevisions>false</trackRevisions>
    </reviewItem>
    <reviewItem>
      <errorID>d03c3807-5151-4a0f-85ba-980f15843235</errorID>
      <errorWord>，</errorWord>
      <group>L1_Punc</group>
      <groupName>标点问题</groupName>
      <ability>L2_Punc_CN</ability>
      <abilityName>标点符号问题</abilityName>
      <candidateList>
        <item>）。</item>
      </candidateList>
      <explain/>
      <paraID>75CCDBCE</paraID>
      <start>43</start>
      <end>44</end>
      <status>unmodified</status>
      <modifiedWord/>
      <trackRevisions>false</trackRevisions>
    </reviewItem>
    <reviewItem>
      <errorID>c9d82c3b-c2b3-487b-9bc1-4213a47985ad</errorID>
      <errorWord>、</errorWord>
      <group>L1_Punc</group>
      <groupName>标点问题</groupName>
      <ability>L2_Punc_CN</ability>
      <abilityName>标点符号问题</abilityName>
      <candidateList>
        <item>，</item>
      </candidateList>
      <explain/>
      <paraID>75CCDBCE</paraID>
      <start>51</start>
      <end>52</end>
      <status>unmodified</status>
      <modifiedWord/>
      <trackRevisions>false</trackRevisions>
    </reviewItem>
    <reviewItem>
      <errorID>4c1f44fb-3e0f-42ec-a159-d5af20079e95</errorID>
      <errorWord>、</errorWord>
      <group>L1_Punc</group>
      <groupName>标点问题</groupName>
      <ability>L2_Punc_CN</ability>
      <abilityName>标点符号问题</abilityName>
      <candidateList>
        <item>，</item>
      </candidateList>
      <explain/>
      <paraID>75CCDBCE</paraID>
      <start>57</start>
      <end>58</end>
      <status>unmodified</status>
      <modifiedWord/>
      <trackRevisions>false</trackRevisions>
    </reviewItem>
    <reviewItem>
      <errorID>5990ca16-2085-44d4-babc-14d8431a2b87</errorID>
      <errorWord>、</errorWord>
      <group>L1_Punc</group>
      <groupName>标点问题</groupName>
      <ability>L2_Punc_CN</ability>
      <abilityName>标点符号问题</abilityName>
      <candidateList>
        <item>，</item>
      </candidateList>
      <explain/>
      <paraID>75CCDBCE</paraID>
      <start>70</start>
      <end>71</end>
      <status>unmodified</status>
      <modifiedWord/>
      <trackRevisions>false</trackRevisions>
    </reviewItem>
    <reviewItem>
      <errorID>d0e269ef-7155-457a-91b9-07440a05de88</errorID>
      <errorWord>，</errorWord>
      <group>L1_Punc</group>
      <groupName>标点问题</groupName>
      <ability>L2_Punc_CN</ability>
      <abilityName>标点符号问题</abilityName>
      <candidateList>
        <item>。</item>
      </candidateList>
      <explain/>
      <paraID>75CCDBCE</paraID>
      <start>82</start>
      <end>83</end>
      <status>unmodified</status>
      <modifiedWord/>
      <trackRevisions>false</trackRevisions>
    </reviewItem>
    <reviewItem>
      <errorID>5df7e511-c503-42df-bc6d-aa812f5720fa</errorID>
      <errorWord>³/a</errorWord>
      <group>L1_Grammar</group>
      <groupName>语法问题</groupName>
      <ability>L2_Grammar</ability>
      <abilityName>语法错误</abilityName>
      <candidateList>
        <item>³</item>
      </candidateList>
      <explain/>
      <paraID>3689EB7E</paraID>
      <start>12</start>
      <end>15</end>
      <status>unmodified</status>
      <modifiedWord/>
      <trackRevisions>false</trackRevisions>
    </reviewItem>
    <reviewItem>
      <errorID>b4429fa1-242a-4bcc-82f9-c0fddd2d6910</errorID>
      <errorWord>40~50%</errorWord>
      <group>L1_Knowledge</group>
      <groupName>知识性问题</groupName>
      <ability>L2_Knowledge</ability>
      <abilityName>其他知识</abilityName>
      <candidateList>
        <item>40%～50%</item>
      </candidateList>
      <explain>1. “40~50%”中的单位“%”仅出现在后一个数字上，容易引起歧义；根据《现代汉语标点符号数字用法规范手册》，数字表示范围两边需要使用统一的格式。2. 根据标点国标 4.13 中的规则，数字、时间或地域连接符应使用（视觉上更长的）“—”或“～”。</explain>
      <paraID>4395C156</paraID>
      <start>53</start>
      <end>59</end>
      <status>unmodified</status>
      <modifiedWord/>
      <trackRevisions>false</trackRevisions>
    </reviewItem>
    <reviewItem>
      <errorID>72692c02-cf68-4259-ad94-9710f090b253</errorID>
      <errorWord>粘度</errorWord>
      <group>L1_Word</group>
      <groupName>字词问题</groupName>
      <ability>L2_Alias</ability>
      <abilityName>也作/曾用词</abilityName>
      <candidateList>
        <item>黏度</item>
      </candidateList>
      <explain>词汇[粘度]为不规范表述或旧称，其规范书面表述为[黏度]。</explain>
      <paraID>4395C156</paraID>
      <start>81</start>
      <end>83</end>
      <status>unmodified</status>
      <modifiedWord/>
      <trackRevisions>false</trackRevisions>
    </reviewItem>
    <reviewItem>
      <errorID>001fe0b0-5c20-4c6f-9cc1-690edf83196b</errorID>
      <errorWord>20~30%</errorWord>
      <group>L1_Knowledge</group>
      <groupName>知识性问题</groupName>
      <ability>L2_Knowledge</ability>
      <abilityName>其他知识</abilityName>
      <candidateList>
        <item>20%～30%</item>
      </candidateList>
      <explain>1. “20~30%”中的单位“%”仅出现在后一个数字上，容易引起歧义；根据《现代汉语标点符号数字用法规范手册》，数字表示范围两边需要使用统一的格式。2. 根据标点国标 4.13 中的规则，数字、时间或地域连接符应使用（视觉上更长的）“—”或“～”。</explain>
      <paraID>2A67A33B</paraID>
      <start>55</start>
      <end>61</end>
      <status>unmodified</status>
      <modifiedWord/>
      <trackRevisions>false</trackRevisions>
    </reviewItem>
    <reviewItem>
      <errorID>a3b2118a-16a7-4edd-a3ab-1649ee8be9fe</errorID>
      <errorWord>28~30%</errorWord>
      <group>L1_Knowledge</group>
      <groupName>知识性问题</groupName>
      <ability>L2_Knowledge</ability>
      <abilityName>其他知识</abilityName>
      <candidateList>
        <item>28%～30%</item>
      </candidateList>
      <explain>1. “28~30%”中的单位“%”仅出现在后一个数字上，容易引起歧义；根据《现代汉语标点符号数字用法规范手册》，数字表示范围两边需要使用统一的格式。2. 根据标点国标 4.13 中的规则，数字、时间或地域连接符应使用（视觉上更长的）“—”或“～”。</explain>
      <paraID>294EC48B</paraID>
      <start>76</start>
      <end>82</end>
      <status>unmodified</status>
      <modifiedWord/>
      <trackRevisions>false</trackRevisions>
    </reviewItem>
    <reviewItem>
      <errorID>b139192c-2146-4c25-bc3e-21da06dfdfd8</errorID>
      <errorWord>T943</errorWord>
      <group>L1_Word</group>
      <groupName>字词问题</groupName>
      <ability>L2_Typo</ability>
      <abilityName>字词错误</abilityName>
      <candidateList>
        <item>T 943</item>
      </candidateList>
      <explain/>
      <paraID> 797B080</paraID>
      <start>30</start>
      <end>34</end>
      <status>unmodified</status>
      <modifiedWord/>
      <trackRevisions>false</trackRevisions>
    </reviewItem>
    <reviewItem>
      <errorID>70509451-fd4c-41f7-b2a5-4a9c47eea571</errorID>
      <errorWord> </errorWord>
      <group>L1_Punc</group>
      <groupName>标点问题</groupName>
      <ability>L2_Punc_CN</ability>
      <abilityName>标点符号问题</abilityName>
      <candidateList>
        <item>·</item>
      </candidateList>
      <explain/>
      <paraID> 797B080</paraID>
      <start>60</start>
      <end>61</end>
      <status>unmodified</status>
      <modifiedWord/>
      <trackRevisions>false</trackRevisions>
    </reviewItem>
    <reviewItem>
      <errorID>77053997-c874-4484-9cf1-87f27711361b</errorID>
      <errorWord> </errorWord>
      <group>L1_Punc</group>
      <groupName>标点问题</groupName>
      <ability>L2_Punc_CN</ability>
      <abilityName>标点符号问题</abilityName>
      <candidateList>
        <item>·</item>
      </candidateList>
      <explain/>
      <paraID> 797B080</paraID>
      <start>80</start>
      <end>81</end>
      <status>unmodified</status>
      <modifiedWord/>
      <trackRevisions>false</trackRevisions>
    </reviewItem>
    <reviewItem>
      <errorID>672fd6ee-24f5-493d-9c7f-75f1d9ecd6a5</errorID>
      <errorWord>70%~75%</errorWord>
      <group>L1_Knowledge</group>
      <groupName>知识性问题</groupName>
      <ability>L2_Knowledge</ability>
      <abilityName>其他知识</abilityName>
      <candidateList>
        <item>70%～75%</item>
      </candidateList>
      <explain>1. “70%~75%”中的单位“%”仅出现在后一个数字上，容易引起歧义；根据《现代汉语标点符号数字用法规范手册》，数字表示范围两边需要使用统一的格式。2. 根据标点国标 4.13 中的规则，数字、时间或地域连接符应使用（视觉上更长的）“—”或“～”。</explain>
      <paraID>36E03BF9</paraID>
      <start>62</start>
      <end>69</end>
      <status>unmodified</status>
      <modifiedWord/>
      <trackRevisions>false</trackRevisions>
    </reviewItem>
    <reviewItem>
      <errorID>8a26e275-9bef-4031-aeea-64dbc5a68468</errorID>
      <errorWord>（</errorWord>
      <group>L1_Punc</group>
      <groupName>标点问题</groupName>
      <ability>L2_Punc_CN</ability>
      <abilityName>标点符号问题</abilityName>
      <candidateList/>
      <explain>同一形式括号套用。</explain>
      <paraID>6C7B57D6</paraID>
      <start>26</start>
      <end>27</end>
      <status>unmodified</status>
      <modifiedWord/>
      <trackRevisions>false</trackRevisions>
    </reviewItem>
    <reviewItem>
      <errorID>7e4640b4-3d17-4c91-95b9-e4533e993c24</errorID>
      <errorWord>）</errorWord>
      <group>L1_Punc</group>
      <groupName>标点问题</groupName>
      <ability>L2_Punc_CN</ability>
      <abilityName>标点符号问题</abilityName>
      <candidateList/>
      <explain>同一形式括号套用。</explain>
      <paraID>6C7B57D6</paraID>
      <start>41</start>
      <end>42</end>
      <status>ignored</status>
      <modifiedWord/>
      <trackRevisions>false</trackRevisions>
    </reviewItem>
    <reviewItem>
      <errorID>9560149d-5d67-47d3-aae5-2195ab82b6b4</errorID>
      <errorWord>）</errorWord>
      <group>L1_Punc</group>
      <groupName>标点问题</groupName>
      <ability>L2_Punc_CN</ability>
      <abilityName>标点符号问题</abilityName>
      <candidateList/>
      <explain>同一形式括号套用。</explain>
      <paraID>6C7B57D6</paraID>
      <start>58</start>
      <end>59</end>
      <status>ignored</status>
      <modifiedWord/>
      <trackRevisions>false</trackRevisions>
    </reviewItem>
    <reviewItem>
      <errorID>0752651a-6270-41a4-a443-e07f0fa0b0f0</errorID>
      <errorWord>）</errorWord>
      <group>L1_Punc</group>
      <groupName>标点问题</groupName>
      <ability>L2_Punc_CN</ability>
      <abilityName>标点符号问题</abilityName>
      <candidateList/>
      <explain>同一形式括号套用。</explain>
      <paraID>6C7B57D6</paraID>
      <start>98</start>
      <end>99</end>
      <status>ignored</status>
      <modifiedWord/>
      <trackRevisions>false</trackRevisions>
    </reviewItem>
    <reviewItem>
      <errorID>a1defd8e-eab1-4da3-b62a-901ae9ea9ca0</errorID>
      <errorWord>：</errorWord>
      <group>L1_Punc</group>
      <groupName>标点问题</groupName>
      <ability>L2_Punc_CN</ability>
      <abilityName>标点符号问题</abilityName>
      <candidateList>
        <item>。</item>
      </candidateList>
      <explain/>
      <paraID>60238CCF</paraID>
      <start>88</start>
      <end>89</end>
      <status>modified</status>
      <modifiedWord>。</modifiedWord>
      <trackRevisions>false</trackRevisions>
    </reviewItem>
    <reviewItem>
      <errorID>a895f70b-6dbc-4c9c-ad9a-e50e117e3797</errorID>
      <errorWord>污染</errorWord>
      <group>L1_Word</group>
      <groupName>字词问题</groupName>
      <ability>L2_Typo</ability>
      <abilityName>字词错误</abilityName>
      <candidateList>
        <item>的污染</item>
      </candidateList>
      <explain/>
      <paraID>23F7BC1F</paraID>
      <start>43</start>
      <end>46</end>
      <status>modified</status>
      <modifiedWord>的污染</modifiedWord>
      <trackRevisions>false</trackRevisions>
    </reviewItem>
    <reviewItem>
      <errorID>cb2eaf8f-9522-412c-9d7e-de0477adb34c</errorID>
      <errorWord> </errorWord>
      <group>L1_Punc</group>
      <groupName>标点问题</groupName>
      <ability>L2_Punc_CN</ability>
      <abilityName>标点符号问题</abilityName>
      <candidateList>
        <item/>
      </candidateList>
      <explain>此处空格冗余，建议删除。</explain>
      <paraID> C071055</paraID>
      <start>8</start>
      <end>8</end>
      <status>modified</status>
      <modifiedWord/>
      <trackRevisions>false</trackRevisions>
    </reviewItem>
    <reviewItem>
      <errorID>46e0e7a6-58d2-4fe3-984c-07ef477b3cf2</errorID>
      <errorWord> </errorWord>
      <group>L1_Punc</group>
      <groupName>标点问题</groupName>
      <ability>L2_Punc_CN</ability>
      <abilityName>标点符号问题</abilityName>
      <candidateList>
        <item/>
      </candidateList>
      <explain>此处空格冗余，建议删除。</explain>
      <paraID>29261DBE</paraID>
      <start>6</start>
      <end>6</end>
      <status>modified</status>
      <modifiedWord/>
      <trackRevisions>false</trackRevisions>
    </reviewItem>
    <reviewItem>
      <errorID>8c149b36-e900-45f8-bee6-645cf3067740</errorID>
      <errorWord> </errorWord>
      <group>L1_Punc</group>
      <groupName>标点问题</groupName>
      <ability>L2_Punc_CN</ability>
      <abilityName>标点符号问题</abilityName>
      <candidateList>
        <item/>
      </candidateList>
      <explain>此处空格冗余，建议删除。</explain>
      <paraID>5FFE733A</paraID>
      <start>73</start>
      <end>73</end>
      <status>modified</status>
      <modifiedWord/>
      <trackRevisions>false</trackRevisions>
    </reviewItem>
    <reviewItem>
      <errorID>435659cd-c53d-497b-ba9c-c644f6504393</errorID>
      <errorWord>为</errorWord>
      <group>L1_Word</group>
      <groupName>字词问题</groupName>
      <ability>L2_Typo</ability>
      <abilityName>字词错误</abilityName>
      <candidateList>
        <item>产生</item>
      </candidateList>
      <explain/>
      <paraID>766121B5</paraID>
      <start>44</start>
      <end>45</end>
      <status>ignored</status>
      <modifiedWord/>
      <trackRevisions>false</trackRevisions>
    </reviewItem>
    <reviewItem>
      <errorID>dec2f73b-08f5-4c12-b20e-401698544a61</errorID>
      <errorWord>外逸</errorWord>
      <group>L1_Word</group>
      <groupName>字词问题</groupName>
      <ability>L2_Typo</ability>
      <abilityName>字词错误</abilityName>
      <candidateList>
        <item>外溢</item>
      </candidateList>
      <explain/>
      <paraID>3333DC1D</paraID>
      <start>85</start>
      <end>87</end>
      <status>ignored</status>
      <modifiedWord/>
      <trackRevisions>false</trackRevisions>
    </reviewItem>
    <reviewItem>
      <errorID>47215924-5dbd-471c-8cc6-b3c33b32b0b9</errorID>
      <errorWord> </errorWord>
      <group>L1_Punc</group>
      <groupName>标点问题</groupName>
      <ability>L2_Punc_CN</ability>
      <abilityName>标点符号问题</abilityName>
      <candidateList>
        <item/>
      </candidateList>
      <explain>此处空格冗余，建议删除。</explain>
      <paraID>7F39F25D</paraID>
      <start>73</start>
      <end>74</end>
      <status>ignored</status>
      <modifiedWord/>
      <trackRevisions>false</trackRevisions>
    </reviewItem>
    <reviewItem>
      <errorID>b9cca454-8e61-453d-9be7-bf3cb11eb9e8</errorID>
      <errorWord> </errorWord>
      <group>L1_Punc</group>
      <groupName>标点问题</groupName>
      <ability>L2_Punc_CN</ability>
      <abilityName>标点符号问题</abilityName>
      <candidateList>
        <item/>
      </candidateList>
      <explain>此处空格冗余，建议删除。</explain>
      <paraID>7F39F25D</paraID>
      <start>92</start>
      <end>93</end>
      <status>ignored</status>
      <modifiedWord/>
      <trackRevisions>false</trackRevisions>
    </reviewItem>
    <reviewItem>
      <errorID>7e480661-9850-47a6-81f6-f35f03fcad61</errorID>
      <errorWord> </errorWord>
      <group>L1_Punc</group>
      <groupName>标点问题</groupName>
      <ability>L2_Punc_CN</ability>
      <abilityName>标点符号问题</abilityName>
      <candidateList>
        <item/>
      </candidateList>
      <explain>此处空格冗余，建议删除。</explain>
      <paraID>7F39F25D</paraID>
      <start>97</start>
      <end>98</end>
      <status>ignored</status>
      <modifiedWord/>
      <trackRevisions>false</trackRevisions>
    </reviewItem>
    <reviewItem>
      <errorID>e7ed1370-7301-47bf-ab35-1733b5e56ee2</errorID>
      <errorWord> </errorWord>
      <group>L1_Punc</group>
      <groupName>标点问题</groupName>
      <ability>L2_Punc_CN</ability>
      <abilityName>标点符号问题</abilityName>
      <candidateList>
        <item/>
      </candidateList>
      <explain>此处空格冗余，建议删除。</explain>
      <paraID>6980B7BA</paraID>
      <start>6</start>
      <end>7</end>
      <status>ignored</status>
      <modifiedWord/>
      <trackRevisions>false</trackRevisions>
    </reviewItem>
    <reviewItem>
      <errorID>037a23fe-3d80-4f44-a3f7-dfaf633617f8</errorID>
      <errorWord>灰</errorWord>
      <group>L1_Word</group>
      <groupName>字词问题</groupName>
      <ability>L2_Typo</ability>
      <abilityName>字词错误</abilityName>
      <candidateList>
        <item>灰渣</item>
      </candidateList>
      <explain/>
      <paraID>6980B7BA</paraID>
      <start>124</start>
      <end>126</end>
      <status>modified</status>
      <modifiedWord>灰渣</modifiedWord>
      <trackRevisions>false</trackRevisions>
    </reviewItem>
    <reviewItem>
      <errorID>9cf1c471-e9b9-4aa3-8a5e-762026197222</errorID>
      <errorWord>  </errorWord>
      <group>L1_Punc</group>
      <groupName>标点问题</groupName>
      <ability>L2_Punc_CN</ability>
      <abilityName>标点符号问题</abilityName>
      <candidateList>
        <item/>
      </candidateList>
      <explain>此处空格冗余，建议删除。</explain>
      <paraID>7378E164</paraID>
      <start>59</start>
      <end>59</end>
      <status>modified</status>
      <modifiedWord/>
      <trackRevisions>false</trackRevisions>
    </reviewItem>
    <reviewItem>
      <errorID>20d39ab9-17a6-4c34-93be-dcc63bb680e3</errorID>
      <errorWord>噪声</errorWord>
      <group>L1_Grammar</group>
      <groupName>语法问题</groupName>
      <ability>L2_Grammar</ability>
      <abilityName>语法错误</abilityName>
      <candidateList>
        <item>产生噪声</item>
      </candidateList>
      <explain/>
      <paraID>7378E164</paraID>
      <start>148</start>
      <end>150</end>
      <status>ignored</status>
      <modifiedWord/>
      <trackRevisions>false</trackRevisions>
    </reviewItem>
    <reviewItem>
      <errorID>592c6452-44ca-431b-b345-3dac4bc9f908</errorID>
      <errorWord>水性漆喷涂工件</errorWord>
      <group>L1_Grammar</group>
      <groupName>语法问题</groupName>
      <ability>L2_Grammar</ability>
      <abilityName>语法错误</abilityName>
      <candidateList>
        <item>工件</item>
      </candidateList>
      <explain/>
      <paraID>3F90B0E6</paraID>
      <start>0</start>
      <end>2</end>
      <status>modified</status>
      <modifiedWord>工件</modifiedWord>
      <trackRevisions>false</trackRevisions>
    </reviewItem>
    <reviewItem>
      <errorID>2bf0c330-7a9b-4d1d-beff-b90e36b8b9a7</errorID>
      <errorWord>噪声</errorWord>
      <group>L1_Grammar</group>
      <groupName>语法问题</groupName>
      <ability>L2_Grammar</ability>
      <abilityName>语法错误</abilityName>
      <candidateList>
        <item>产生噪声</item>
      </candidateList>
      <explain/>
      <paraID>3F90B0E6</paraID>
      <start>134</start>
      <end>136</end>
      <status>ignored</status>
      <modifiedWord/>
      <trackRevisions>false</trackRevisions>
    </reviewItem>
    <reviewItem>
      <errorID>49c5cfea-ad9a-4be7-a4fd-eb274787580a</errorID>
      <errorWord>下件</errorWord>
      <group>L1_Word</group>
      <groupName>字词问题</groupName>
      <ability>L2_Typo</ability>
      <abilityName>字词错误</abilityName>
      <candidateList>
        <item>下</item>
      </candidateList>
      <explain/>
      <paraID>1C3C3F35</paraID>
      <start>25</start>
      <end>26</end>
      <status>modified</status>
      <modifiedWord>下</modifiedWord>
      <trackRevisions>false</trackRevisions>
    </reviewItem>
    <reviewItem>
      <errorID>6edc9dd5-f097-4b46-bf86-e1bd11f9a897</errorID>
      <errorWord> </errorWord>
      <group>L1_Punc</group>
      <groupName>标点问题</groupName>
      <ability>L2_Punc_CN</ability>
      <abilityName>标点符号问题</abilityName>
      <candidateList>
        <item>：</item>
      </candidateList>
      <explain/>
      <paraID>7CF91A9B</paraID>
      <start>5</start>
      <end>6</end>
      <status>modified</status>
      <modifiedWord>：</modifiedWord>
      <trackRevisions>false</trackRevisions>
    </reviewItem>
    <reviewItem>
      <errorID>b29c45ea-a87c-4f7e-aeee-b7cbe25b017f</errorID>
      <errorWord>；</errorWord>
      <group>L1_Punc</group>
      <groupName>标点问题</groupName>
      <ability>L2_Punc_CN</ability>
      <abilityName>标点符号问题</abilityName>
      <candidateList>
        <item>，</item>
      </candidateList>
      <explain/>
      <paraID>7CF91A9B</paraID>
      <start>50</start>
      <end>51</end>
      <status>modified</status>
      <modifiedWord>，</modifiedWord>
      <trackRevisions>false</trackRevisions>
    </reviewItem>
    <reviewItem>
      <errorID>a71fcb64-3e5e-4419-a44a-8e0c8df1f611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3EA798C6</paraID>
      <start>117</start>
      <end>118</end>
      <status>ignored</status>
      <modifiedWord/>
      <trackRevisions>false</trackRevisions>
    </reviewItem>
    <reviewItem>
      <errorID>3911b83b-42e4-4d57-aeef-5e53cdabaa98</errorID>
      <errorWord>SO2</errorWord>
      <group>L1_Word</group>
      <groupName>字词问题</groupName>
      <ability>L2_Typo</ability>
      <abilityName>字词错误</abilityName>
      <candidateList>
        <item>SO₂</item>
      </candidateList>
      <explain/>
      <paraID> 2CC00EB</paraID>
      <start>28</start>
      <end>31</end>
      <status>ignored</status>
      <modifiedWord/>
      <trackRevisions>false</trackRevisions>
    </reviewItem>
    <reviewItem>
      <errorID>d2bf1fbe-d65f-4dbb-8167-023d81d48e9a</errorID>
      <errorWord>NO2</errorWord>
      <group>L1_Word</group>
      <groupName>字词问题</groupName>
      <ability>L2_Typo</ability>
      <abilityName>字词错误</abilityName>
      <candidateList>
        <item>NO₂</item>
      </candidateList>
      <explain/>
      <paraID> 2CC00EB</paraID>
      <start>32</start>
      <end>35</end>
      <status>ignored</status>
      <modifiedWord/>
      <trackRevisions>false</trackRevisions>
    </reviewItem>
    <reviewItem>
      <errorID>8007372a-f4e7-4d7f-a84a-e68d8c8e71ba</errorID>
      <errorWord>CO24</errorWord>
      <group>L1_Word</group>
      <groupName>字词问题</groupName>
      <ability>L2_Typo</ability>
      <abilityName>字词错误</abilityName>
      <candidateList>
        <item>CO 24</item>
      </candidateList>
      <explain/>
      <paraID> 2CC00EB</paraID>
      <start>44</start>
      <end>48</end>
      <status>ignored</status>
      <modifiedWord/>
      <trackRevisions>false</trackRevisions>
    </reviewItem>
    <reviewItem>
      <errorID>d2659435-77e8-4e53-9fe7-0a8c90147cfa</errorID>
      <errorWord>O3</errorWord>
      <group>L1_Word</group>
      <groupName>字词问题</groupName>
      <ability>L2_Typo</ability>
      <abilityName>字词错误</abilityName>
      <candidateList>
        <item>O₃</item>
      </candidateList>
      <explain/>
      <paraID> 2CC00EB</paraID>
      <start>63</start>
      <end>65</end>
      <status>ignored</status>
      <modifiedWord/>
      <trackRevisions>false</trackRevisions>
    </reviewItem>
    <reviewItem>
      <errorID>2e53a296-eeb9-4f01-a117-64b488944adb</errorID>
      <errorWord>GB3095</errorWord>
      <group>L1_Word</group>
      <groupName>字词问题</groupName>
      <ability>L2_Typo</ability>
      <abilityName>字词错误</abilityName>
      <candidateList>
        <item>GB 3095</item>
      </candidateList>
      <explain/>
      <paraID> 2CC00EB</paraID>
      <start>97</start>
      <end>104</end>
      <status>modified</status>
      <modifiedWord>GB 3095</modifiedWord>
      <trackRevisions>false</trackRevisions>
    </reviewItem>
    <reviewItem>
      <errorID>f9b42021-e4bb-42b4-9e33-e6620226efb0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76949EDA</paraID>
      <start>69</start>
      <end>70</end>
      <status>modified</status>
      <modifiedWord>—</modifiedWord>
      <trackRevisions>false</trackRevisions>
    </reviewItem>
    <reviewItem>
      <errorID>55bc1a3c-ff81-46e1-9bd3-d7a322d30ed8</errorID>
      <errorWord>500米</errorWord>
      <group>L1_Word</group>
      <groupName>字词问题</groupName>
      <ability>L2_Typo</ability>
      <abilityName>字词错误</abilityName>
      <candidateList>
        <item>500m</item>
      </candidateList>
      <explain/>
      <paraID>46B9309E</paraID>
      <start>20</start>
      <end>24</end>
      <status>modified</status>
      <modifiedWord>500m</modifiedWord>
      <trackRevisions>false</trackRevisions>
    </reviewItem>
    <reviewItem>
      <errorID>80f874db-c226-4ec5-8db0-a0b68f59521f</errorID>
      <errorWord>[2026]18号</errorWord>
      <group>L1_Knowledge</group>
      <groupName>知识性问题</groupName>
      <ability>L2_Knowledge</ability>
      <abilityName>其他知识</abilityName>
      <candidateList>
        <item>〔2026〕18号</item>
      </candidateList>
      <explain>发文字号格式错误。</explain>
      <paraID>23542056</paraID>
      <start>68</start>
      <end>77</end>
      <status>modified</status>
      <modifiedWord>〔2026〕18号</modifiedWord>
      <trackRevisions>false</trackRevisions>
    </reviewItem>
    <reviewItem>
      <errorID>4a3cc5b6-b25f-4cb4-adad-6a12508eabdb</errorID>
      <errorWord>。</errorWord>
      <group>L1_Punc</group>
      <groupName>标点问题</groupName>
      <ability>L2_Punc_CN</ability>
      <abilityName>标点符号问题</abilityName>
      <candidateList>
        <item>，</item>
      </candidateList>
      <explain/>
      <paraID>4DFE9B69</paraID>
      <start>57</start>
      <end>58</end>
      <status>modified</status>
      <modifiedWord>，</modifiedWord>
      <trackRevisions>false</trackRevisions>
    </reviewItem>
    <reviewItem>
      <errorID>0c5ed071-7ba2-425f-a333-1bf36d834639</errorID>
      <errorWord>程</errorWord>
      <group>L1_Word</group>
      <groupName>字词问题</groupName>
      <ability>L2_Typo</ability>
      <abilityName>字词错误</abilityName>
      <candidateList>
        <item>程中</item>
      </candidateList>
      <explain/>
      <paraID>41AE83A2</paraID>
      <start>31</start>
      <end>32</end>
      <status>ignored</status>
      <modifiedWord/>
      <trackRevisions>false</trackRevisions>
    </reviewItem>
    <reviewItem>
      <errorID>0bcc3335-d74d-417f-895e-29c49773b4a1</errorID>
      <errorWord>~</errorWord>
      <group>L1_Format</group>
      <groupName>格式问题</groupName>
      <ability>L2_HalfPunc_CN</ability>
      <abilityName>全半角问题</abilityName>
      <candidateList>
        <item>～</item>
      </candidateList>
      <explain>文本全半角错误。</explain>
      <paraID>3C59937C</paraID>
      <start>56</start>
      <end>57</end>
      <status>ignored</status>
      <modifiedWord/>
      <trackRevisions>false</trackRevisions>
    </reviewItem>
    <reviewItem>
      <errorID>16f1b8e6-2dda-4c27-b5b9-f0fcd000ad3a</errorID>
      <errorWord>，</errorWord>
      <group>L1_Punc</group>
      <groupName>标点问题</groupName>
      <ability>L2_Punc_CN</ability>
      <abilityName>标点符号问题</abilityName>
      <candidateList>
        <item>。</item>
      </candidateList>
      <explain/>
      <paraID>731F49CF</paraID>
      <start>79</start>
      <end>80</end>
      <status>unmodified</status>
      <modifiedWord/>
      <trackRevisions>false</trackRevisions>
    </reviewItem>
    <reviewItem>
      <errorID>f299029f-683a-4108-8c04-bebd5bae282e</errorID>
      <errorWord>，</errorWord>
      <group>L1_Punc</group>
      <groupName>标点问题</groupName>
      <ability>L2_Punc_CN</ability>
      <abilityName>标点符号问题</abilityName>
      <candidateList>
        <item>。</item>
      </candidateList>
      <explain/>
      <paraID>731F49CF</paraID>
      <start>201</start>
      <end>202</end>
      <status>unmodified</status>
      <modifiedWord/>
      <trackRevisions>false</trackRevisions>
    </reviewItem>
    <reviewItem>
      <errorID>4f82b98b-8b61-4bc4-a18c-468590ef2e51</errorID>
      <errorWord>（</errorWord>
      <group>L1_Punc</group>
      <groupName>标点问题</groupName>
      <ability>L2_Punc_CN</ability>
      <abilityName>标点符号问题</abilityName>
      <candidateList/>
      <explain>同一形式括号套用。</explain>
      <paraID>4D88F36B</paraID>
      <start>118</start>
      <end>119</end>
      <status>unmodified</status>
      <modifiedWord/>
      <trackRevisions>false</trackRevisions>
    </reviewItem>
    <reviewItem>
      <errorID>b4f701e5-a12a-4525-ad83-4c7891b57047</errorID>
      <errorWord>）</errorWord>
      <group>L1_Punc</group>
      <groupName>标点问题</groupName>
      <ability>L2_Punc_CN</ability>
      <abilityName>标点符号问题</abilityName>
      <candidateList/>
      <explain>同一形式括号套用。</explain>
      <paraID>4D88F36B</paraID>
      <start>131</start>
      <end>132</end>
      <status>ignored</status>
      <modifiedWord/>
      <trackRevisions>false</trackRevisions>
    </reviewItem>
    <reviewItem>
      <errorID>ba210147-7bbc-4fa3-b112-15766f522629</errorID>
      <errorWord>，</errorWord>
      <group>L1_Punc</group>
      <groupName>标点问题</groupName>
      <ability>L2_Punc_CN</ability>
      <abilityName>标点符号问题</abilityName>
      <candidateList>
        <item>。</item>
      </candidateList>
      <explain/>
      <paraID>4D88F36B</paraID>
      <start>171</start>
      <end>172</end>
      <status>unmodified</status>
      <modifiedWord/>
      <trackRevisions>false</trackRevisions>
    </reviewItem>
    <reviewItem>
      <errorID>89c79e62-a6cf-42b7-8868-f50a761c72ea</errorID>
      <errorWord>(</errorWord>
      <group>L1_Format</group>
      <groupName>格式问题</groupName>
      <ability>L2_HalfPunc_CN</ability>
      <abilityName>全半角问题</abilityName>
      <candidateList>
        <item>（</item>
      </candidateList>
      <explain>文本全半角错误。</explain>
      <paraID>19F3B77C</paraID>
      <start>3</start>
      <end>4</end>
      <status>modified</status>
      <modifiedWord>（</modifiedWord>
      <trackRevisions>false</trackRevisions>
    </reviewItem>
    <reviewItem>
      <errorID>5ea45e37-06d8-40ab-8ad2-deca1bdec4d3</errorID>
      <errorWord>)</errorWord>
      <group>L1_Format</group>
      <groupName>格式问题</groupName>
      <ability>L2_HalfPunc_CN</ability>
      <abilityName>全半角问题</abilityName>
      <candidateList>
        <item>）</item>
      </candidateList>
      <explain>文本全半角错误。</explain>
      <paraID>19F3B77C</paraID>
      <start>7</start>
      <end>8</end>
      <status>modified</status>
      <modifiedWord>）</modifiedWord>
      <trackRevisions>false</trackRevisions>
    </reviewItem>
    <reviewItem>
      <errorID>ad26b889-9c6f-49dc-81a4-6615da624cc0</errorID>
      <errorWord>(</errorWord>
      <group>L1_Format</group>
      <groupName>格式问题</groupName>
      <ability>L2_HalfPunc_CN</ability>
      <abilityName>全半角问题</abilityName>
      <candidateList>
        <item>（</item>
      </candidateList>
      <explain>文本全半角错误。</explain>
      <paraID>65C4F818</paraID>
      <start>3</start>
      <end>4</end>
      <status>modified</status>
      <modifiedWord>（</modifiedWord>
      <trackRevisions>false</trackRevisions>
    </reviewItem>
    <reviewItem>
      <errorID>db703641-e2ec-4206-8a96-d92dbe04d2ca</errorID>
      <errorWord>)</errorWord>
      <group>L1_Format</group>
      <groupName>格式问题</groupName>
      <ability>L2_HalfPunc_CN</ability>
      <abilityName>全半角问题</abilityName>
      <candidateList>
        <item>）</item>
      </candidateList>
      <explain>文本全半角错误。</explain>
      <paraID>65C4F818</paraID>
      <start>7</start>
      <end>8</end>
      <status>modified</status>
      <modifiedWord>）</modifiedWord>
      <trackRevisions>false</trackRevisions>
    </reviewItem>
    <reviewItem>
      <errorID>6598fdee-e611-4505-ba1a-e96aab4d4e26</errorID>
      <errorWord>(</errorWord>
      <group>L1_Format</group>
      <groupName>格式问题</groupName>
      <ability>L2_HalfPunc_CN</ability>
      <abilityName>全半角问题</abilityName>
      <candidateList>
        <item>（</item>
      </candidateList>
      <explain>文本全半角错误。</explain>
      <paraID>3ECA1E0C</paraID>
      <start>4</start>
      <end>5</end>
      <status>modified</status>
      <modifiedWord>（</modifiedWord>
      <trackRevisions>false</trackRevisions>
    </reviewItem>
    <reviewItem>
      <errorID>1818562c-1b36-4dda-a105-a31a02ceb271</errorID>
      <errorWord>)</errorWord>
      <group>L1_Format</group>
      <groupName>格式问题</groupName>
      <ability>L2_HalfPunc_CN</ability>
      <abilityName>全半角问题</abilityName>
      <candidateList>
        <item>）</item>
      </candidateList>
      <explain>文本全半角错误。</explain>
      <paraID>3ECA1E0C</paraID>
      <start>9</start>
      <end>10</end>
      <status>modified</status>
      <modifiedWord>）</modifiedWord>
      <trackRevisions>false</trackRevisions>
    </reviewItem>
    <reviewItem>
      <errorID>aca47822-e379-488e-bf79-5a7ebd0efca0</errorID>
      <errorWord>(</errorWord>
      <group>L1_Format</group>
      <groupName>格式问题</groupName>
      <ability>L2_HalfPunc_CN</ability>
      <abilityName>全半角问题</abilityName>
      <candidateList>
        <item>（</item>
      </candidateList>
      <explain>文本全半角错误。</explain>
      <paraID>263DC3E5</paraID>
      <start>4</start>
      <end>5</end>
      <status>modified</status>
      <modifiedWord>（</modifiedWord>
      <trackRevisions>false</trackRevisions>
    </reviewItem>
    <reviewItem>
      <errorID>d59fca61-f7a3-410b-9198-ea677e221055</errorID>
      <errorWord>)</errorWord>
      <group>L1_Format</group>
      <groupName>格式问题</groupName>
      <ability>L2_HalfPunc_CN</ability>
      <abilityName>全半角问题</abilityName>
      <candidateList>
        <item>）</item>
      </candidateList>
      <explain>文本全半角错误。</explain>
      <paraID>263DC3E5</paraID>
      <start>10</start>
      <end>11</end>
      <status>modified</status>
      <modifiedWord>）</modifiedWord>
      <trackRevisions>false</trackRevisions>
    </reviewItem>
    <reviewItem>
      <errorID>48370947-2121-410e-bd09-26755be64711</errorID>
      <errorWord>(</errorWord>
      <group>L1_Format</group>
      <groupName>格式问题</groupName>
      <ability>L2_HalfPunc_CN</ability>
      <abilityName>全半角问题</abilityName>
      <candidateList>
        <item>（</item>
      </candidateList>
      <explain>文本全半角错误。</explain>
      <paraID>61026FCA</paraID>
      <start>2</start>
      <end>3</end>
      <status>modified</status>
      <modifiedWord>（</modifiedWord>
      <trackRevisions>false</trackRevisions>
    </reviewItem>
    <reviewItem>
      <errorID>e625bf03-8e89-4719-b762-be77161499d5</errorID>
      <errorWord>)</errorWord>
      <group>L1_Format</group>
      <groupName>格式问题</groupName>
      <ability>L2_HalfPunc_CN</ability>
      <abilityName>全半角问题</abilityName>
      <candidateList>
        <item>）</item>
      </candidateList>
      <explain>文本全半角错误。</explain>
      <paraID>61026FCA</paraID>
      <start>7</start>
      <end>8</end>
      <status>modified</status>
      <modifiedWord>）</modifiedWord>
      <trackRevisions>false</trackRevisions>
    </reviewItem>
    <reviewItem>
      <errorID>53dc4fdd-2015-4d0d-b307-d7c878bb7a6b</errorID>
      <errorWord>(</errorWord>
      <group>L1_Format</group>
      <groupName>格式问题</groupName>
      <ability>L2_HalfPunc_CN</ability>
      <abilityName>全半角问题</abilityName>
      <candidateList>
        <item>（</item>
      </candidateList>
      <explain>文本全半角错误。</explain>
      <paraID>22109504</paraID>
      <start>4</start>
      <end>5</end>
      <status>modified</status>
      <modifiedWord>（</modifiedWord>
      <trackRevisions>false</trackRevisions>
    </reviewItem>
    <reviewItem>
      <errorID>1fd29bb9-9037-4844-98a0-96f80210a012</errorID>
      <errorWord>)</errorWord>
      <group>L1_Format</group>
      <groupName>格式问题</groupName>
      <ability>L2_HalfPunc_CN</ability>
      <abilityName>全半角问题</abilityName>
      <candidateList>
        <item>）</item>
      </candidateList>
      <explain>文本全半角错误。</explain>
      <paraID>22109504</paraID>
      <start>9</start>
      <end>10</end>
      <status>modified</status>
      <modifiedWord>）</modifiedWord>
      <trackRevisions>false</trackRevisions>
    </reviewItem>
    <reviewItem>
      <errorID>5fe06cba-1e7f-4a61-a620-2b6d161228b4</errorID>
      <errorWord>(</errorWord>
      <group>L1_Format</group>
      <groupName>格式问题</groupName>
      <ability>L2_HalfPunc_CN</ability>
      <abilityName>全半角问题</abilityName>
      <candidateList>
        <item>（</item>
      </candidateList>
      <explain>文本全半角错误。</explain>
      <paraID> 1C20700</paraID>
      <start>4</start>
      <end>5</end>
      <status>modified</status>
      <modifiedWord>（</modifiedWord>
      <trackRevisions>false</trackRevisions>
    </reviewItem>
    <reviewItem>
      <errorID>fa6ffcdf-62bb-46e9-877c-1cc8a9b6590f</errorID>
      <errorWord>)</errorWord>
      <group>L1_Format</group>
      <groupName>格式问题</groupName>
      <ability>L2_HalfPunc_CN</ability>
      <abilityName>全半角问题</abilityName>
      <candidateList>
        <item>）</item>
      </candidateList>
      <explain>文本全半角错误。</explain>
      <paraID> 1C20700</paraID>
      <start>10</start>
      <end>11</end>
      <status>modified</status>
      <modifiedWord>）</modifiedWord>
      <trackRevisions>false</trackRevisions>
    </reviewItem>
    <reviewItem>
      <errorID>d6b7ef1d-ce2e-4f5e-ab7b-51d438ef74bb</errorID>
      <errorWord>(</errorWord>
      <group>L1_Format</group>
      <groupName>格式问题</groupName>
      <ability>L2_HalfPunc_CN</ability>
      <abilityName>全半角问题</abilityName>
      <candidateList>
        <item>（</item>
      </candidateList>
      <explain>文本全半角错误。</explain>
      <paraID>55F2BCDF</paraID>
      <start>4</start>
      <end>5</end>
      <status>modified</status>
      <modifiedWord>（</modifiedWord>
      <trackRevisions>false</trackRevisions>
    </reviewItem>
    <reviewItem>
      <errorID>5451f547-50b2-4492-b261-620f1a9abecb</errorID>
      <errorWord>)</errorWord>
      <group>L1_Format</group>
      <groupName>格式问题</groupName>
      <ability>L2_HalfPunc_CN</ability>
      <abilityName>全半角问题</abilityName>
      <candidateList>
        <item>）</item>
      </candidateList>
      <explain>文本全半角错误。</explain>
      <paraID>55F2BCDF</paraID>
      <start>10</start>
      <end>11</end>
      <status>modified</status>
      <modifiedWord>）</modifiedWord>
      <trackRevisions>false</trackRevisions>
    </reviewItem>
    <reviewItem>
      <errorID>6ce3b1eb-790f-4ed8-951f-c31a6a66d377</errorID>
      <errorWord> （GB16297- </errorWord>
      <group>L1_Word</group>
      <groupName>字词问题</groupName>
      <ability>L2_Typo</ability>
      <abilityName>字词错误</abilityName>
      <candidateList>
        <item>（GB 16297-</item>
      </candidateList>
      <explain/>
      <paraID>288A8F3E</paraID>
      <start>13</start>
      <end>24</end>
      <status>unmodified</status>
      <modifiedWord/>
      <trackRevisions>false</trackRevisions>
    </reviewItem>
    <reviewItem>
      <errorID>1b5ed9d1-0201-4257-b7a0-3b5f37dff16a</errorID>
      <errorWord>、</errorWord>
      <group>L1_Word</group>
      <groupName>字词问题</groupName>
      <ability>L2_Typo</ability>
      <abilityName>字词错误</abilityName>
      <candidateList>
        <item>、使</item>
      </candidateList>
      <explain/>
      <paraID> F96B793</paraID>
      <start>55</start>
      <end>56</end>
      <status>unmodified</status>
      <modifiedWord/>
      <trackRevisions>false</trackRevisions>
    </reviewItem>
    <reviewItem>
      <errorID>f8837943-101e-4d9c-a48d-b767bb2beef3</errorID>
      <errorWord>GB37822</errorWord>
      <group>L1_Word</group>
      <groupName>字词问题</groupName>
      <ability>L2_Typo</ability>
      <abilityName>字词错误</abilityName>
      <candidateList>
        <item>GB 37822</item>
      </candidateList>
      <explain/>
      <paraID>5D9DF254</paraID>
      <start>32</start>
      <end>39</end>
      <status>unmodified</status>
      <modifiedWord/>
      <trackRevisions>false</trackRevisions>
    </reviewItem>
    <reviewItem>
      <errorID>8bf00d8a-4bf8-456b-978f-d307a56bf50d</errorID>
      <errorWord>T1061</errorWord>
      <group>L1_Word</group>
      <groupName>字词问题</groupName>
      <ability>L2_Typo</ability>
      <abilityName>字词错误</abilityName>
      <candidateList>
        <item>T 1061</item>
      </candidateList>
      <explain/>
      <paraID>5D9DF254</paraID>
      <start>112</start>
      <end>117</end>
      <status>unmodified</status>
      <modifiedWord/>
      <trackRevisions>false</trackRevisions>
    </reviewItem>
    <reviewItem>
      <errorID>33cd6f28-b465-47a2-9ee4-86d0556bb10d</errorID>
      <errorWord>表</errorWord>
      <group>L1_Punc</group>
      <groupName>标点问题</groupName>
      <ability>L2_Punc_CN</ability>
      <abilityName>标点符号问题</abilityName>
      <candidateList>
        <item>）表</item>
      </candidateList>
      <explain/>
      <paraID>5D9DF254</paraID>
      <start>122</start>
      <end>123</end>
      <status>unmodified</status>
      <modifiedWord/>
      <trackRevisions>false</trackRevisions>
    </reviewItem>
    <reviewItem>
      <errorID>8a0023e2-2407-4414-bc9b-148ab29fcf51</errorID>
      <errorWord>（</errorWord>
      <group>L1_Punc</group>
      <groupName>标点问题</groupName>
      <ability>L2_Punc_CN</ability>
      <abilityName>标点符号问题</abilityName>
      <candidateList/>
      <explain>同一形式括号套用。</explain>
      <paraID>68B42618</paraID>
      <start>107</start>
      <end>108</end>
      <status>ignored</status>
      <modifiedWord/>
      <trackRevisions>false</trackRevisions>
    </reviewItem>
    <reviewItem>
      <errorID>1e35c6e0-1490-4986-ae91-0dd9e62b5c4d</errorID>
      <errorWord>）</errorWord>
      <group>L1_Punc</group>
      <groupName>标点问题</groupName>
      <ability>L2_Punc_CN</ability>
      <abilityName>标点符号问题</abilityName>
      <candidateList/>
      <explain>同一形式括号套用。</explain>
      <paraID>68B42618</paraID>
      <start>120</start>
      <end>121</end>
      <status>ignored</status>
      <modifiedWord/>
      <trackRevisions>false</trackRevisions>
    </reviewItem>
    <reviewItem>
      <errorID>a3bc9030-add8-4765-94a9-23e6cd75e7ed</errorID>
      <errorWord>%计</errorWord>
      <group>L1_Word</group>
      <groupName>字词问题</groupName>
      <ability>L2_Typo</ability>
      <abilityName>字词错误</abilityName>
      <candidateList>
        <item>%</item>
      </candidateList>
      <explain/>
      <paraID>68B42618</paraID>
      <start>134</start>
      <end>136</end>
      <status>unmodified</status>
      <modifiedWord/>
      <trackRevisions>false</trackRevisions>
    </reviewItem>
    <reviewItem>
      <errorID>89428f10-acf6-42a4-80a6-0a1f11634c46</errorID>
      <errorWord>，</errorWord>
      <group>L1_Punc</group>
      <groupName>标点问题</groupName>
      <ability>L2_Punc_CN</ability>
      <abilityName>标点符号问题</abilityName>
      <candidateList>
        <item>。</item>
      </candidateList>
      <explain/>
      <paraID>68B42618</paraID>
      <start>287</start>
      <end>288</end>
      <status>unmodified</status>
      <modifiedWord/>
      <trackRevisions>false</trackRevisions>
    </reviewItem>
    <reviewItem>
      <errorID>dc124c15-42a9-43af-aacc-a45379f19091</errorID>
      <errorWord>交有</errorWord>
      <group>L1_Word</group>
      <groupName>字词问题</groupName>
      <ability>L2_Typo</ability>
      <abilityName>字词错误</abilityName>
      <candidateList>
        <item>交由</item>
      </candidateList>
      <explain/>
      <paraID>68B42618</paraID>
      <start>305</start>
      <end>307</end>
      <status>unmodified</status>
      <modifiedWord/>
      <trackRevisions>false</trackRevisions>
    </reviewItem>
    <reviewItem>
      <errorID>058e147b-f67b-4636-abab-cc8f4253563e</errorID>
      <errorWord>；</errorWord>
      <group>L1_Punc</group>
      <groupName>标点问题</groupName>
      <ability>L2_Punc_CN</ability>
      <abilityName>标点符号问题</abilityName>
      <candidateList>
        <item>。</item>
      </candidateList>
      <explain/>
      <paraID>68B42618</paraID>
      <start>313</start>
      <end>314</end>
      <status>unmodified</status>
      <modifiedWord/>
      <trackRevisions>false</trackRevisions>
    </reviewItem>
    <reviewItem>
      <errorID>246893ae-7b8d-4406-8331-94f322a17d2b</errorID>
      <errorWord>(</errorWord>
      <group>L1_Format</group>
      <groupName>格式问题</groupName>
      <ability>L2_HalfPunc_CN</ability>
      <abilityName>全半角问题</abilityName>
      <candidateList>
        <item>（</item>
      </candidateList>
      <explain>文本全半角错误。</explain>
      <paraID>74CDCCB4</paraID>
      <start>3</start>
      <end>4</end>
      <status>modified</status>
      <modifiedWord>（</modifiedWord>
      <trackRevisions>false</trackRevisions>
    </reviewItem>
    <reviewItem>
      <errorID>8c383b7f-d64b-4b8b-b156-f56116209241</errorID>
      <errorWord>)</errorWord>
      <group>L1_Format</group>
      <groupName>格式问题</groupName>
      <ability>L2_HalfPunc_CN</ability>
      <abilityName>全半角问题</abilityName>
      <candidateList>
        <item>）</item>
      </candidateList>
      <explain>文本全半角错误。</explain>
      <paraID>74CDCCB4</paraID>
      <start>8</start>
      <end>9</end>
      <status>modified</status>
      <modifiedWord>）</modifiedWord>
      <trackRevisions>false</trackRevisions>
    </reviewItem>
    <reviewItem>
      <errorID>9eaa6a3d-5dc3-495e-bf37-5e420fe87527</errorID>
      <errorWord>(</errorWord>
      <group>L1_Format</group>
      <groupName>格式问题</groupName>
      <ability>L2_HalfPunc_CN</ability>
      <abilityName>全半角问题</abilityName>
      <candidateList>
        <item>（</item>
      </candidateList>
      <explain>文本全半角错误。</explain>
      <paraID>3A679DBF</paraID>
      <start>4</start>
      <end>5</end>
      <status>modified</status>
      <modifiedWord>（</modifiedWord>
      <trackRevisions>false</trackRevisions>
    </reviewItem>
    <reviewItem>
      <errorID>0809e25b-81a4-4ed5-89fa-766464f23fe8</errorID>
      <errorWord>)</errorWord>
      <group>L1_Format</group>
      <groupName>格式问题</groupName>
      <ability>L2_HalfPunc_CN</ability>
      <abilityName>全半角问题</abilityName>
      <candidateList>
        <item>）</item>
      </candidateList>
      <explain>文本全半角错误。</explain>
      <paraID>3A679DBF</paraID>
      <start>9</start>
      <end>10</end>
      <status>modified</status>
      <modifiedWord>）</modifiedWord>
      <trackRevisions>false</trackRevisions>
    </reviewItem>
    <reviewItem>
      <errorID>1fa1b628-402a-43ab-8acd-a24640492be3</errorID>
      <errorWord>(</errorWord>
      <group>L1_Format</group>
      <groupName>格式问题</groupName>
      <ability>L2_HalfPunc_CN</ability>
      <abilityName>全半角问题</abilityName>
      <candidateList>
        <item>（</item>
      </candidateList>
      <explain>文本全半角错误。</explain>
      <paraID>7A7036FA</paraID>
      <start>3</start>
      <end>4</end>
      <status>modified</status>
      <modifiedWord>（</modifiedWord>
      <trackRevisions>false</trackRevisions>
    </reviewItem>
    <reviewItem>
      <errorID>c05f2b86-0ca7-44e6-aa73-9e40dc9992df</errorID>
      <errorWord>)</errorWord>
      <group>L1_Format</group>
      <groupName>格式问题</groupName>
      <ability>L2_HalfPunc_CN</ability>
      <abilityName>全半角问题</abilityName>
      <candidateList>
        <item>）</item>
      </candidateList>
      <explain>文本全半角错误。</explain>
      <paraID>7A7036FA</paraID>
      <start>7</start>
      <end>8</end>
      <status>modified</status>
      <modifiedWord>）</modifiedWord>
      <trackRevisions>false</trackRevisions>
    </reviewItem>
    <reviewItem>
      <errorID>34a2a6b9-0a92-4fba-b466-1e48d5a19c1d</errorID>
      <errorWord>(</errorWord>
      <group>L1_Format</group>
      <groupName>格式问题</groupName>
      <ability>L2_HalfPunc_CN</ability>
      <abilityName>全半角问题</abilityName>
      <candidateList>
        <item>（</item>
      </candidateList>
      <explain>文本全半角错误。</explain>
      <paraID>74C89552</paraID>
      <start>8</start>
      <end>9</end>
      <status>modified</status>
      <modifiedWord>（</modifiedWord>
      <trackRevisions>false</trackRevisions>
    </reviewItem>
    <reviewItem>
      <errorID>c1a107d4-35cf-4719-9f6a-ce05a7c931a5</errorID>
      <errorWord>)</errorWord>
      <group>L1_Format</group>
      <groupName>格式问题</groupName>
      <ability>L2_HalfPunc_CN</ability>
      <abilityName>全半角问题</abilityName>
      <candidateList>
        <item>）</item>
      </candidateList>
      <explain>文本全半角错误。</explain>
      <paraID>74C89552</paraID>
      <start>13</start>
      <end>14</end>
      <status>modified</status>
      <modifiedWord>）</modifiedWord>
      <trackRevisions>false</trackRevisions>
    </reviewItem>
    <reviewItem>
      <errorID>18be6690-e018-4dba-be1f-ac63d0f95164</errorID>
      <errorWord>(</errorWord>
      <group>L1_Format</group>
      <groupName>格式问题</groupName>
      <ability>L2_HalfPunc_CN</ability>
      <abilityName>全半角问题</abilityName>
      <candidateList>
        <item>（</item>
      </candidateList>
      <explain>文本全半角错误。</explain>
      <paraID>2A9B7096</paraID>
      <start>4</start>
      <end>5</end>
      <status>modified</status>
      <modifiedWord>（</modifiedWord>
      <trackRevisions>false</trackRevisions>
    </reviewItem>
    <reviewItem>
      <errorID>0a4e3fae-e8af-4ec7-b041-a27adfb2d8e7</errorID>
      <errorWord>)</errorWord>
      <group>L1_Format</group>
      <groupName>格式问题</groupName>
      <ability>L2_HalfPunc_CN</ability>
      <abilityName>全半角问题</abilityName>
      <candidateList>
        <item>）</item>
      </candidateList>
      <explain>文本全半角错误。</explain>
      <paraID>2A9B7096</paraID>
      <start>9</start>
      <end>10</end>
      <status>modified</status>
      <modifiedWord>）</modifiedWord>
      <trackRevisions>false</trackRevisions>
    </reviewItem>
    <reviewItem>
      <errorID>3356afe9-31ea-4bad-a8de-ca9a6dac9620</errorID>
      <errorWord>(</errorWord>
      <group>L1_Format</group>
      <groupName>格式问题</groupName>
      <ability>L2_HalfPunc_CN</ability>
      <abilityName>全半角问题</abilityName>
      <candidateList>
        <item>（</item>
      </candidateList>
      <explain>文本全半角错误。</explain>
      <paraID>62D2385C</paraID>
      <start>19</start>
      <end>20</end>
      <status>modified</status>
      <modifiedWord>（</modifiedWord>
      <trackRevisions>false</trackRevisions>
    </reviewItem>
    <reviewItem>
      <errorID>8893a109-1123-4e53-8a12-c6a30b0b52ad</errorID>
      <errorWord>)</errorWord>
      <group>L1_Format</group>
      <groupName>格式问题</groupName>
      <ability>L2_HalfPunc_CN</ability>
      <abilityName>全半角问题</abilityName>
      <candidateList>
        <item>）</item>
      </candidateList>
      <explain>文本全半角错误。</explain>
      <paraID>62D2385C</paraID>
      <start>24</start>
      <end>25</end>
      <status>modified</status>
      <modifiedWord>）</modifiedWord>
      <trackRevisions>false</trackRevisions>
    </reviewItem>
    <reviewItem>
      <errorID>f674be5e-914b-4dfb-9af3-dba015ae7d89</errorID>
      <errorWord>)</errorWord>
      <group>L1_Format</group>
      <groupName>格式问题</groupName>
      <ability>L2_HalfPunc_CN</ability>
      <abilityName>全半角问题</abilityName>
      <candidateList>
        <item>）</item>
      </candidateList>
      <explain>文本全半角错误。</explain>
      <paraID>57744FB2</paraID>
      <start>58</start>
      <end>59</end>
      <status>modified</status>
      <modifiedWord>）</modifiedWord>
      <trackRevisions>false</trackRevisions>
    </reviewItem>
    <reviewItem>
      <errorID>44c95002-bfa0-427b-afd7-bebb5ca34a59</errorID>
      <errorWord>（</errorWord>
      <group>L1_Punc</group>
      <groupName>标点问题</groupName>
      <ability>L2_Punc_CN</ability>
      <abilityName>标点符号问题</abilityName>
      <candidateList/>
      <explain>同一形式括号套用。</explain>
      <paraID>24B3FFDA</paraID>
      <start>24</start>
      <end>25</end>
      <status>unmodified</status>
      <modifiedWord/>
      <trackRevisions>false</trackRevisions>
    </reviewItem>
    <reviewItem>
      <errorID>32e2d869-fb97-4119-afdd-b9c57f9bcc19</errorID>
      <errorWord>(</errorWord>
      <group>L1_Punc</group>
      <groupName>标点问题</groupName>
      <ability>L2_Punc_CN</ability>
      <abilityName>标点符号问题</abilityName>
      <candidateList/>
      <explain>同一形式括号套用。</explain>
      <paraID>24B3FFDA</paraID>
      <start>33</start>
      <end>34</end>
      <status>unmodified</status>
      <modifiedWord/>
      <trackRevisions>false</trackRevisions>
    </reviewItem>
    <reviewItem>
      <errorID>dc11bfbe-e090-474e-9059-0de100a44e8b</errorID>
      <errorWord>)</errorWord>
      <group>L1_Punc</group>
      <groupName>标点问题</groupName>
      <ability>L2_Punc_CN</ability>
      <abilityName>标点符号问题</abilityName>
      <candidateList/>
      <explain>同一形式括号套用。</explain>
      <paraID>24B3FFDA</paraID>
      <start>35</start>
      <end>36</end>
      <status>unmodified</status>
      <modifiedWord/>
      <trackRevisions>false</trackRevisions>
    </reviewItem>
    <reviewItem>
      <errorID>2738e2ea-aea1-40e7-a5b0-3b32ef9eea93</errorID>
      <errorWord>）</errorWord>
      <group>L1_Punc</group>
      <groupName>标点问题</groupName>
      <ability>L2_Punc_CN</ability>
      <abilityName>标点符号问题</abilityName>
      <candidateList/>
      <explain>同一形式括号套用。</explain>
      <paraID>24B3FFDA</paraID>
      <start>36</start>
      <end>37</end>
      <status>ignored</status>
      <modifiedWord/>
      <trackRevisions>false</trackRevisions>
    </reviewItem>
    <reviewItem>
      <errorID>65c927b0-d6c3-4d73-a31d-73e8e0360bf1</errorID>
      <errorWord>~</errorWord>
      <group>L1_Format</group>
      <groupName>格式问题</groupName>
      <ability>L2_HalfPunc_CN</ability>
      <abilityName>全半角问题</abilityName>
      <candidateList>
        <item>～</item>
      </candidateList>
      <explain>文本全半角错误。</explain>
      <paraID> 3C0C6F1</paraID>
      <start>9</start>
      <end>10</end>
      <status>unmodified</status>
      <modifiedWord/>
      <trackRevisions>false</trackRevisions>
    </reviewItem>
    <reviewItem>
      <errorID>8d1995d4-573d-4071-bc47-91c39c116da6</errorID>
      <errorWord>0.1%~0.2%</errorWord>
      <group>L1_Knowledge</group>
      <groupName>知识性问题</groupName>
      <ability>L2_Knowledge</ability>
      <abilityName>其他知识</abilityName>
      <candidateList>
        <item>0.1%～0.2%</item>
      </candidateList>
      <explain>1. “0.1%~0.2%”中的单位“%”仅出现在后一个数字上，容易引起歧义；根据《现代汉语标点符号数字用法规范手册》，数字表示范围两边需要使用统一的格式。2. 根据标点国标 4.13 中的规则，数字、时间或地域连接符应使用（视觉上更长的）“—”或“～”。</explain>
      <paraID>25EE5B74</paraID>
      <start>51</start>
      <end>60</end>
      <status>unmodified</status>
      <modifiedWord/>
      <trackRevisions>false</trackRevisions>
    </reviewItem>
    <reviewItem>
      <errorID>ed38e184-ca88-4e81-87e9-3d5241320662</errorID>
      <errorWord>~</errorWord>
      <group>L1_Format</group>
      <groupName>格式问题</groupName>
      <ability>L2_HalfPunc_CN</ability>
      <abilityName>全半角问题</abilityName>
      <candidateList>
        <item>～</item>
      </candidateList>
      <explain>文本全半角错误。</explain>
      <paraID> 146028F</paraID>
      <start>30</start>
      <end>31</end>
      <status>unmodified</status>
      <modifiedWord/>
      <trackRevisions>false</trackRevisions>
    </reviewItem>
    <reviewItem>
      <errorID>496a2fa1-3f62-4385-8f52-f5e87366bc79</errorID>
      <errorWord>~</errorWord>
      <group>L1_Format</group>
      <groupName>格式问题</groupName>
      <ability>L2_HalfPunc_CN</ability>
      <abilityName>全半角问题</abilityName>
      <candidateList>
        <item>～</item>
      </candidateList>
      <explain>文本全半角错误。</explain>
      <paraID> 146028F</paraID>
      <start>42</start>
      <end>43</end>
      <status>unmodified</status>
      <modifiedWord/>
      <trackRevisions>false</trackRevisions>
    </reviewItem>
    <reviewItem>
      <errorID>5573d665-2617-4e26-8e70-3dbceb500bff</errorID>
      <errorWord>~</errorWord>
      <group>L1_Format</group>
      <groupName>格式问题</groupName>
      <ability>L2_HalfPunc_CN</ability>
      <abilityName>全半角问题</abilityName>
      <candidateList>
        <item>～</item>
      </candidateList>
      <explain>文本全半角错误。</explain>
      <paraID>7F9674EB</paraID>
      <start>30</start>
      <end>31</end>
      <status>unmodified</status>
      <modifiedWord/>
      <trackRevisions>false</trackRevisions>
    </reviewItem>
    <reviewItem>
      <errorID>83f6666c-f16c-47df-aec3-b65afd28dbe0</errorID>
      <errorWord>~</errorWord>
      <group>L1_Format</group>
      <groupName>格式问题</groupName>
      <ability>L2_HalfPunc_CN</ability>
      <abilityName>全半角问题</abilityName>
      <candidateList>
        <item>～</item>
      </candidateList>
      <explain>文本全半角错误。</explain>
      <paraID>7F9674EB</paraID>
      <start>37</start>
      <end>38</end>
      <status>unmodified</status>
      <modifiedWord/>
      <trackRevisions>false</trackRevisions>
    </reviewItem>
    <reviewItem>
      <errorID>d85f3d79-c002-421e-8266-7bd597a26b10</errorID>
      <errorWord>~</errorWord>
      <group>L1_Format</group>
      <groupName>格式问题</groupName>
      <ability>L2_HalfPunc_CN</ability>
      <abilityName>全半角问题</abilityName>
      <candidateList>
        <item>～</item>
      </candidateList>
      <explain>文本全半角错误。</explain>
      <paraID>  929716</paraID>
      <start>21</start>
      <end>22</end>
      <status>unmodified</status>
      <modifiedWord/>
      <trackRevisions>false</trackRevisions>
    </reviewItem>
    <reviewItem>
      <errorID>00bd65cb-b806-4d72-821c-fc3c6ffb9848</errorID>
      <errorWord>8%~10%</errorWord>
      <group>L1_Knowledge</group>
      <groupName>知识性问题</groupName>
      <ability>L2_Knowledge</ability>
      <abilityName>其他知识</abilityName>
      <candidateList>
        <item>8%～10%</item>
      </candidateList>
      <explain>1. “8%~10%”中的单位“%”仅出现在后一个数字上，容易引起歧义；根据《现代汉语标点符号数字用法规范手册》，数字表示范围两边需要使用统一的格式。2. 根据标点国标 4.13 中的规则，数字、时间或地域连接符应使用（视觉上更长的）“—”或“～”。</explain>
      <paraID>60A196C7</paraID>
      <start>31</start>
      <end>37</end>
      <status>unmodified</status>
      <modifiedWord/>
      <trackRevisions>false</trackRevisions>
    </reviewItem>
    <reviewItem>
      <errorID>cced2cc7-91df-43b7-9431-489f6c76d889</errorID>
      <errorWord>(</errorWord>
      <group>L1_Format</group>
      <groupName>格式问题</groupName>
      <ability>L2_HalfPunc_CN</ability>
      <abilityName>全半角问题</abilityName>
      <candidateList>
        <item>（</item>
      </candidateList>
      <explain>文本全半角错误。</explain>
      <paraID>6A2D3A8D</paraID>
      <start>3</start>
      <end>4</end>
      <status>modified</status>
      <modifiedWord>（</modifiedWord>
      <trackRevisions>false</trackRevisions>
    </reviewItem>
    <reviewItem>
      <errorID>2645dcc4-267a-4e01-9697-6775fb171a38</errorID>
      <errorWord>)</errorWord>
      <group>L1_Format</group>
      <groupName>格式问题</groupName>
      <ability>L2_HalfPunc_CN</ability>
      <abilityName>全半角问题</abilityName>
      <candidateList>
        <item>）</item>
      </candidateList>
      <explain>文本全半角错误。</explain>
      <paraID>6A2D3A8D</paraID>
      <start>7</start>
      <end>8</end>
      <status>modified</status>
      <modifiedWord>）</modifiedWord>
      <trackRevisions>false</trackRevisions>
    </reviewItem>
    <reviewItem>
      <errorID>fca6f155-3bbc-4a6e-930c-42e69e71be6c</errorID>
      <errorWord>（</errorWord>
      <group>L1_Format</group>
      <groupName>格式问题</groupName>
      <ability>L2_HalfPunc_CN</ability>
      <abilityName>全半角问题</abilityName>
      <candidateList>
        <item>(</item>
      </candidateList>
      <explain>文本全半角错误。</explain>
      <paraID> 2B2E098</paraID>
      <start>4</start>
      <end>5</end>
      <status>unmodified</status>
      <modifiedWord/>
      <trackRevisions>false</trackRevisions>
    </reviewItem>
    <reviewItem>
      <errorID>427495d1-d6b1-46da-acfe-478f7e8497f1</errorID>
      <errorWord>）</errorWord>
      <group>L1_Format</group>
      <groupName>格式问题</groupName>
      <ability>L2_HalfPunc_CN</ability>
      <abilityName>全半角问题</abilityName>
      <candidateList>
        <item>)</item>
      </candidateList>
      <explain>文本全半角错误。</explain>
      <paraID> 2B2E098</paraID>
      <start>16</start>
      <end>17</end>
      <status>unmodified</status>
      <modifiedWord/>
      <trackRevisions>false</trackRevisions>
    </reviewItem>
    <reviewItem>
      <errorID>077d413e-60af-4a8d-8458-0e4dd759083f</errorID>
      <errorWord>（</errorWord>
      <group>L1_Format</group>
      <groupName>格式问题</groupName>
      <ability>L2_HalfPunc_CN</ability>
      <abilityName>全半角问题</abilityName>
      <candidateList>
        <item>(</item>
      </candidateList>
      <explain>文本全半角错误。</explain>
      <paraID> 794ED3F</paraID>
      <start>4</start>
      <end>5</end>
      <status>unmodified</status>
      <modifiedWord/>
      <trackRevisions>false</trackRevisions>
    </reviewItem>
    <reviewItem>
      <errorID>534c4208-3fb0-426c-831e-1f4c6104d31f</errorID>
      <errorWord>）</errorWord>
      <group>L1_Format</group>
      <groupName>格式问题</groupName>
      <ability>L2_HalfPunc_CN</ability>
      <abilityName>全半角问题</abilityName>
      <candidateList>
        <item>)</item>
      </candidateList>
      <explain>文本全半角错误。</explain>
      <paraID> 794ED3F</paraID>
      <start>15</start>
      <end>16</end>
      <status>unmodified</status>
      <modifiedWord/>
      <trackRevisions>false</trackRevisions>
    </reviewItem>
    <reviewItem>
      <errorID>7776ad0e-121b-41d2-b038-f2e28bbfc16e</errorID>
      <errorWord>（</errorWord>
      <group>L1_Format</group>
      <groupName>格式问题</groupName>
      <ability>L2_HalfPunc_CN</ability>
      <abilityName>全半角问题</abilityName>
      <candidateList>
        <item>(</item>
      </candidateList>
      <explain>文本全半角错误。</explain>
      <paraID>6067C92F</paraID>
      <start>4</start>
      <end>5</end>
      <status>unmodified</status>
      <modifiedWord/>
      <trackRevisions>false</trackRevisions>
    </reviewItem>
    <reviewItem>
      <errorID>8fe52d13-89bf-4335-8e12-d01c253ca243</errorID>
      <errorWord>）</errorWord>
      <group>L1_Format</group>
      <groupName>格式问题</groupName>
      <ability>L2_HalfPunc_CN</ability>
      <abilityName>全半角问题</abilityName>
      <candidateList>
        <item>)</item>
      </candidateList>
      <explain>文本全半角错误。</explain>
      <paraID>6067C92F</paraID>
      <start>15</start>
      <end>16</end>
      <status>unmodified</status>
      <modifiedWord/>
      <trackRevisions>false</trackRevisions>
    </reviewItem>
    <reviewItem>
      <errorID>a50706b8-0fd3-4b56-9d35-7095a3a1f2ed</errorID>
      <errorWord>（</errorWord>
      <group>L1_Format</group>
      <groupName>格式问题</groupName>
      <ability>L2_HalfPunc_CN</ability>
      <abilityName>全半角问题</abilityName>
      <candidateList>
        <item>(</item>
      </candidateList>
      <explain>文本全半角错误。</explain>
      <paraID>3540C29E</paraID>
      <start>4</start>
      <end>5</end>
      <status>unmodified</status>
      <modifiedWord/>
      <trackRevisions>false</trackRevisions>
    </reviewItem>
    <reviewItem>
      <errorID>9429f143-4a53-438f-89c9-b4974fe37301</errorID>
      <errorWord>）</errorWord>
      <group>L1_Format</group>
      <groupName>格式问题</groupName>
      <ability>L2_HalfPunc_CN</ability>
      <abilityName>全半角问题</abilityName>
      <candidateList>
        <item>)</item>
      </candidateList>
      <explain>文本全半角错误。</explain>
      <paraID>3540C29E</paraID>
      <start>15</start>
      <end>16</end>
      <status>unmodified</status>
      <modifiedWord/>
      <trackRevisions>false</trackRevisions>
    </reviewItem>
    <reviewItem>
      <errorID>c5288546-eebc-441b-b54b-a28cc6311a61</errorID>
      <errorWord>（</errorWord>
      <group>L1_Format</group>
      <groupName>格式问题</groupName>
      <ability>L2_HalfPunc_CN</ability>
      <abilityName>全半角问题</abilityName>
      <candidateList>
        <item>(</item>
      </candidateList>
      <explain>文本全半角错误。</explain>
      <paraID>1F3E32F0</paraID>
      <start>4</start>
      <end>5</end>
      <status>unmodified</status>
      <modifiedWord/>
      <trackRevisions>false</trackRevisions>
    </reviewItem>
    <reviewItem>
      <errorID>191fe3e7-3b82-4fde-a114-3173ea0dfb79</errorID>
      <errorWord>）</errorWord>
      <group>L1_Format</group>
      <groupName>格式问题</groupName>
      <ability>L2_HalfPunc_CN</ability>
      <abilityName>全半角问题</abilityName>
      <candidateList>
        <item>)</item>
      </candidateList>
      <explain>文本全半角错误。</explain>
      <paraID>1F3E32F0</paraID>
      <start>15</start>
      <end>16</end>
      <status>unmodified</status>
      <modifiedWord/>
      <trackRevisions>false</trackRevisions>
    </reviewItem>
    <reviewItem>
      <errorID>5e8d1a8b-77dc-4e43-80c3-25bf732d7dea</errorID>
      <errorWord>（</errorWord>
      <group>L1_Format</group>
      <groupName>格式问题</groupName>
      <ability>L2_HalfPunc_CN</ability>
      <abilityName>全半角问题</abilityName>
      <candidateList>
        <item>(</item>
      </candidateList>
      <explain>文本全半角错误。</explain>
      <paraID>39A7ADD6</paraID>
      <start>4</start>
      <end>5</end>
      <status>unmodified</status>
      <modifiedWord/>
      <trackRevisions>false</trackRevisions>
    </reviewItem>
    <reviewItem>
      <errorID>899a3169-d2e3-446e-9398-2b0ca40efc0b</errorID>
      <errorWord>）</errorWord>
      <group>L1_Format</group>
      <groupName>格式问题</groupName>
      <ability>L2_HalfPunc_CN</ability>
      <abilityName>全半角问题</abilityName>
      <candidateList>
        <item>)</item>
      </candidateList>
      <explain>文本全半角错误。</explain>
      <paraID>39A7ADD6</paraID>
      <start>15</start>
      <end>16</end>
      <status>unmodified</status>
      <modifiedWord/>
      <trackRevisions>false</trackRevisions>
    </reviewItem>
    <reviewItem>
      <errorID>5069142c-04ca-40fe-b31d-e60eca2e9e83</errorID>
      <errorWord>（</errorWord>
      <group>L1_Format</group>
      <groupName>格式问题</groupName>
      <ability>L2_HalfPunc_CN</ability>
      <abilityName>全半角问题</abilityName>
      <candidateList>
        <item>(</item>
      </candidateList>
      <explain>文本全半角错误。</explain>
      <paraID>6514C0B9</paraID>
      <start>4</start>
      <end>5</end>
      <status>unmodified</status>
      <modifiedWord/>
      <trackRevisions>false</trackRevisions>
    </reviewItem>
    <reviewItem>
      <errorID>4c6bf050-bb1b-4b4f-8826-a8ff248fce7d</errorID>
      <errorWord>）</errorWord>
      <group>L1_Format</group>
      <groupName>格式问题</groupName>
      <ability>L2_HalfPunc_CN</ability>
      <abilityName>全半角问题</abilityName>
      <candidateList>
        <item>)</item>
      </candidateList>
      <explain>文本全半角错误。</explain>
      <paraID>6514C0B9</paraID>
      <start>15</start>
      <end>16</end>
      <status>unmodified</status>
      <modifiedWord/>
      <trackRevisions>false</trackRevisions>
    </reviewItem>
    <reviewItem>
      <errorID>c88de438-2bc4-418b-89ba-e02ad233b1cb</errorID>
      <errorWord>（</errorWord>
      <group>L1_Format</group>
      <groupName>格式问题</groupName>
      <ability>L2_HalfPunc_CN</ability>
      <abilityName>全半角问题</abilityName>
      <candidateList>
        <item>(</item>
      </candidateList>
      <explain>文本全半角错误。</explain>
      <paraID>444DD031</paraID>
      <start>4</start>
      <end>5</end>
      <status>unmodified</status>
      <modifiedWord/>
      <trackRevisions>false</trackRevisions>
    </reviewItem>
    <reviewItem>
      <errorID>4544b692-ee66-48ab-a6cb-a6fd02d868fb</errorID>
      <errorWord>）</errorWord>
      <group>L1_Format</group>
      <groupName>格式问题</groupName>
      <ability>L2_HalfPunc_CN</ability>
      <abilityName>全半角问题</abilityName>
      <candidateList>
        <item>)</item>
      </candidateList>
      <explain>文本全半角错误。</explain>
      <paraID>444DD031</paraID>
      <start>15</start>
      <end>16</end>
      <status>unmodified</status>
      <modifiedWord/>
      <trackRevisions>false</trackRevisions>
    </reviewItem>
    <reviewItem>
      <errorID>853ea00d-9bac-49f9-b9d4-f283ec61e86f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13F2FD0B</paraID>
      <start>62</start>
      <end>63</end>
      <status>unmodified</status>
      <modifiedWord/>
      <trackRevisions>false</trackRevisions>
    </reviewItem>
    <reviewItem>
      <errorID>b4b11f92-a6a8-4885-8fa2-2bfa17b8b883</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500CB663</paraID>
      <start>0</start>
      <end>2</end>
      <status>unmodified</status>
      <modifiedWord/>
      <trackRevisions>false</trackRevisions>
    </reviewItem>
    <reviewItem>
      <errorID>7c938f03-b629-4f25-b91a-0c9023a2bcef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E78EAFE</paraID>
      <start>0</start>
      <end>2</end>
      <status>unmodified</status>
      <modifiedWord/>
      <trackRevisions>false</trackRevisions>
    </reviewItem>
    <reviewItem>
      <errorID>ef4a9f56-08aa-4909-af10-a5e9cdb1d5e6</errorID>
      <errorWord>（</errorWord>
      <group>L1_Punc</group>
      <groupName>标点问题</groupName>
      <ability>L2_Punc_CN</ability>
      <abilityName>标点符号问题</abilityName>
      <candidateList/>
      <explain>同一形式括号套用。</explain>
      <paraID> C467898</paraID>
      <start>233</start>
      <end>234</end>
      <status>unmodified</status>
      <modifiedWord/>
      <trackRevisions>false</trackRevisions>
    </reviewItem>
    <reviewItem>
      <errorID>3506ba5d-97ce-4115-a1fc-d72258392c40</errorID>
      <errorWord>）</errorWord>
      <group>L1_Punc</group>
      <groupName>标点问题</groupName>
      <ability>L2_Punc_CN</ability>
      <abilityName>标点符号问题</abilityName>
      <candidateList/>
      <explain>同一形式括号套用。</explain>
      <paraID> C467898</paraID>
      <start>237</start>
      <end>238</end>
      <status>ignored</status>
      <modifiedWord/>
      <trackRevisions>false</trackRevisions>
    </reviewItem>
    <reviewItem>
      <errorID>1832a1f5-07ed-4ec6-be3e-f42fe18d0caa</errorID>
      <errorWord>（</errorWord>
      <group>L1_Punc</group>
      <groupName>标点问题</groupName>
      <ability>L2_Punc_CN</ability>
      <abilityName>标点符号问题</abilityName>
      <candidateList/>
      <explain>同一形式括号套用。</explain>
      <paraID> C467898</paraID>
      <start>238</start>
      <end>239</end>
      <status>unmodified</status>
      <modifiedWord/>
      <trackRevisions>false</trackRevisions>
    </reviewItem>
    <reviewItem>
      <errorID>9b575914-65c1-4aa7-9018-f53c00e84579</errorID>
      <errorWord>）</errorWord>
      <group>L1_Punc</group>
      <groupName>标点问题</groupName>
      <ability>L2_Punc_CN</ability>
      <abilityName>标点符号问题</abilityName>
      <candidateList/>
      <explain>同一形式括号套用。</explain>
      <paraID> C467898</paraID>
      <start>246</start>
      <end>247</end>
      <status>ignored</status>
      <modifiedWord/>
      <trackRevisions>false</trackRevisions>
    </reviewItem>
    <reviewItem>
      <errorID>fd9d0eca-a0ea-4bdc-a5b4-b59d50ff983c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66628590</paraID>
      <start>0</start>
      <end>2</end>
      <status>unmodified</status>
      <modifiedWord/>
      <trackRevisions>false</trackRevisions>
    </reviewItem>
    <reviewItem>
      <errorID>6582ab0b-6b73-4d6b-be4e-1208a0dc0f31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3B8DB0B2</paraID>
      <start>24</start>
      <end>25</end>
      <status>unmodified</status>
      <modifiedWord/>
      <trackRevisions>false</trackRevisions>
    </reviewItem>
    <reviewItem>
      <errorID>394b0617-35eb-4ec7-8480-5d1c4670f79e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5AF78CC9</paraID>
      <start>0</start>
      <end>2</end>
      <status>unmodified</status>
      <modifiedWord/>
      <trackRevisions>false</trackRevisions>
    </reviewItem>
    <reviewItem>
      <errorID>93e77dda-8c9a-4518-aca6-2269ec1a0ce8</errorID>
      <errorWord>目前现状</errorWord>
      <group>L1_Word</group>
      <groupName>字词问题</groupName>
      <ability>L2_Typo</ability>
      <abilityName>字词错误</abilityName>
      <candidateList>
        <item>现状</item>
      </candidateList>
      <explain/>
      <paraID>7095EA5C</paraID>
      <start>3</start>
      <end>7</end>
      <status>unmodified</status>
      <modifiedWord/>
      <trackRevisions>false</trackRevisions>
    </reviewItem>
    <reviewItem>
      <errorID>ae488ec6-b7ff-4e18-9deb-2649d565609d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52E03287</paraID>
      <start>0</start>
      <end>2</end>
      <status>unmodified</status>
      <modifiedWord/>
      <trackRevisions>false</trackRevisions>
    </reviewItem>
    <reviewItem>
      <errorID>8503a889-c833-4089-88c2-dd1535b55559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2729D3FC</paraID>
      <start>0</start>
      <end>2</end>
      <status>unmodified</status>
      <modifiedWord/>
      <trackRevisions>false</trackRevisions>
    </reviewItem>
    <reviewItem>
      <errorID>b8bd688f-2be3-41b9-9e0f-6f378d3ab8c6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3F137335</paraID>
      <start>0</start>
      <end>2</end>
      <status>unmodified</status>
      <modifiedWord/>
      <trackRevisions>false</trackRevisions>
    </reviewItem>
    <reviewItem>
      <errorID>3ad7ed44-a34f-427a-a3f2-4b6fe8375c6b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12416280</paraID>
      <start>0</start>
      <end>2</end>
      <status>unmodified</status>
      <modifiedWord/>
      <trackRevisions>false</trackRevisions>
    </reviewItem>
    <reviewItem>
      <errorID>2e812da4-3d26-4e79-b14c-3b0fd78ead87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45C3E5F4</paraID>
      <start>0</start>
      <end>2</end>
      <status>unmodified</status>
      <modifiedWord/>
      <trackRevisions>false</trackRevisions>
    </reviewItem>
    <reviewItem>
      <errorID>bc309738-3a3f-4c08-b5f6-2157c77ed7f5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6D227C6B</paraID>
      <start>0</start>
      <end>2</end>
      <status>unmodified</status>
      <modifiedWord/>
      <trackRevisions>false</trackRevisions>
    </reviewItem>
    <reviewItem>
      <errorID>72e3ef9a-ac6b-4361-97b2-ac6bd8b427a9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6578B10E</paraID>
      <start>0</start>
      <end>2</end>
      <status>unmodified</status>
      <modifiedWord/>
      <trackRevisions>false</trackRevisions>
    </reviewItem>
    <reviewItem>
      <errorID>bc52d550-d7d3-4784-8636-a9be0ad5535c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7C3A8094</paraID>
      <start>0</start>
      <end>2</end>
      <status>unmodified</status>
      <modifiedWord/>
      <trackRevisions>false</trackRevisions>
    </reviewItem>
    <reviewItem>
      <errorID>ceeb0944-9971-4400-86f2-90697f1c5a4d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84FA46C</paraID>
      <start>0</start>
      <end>2</end>
      <status>unmodified</status>
      <modifiedWord/>
      <trackRevisions>false</trackRevisions>
    </reviewItem>
    <reviewItem>
      <errorID>6b608e04-3f5b-4ff7-83cb-8e63354a2e0e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45DE7D53</paraID>
      <start>0</start>
      <end>2</end>
      <status>unmodified</status>
      <modifiedWord/>
      <trackRevisions>false</trackRevisions>
    </reviewItem>
    <reviewItem>
      <errorID>f4ffa02f-b017-4f10-ae53-18103bec9908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51C9BB07</paraID>
      <start>0</start>
      <end>2</end>
      <status>unmodified</status>
      <modifiedWord/>
      <trackRevisions>false</trackRevisions>
    </reviewItem>
    <reviewItem>
      <errorID>4f1a410e-5e1c-4457-b91f-f0dfc849aa0c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EE5A4C4</paraID>
      <start>0</start>
      <end>2</end>
      <status>unmodified</status>
      <modifiedWord/>
      <trackRevisions>false</trackRevisions>
    </reviewItem>
    <reviewItem>
      <errorID>b8fba11d-f1a6-4c58-9a94-207cff757119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3548BEDE</paraID>
      <start>0</start>
      <end>2</end>
      <status>unmodified</status>
      <modifiedWord/>
      <trackRevisions>false</trackRevisions>
    </reviewItem>
    <reviewItem>
      <errorID>ee5cbddd-bd8d-46e7-bbfe-51c7063f1e58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670E57B7</paraID>
      <start>0</start>
      <end>2</end>
      <status>unmodified</status>
      <modifiedWord/>
      <trackRevisions>false</trackRevisions>
    </reviewItem>
    <reviewItem>
      <errorID>705c15c5-a58b-45ec-bbe2-c2a46429e574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2A408A5B</paraID>
      <start>0</start>
      <end>2</end>
      <status>unmodified</status>
      <modifiedWord/>
      <trackRevisions>false</trackRevisions>
    </reviewItem>
    <reviewItem>
      <errorID>e0a46a31-2976-44af-bc48-c8c9efc1993c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4802AEC3</paraID>
      <start>0</start>
      <end>2</end>
      <status>unmodified</status>
      <modifiedWord/>
      <trackRevisions>false</trackRevisions>
    </reviewItem>
    <reviewItem>
      <errorID>4ae1c108-883d-44dd-a747-6f45ad945619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3E0CDF76</paraID>
      <start>0</start>
      <end>2</end>
      <status>unmodified</status>
      <modifiedWord/>
      <trackRevisions>false</trackRevisions>
    </reviewItem>
    <reviewItem>
      <errorID>b79e3b90-4cc4-4d40-a3a4-386674164bbf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79508F95</paraID>
      <start>0</start>
      <end>2</end>
      <status>unmodified</status>
      <modifiedWord/>
      <trackRevisions>false</trackRevisions>
    </reviewItem>
    <reviewItem>
      <errorID>a9277802-252a-4948-8f65-85442f1342e1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92BE838</paraID>
      <start>0</start>
      <end>2</end>
      <status>unmodified</status>
      <modifiedWord/>
      <trackRevisions>false</trackRevisions>
    </reviewItem>
    <reviewItem>
      <errorID>1586c9f4-4f0a-4c36-89e2-ad9e1c8177fd</errorID>
      <errorWord>（</errorWord>
      <group>L1_Punc</group>
      <groupName>标点问题</groupName>
      <ability>L2_Punc_CN</ability>
      <abilityName>标点符号问题</abilityName>
      <candidateList/>
      <explain>同一形式括号套用。</explain>
      <paraID> 92BE838</paraID>
      <start>8</start>
      <end>9</end>
      <status>unmodified</status>
      <modifiedWord/>
      <trackRevisions>false</trackRevisions>
    </reviewItem>
    <reviewItem>
      <errorID>e761700b-b0ea-4256-bf36-27bb6793d7cb</errorID>
      <errorWord>）</errorWord>
      <group>L1_Punc</group>
      <groupName>标点问题</groupName>
      <ability>L2_Punc_CN</ability>
      <abilityName>标点符号问题</abilityName>
      <candidateList/>
      <explain>同一形式括号套用。</explain>
      <paraID> 92BE838</paraID>
      <start>14</start>
      <end>15</end>
      <status>ignored</status>
      <modifiedWord/>
      <trackRevisions>false</trackRevisions>
    </reviewItem>
    <reviewItem>
      <errorID>4e39e085-85ab-4590-b048-996034d3a0ef</errorID>
      <errorWord>（</errorWord>
      <group>L1_Punc</group>
      <groupName>标点问题</groupName>
      <ability>L2_Punc_CN</ability>
      <abilityName>标点符号问题</abilityName>
      <candidateList/>
      <explain>同一形式括号套用。</explain>
      <paraID> 92BE838</paraID>
      <start>33</start>
      <end>34</end>
      <status>unmodified</status>
      <modifiedWord/>
      <trackRevisions>false</trackRevisions>
    </reviewItem>
    <reviewItem>
      <errorID>4c92c6f2-68ea-4bd7-be70-9fbd62941ce2</errorID>
      <errorWord>）</errorWord>
      <group>L1_Punc</group>
      <groupName>标点问题</groupName>
      <ability>L2_Punc_CN</ability>
      <abilityName>标点符号问题</abilityName>
      <candidateList/>
      <explain>同一形式括号套用。</explain>
      <paraID> 92BE838</paraID>
      <start>38</start>
      <end>39</end>
      <status>ignored</status>
      <modifiedWord/>
      <trackRevisions>false</trackRevisions>
    </reviewItem>
    <reviewItem>
      <errorID>006b4334-2f72-49a7-ae2b-304c46d684c9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3764C7B8</paraID>
      <start>0</start>
      <end>2</end>
      <status>unmodified</status>
      <modifiedWord/>
      <trackRevisions>false</trackRevisions>
    </reviewItem>
    <reviewItem>
      <errorID>daee542d-36fc-45f2-ae96-e7a644784684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7BE2F917</paraID>
      <start>0</start>
      <end>2</end>
      <status>unmodified</status>
      <modifiedWord/>
      <trackRevisions>false</trackRevisions>
    </reviewItem>
    <reviewItem>
      <errorID>74a3147d-2ecb-480f-8898-fdf38b305e53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79A2473B</paraID>
      <start>0</start>
      <end>2</end>
      <status>unmodified</status>
      <modifiedWord/>
      <trackRevisions>false</trackRevisions>
    </reviewItem>
    <reviewItem>
      <errorID>d2ff7d8a-de22-4423-be41-c6cb0610e574</errorID>
      <errorWord>（</errorWord>
      <group>L1_Punc</group>
      <groupName>标点问题</groupName>
      <ability>L2_Punc_CN</ability>
      <abilityName>标点符号问题</abilityName>
      <candidateList/>
      <explain>同一形式括号套用。</explain>
      <paraID>79A2473B</paraID>
      <start>80</start>
      <end>81</end>
      <status>unmodified</status>
      <modifiedWord/>
      <trackRevisions>false</trackRevisions>
    </reviewItem>
    <reviewItem>
      <errorID>c3cb4a8e-7e33-41d1-a1d6-cdc6e40b7d2d</errorID>
      <errorWord>）</errorWord>
      <group>L1_Punc</group>
      <groupName>标点问题</groupName>
      <ability>L2_Punc_CN</ability>
      <abilityName>标点符号问题</abilityName>
      <candidateList/>
      <explain>同一形式括号套用。</explain>
      <paraID>79A2473B</paraID>
      <start>92</start>
      <end>93</end>
      <status>ignored</status>
      <modifiedWord/>
      <trackRevisions>false</trackRevisions>
    </reviewItem>
    <reviewItem>
      <errorID>eefa41b1-761b-4848-a7e1-4904e248f993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676877F4</paraID>
      <start>0</start>
      <end>2</end>
      <status>unmodified</status>
      <modifiedWord/>
      <trackRevisions>false</trackRevisions>
    </reviewItem>
    <reviewItem>
      <errorID>f9f3e0f1-4fa0-4b8f-adc0-f1f1a5b15060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676877F4</paraID>
      <start>34</start>
      <end>35</end>
      <status>unmodified</status>
      <modifiedWord/>
      <trackRevisions>false</trackRevisions>
    </reviewItem>
    <reviewItem>
      <errorID>80060ff3-aa28-47f0-bb4a-8f7f02243910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676877F4</paraID>
      <start>50</start>
      <end>51</end>
      <status>unmodified</status>
      <modifiedWord/>
      <trackRevisions>false</trackRevisions>
    </reviewItem>
    <reviewItem>
      <errorID>338a9568-e408-4017-b074-14efbfacb383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1599C42F</paraID>
      <start>0</start>
      <end>2</end>
      <status>unmodified</status>
      <modifiedWord/>
      <trackRevisions>false</trackRevisions>
    </reviewItem>
    <reviewItem>
      <errorID>8a049c33-1940-4d67-8294-49f273579d4d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1D2AD5EB</paraID>
      <start>0</start>
      <end>2</end>
      <status>unmodified</status>
      <modifiedWord/>
      <trackRevisions>false</trackRevisions>
    </reviewItem>
    <reviewItem>
      <errorID>f6ce6ea2-81ef-48ca-a5a2-095d5a683f83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60478BAF</paraID>
      <start>0</start>
      <end>2</end>
      <status>unmodified</status>
      <modifiedWord/>
      <trackRevisions>false</trackRevisions>
    </reviewItem>
    <reviewItem>
      <errorID>485b602c-5be9-46af-846f-fa71502b26aa</errorID>
      <errorWord>（</errorWord>
      <group>L1_Punc</group>
      <groupName>标点问题</groupName>
      <ability>L2_Punc_CN</ability>
      <abilityName>标点符号问题</abilityName>
      <candidateList/>
      <explain>同一形式括号套用。</explain>
      <paraID>60478BAF</paraID>
      <start>62</start>
      <end>63</end>
      <status>unmodified</status>
      <modifiedWord/>
      <trackRevisions>false</trackRevisions>
    </reviewItem>
    <reviewItem>
      <errorID>bb0ee824-5412-406a-bb25-eb34d8e63128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60478BAF</paraID>
      <start>70</start>
      <end>71</end>
      <status>unmodified</status>
      <modifiedWord/>
      <trackRevisions>false</trackRevisions>
    </reviewItem>
    <reviewItem>
      <errorID>9ca9af87-3eab-4832-87c3-963478ab65f9</errorID>
      <errorWord>）</errorWord>
      <group>L1_Punc</group>
      <groupName>标点问题</groupName>
      <ability>L2_Punc_CN</ability>
      <abilityName>标点符号问题</abilityName>
      <candidateList/>
      <explain>同一形式括号套用。</explain>
      <paraID>60478BAF</paraID>
      <start>78</start>
      <end>79</end>
      <status>ignored</status>
      <modifiedWord/>
      <trackRevisions>false</trackRevisions>
    </reviewItem>
    <reviewItem>
      <errorID>c5ff058a-42fa-400c-b742-a22b8e20f43a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4406393B</paraID>
      <start>0</start>
      <end>2</end>
      <status>unmodified</status>
      <modifiedWord/>
      <trackRevisions>false</trackRevisions>
    </reviewItem>
    <reviewItem>
      <errorID>4ac955b7-24ba-448c-82ea-481733e24338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3E0CC1D6</paraID>
      <start>0</start>
      <end>2</end>
      <status>unmodified</status>
      <modifiedWord/>
      <trackRevisions>false</trackRevisions>
    </reviewItem>
    <reviewItem>
      <errorID>b42d8a8a-5055-4846-a6d0-bdcfe183a237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4E81CE92</paraID>
      <start>0</start>
      <end>2</end>
      <status>unmodified</status>
      <modifiedWord/>
      <trackRevisions>false</trackRevisions>
    </reviewItem>
    <reviewItem>
      <errorID>1ab820e3-106c-49e7-a930-98f41cb3b95e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502A3B32</paraID>
      <start>0</start>
      <end>2</end>
      <status>unmodified</status>
      <modifiedWord/>
      <trackRevisions>false</trackRevisions>
    </reviewItem>
    <reviewItem>
      <errorID>0ad5a462-7090-4549-bcc8-e4ade8e0bd7d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6266259E</paraID>
      <start>0</start>
      <end>2</end>
      <status>unmodified</status>
      <modifiedWord/>
      <trackRevisions>false</trackRevisions>
    </reviewItem>
    <reviewItem>
      <errorID>1cbb7d4d-e46b-49d4-94cb-3662c6042bad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4A3225BE</paraID>
      <start>0</start>
      <end>2</end>
      <status>unmodified</status>
      <modifiedWord/>
      <trackRevisions>false</trackRevisions>
    </reviewItem>
    <reviewItem>
      <errorID>b79262d2-f223-45be-af0c-7a4e2af96a86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2A4B6C7B</paraID>
      <start>0</start>
      <end>2</end>
      <status>unmodified</status>
      <modifiedWord/>
      <trackRevisions>false</trackRevisions>
    </reviewItem>
    <reviewItem>
      <errorID>4a1e21f4-473f-4749-b9d2-38710a609f3c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27E48D75</paraID>
      <start>0</start>
      <end>2</end>
      <status>unmodified</status>
      <modifiedWord/>
      <trackRevisions>false</trackRevisions>
    </reviewItem>
    <reviewItem>
      <errorID>65c4c86e-11fe-4d6f-9dc2-cc46a6b4a1b0</errorID>
      <errorWord>安装安装</errorWord>
      <group>L1_Word</group>
      <groupName>字词问题</groupName>
      <ability>L2_Typo</ability>
      <abilityName>字词错误</abilityName>
      <candidateList>
        <item>安装</item>
      </candidateList>
      <explain/>
      <paraID>27E48D75</paraID>
      <start>6</start>
      <end>10</end>
      <status>unmodified</status>
      <modifiedWord/>
      <trackRevisions>false</trackRevisions>
    </reviewItem>
    <reviewItem>
      <errorID>7090f8b3-d282-4d47-b4b6-61bdacb5d473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148753EC</paraID>
      <start>0</start>
      <end>2</end>
      <status>unmodified</status>
      <modifiedWord/>
      <trackRevisions>false</trackRevisions>
    </reviewItem>
    <reviewItem>
      <errorID>516de4db-8c22-48d4-9585-60bf4b03ef43</errorID>
      <errorWord>正在进行中</errorWord>
      <group>L1_Grammar</group>
      <groupName>语法问题</groupName>
      <ability>L2_Grammar</ability>
      <abilityName>语法错误</abilityName>
      <candidateList>
        <item>正在进行</item>
      </candidateList>
      <explain>该表达中的“正在进行中”存在语义重复。【词汇解析】进行中：向前行走； 正在：表动作的进行。与“进行中”语义重复。</explain>
      <paraID>148753EC</paraID>
      <start>8</start>
      <end>13</end>
      <status>unmodified</status>
      <modifiedWord/>
      <trackRevisions>false</trackRevisions>
    </reviewItem>
    <reviewItem>
      <errorID>075c4434-e9e5-4b93-9315-89a13622be20</errorID>
      <errorWord>（</errorWord>
      <group>L1_Punc</group>
      <groupName>标点问题</groupName>
      <ability>L2_Punc_CN</ability>
      <abilityName>标点符号问题</abilityName>
      <candidateList/>
      <explain>同一形式括号套用。</explain>
      <paraID>22FF2F4C</paraID>
      <start>65</start>
      <end>66</end>
      <status>unmodified</status>
      <modifiedWord/>
      <trackRevisions>false</trackRevisions>
    </reviewItem>
    <reviewItem>
      <errorID>e5a649bd-4032-45bd-809f-76b1b63555c8</errorID>
      <errorWord>）</errorWord>
      <group>L1_Punc</group>
      <groupName>标点问题</groupName>
      <ability>L2_Punc_CN</ability>
      <abilityName>标点符号问题</abilityName>
      <candidateList/>
      <explain>同一形式括号套用。</explain>
      <paraID>22FF2F4C</paraID>
      <start>70</start>
      <end>71</end>
      <status>ignored</status>
      <modifiedWord/>
      <trackRevisions>false</trackRevisions>
    </reviewItem>
    <reviewItem>
      <errorID>75dd0a2b-788e-4852-bdac-5e9d9fe5291d</errorID>
      <errorWord>（</errorWord>
      <group>L1_Punc</group>
      <groupName>标点问题</groupName>
      <ability>L2_Punc_CN</ability>
      <abilityName>标点符号问题</abilityName>
      <candidateList/>
      <explain>同一形式括号套用。</explain>
      <paraID>22FF2F4C</paraID>
      <start>157</start>
      <end>158</end>
      <status>unmodified</status>
      <modifiedWord/>
      <trackRevisions>false</trackRevisions>
    </reviewItem>
    <reviewItem>
      <errorID>69091e79-6d8d-48d0-a2d8-377fc7fd6c60</errorID>
      <errorWord>）</errorWord>
      <group>L1_Punc</group>
      <groupName>标点问题</groupName>
      <ability>L2_Punc_CN</ability>
      <abilityName>标点符号问题</abilityName>
      <candidateList/>
      <explain>同一形式括号套用。</explain>
      <paraID>22FF2F4C</paraID>
      <start>167</start>
      <end>168</end>
      <status>ignored</status>
      <modifiedWord/>
      <trackRevisions>false</trackRevisions>
    </reviewItem>
    <reviewItem>
      <errorID>2747f383-a727-45b5-903f-6ac0fc493362</errorID>
      <errorWord>（</errorWord>
      <group>L1_Punc</group>
      <groupName>标点问题</groupName>
      <ability>L2_Punc_CN</ability>
      <abilityName>标点符号问题</abilityName>
      <candidateList/>
      <explain>同一形式括号套用。</explain>
      <paraID>77354D91</paraID>
      <start>76</start>
      <end>77</end>
      <status>unmodified</status>
      <modifiedWord/>
      <trackRevisions>false</trackRevisions>
    </reviewItem>
    <reviewItem>
      <errorID>9a561bde-b177-47a7-b4d3-60d0bdc5c9e2</errorID>
      <errorWord>）</errorWord>
      <group>L1_Punc</group>
      <groupName>标点问题</groupName>
      <ability>L2_Punc_CN</ability>
      <abilityName>标点符号问题</abilityName>
      <candidateList/>
      <explain>同一形式括号套用。</explain>
      <paraID>77354D91</paraID>
      <start>81</start>
      <end>82</end>
      <status>ignored</status>
      <modifiedWord/>
      <trackRevisions>false</trackRevisions>
    </reviewItem>
    <reviewItem>
      <errorID>79b8800a-f469-4313-944e-817c3dc81ce8</errorID>
      <errorWord>（</errorWord>
      <group>L1_Punc</group>
      <groupName>标点问题</groupName>
      <ability>L2_Punc_CN</ability>
      <abilityName>标点符号问题</abilityName>
      <candidateList/>
      <explain>同一形式括号套用。</explain>
      <paraID>77354D91</paraID>
      <start>168</start>
      <end>169</end>
      <status>unmodified</status>
      <modifiedWord/>
      <trackRevisions>false</trackRevisions>
    </reviewItem>
    <reviewItem>
      <errorID>a256500b-5127-418c-a3ef-30c316abe51e</errorID>
      <errorWord>）</errorWord>
      <group>L1_Punc</group>
      <groupName>标点问题</groupName>
      <ability>L2_Punc_CN</ability>
      <abilityName>标点符号问题</abilityName>
      <candidateList/>
      <explain>同一形式括号套用。</explain>
      <paraID>77354D91</paraID>
      <start>178</start>
      <end>179</end>
      <status>ignored</status>
      <modifiedWord/>
      <trackRevisions>false</trackRevisions>
    </reviewItem>
    <reviewItem>
      <errorID>31098900-fbe4-4eb7-9c65-d2afe169d464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15AA2B9D</paraID>
      <start>0</start>
      <end>2</end>
      <status>unmodified</status>
      <modifiedWord/>
      <trackRevisions>false</trackRevisions>
    </reviewItem>
    <reviewItem>
      <errorID>436160d7-d8cc-4c16-8e1c-8069fe8e59e4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5F86D559</paraID>
      <start>0</start>
      <end>2</end>
      <status>unmodified</status>
      <modifiedWord/>
      <trackRevisions>false</trackRevisions>
    </reviewItem>
    <reviewItem>
      <errorID>c530ef7c-d853-4ae2-b2ff-4dd8620c07e3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6538DE58</paraID>
      <start>0</start>
      <end>2</end>
      <status>unmodified</status>
      <modifiedWord/>
      <trackRevisions>false</trackRevisions>
    </reviewItem>
    <reviewItem>
      <errorID>7acdcc51-eedc-4101-ab7c-d24ba8672a45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73E48247</paraID>
      <start>0</start>
      <end>2</end>
      <status>unmodified</status>
      <modifiedWord/>
      <trackRevisions>false</trackRevisions>
    </reviewItem>
    <reviewItem>
      <errorID>dbf7d1c7-6940-4330-8a6b-81ab8cedca15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692042E8</paraID>
      <start>0</start>
      <end>2</end>
      <status>unmodified</status>
      <modifiedWord/>
      <trackRevisions>false</trackRevisions>
    </reviewItem>
    <reviewItem>
      <errorID>b3eb77c2-6b2d-48eb-b6b2-aef696eb7b60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34C52869</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0906d8-a109-4b66-850d-4b7f3f56a8c4}">
  <ds:schemaRefs/>
</ds:datastoreItem>
</file>

<file path=docProps/app.xml><?xml version="1.0" encoding="utf-8"?>
<Properties xmlns="http://schemas.openxmlformats.org/officeDocument/2006/extended-properties" xmlns:vt="http://schemas.openxmlformats.org/officeDocument/2006/docPropsVTypes">
  <Template>Normal</Template>
  <Pages>70</Pages>
  <Words>38102</Words>
  <Characters>44084</Characters>
  <Lines>265</Lines>
  <Paragraphs>74</Paragraphs>
  <TotalTime>9</TotalTime>
  <ScaleCrop>false</ScaleCrop>
  <LinksUpToDate>false</LinksUpToDate>
  <CharactersWithSpaces>44426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2024-04-22T00:53:00Z</dcterms:created>
  <dc:creator>张毅</dc:creator>
  <cp:lastModifiedBy>Administrator</cp:lastModifiedBy>
  <cp:lastPrinted>2024-07-02T09:19:00Z</cp:lastPrinted>
  <dcterms:modified xsi:type="dcterms:W3CDTF">2026-09-24T03:35:50Z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4DCCD545DACC47CEB27F7EC27C444F93_13</vt:lpwstr>
  </property>
  <property fmtid="{D5CDD505-2E9C-101B-9397-08002B2CF9AE}" pid="4" name="KSOTemplateDocerSaveRecord">
    <vt:lpwstr>eyJoZGlkIjoiNzNmYjRiY2VhNTY1OGUwZWVhNzVkNDRkODIzNmEwYTAiLCJ1c2VySWQiOiIyMDM3NjYzNjAifQ==</vt:lpwstr>
  </property>
</Properties>
</file>