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48713">
      <w:pPr>
        <w:rPr>
          <w:rFonts w:hint="default" w:ascii="Times New Roman" w:hAnsi="Times New Roman" w:eastAsia="仿宋_GB2312" w:cs="Times New Roman"/>
          <w:color w:val="auto"/>
          <w:sz w:val="36"/>
          <w:szCs w:val="36"/>
        </w:rPr>
      </w:pPr>
    </w:p>
    <w:p w14:paraId="531404AE">
      <w:pPr>
        <w:rPr>
          <w:rFonts w:hint="default" w:ascii="Times New Roman" w:hAnsi="Times New Roman" w:eastAsia="仿宋_GB2312" w:cs="Times New Roman"/>
          <w:color w:val="auto"/>
          <w:sz w:val="36"/>
          <w:szCs w:val="36"/>
        </w:rPr>
      </w:pPr>
    </w:p>
    <w:p w14:paraId="7ADC836B">
      <w:pPr>
        <w:rPr>
          <w:rFonts w:hint="default" w:ascii="Times New Roman" w:hAnsi="Times New Roman" w:eastAsia="仿宋_GB2312" w:cs="Times New Roman"/>
          <w:color w:val="auto"/>
          <w:sz w:val="36"/>
          <w:szCs w:val="36"/>
        </w:rPr>
      </w:pPr>
    </w:p>
    <w:p w14:paraId="3EECAD66">
      <w:pPr>
        <w:adjustRightInd w:val="0"/>
        <w:snapToGrid w:val="0"/>
        <w:spacing w:line="240" w:lineRule="auto"/>
        <w:ind w:firstLine="0" w:firstLineChars="0"/>
        <w:jc w:val="center"/>
        <w:outlineLvl w:val="0"/>
        <w:rPr>
          <w:rFonts w:hint="default" w:ascii="Times New Roman" w:hAnsi="Times New Roman" w:eastAsia="方正小标宋_GBK" w:cs="Times New Roman"/>
          <w:bCs/>
          <w:color w:val="auto"/>
          <w:sz w:val="72"/>
          <w:szCs w:val="72"/>
        </w:rPr>
      </w:pPr>
      <w:r>
        <w:rPr>
          <w:rFonts w:hint="default" w:ascii="Times New Roman" w:hAnsi="Times New Roman" w:eastAsia="方正小标宋_GBK" w:cs="Times New Roman"/>
          <w:bCs/>
          <w:color w:val="auto"/>
          <w:sz w:val="72"/>
          <w:szCs w:val="72"/>
        </w:rPr>
        <w:t>建设项目环境影响报告表</w:t>
      </w:r>
    </w:p>
    <w:p w14:paraId="521B96C5">
      <w:pPr>
        <w:adjustRightInd w:val="0"/>
        <w:snapToGrid w:val="0"/>
        <w:spacing w:before="192" w:beforeLines="80" w:line="240" w:lineRule="auto"/>
        <w:ind w:firstLine="0" w:firstLineChars="0"/>
        <w:jc w:val="center"/>
        <w:rPr>
          <w:rFonts w:hint="default" w:ascii="Times New Roman" w:hAnsi="Times New Roman" w:eastAsia="楷体_GB2312" w:cs="Times New Roman"/>
          <w:bCs/>
          <w:color w:val="auto"/>
          <w:sz w:val="48"/>
          <w:szCs w:val="48"/>
        </w:rPr>
      </w:pPr>
      <w:r>
        <w:rPr>
          <w:rFonts w:hint="default" w:ascii="Times New Roman" w:hAnsi="Times New Roman" w:eastAsia="楷体_GB2312" w:cs="Times New Roman"/>
          <w:bCs/>
          <w:color w:val="auto"/>
          <w:sz w:val="48"/>
          <w:szCs w:val="48"/>
        </w:rPr>
        <w:t>（污染影响类）</w:t>
      </w:r>
    </w:p>
    <w:p w14:paraId="3215AC1A">
      <w:pPr>
        <w:ind w:firstLine="480"/>
        <w:rPr>
          <w:rFonts w:hint="default" w:ascii="Times New Roman" w:hAnsi="Times New Roman" w:cs="Times New Roman"/>
          <w:color w:val="auto"/>
        </w:rPr>
      </w:pPr>
    </w:p>
    <w:p w14:paraId="68D9A499">
      <w:pPr>
        <w:ind w:firstLine="1040"/>
        <w:jc w:val="center"/>
        <w:rPr>
          <w:rFonts w:hint="default" w:ascii="Times New Roman" w:hAnsi="Times New Roman" w:eastAsia="仿宋" w:cs="Times New Roman"/>
          <w:color w:val="auto"/>
          <w:sz w:val="52"/>
          <w:szCs w:val="52"/>
        </w:rPr>
      </w:pPr>
    </w:p>
    <w:p w14:paraId="18BFCE01">
      <w:pPr>
        <w:ind w:firstLine="880"/>
        <w:rPr>
          <w:rFonts w:hint="default" w:ascii="Times New Roman" w:hAnsi="Times New Roman" w:eastAsia="仿宋" w:cs="Times New Roman"/>
          <w:color w:val="auto"/>
          <w:sz w:val="44"/>
          <w:szCs w:val="44"/>
        </w:rPr>
      </w:pPr>
    </w:p>
    <w:p w14:paraId="3B80C180">
      <w:pPr>
        <w:ind w:firstLine="880"/>
        <w:rPr>
          <w:rFonts w:hint="default" w:ascii="Times New Roman" w:hAnsi="Times New Roman" w:eastAsia="仿宋" w:cs="Times New Roman"/>
          <w:color w:val="auto"/>
          <w:sz w:val="44"/>
          <w:szCs w:val="44"/>
        </w:rPr>
      </w:pPr>
    </w:p>
    <w:p w14:paraId="1C0DFF71">
      <w:pPr>
        <w:adjustRightInd w:val="0"/>
        <w:snapToGrid w:val="0"/>
        <w:spacing w:line="288" w:lineRule="auto"/>
        <w:ind w:firstLine="0" w:firstLineChars="0"/>
        <w:jc w:val="center"/>
        <w:rPr>
          <w:rFonts w:hint="default" w:ascii="Times New Roman" w:hAnsi="Times New Roman" w:eastAsia="仿宋_GB2312" w:cs="Times New Roman"/>
          <w:color w:val="auto"/>
          <w:sz w:val="36"/>
          <w:szCs w:val="36"/>
        </w:rPr>
      </w:pPr>
    </w:p>
    <w:p w14:paraId="68274357">
      <w:pPr>
        <w:adjustRightInd w:val="0"/>
        <w:snapToGrid w:val="0"/>
        <w:spacing w:line="288" w:lineRule="auto"/>
        <w:ind w:firstLine="0" w:firstLineChars="0"/>
        <w:jc w:val="center"/>
        <w:rPr>
          <w:rFonts w:hint="default" w:ascii="Times New Roman" w:hAnsi="Times New Roman" w:eastAsia="仿宋_GB2312" w:cs="Times New Roman"/>
          <w:color w:val="auto"/>
          <w:sz w:val="36"/>
          <w:szCs w:val="36"/>
        </w:rPr>
      </w:pPr>
    </w:p>
    <w:p w14:paraId="04B84486">
      <w:pPr>
        <w:adjustRightInd w:val="0"/>
        <w:snapToGrid w:val="0"/>
        <w:spacing w:line="288" w:lineRule="auto"/>
        <w:ind w:firstLine="0" w:firstLineChars="0"/>
        <w:rPr>
          <w:rFonts w:hint="default" w:ascii="Times New Roman" w:hAnsi="Times New Roman" w:eastAsia="仿宋_GB2312" w:cs="Times New Roman"/>
          <w:color w:val="auto"/>
          <w:sz w:val="36"/>
          <w:szCs w:val="36"/>
        </w:rPr>
      </w:pPr>
    </w:p>
    <w:p w14:paraId="22E99681">
      <w:pPr>
        <w:adjustRightInd w:val="0"/>
        <w:snapToGrid w:val="0"/>
        <w:spacing w:line="288" w:lineRule="auto"/>
        <w:ind w:firstLine="0" w:firstLineChars="0"/>
        <w:rPr>
          <w:rFonts w:hint="default" w:ascii="Times New Roman" w:hAnsi="Times New Roman" w:eastAsia="仿宋_GB2312" w:cs="Times New Roman"/>
          <w:color w:val="auto"/>
          <w:sz w:val="36"/>
          <w:szCs w:val="36"/>
          <w:u w:val="single"/>
          <w:lang w:val="en-US" w:eastAsia="zh-CN"/>
        </w:rPr>
      </w:pPr>
      <w:r>
        <w:rPr>
          <w:rFonts w:hint="default" w:ascii="Times New Roman" w:hAnsi="Times New Roman" w:eastAsia="仿宋_GB2312" w:cs="Times New Roman"/>
          <w:color w:val="auto"/>
          <w:sz w:val="36"/>
          <w:szCs w:val="36"/>
        </w:rPr>
        <w:t>项目名称：</w:t>
      </w:r>
      <w:r>
        <w:rPr>
          <w:rFonts w:hint="default" w:ascii="Times New Roman" w:hAnsi="Times New Roman" w:eastAsia="仿宋_GB2312" w:cs="Times New Roman"/>
          <w:color w:val="auto"/>
          <w:sz w:val="36"/>
          <w:szCs w:val="36"/>
          <w:u w:val="single"/>
        </w:rPr>
        <w:t xml:space="preserve"> </w:t>
      </w:r>
      <w:r>
        <w:rPr>
          <w:rFonts w:hint="eastAsia" w:eastAsia="仿宋_GB2312" w:cs="Times New Roman"/>
          <w:color w:val="auto"/>
          <w:sz w:val="36"/>
          <w:szCs w:val="36"/>
          <w:u w:val="single"/>
          <w:lang w:val="en-US" w:eastAsia="zh-CN"/>
        </w:rPr>
        <w:t xml:space="preserve">        小龙虾加工项目          </w:t>
      </w:r>
    </w:p>
    <w:p w14:paraId="07B1AE01">
      <w:pPr>
        <w:adjustRightInd w:val="0"/>
        <w:snapToGrid w:val="0"/>
        <w:spacing w:line="288" w:lineRule="auto"/>
        <w:ind w:firstLine="0" w:firstLineChars="0"/>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建设单位</w:t>
      </w:r>
      <w:r>
        <w:rPr>
          <w:rFonts w:eastAsia="仿宋_GB2312"/>
          <w:color w:val="auto"/>
          <w:sz w:val="36"/>
          <w:szCs w:val="36"/>
        </w:rPr>
        <w:t>（盖章）</w:t>
      </w:r>
      <w:r>
        <w:rPr>
          <w:rFonts w:hint="default" w:ascii="Times New Roman" w:hAnsi="Times New Roman" w:eastAsia="仿宋_GB2312" w:cs="Times New Roman"/>
          <w:color w:val="auto"/>
          <w:sz w:val="36"/>
          <w:szCs w:val="36"/>
        </w:rPr>
        <w:t>：</w:t>
      </w:r>
      <w:r>
        <w:rPr>
          <w:rFonts w:hint="default" w:ascii="Times New Roman" w:hAnsi="Times New Roman" w:eastAsia="仿宋_GB2312" w:cs="Times New Roman"/>
          <w:color w:val="auto"/>
          <w:sz w:val="36"/>
          <w:szCs w:val="36"/>
          <w:u w:val="single"/>
        </w:rPr>
        <w:t xml:space="preserve"> </w:t>
      </w:r>
      <w:r>
        <w:rPr>
          <w:rFonts w:hint="eastAsia" w:eastAsia="仿宋_GB2312" w:cs="Times New Roman"/>
          <w:color w:val="auto"/>
          <w:sz w:val="36"/>
          <w:szCs w:val="36"/>
          <w:u w:val="single"/>
          <w:lang w:eastAsia="zh-CN"/>
        </w:rPr>
        <w:t>陕西大秦滨洋食品有限公司</w:t>
      </w:r>
      <w:r>
        <w:rPr>
          <w:rFonts w:hint="default" w:ascii="Times New Roman" w:hAnsi="Times New Roman" w:eastAsia="仿宋_GB2312" w:cs="Times New Roman"/>
          <w:color w:val="auto"/>
          <w:sz w:val="36"/>
          <w:szCs w:val="36"/>
          <w:u w:val="single"/>
        </w:rPr>
        <w:t xml:space="preserve"> </w:t>
      </w:r>
    </w:p>
    <w:p w14:paraId="205499E5">
      <w:pPr>
        <w:adjustRightInd w:val="0"/>
        <w:snapToGrid w:val="0"/>
        <w:spacing w:line="288" w:lineRule="auto"/>
        <w:ind w:firstLine="0" w:firstLineChars="0"/>
        <w:rPr>
          <w:rFonts w:hint="default" w:ascii="Times New Roman" w:hAnsi="Times New Roman" w:eastAsia="仿宋_GB2312" w:cs="Times New Roman"/>
          <w:color w:val="auto"/>
          <w:sz w:val="36"/>
          <w:szCs w:val="36"/>
          <w:u w:val="single"/>
        </w:rPr>
      </w:pPr>
      <w:r>
        <w:rPr>
          <w:rFonts w:hint="default" w:ascii="Times New Roman" w:hAnsi="Times New Roman" w:eastAsia="仿宋_GB2312" w:cs="Times New Roman"/>
          <w:color w:val="auto"/>
          <w:sz w:val="36"/>
          <w:szCs w:val="36"/>
        </w:rPr>
        <w:t>编制日期：</w:t>
      </w:r>
      <w:r>
        <w:rPr>
          <w:rFonts w:hint="default" w:ascii="Times New Roman" w:hAnsi="Times New Roman" w:eastAsia="仿宋_GB2312" w:cs="Times New Roman"/>
          <w:color w:val="auto"/>
          <w:sz w:val="36"/>
          <w:szCs w:val="36"/>
          <w:u w:val="single"/>
        </w:rPr>
        <w:t xml:space="preserve">              202</w:t>
      </w:r>
      <w:r>
        <w:rPr>
          <w:rFonts w:hint="default" w:eastAsia="仿宋_GB2312" w:cs="Times New Roman"/>
          <w:color w:val="auto"/>
          <w:sz w:val="36"/>
          <w:szCs w:val="36"/>
          <w:u w:val="single"/>
          <w:lang w:val="en-US" w:eastAsia="zh-CN"/>
        </w:rPr>
        <w:t>6</w:t>
      </w:r>
      <w:r>
        <w:rPr>
          <w:rFonts w:hint="default" w:ascii="Times New Roman" w:hAnsi="Times New Roman" w:eastAsia="仿宋_GB2312" w:cs="Times New Roman"/>
          <w:color w:val="auto"/>
          <w:sz w:val="36"/>
          <w:szCs w:val="36"/>
          <w:u w:val="single"/>
        </w:rPr>
        <w:t>年</w:t>
      </w:r>
      <w:r>
        <w:rPr>
          <w:rFonts w:hint="eastAsia" w:eastAsia="仿宋_GB2312" w:cs="Times New Roman"/>
          <w:color w:val="auto"/>
          <w:sz w:val="36"/>
          <w:szCs w:val="36"/>
          <w:u w:val="single"/>
          <w:lang w:val="en-US" w:eastAsia="zh-CN"/>
        </w:rPr>
        <w:t>6</w:t>
      </w:r>
      <w:r>
        <w:rPr>
          <w:rFonts w:hint="default" w:ascii="Times New Roman" w:hAnsi="Times New Roman" w:eastAsia="仿宋_GB2312" w:cs="Times New Roman"/>
          <w:color w:val="auto"/>
          <w:sz w:val="36"/>
          <w:szCs w:val="36"/>
          <w:u w:val="single"/>
        </w:rPr>
        <w:t xml:space="preserve">月         </w:t>
      </w:r>
    </w:p>
    <w:p w14:paraId="38F921C1">
      <w:pPr>
        <w:adjustRightInd w:val="0"/>
        <w:snapToGrid w:val="0"/>
        <w:spacing w:line="288" w:lineRule="auto"/>
        <w:rPr>
          <w:rFonts w:hint="default" w:ascii="Times New Roman" w:hAnsi="Times New Roman" w:eastAsia="仿宋_GB2312" w:cs="Times New Roman"/>
          <w:color w:val="auto"/>
          <w:sz w:val="36"/>
          <w:szCs w:val="36"/>
        </w:rPr>
      </w:pPr>
      <w:bookmarkStart w:id="0" w:name="_Hlk57884087"/>
    </w:p>
    <w:p w14:paraId="1BD7C4DF">
      <w:pPr>
        <w:adjustRightInd w:val="0"/>
        <w:snapToGrid w:val="0"/>
        <w:spacing w:line="288" w:lineRule="auto"/>
        <w:rPr>
          <w:rFonts w:hint="default" w:ascii="Times New Roman" w:hAnsi="Times New Roman" w:eastAsia="仿宋_GB2312" w:cs="Times New Roman"/>
          <w:color w:val="auto"/>
          <w:sz w:val="36"/>
          <w:szCs w:val="36"/>
        </w:rPr>
      </w:pPr>
    </w:p>
    <w:p w14:paraId="332D78EA">
      <w:pPr>
        <w:adjustRightInd w:val="0"/>
        <w:snapToGrid w:val="0"/>
        <w:spacing w:line="288" w:lineRule="auto"/>
        <w:rPr>
          <w:rFonts w:hint="default" w:ascii="Times New Roman" w:hAnsi="Times New Roman" w:eastAsia="仿宋_GB2312" w:cs="Times New Roman"/>
          <w:color w:val="auto"/>
          <w:sz w:val="36"/>
          <w:szCs w:val="36"/>
        </w:rPr>
      </w:pPr>
    </w:p>
    <w:p w14:paraId="71B367F9">
      <w:pPr>
        <w:adjustRightInd w:val="0"/>
        <w:snapToGrid w:val="0"/>
        <w:spacing w:line="288" w:lineRule="auto"/>
        <w:rPr>
          <w:rFonts w:hint="default" w:ascii="Times New Roman" w:hAnsi="Times New Roman" w:eastAsia="仿宋_GB2312" w:cs="Times New Roman"/>
          <w:color w:val="auto"/>
          <w:sz w:val="36"/>
          <w:szCs w:val="36"/>
        </w:rPr>
      </w:pPr>
    </w:p>
    <w:p w14:paraId="2EC0B6B1">
      <w:pPr>
        <w:adjustRightInd w:val="0"/>
        <w:snapToGrid w:val="0"/>
        <w:spacing w:line="288" w:lineRule="auto"/>
        <w:rPr>
          <w:rFonts w:hint="default" w:ascii="Times New Roman" w:hAnsi="Times New Roman" w:eastAsia="仿宋_GB2312" w:cs="Times New Roman"/>
          <w:color w:val="auto"/>
          <w:sz w:val="36"/>
          <w:szCs w:val="36"/>
        </w:rPr>
      </w:pPr>
    </w:p>
    <w:bookmarkEnd w:id="0"/>
    <w:p w14:paraId="357BF183">
      <w:pPr>
        <w:adjustRightInd w:val="0"/>
        <w:snapToGrid w:val="0"/>
        <w:spacing w:line="288" w:lineRule="auto"/>
        <w:rPr>
          <w:rFonts w:hint="default" w:ascii="Times New Roman" w:hAnsi="Times New Roman" w:eastAsia="仿宋_GB2312" w:cs="Times New Roman"/>
          <w:color w:val="auto"/>
          <w:sz w:val="36"/>
          <w:szCs w:val="36"/>
        </w:rPr>
      </w:pPr>
    </w:p>
    <w:p w14:paraId="1A99762A">
      <w:pPr>
        <w:widowControl/>
        <w:ind w:firstLine="0" w:firstLineChars="0"/>
        <w:jc w:val="center"/>
        <w:rPr>
          <w:rFonts w:hint="default" w:ascii="Times New Roman" w:hAnsi="Times New Roman" w:cs="Times New Roman"/>
          <w:color w:val="auto"/>
          <w:sz w:val="32"/>
          <w:szCs w:val="32"/>
        </w:rPr>
      </w:pPr>
      <w:r>
        <w:rPr>
          <w:rFonts w:hint="default" w:ascii="Times New Roman" w:hAnsi="Times New Roman" w:cs="Times New Roman"/>
          <w:color w:val="auto"/>
          <w:kern w:val="0"/>
          <w:sz w:val="32"/>
          <w:szCs w:val="32"/>
          <w:lang w:bidi="ar"/>
        </w:rPr>
        <w:t>中华人民共和国生态环境部制</w:t>
      </w:r>
    </w:p>
    <w:p w14:paraId="31654D03">
      <w:pPr>
        <w:adjustRightInd w:val="0"/>
        <w:snapToGrid w:val="0"/>
        <w:spacing w:line="288" w:lineRule="auto"/>
        <w:rPr>
          <w:rFonts w:hint="default" w:ascii="Times New Roman" w:hAnsi="Times New Roman" w:eastAsia="仿宋_GB2312" w:cs="Times New Roman"/>
          <w:color w:val="auto"/>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3D3D5638">
      <w:pPr>
        <w:adjustRightInd w:val="0"/>
        <w:snapToGrid w:val="0"/>
        <w:spacing w:line="288" w:lineRule="auto"/>
        <w:jc w:val="center"/>
        <w:rPr>
          <w:rFonts w:hint="default" w:ascii="Times New Roman" w:hAnsi="Times New Roman" w:eastAsia="仿宋_GB2312" w:cs="Times New Roman"/>
          <w:color w:val="auto"/>
          <w:sz w:val="36"/>
          <w:szCs w:val="36"/>
        </w:rPr>
      </w:pPr>
    </w:p>
    <w:p w14:paraId="4DA0DACA">
      <w:pPr>
        <w:adjustRightInd w:val="0"/>
        <w:snapToGrid w:val="0"/>
        <w:spacing w:line="288" w:lineRule="auto"/>
        <w:jc w:val="center"/>
        <w:rPr>
          <w:rFonts w:hint="default" w:ascii="Times New Roman" w:hAnsi="Times New Roman" w:eastAsia="仿宋_GB2312" w:cs="Times New Roman"/>
          <w:color w:val="auto"/>
          <w:sz w:val="36"/>
          <w:szCs w:val="36"/>
        </w:rPr>
      </w:pPr>
    </w:p>
    <w:p w14:paraId="2A443F4B">
      <w:pPr>
        <w:adjustRightInd w:val="0"/>
        <w:snapToGrid w:val="0"/>
        <w:spacing w:line="288" w:lineRule="auto"/>
        <w:jc w:val="center"/>
        <w:rPr>
          <w:rFonts w:hint="default" w:ascii="Times New Roman" w:hAnsi="Times New Roman" w:eastAsia="仿宋_GB2312" w:cs="Times New Roman"/>
          <w:color w:val="auto"/>
          <w:sz w:val="36"/>
          <w:szCs w:val="36"/>
        </w:rPr>
      </w:pPr>
    </w:p>
    <w:p w14:paraId="6EFBF4D8">
      <w:pPr>
        <w:adjustRightInd w:val="0"/>
        <w:snapToGrid w:val="0"/>
        <w:spacing w:line="288" w:lineRule="auto"/>
        <w:jc w:val="center"/>
        <w:rPr>
          <w:rFonts w:hint="default" w:ascii="Times New Roman" w:hAnsi="Times New Roman" w:eastAsia="仿宋_GB2312" w:cs="Times New Roman"/>
          <w:color w:val="auto"/>
          <w:sz w:val="36"/>
          <w:szCs w:val="36"/>
        </w:rPr>
      </w:pPr>
    </w:p>
    <w:p w14:paraId="26929117">
      <w:pPr>
        <w:adjustRightInd w:val="0"/>
        <w:snapToGrid w:val="0"/>
        <w:spacing w:line="288" w:lineRule="auto"/>
        <w:jc w:val="center"/>
        <w:rPr>
          <w:rFonts w:hint="default" w:ascii="Times New Roman" w:hAnsi="Times New Roman" w:eastAsia="仿宋_GB2312" w:cs="Times New Roman"/>
          <w:color w:val="auto"/>
          <w:sz w:val="36"/>
          <w:szCs w:val="36"/>
        </w:rPr>
      </w:pPr>
    </w:p>
    <w:p w14:paraId="69888962">
      <w:pPr>
        <w:adjustRightInd w:val="0"/>
        <w:snapToGrid w:val="0"/>
        <w:spacing w:line="288" w:lineRule="auto"/>
        <w:jc w:val="center"/>
        <w:rPr>
          <w:rFonts w:hint="default" w:ascii="Times New Roman" w:hAnsi="Times New Roman" w:eastAsia="仿宋_GB2312" w:cs="Times New Roman"/>
          <w:color w:val="auto"/>
          <w:sz w:val="36"/>
          <w:szCs w:val="36"/>
        </w:rPr>
      </w:pPr>
    </w:p>
    <w:p w14:paraId="21F8D1AB">
      <w:pPr>
        <w:adjustRightInd w:val="0"/>
        <w:snapToGrid w:val="0"/>
        <w:spacing w:line="288" w:lineRule="auto"/>
        <w:jc w:val="center"/>
        <w:rPr>
          <w:rFonts w:hint="default" w:ascii="Times New Roman" w:hAnsi="Times New Roman" w:eastAsia="仿宋_GB2312" w:cs="Times New Roman"/>
          <w:color w:val="auto"/>
          <w:sz w:val="36"/>
          <w:szCs w:val="36"/>
        </w:rPr>
      </w:pPr>
    </w:p>
    <w:p w14:paraId="50CC9867">
      <w:pPr>
        <w:adjustRightInd w:val="0"/>
        <w:snapToGrid w:val="0"/>
        <w:spacing w:line="288" w:lineRule="auto"/>
        <w:jc w:val="center"/>
        <w:rPr>
          <w:rFonts w:hint="default" w:ascii="Times New Roman" w:hAnsi="Times New Roman" w:eastAsia="仿宋_GB2312" w:cs="Times New Roman"/>
          <w:color w:val="auto"/>
          <w:sz w:val="36"/>
          <w:szCs w:val="36"/>
        </w:rPr>
      </w:pPr>
    </w:p>
    <w:p w14:paraId="72832CDF">
      <w:pPr>
        <w:adjustRightInd w:val="0"/>
        <w:snapToGrid w:val="0"/>
        <w:spacing w:line="288" w:lineRule="auto"/>
        <w:jc w:val="center"/>
        <w:rPr>
          <w:rFonts w:hint="default" w:ascii="Times New Roman" w:hAnsi="Times New Roman" w:eastAsia="仿宋_GB2312" w:cs="Times New Roman"/>
          <w:color w:val="auto"/>
          <w:sz w:val="36"/>
          <w:szCs w:val="36"/>
        </w:rPr>
      </w:pPr>
    </w:p>
    <w:p w14:paraId="76C37088">
      <w:pPr>
        <w:adjustRightInd w:val="0"/>
        <w:snapToGrid w:val="0"/>
        <w:spacing w:line="288" w:lineRule="auto"/>
        <w:jc w:val="center"/>
        <w:rPr>
          <w:rFonts w:hint="default" w:ascii="Times New Roman" w:hAnsi="Times New Roman" w:eastAsia="仿宋_GB2312" w:cs="Times New Roman"/>
          <w:color w:val="auto"/>
          <w:sz w:val="36"/>
          <w:szCs w:val="36"/>
        </w:rPr>
      </w:pPr>
    </w:p>
    <w:p w14:paraId="5F1CC436">
      <w:pPr>
        <w:adjustRightInd w:val="0"/>
        <w:snapToGrid w:val="0"/>
        <w:spacing w:line="288" w:lineRule="auto"/>
        <w:jc w:val="center"/>
        <w:rPr>
          <w:rFonts w:hint="default" w:ascii="Times New Roman" w:hAnsi="Times New Roman" w:eastAsia="仿宋_GB2312" w:cs="Times New Roman"/>
          <w:color w:val="auto"/>
          <w:sz w:val="36"/>
          <w:szCs w:val="36"/>
        </w:rPr>
      </w:pPr>
    </w:p>
    <w:p w14:paraId="077E0CA0">
      <w:pPr>
        <w:adjustRightInd w:val="0"/>
        <w:snapToGrid w:val="0"/>
        <w:spacing w:line="288" w:lineRule="auto"/>
        <w:jc w:val="center"/>
        <w:rPr>
          <w:rFonts w:hint="default" w:ascii="Times New Roman" w:hAnsi="Times New Roman" w:eastAsia="仿宋_GB2312" w:cs="Times New Roman"/>
          <w:color w:val="auto"/>
          <w:sz w:val="36"/>
          <w:szCs w:val="36"/>
        </w:rPr>
      </w:pPr>
    </w:p>
    <w:p w14:paraId="62739BAE">
      <w:pPr>
        <w:adjustRightInd w:val="0"/>
        <w:snapToGrid w:val="0"/>
        <w:spacing w:line="288" w:lineRule="auto"/>
        <w:jc w:val="center"/>
        <w:rPr>
          <w:rFonts w:hint="default" w:ascii="Times New Roman" w:hAnsi="Times New Roman" w:eastAsia="仿宋_GB2312" w:cs="Times New Roman"/>
          <w:color w:val="auto"/>
          <w:sz w:val="36"/>
          <w:szCs w:val="36"/>
        </w:rPr>
      </w:pPr>
    </w:p>
    <w:p w14:paraId="2F75185E">
      <w:pPr>
        <w:adjustRightInd w:val="0"/>
        <w:snapToGrid w:val="0"/>
        <w:spacing w:line="288" w:lineRule="auto"/>
        <w:jc w:val="center"/>
        <w:rPr>
          <w:rFonts w:hint="default" w:ascii="Times New Roman" w:hAnsi="Times New Roman" w:eastAsia="仿宋_GB2312" w:cs="Times New Roman"/>
          <w:color w:val="auto"/>
          <w:sz w:val="36"/>
          <w:szCs w:val="36"/>
        </w:rPr>
      </w:pPr>
    </w:p>
    <w:p w14:paraId="6441038A">
      <w:pPr>
        <w:adjustRightInd w:val="0"/>
        <w:snapToGrid w:val="0"/>
        <w:spacing w:line="288" w:lineRule="auto"/>
        <w:jc w:val="center"/>
        <w:rPr>
          <w:rFonts w:hint="default" w:ascii="Times New Roman" w:hAnsi="Times New Roman" w:eastAsia="仿宋_GB2312" w:cs="Times New Roman"/>
          <w:color w:val="auto"/>
          <w:sz w:val="36"/>
          <w:szCs w:val="36"/>
        </w:rPr>
      </w:pPr>
    </w:p>
    <w:p w14:paraId="67BECB45">
      <w:pPr>
        <w:adjustRightInd w:val="0"/>
        <w:snapToGrid w:val="0"/>
        <w:spacing w:line="288" w:lineRule="auto"/>
        <w:jc w:val="center"/>
        <w:rPr>
          <w:rFonts w:hint="default" w:ascii="Times New Roman" w:hAnsi="Times New Roman" w:eastAsia="仿宋_GB2312" w:cs="Times New Roman"/>
          <w:color w:val="auto"/>
          <w:sz w:val="36"/>
          <w:szCs w:val="36"/>
        </w:rPr>
      </w:pPr>
    </w:p>
    <w:p w14:paraId="199838B4">
      <w:pPr>
        <w:adjustRightInd w:val="0"/>
        <w:snapToGrid w:val="0"/>
        <w:spacing w:line="288" w:lineRule="auto"/>
        <w:jc w:val="center"/>
        <w:rPr>
          <w:rFonts w:hint="default" w:ascii="Times New Roman" w:hAnsi="Times New Roman" w:eastAsia="仿宋_GB2312" w:cs="Times New Roman"/>
          <w:color w:val="auto"/>
          <w:sz w:val="36"/>
          <w:szCs w:val="36"/>
        </w:rPr>
      </w:pPr>
    </w:p>
    <w:p w14:paraId="5F4251D1">
      <w:pPr>
        <w:adjustRightInd w:val="0"/>
        <w:snapToGrid w:val="0"/>
        <w:spacing w:line="288" w:lineRule="auto"/>
        <w:jc w:val="center"/>
        <w:rPr>
          <w:rFonts w:hint="default" w:ascii="Times New Roman" w:hAnsi="Times New Roman" w:eastAsia="仿宋_GB2312" w:cs="Times New Roman"/>
          <w:color w:val="auto"/>
          <w:sz w:val="36"/>
          <w:szCs w:val="36"/>
        </w:rPr>
      </w:pPr>
    </w:p>
    <w:p w14:paraId="3C026ED5">
      <w:pPr>
        <w:adjustRightInd w:val="0"/>
        <w:snapToGrid w:val="0"/>
        <w:spacing w:line="288" w:lineRule="auto"/>
        <w:jc w:val="center"/>
        <w:rPr>
          <w:rFonts w:hint="default" w:ascii="Times New Roman" w:hAnsi="Times New Roman" w:eastAsia="仿宋_GB2312" w:cs="Times New Roman"/>
          <w:color w:val="auto"/>
          <w:sz w:val="36"/>
          <w:szCs w:val="36"/>
        </w:rPr>
      </w:pPr>
    </w:p>
    <w:p w14:paraId="7238E40E">
      <w:pPr>
        <w:adjustRightInd w:val="0"/>
        <w:snapToGrid w:val="0"/>
        <w:spacing w:line="288" w:lineRule="auto"/>
        <w:jc w:val="center"/>
        <w:rPr>
          <w:rFonts w:hint="default" w:ascii="Times New Roman" w:hAnsi="Times New Roman" w:eastAsia="仿宋_GB2312" w:cs="Times New Roman"/>
          <w:color w:val="auto"/>
          <w:sz w:val="36"/>
          <w:szCs w:val="36"/>
        </w:rPr>
      </w:pPr>
    </w:p>
    <w:p w14:paraId="3F2CC69A">
      <w:pPr>
        <w:adjustRightInd w:val="0"/>
        <w:snapToGrid w:val="0"/>
        <w:spacing w:line="288" w:lineRule="auto"/>
        <w:jc w:val="center"/>
        <w:rPr>
          <w:rFonts w:hint="default" w:ascii="Times New Roman" w:hAnsi="Times New Roman" w:eastAsia="仿宋_GB2312" w:cs="Times New Roman"/>
          <w:color w:val="auto"/>
          <w:sz w:val="36"/>
          <w:szCs w:val="36"/>
        </w:rPr>
      </w:pPr>
    </w:p>
    <w:p w14:paraId="3C74AECB">
      <w:pPr>
        <w:adjustRightInd w:val="0"/>
        <w:snapToGrid w:val="0"/>
        <w:spacing w:line="288" w:lineRule="auto"/>
        <w:jc w:val="center"/>
        <w:rPr>
          <w:rFonts w:hint="default" w:ascii="Times New Roman" w:hAnsi="Times New Roman" w:eastAsia="仿宋_GB2312" w:cs="Times New Roman"/>
          <w:color w:val="auto"/>
          <w:sz w:val="36"/>
          <w:szCs w:val="36"/>
        </w:rPr>
      </w:pPr>
    </w:p>
    <w:p w14:paraId="6C4EDFF0">
      <w:pPr>
        <w:adjustRightInd w:val="0"/>
        <w:snapToGrid w:val="0"/>
        <w:spacing w:line="288" w:lineRule="auto"/>
        <w:jc w:val="center"/>
        <w:rPr>
          <w:rFonts w:hint="default" w:ascii="Times New Roman" w:hAnsi="Times New Roman" w:eastAsia="仿宋_GB2312" w:cs="Times New Roman"/>
          <w:color w:val="auto"/>
          <w:sz w:val="36"/>
          <w:szCs w:val="36"/>
        </w:rPr>
      </w:pPr>
    </w:p>
    <w:p w14:paraId="114C6D45">
      <w:pPr>
        <w:adjustRightInd w:val="0"/>
        <w:snapToGrid w:val="0"/>
        <w:spacing w:line="288" w:lineRule="auto"/>
        <w:jc w:val="center"/>
        <w:rPr>
          <w:rFonts w:hint="default" w:ascii="Times New Roman" w:hAnsi="Times New Roman" w:eastAsia="仿宋_GB2312" w:cs="Times New Roman"/>
          <w:color w:val="auto"/>
          <w:sz w:val="36"/>
          <w:szCs w:val="36"/>
        </w:rPr>
      </w:pPr>
    </w:p>
    <w:p w14:paraId="3C9C5E65">
      <w:pPr>
        <w:adjustRightInd w:val="0"/>
        <w:snapToGrid w:val="0"/>
        <w:spacing w:line="288" w:lineRule="auto"/>
        <w:jc w:val="center"/>
        <w:rPr>
          <w:rFonts w:hint="default" w:ascii="Times New Roman" w:hAnsi="Times New Roman" w:eastAsia="仿宋_GB2312" w:cs="Times New Roman"/>
          <w:color w:val="auto"/>
          <w:sz w:val="36"/>
          <w:szCs w:val="36"/>
        </w:rPr>
      </w:pPr>
    </w:p>
    <w:p w14:paraId="6B14C848">
      <w:pPr>
        <w:adjustRightInd w:val="0"/>
        <w:snapToGrid w:val="0"/>
        <w:spacing w:line="288" w:lineRule="auto"/>
        <w:jc w:val="center"/>
        <w:rPr>
          <w:rFonts w:hint="default" w:ascii="Times New Roman" w:hAnsi="Times New Roman" w:eastAsia="仿宋_GB2312" w:cs="Times New Roman"/>
          <w:color w:val="auto"/>
          <w:sz w:val="36"/>
          <w:szCs w:val="36"/>
        </w:rPr>
      </w:pPr>
    </w:p>
    <w:p w14:paraId="5731CAB1">
      <w:pPr>
        <w:adjustRightInd w:val="0"/>
        <w:snapToGrid w:val="0"/>
        <w:spacing w:line="288" w:lineRule="auto"/>
        <w:ind w:firstLine="560"/>
        <w:jc w:val="center"/>
        <w:rPr>
          <w:rFonts w:hint="default" w:ascii="Times New Roman" w:hAnsi="Times New Roman" w:eastAsia="黑体" w:cs="Times New Roman"/>
          <w:snapToGrid w:val="0"/>
          <w:color w:val="auto"/>
          <w:sz w:val="28"/>
          <w:szCs w:val="28"/>
        </w:rPr>
      </w:pPr>
    </w:p>
    <w:p w14:paraId="7987E38B">
      <w:pPr>
        <w:pStyle w:val="17"/>
        <w:spacing w:before="0" w:beforeAutospacing="0" w:after="0" w:afterAutospacing="0" w:line="360" w:lineRule="auto"/>
        <w:ind w:firstLine="560"/>
        <w:jc w:val="center"/>
        <w:outlineLvl w:val="0"/>
        <w:rPr>
          <w:rFonts w:hint="default" w:ascii="Times New Roman" w:hAnsi="Times New Roman" w:eastAsia="黑体" w:cs="Times New Roman"/>
          <w:snapToGrid w:val="0"/>
          <w:color w:val="auto"/>
          <w:sz w:val="28"/>
          <w:szCs w:val="28"/>
        </w:rPr>
        <w:sectPr>
          <w:footerReference r:id="rId11"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53CBF69">
      <w:pPr>
        <w:pStyle w:val="17"/>
        <w:spacing w:before="0" w:beforeAutospacing="0" w:after="0" w:afterAutospacing="0" w:line="360" w:lineRule="auto"/>
        <w:ind w:firstLine="560"/>
        <w:jc w:val="center"/>
        <w:outlineLvl w:val="0"/>
        <w:rPr>
          <w:rFonts w:hint="default" w:ascii="Times New Roman" w:hAnsi="Times New Roman" w:eastAsia="黑体" w:cs="Times New Roman"/>
          <w:snapToGrid w:val="0"/>
          <w:color w:val="auto"/>
          <w:sz w:val="28"/>
          <w:szCs w:val="28"/>
        </w:rPr>
      </w:pPr>
      <w:r>
        <w:rPr>
          <w:rFonts w:hint="default" w:ascii="Times New Roman" w:hAnsi="Times New Roman" w:eastAsia="黑体" w:cs="Times New Roman"/>
          <w:snapToGrid w:val="0"/>
          <w:color w:val="auto"/>
          <w:sz w:val="28"/>
          <w:szCs w:val="28"/>
        </w:rPr>
        <w:t>一、建设项目基本情况</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49"/>
        <w:gridCol w:w="2116"/>
        <w:gridCol w:w="2305"/>
        <w:gridCol w:w="2900"/>
      </w:tblGrid>
      <w:tr w14:paraId="7F6F24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5226161D">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建设项目名称</w:t>
            </w:r>
          </w:p>
        </w:tc>
        <w:tc>
          <w:tcPr>
            <w:tcW w:w="7321" w:type="dxa"/>
            <w:gridSpan w:val="3"/>
            <w:vAlign w:val="center"/>
          </w:tcPr>
          <w:p w14:paraId="6D3E0846">
            <w:pPr>
              <w:spacing w:line="240" w:lineRule="auto"/>
              <w:ind w:firstLine="0" w:firstLineChars="0"/>
              <w:jc w:val="center"/>
              <w:rPr>
                <w:rFonts w:hint="default" w:ascii="Times New Roman" w:hAnsi="Times New Roman" w:cs="Times New Roman"/>
                <w:color w:val="auto"/>
              </w:rPr>
            </w:pPr>
            <w:r>
              <w:rPr>
                <w:rFonts w:hint="eastAsia" w:cs="Times New Roman"/>
                <w:bCs/>
                <w:color w:val="auto"/>
                <w:lang w:val="en-US" w:eastAsia="zh-CN"/>
              </w:rPr>
              <w:t>小龙虾加工</w:t>
            </w:r>
            <w:r>
              <w:rPr>
                <w:rFonts w:hint="default" w:ascii="Times New Roman" w:hAnsi="Times New Roman" w:cs="Times New Roman"/>
                <w:color w:val="auto"/>
                <w:lang w:val="en-US" w:eastAsia="zh-CN"/>
              </w:rPr>
              <w:t>项目</w:t>
            </w:r>
          </w:p>
        </w:tc>
      </w:tr>
      <w:tr w14:paraId="2AEE2E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5D076D4B">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项目代码</w:t>
            </w:r>
          </w:p>
        </w:tc>
        <w:tc>
          <w:tcPr>
            <w:tcW w:w="7321" w:type="dxa"/>
            <w:gridSpan w:val="3"/>
            <w:vAlign w:val="center"/>
          </w:tcPr>
          <w:p w14:paraId="7D56B8CE">
            <w:pPr>
              <w:spacing w:line="240" w:lineRule="auto"/>
              <w:ind w:firstLine="0" w:firstLineChars="0"/>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p>
        </w:tc>
      </w:tr>
      <w:tr w14:paraId="0EE5BD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6A8105DD">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建设单位联</w:t>
            </w:r>
          </w:p>
          <w:p w14:paraId="2B9E5BFE">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系人</w:t>
            </w:r>
          </w:p>
        </w:tc>
        <w:tc>
          <w:tcPr>
            <w:tcW w:w="2116" w:type="dxa"/>
            <w:vAlign w:val="center"/>
          </w:tcPr>
          <w:p w14:paraId="75B936A2">
            <w:pPr>
              <w:spacing w:line="240" w:lineRule="auto"/>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陈沫雨</w:t>
            </w:r>
          </w:p>
        </w:tc>
        <w:tc>
          <w:tcPr>
            <w:tcW w:w="2305" w:type="dxa"/>
            <w:vAlign w:val="center"/>
          </w:tcPr>
          <w:p w14:paraId="411C529D">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联系方式</w:t>
            </w:r>
          </w:p>
        </w:tc>
        <w:tc>
          <w:tcPr>
            <w:tcW w:w="2900" w:type="dxa"/>
            <w:vAlign w:val="center"/>
          </w:tcPr>
          <w:p w14:paraId="62E89757">
            <w:pPr>
              <w:spacing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15929316764</w:t>
            </w:r>
          </w:p>
        </w:tc>
      </w:tr>
      <w:tr w14:paraId="69D74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0F242C22">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建设地点</w:t>
            </w:r>
          </w:p>
        </w:tc>
        <w:tc>
          <w:tcPr>
            <w:tcW w:w="7321" w:type="dxa"/>
            <w:gridSpan w:val="3"/>
            <w:vAlign w:val="center"/>
          </w:tcPr>
          <w:p w14:paraId="2AE07295">
            <w:pPr>
              <w:spacing w:line="240" w:lineRule="auto"/>
              <w:ind w:firstLine="0" w:firstLineChars="0"/>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陕西省西咸新区沣西新城沣景路以北、信息九路以西、西</w:t>
            </w:r>
            <w:r>
              <w:rPr>
                <w:rFonts w:hint="eastAsia" w:ascii="Times New Roman" w:hAnsi="Times New Roman" w:eastAsia="宋体" w:cs="Times New Roman"/>
                <w:color w:val="auto"/>
                <w:lang w:val="en-US" w:eastAsia="zh-CN"/>
              </w:rPr>
              <w:t>兴</w:t>
            </w:r>
            <w:r>
              <w:rPr>
                <w:rFonts w:hint="eastAsia" w:ascii="Times New Roman" w:hAnsi="Times New Roman" w:eastAsia="宋体" w:cs="Times New Roman"/>
                <w:color w:val="auto"/>
                <w:lang w:eastAsia="zh-CN"/>
              </w:rPr>
              <w:t>高速以南、咸户路以东</w:t>
            </w:r>
          </w:p>
        </w:tc>
      </w:tr>
      <w:tr w14:paraId="40B09D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7BF7A613">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地理坐标</w:t>
            </w:r>
          </w:p>
        </w:tc>
        <w:tc>
          <w:tcPr>
            <w:tcW w:w="7321" w:type="dxa"/>
            <w:gridSpan w:val="3"/>
            <w:vAlign w:val="center"/>
          </w:tcPr>
          <w:p w14:paraId="6A8BA25B">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u w:val="single"/>
              </w:rPr>
              <w:t>108</w:t>
            </w:r>
            <w:r>
              <w:rPr>
                <w:rFonts w:hint="default" w:ascii="Times New Roman" w:hAnsi="Times New Roman" w:cs="Times New Roman"/>
                <w:color w:val="auto"/>
              </w:rPr>
              <w:t>度</w:t>
            </w:r>
            <w:r>
              <w:rPr>
                <w:rFonts w:hint="eastAsia" w:cs="Times New Roman"/>
                <w:color w:val="auto"/>
                <w:u w:val="single"/>
                <w:lang w:val="en-US" w:eastAsia="zh-CN"/>
              </w:rPr>
              <w:t>40</w:t>
            </w:r>
            <w:r>
              <w:rPr>
                <w:rFonts w:hint="default" w:ascii="Times New Roman" w:hAnsi="Times New Roman" w:cs="Times New Roman"/>
                <w:color w:val="auto"/>
              </w:rPr>
              <w:t>分</w:t>
            </w:r>
            <w:r>
              <w:rPr>
                <w:rFonts w:hint="eastAsia" w:cs="Times New Roman"/>
                <w:color w:val="auto"/>
                <w:u w:val="single"/>
                <w:lang w:val="en-US" w:eastAsia="zh-CN"/>
              </w:rPr>
              <w:t>36.024</w:t>
            </w:r>
            <w:r>
              <w:rPr>
                <w:rFonts w:hint="default" w:ascii="Times New Roman" w:hAnsi="Times New Roman" w:cs="Times New Roman"/>
                <w:color w:val="auto"/>
              </w:rPr>
              <w:t>秒，</w:t>
            </w:r>
            <w:r>
              <w:rPr>
                <w:rFonts w:hint="default" w:ascii="Times New Roman" w:hAnsi="Times New Roman" w:cs="Times New Roman"/>
                <w:color w:val="auto"/>
                <w:u w:val="single"/>
              </w:rPr>
              <w:t>34</w:t>
            </w:r>
            <w:r>
              <w:rPr>
                <w:rFonts w:hint="default" w:ascii="Times New Roman" w:hAnsi="Times New Roman" w:cs="Times New Roman"/>
                <w:color w:val="auto"/>
              </w:rPr>
              <w:t>度</w:t>
            </w:r>
            <w:r>
              <w:rPr>
                <w:rFonts w:hint="eastAsia" w:cs="Times New Roman"/>
                <w:color w:val="auto"/>
                <w:u w:val="single"/>
                <w:lang w:val="en-US" w:eastAsia="zh-CN"/>
              </w:rPr>
              <w:t>17</w:t>
            </w:r>
            <w:r>
              <w:rPr>
                <w:rFonts w:hint="default" w:ascii="Times New Roman" w:hAnsi="Times New Roman" w:cs="Times New Roman"/>
                <w:color w:val="auto"/>
              </w:rPr>
              <w:t>分</w:t>
            </w:r>
            <w:r>
              <w:rPr>
                <w:rFonts w:hint="eastAsia" w:cs="Times New Roman"/>
                <w:color w:val="auto"/>
                <w:u w:val="single"/>
                <w:lang w:val="en-US" w:eastAsia="zh-CN"/>
              </w:rPr>
              <w:t>29.762</w:t>
            </w:r>
            <w:r>
              <w:rPr>
                <w:rFonts w:hint="default" w:ascii="Times New Roman" w:hAnsi="Times New Roman" w:cs="Times New Roman"/>
                <w:color w:val="auto"/>
              </w:rPr>
              <w:t>秒</w:t>
            </w:r>
          </w:p>
        </w:tc>
      </w:tr>
      <w:tr w14:paraId="630A9C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1EDA6199">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国民经济</w:t>
            </w:r>
          </w:p>
          <w:p w14:paraId="68050860">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行业类别</w:t>
            </w:r>
          </w:p>
        </w:tc>
        <w:tc>
          <w:tcPr>
            <w:tcW w:w="2116" w:type="dxa"/>
            <w:vAlign w:val="center"/>
          </w:tcPr>
          <w:p w14:paraId="5E37E5DF">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C</w:t>
            </w:r>
            <w:r>
              <w:rPr>
                <w:rFonts w:hint="eastAsia" w:cs="Times New Roman"/>
                <w:color w:val="auto"/>
                <w:lang w:val="en-US" w:eastAsia="zh-CN"/>
              </w:rPr>
              <w:t>1362鱼糜制品及水产品干腌制加工</w:t>
            </w:r>
          </w:p>
        </w:tc>
        <w:tc>
          <w:tcPr>
            <w:tcW w:w="2305" w:type="dxa"/>
            <w:vAlign w:val="center"/>
          </w:tcPr>
          <w:p w14:paraId="5DECF3F9">
            <w:pPr>
              <w:spacing w:line="240" w:lineRule="auto"/>
              <w:ind w:firstLine="0" w:firstLineChars="0"/>
              <w:jc w:val="center"/>
              <w:rPr>
                <w:rFonts w:hint="default" w:ascii="Times New Roman" w:hAnsi="Times New Roman" w:cs="Times New Roman"/>
                <w:color w:val="auto"/>
              </w:rPr>
            </w:pPr>
            <w:bookmarkStart w:id="1" w:name="_Hlk49843745"/>
            <w:r>
              <w:rPr>
                <w:rFonts w:hint="default" w:ascii="Times New Roman" w:hAnsi="Times New Roman" w:cs="Times New Roman"/>
                <w:color w:val="auto"/>
              </w:rPr>
              <w:t>建设项目</w:t>
            </w:r>
          </w:p>
          <w:p w14:paraId="3A396309">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行业类别</w:t>
            </w:r>
            <w:bookmarkEnd w:id="1"/>
          </w:p>
        </w:tc>
        <w:tc>
          <w:tcPr>
            <w:tcW w:w="2900" w:type="dxa"/>
            <w:vAlign w:val="center"/>
          </w:tcPr>
          <w:p w14:paraId="3B44B285">
            <w:pPr>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十、农副食品加工业13</w:t>
            </w:r>
            <w:r>
              <w:rPr>
                <w:rFonts w:hint="eastAsia" w:cs="Times New Roman"/>
                <w:color w:val="auto"/>
                <w:lang w:val="en-US" w:eastAsia="zh-CN"/>
              </w:rPr>
              <w:t>；</w:t>
            </w:r>
            <w:r>
              <w:rPr>
                <w:rFonts w:hint="default" w:ascii="Times New Roman" w:hAnsi="Times New Roman" w:eastAsia="宋体" w:cs="Times New Roman"/>
                <w:color w:val="auto"/>
                <w:lang w:val="en-US" w:eastAsia="zh-CN"/>
              </w:rPr>
              <w:t>19.水产品加工136</w:t>
            </w:r>
          </w:p>
        </w:tc>
      </w:tr>
      <w:tr w14:paraId="53905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11ED1068">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建设性质</w:t>
            </w:r>
          </w:p>
        </w:tc>
        <w:tc>
          <w:tcPr>
            <w:tcW w:w="2116" w:type="dxa"/>
            <w:vAlign w:val="center"/>
          </w:tcPr>
          <w:p w14:paraId="4E983D7E">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☑新建（迁建）</w:t>
            </w:r>
          </w:p>
          <w:p w14:paraId="1F0E9E85">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□改建</w:t>
            </w:r>
          </w:p>
          <w:p w14:paraId="785CEC18">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□扩建</w:t>
            </w:r>
          </w:p>
          <w:p w14:paraId="59FBF515">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□技术改造</w:t>
            </w:r>
          </w:p>
        </w:tc>
        <w:tc>
          <w:tcPr>
            <w:tcW w:w="2305" w:type="dxa"/>
            <w:vAlign w:val="center"/>
          </w:tcPr>
          <w:p w14:paraId="372B7DDE">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建设项目</w:t>
            </w:r>
          </w:p>
          <w:p w14:paraId="0CF77F1B">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申报情形</w:t>
            </w:r>
          </w:p>
        </w:tc>
        <w:tc>
          <w:tcPr>
            <w:tcW w:w="2900" w:type="dxa"/>
            <w:vAlign w:val="center"/>
          </w:tcPr>
          <w:p w14:paraId="679C6860">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 xml:space="preserve">☑首次申报项目             </w:t>
            </w:r>
          </w:p>
          <w:p w14:paraId="7E531B46">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□不予批准后再次申报项目</w:t>
            </w:r>
          </w:p>
          <w:p w14:paraId="7272EB3F">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 xml:space="preserve">□超五年重新审核项目     </w:t>
            </w:r>
          </w:p>
          <w:p w14:paraId="6F4691A2">
            <w:pPr>
              <w:spacing w:line="240" w:lineRule="auto"/>
              <w:ind w:firstLine="0" w:firstLineChars="0"/>
              <w:jc w:val="left"/>
              <w:rPr>
                <w:rFonts w:hint="default" w:ascii="Times New Roman" w:hAnsi="Times New Roman" w:cs="Times New Roman"/>
                <w:color w:val="auto"/>
              </w:rPr>
            </w:pPr>
            <w:r>
              <w:rPr>
                <w:rFonts w:hint="default" w:ascii="Times New Roman" w:hAnsi="Times New Roman" w:cs="Times New Roman"/>
                <w:color w:val="auto"/>
              </w:rPr>
              <w:t>□重大变动重新报批项目</w:t>
            </w:r>
          </w:p>
        </w:tc>
      </w:tr>
      <w:tr w14:paraId="25028A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7A769CD7">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项目审批（核准/备案）部门（选填）</w:t>
            </w:r>
          </w:p>
        </w:tc>
        <w:tc>
          <w:tcPr>
            <w:tcW w:w="2116" w:type="dxa"/>
            <w:vAlign w:val="center"/>
          </w:tcPr>
          <w:p w14:paraId="40452059">
            <w:pPr>
              <w:spacing w:line="240" w:lineRule="auto"/>
              <w:ind w:firstLine="0" w:firstLineChars="0"/>
              <w:jc w:val="center"/>
              <w:rPr>
                <w:rFonts w:hint="default" w:ascii="Times New Roman" w:hAnsi="Times New Roman" w:cs="Times New Roman"/>
                <w:color w:val="auto"/>
              </w:rPr>
            </w:pPr>
            <w:r>
              <w:rPr>
                <w:rFonts w:hint="eastAsia" w:cs="Times New Roman"/>
                <w:color w:val="auto"/>
                <w:lang w:val="en-US" w:eastAsia="zh-CN"/>
              </w:rPr>
              <w:t>/</w:t>
            </w:r>
          </w:p>
        </w:tc>
        <w:tc>
          <w:tcPr>
            <w:tcW w:w="2305" w:type="dxa"/>
            <w:vAlign w:val="center"/>
          </w:tcPr>
          <w:p w14:paraId="77F2C508">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项目审批（核准/</w:t>
            </w:r>
          </w:p>
          <w:p w14:paraId="28BB0B03">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备案）文号（选填）</w:t>
            </w:r>
          </w:p>
        </w:tc>
        <w:tc>
          <w:tcPr>
            <w:tcW w:w="2900" w:type="dxa"/>
            <w:vAlign w:val="center"/>
          </w:tcPr>
          <w:p w14:paraId="0073D333">
            <w:pPr>
              <w:spacing w:line="240" w:lineRule="auto"/>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p>
        </w:tc>
      </w:tr>
      <w:tr w14:paraId="514DCA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587940E9">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总投资（万元）</w:t>
            </w:r>
          </w:p>
        </w:tc>
        <w:tc>
          <w:tcPr>
            <w:tcW w:w="2116" w:type="dxa"/>
            <w:vAlign w:val="center"/>
          </w:tcPr>
          <w:p w14:paraId="1C255041">
            <w:pPr>
              <w:spacing w:line="240" w:lineRule="auto"/>
              <w:ind w:firstLine="0" w:firstLineChars="0"/>
              <w:jc w:val="center"/>
              <w:rPr>
                <w:rFonts w:hint="default" w:ascii="Times New Roman" w:hAnsi="Times New Roman" w:cs="Times New Roman"/>
                <w:color w:val="auto"/>
                <w:lang w:val="en-US"/>
              </w:rPr>
            </w:pPr>
            <w:r>
              <w:rPr>
                <w:rFonts w:hint="eastAsia" w:cs="Times New Roman"/>
                <w:color w:val="auto"/>
                <w:lang w:val="en-US" w:eastAsia="zh-CN"/>
              </w:rPr>
              <w:t>70</w:t>
            </w:r>
          </w:p>
        </w:tc>
        <w:tc>
          <w:tcPr>
            <w:tcW w:w="2305" w:type="dxa"/>
            <w:tcMar>
              <w:top w:w="16" w:type="dxa"/>
              <w:left w:w="16" w:type="dxa"/>
              <w:right w:w="16" w:type="dxa"/>
            </w:tcMar>
            <w:vAlign w:val="center"/>
          </w:tcPr>
          <w:p w14:paraId="120C7304">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环保投资（万元）</w:t>
            </w:r>
          </w:p>
        </w:tc>
        <w:tc>
          <w:tcPr>
            <w:tcW w:w="2900" w:type="dxa"/>
            <w:vAlign w:val="center"/>
          </w:tcPr>
          <w:p w14:paraId="4BAA701E">
            <w:pPr>
              <w:spacing w:line="240" w:lineRule="auto"/>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8</w:t>
            </w:r>
          </w:p>
        </w:tc>
      </w:tr>
      <w:tr w14:paraId="426B73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6EF699E8">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环保投资占比（%）</w:t>
            </w:r>
          </w:p>
        </w:tc>
        <w:tc>
          <w:tcPr>
            <w:tcW w:w="2116" w:type="dxa"/>
            <w:vAlign w:val="center"/>
          </w:tcPr>
          <w:p w14:paraId="021A4C9C">
            <w:pPr>
              <w:spacing w:line="240" w:lineRule="auto"/>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11.4</w:t>
            </w:r>
          </w:p>
        </w:tc>
        <w:tc>
          <w:tcPr>
            <w:tcW w:w="2305" w:type="dxa"/>
            <w:tcMar>
              <w:top w:w="16" w:type="dxa"/>
              <w:left w:w="16" w:type="dxa"/>
              <w:right w:w="16" w:type="dxa"/>
            </w:tcMar>
            <w:vAlign w:val="center"/>
          </w:tcPr>
          <w:p w14:paraId="7288D4D5">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施工工期</w:t>
            </w:r>
          </w:p>
        </w:tc>
        <w:tc>
          <w:tcPr>
            <w:tcW w:w="2900" w:type="dxa"/>
            <w:vAlign w:val="center"/>
          </w:tcPr>
          <w:p w14:paraId="19D2AA2E">
            <w:pPr>
              <w:spacing w:line="240" w:lineRule="auto"/>
              <w:ind w:firstLine="0" w:firstLineChars="0"/>
              <w:jc w:val="center"/>
              <w:rPr>
                <w:rFonts w:hint="default" w:ascii="Times New Roman" w:hAnsi="Times New Roman" w:cs="Times New Roman"/>
                <w:color w:val="auto"/>
              </w:rPr>
            </w:pPr>
            <w:r>
              <w:rPr>
                <w:rFonts w:hint="eastAsia" w:cs="Times New Roman"/>
                <w:color w:val="auto"/>
                <w:lang w:val="en-US" w:eastAsia="zh-CN"/>
              </w:rPr>
              <w:t>3</w:t>
            </w:r>
            <w:r>
              <w:rPr>
                <w:rFonts w:hint="default" w:ascii="Times New Roman" w:hAnsi="Times New Roman" w:cs="Times New Roman"/>
                <w:color w:val="auto"/>
              </w:rPr>
              <w:t>个月</w:t>
            </w:r>
          </w:p>
        </w:tc>
      </w:tr>
      <w:tr w14:paraId="15271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9" w:type="dxa"/>
            <w:tcMar>
              <w:top w:w="16" w:type="dxa"/>
              <w:left w:w="16" w:type="dxa"/>
              <w:right w:w="16" w:type="dxa"/>
            </w:tcMar>
            <w:vAlign w:val="center"/>
          </w:tcPr>
          <w:p w14:paraId="346DA537">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是否开工建设</w:t>
            </w:r>
          </w:p>
        </w:tc>
        <w:tc>
          <w:tcPr>
            <w:tcW w:w="2116" w:type="dxa"/>
            <w:vAlign w:val="center"/>
          </w:tcPr>
          <w:p w14:paraId="151654BE">
            <w:pPr>
              <w:spacing w:line="240" w:lineRule="auto"/>
              <w:ind w:firstLine="0" w:firstLineChars="0"/>
              <w:rPr>
                <w:rFonts w:hint="default" w:ascii="Times New Roman" w:hAnsi="Times New Roman" w:cs="Times New Roman"/>
                <w:color w:val="auto"/>
              </w:rPr>
            </w:pPr>
            <w:r>
              <w:rPr>
                <w:rFonts w:hint="default" w:ascii="Times New Roman" w:hAnsi="Times New Roman" w:cs="Times New Roman"/>
                <w:color w:val="auto"/>
              </w:rPr>
              <w:sym w:font="Wingdings 2" w:char="0052"/>
            </w:r>
            <w:r>
              <w:rPr>
                <w:rFonts w:hint="default" w:ascii="Times New Roman" w:hAnsi="Times New Roman" w:cs="Times New Roman"/>
                <w:color w:val="auto"/>
              </w:rPr>
              <w:t>否</w:t>
            </w:r>
          </w:p>
          <w:p w14:paraId="0CA2D613">
            <w:pPr>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cs="Times New Roman"/>
                <w:color w:val="auto"/>
              </w:rPr>
              <w:sym w:font="Wingdings 2" w:char="00A3"/>
            </w:r>
            <w:r>
              <w:rPr>
                <w:rFonts w:hint="default" w:ascii="Times New Roman" w:hAnsi="Times New Roman" w:cs="Times New Roman"/>
                <w:color w:val="auto"/>
              </w:rPr>
              <w:t>是：</w:t>
            </w:r>
            <w:r>
              <w:rPr>
                <w:rFonts w:hint="default" w:ascii="Times New Roman" w:hAnsi="Times New Roman" w:cs="Times New Roman"/>
                <w:color w:val="auto"/>
                <w:u w:val="single"/>
              </w:rPr>
              <w:t xml:space="preserve">         </w:t>
            </w:r>
            <w:r>
              <w:rPr>
                <w:rFonts w:hint="eastAsia" w:cs="Times New Roman"/>
                <w:color w:val="auto"/>
                <w:u w:val="single"/>
                <w:lang w:val="en-US" w:eastAsia="zh-CN"/>
              </w:rPr>
              <w:t xml:space="preserve">  </w:t>
            </w:r>
          </w:p>
        </w:tc>
        <w:tc>
          <w:tcPr>
            <w:tcW w:w="2305" w:type="dxa"/>
            <w:tcMar>
              <w:top w:w="16" w:type="dxa"/>
              <w:left w:w="16" w:type="dxa"/>
              <w:right w:w="16" w:type="dxa"/>
            </w:tcMar>
            <w:vAlign w:val="center"/>
          </w:tcPr>
          <w:p w14:paraId="0F0A73FE">
            <w:pPr>
              <w:spacing w:line="240" w:lineRule="auto"/>
              <w:ind w:firstLine="0" w:firstLineChars="0"/>
              <w:jc w:val="center"/>
              <w:rPr>
                <w:rFonts w:hint="default" w:ascii="Times New Roman" w:hAnsi="Times New Roman" w:cs="Times New Roman"/>
                <w:color w:val="auto"/>
                <w:spacing w:val="-6"/>
              </w:rPr>
            </w:pPr>
            <w:r>
              <w:rPr>
                <w:rFonts w:hint="default" w:ascii="Times New Roman" w:hAnsi="Times New Roman" w:cs="Times New Roman"/>
                <w:color w:val="auto"/>
                <w:spacing w:val="-6"/>
              </w:rPr>
              <w:t>用地（用海）</w:t>
            </w:r>
          </w:p>
          <w:p w14:paraId="649568F4">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spacing w:val="-6"/>
              </w:rPr>
              <w:t>面积（m</w:t>
            </w:r>
            <w:r>
              <w:rPr>
                <w:rFonts w:hint="default" w:ascii="Times New Roman" w:hAnsi="Times New Roman" w:cs="Times New Roman"/>
                <w:color w:val="auto"/>
                <w:spacing w:val="-6"/>
                <w:vertAlign w:val="superscript"/>
              </w:rPr>
              <w:t>2</w:t>
            </w:r>
            <w:r>
              <w:rPr>
                <w:rFonts w:hint="default" w:ascii="Times New Roman" w:hAnsi="Times New Roman" w:cs="Times New Roman"/>
                <w:color w:val="auto"/>
                <w:spacing w:val="-6"/>
              </w:rPr>
              <w:t>）</w:t>
            </w:r>
          </w:p>
        </w:tc>
        <w:tc>
          <w:tcPr>
            <w:tcW w:w="2900" w:type="dxa"/>
            <w:vAlign w:val="center"/>
          </w:tcPr>
          <w:p w14:paraId="6729D31D">
            <w:pPr>
              <w:spacing w:line="240" w:lineRule="auto"/>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3173.28</w:t>
            </w:r>
          </w:p>
        </w:tc>
      </w:tr>
      <w:tr w14:paraId="552BEC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9" w:type="dxa"/>
            <w:vAlign w:val="center"/>
          </w:tcPr>
          <w:p w14:paraId="570EBCB9">
            <w:pPr>
              <w:autoSpaceDE w:val="0"/>
              <w:autoSpaceDN w:val="0"/>
              <w:spacing w:line="240" w:lineRule="auto"/>
              <w:ind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t>专项评价设置情况</w:t>
            </w:r>
          </w:p>
        </w:tc>
        <w:tc>
          <w:tcPr>
            <w:tcW w:w="7321" w:type="dxa"/>
            <w:gridSpan w:val="3"/>
            <w:vAlign w:val="top"/>
          </w:tcPr>
          <w:p w14:paraId="06C1E4E0">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eastAsia="zh-CN"/>
              </w:rPr>
              <w:t>根据</w:t>
            </w:r>
            <w:r>
              <w:rPr>
                <w:rFonts w:hint="eastAsia" w:cs="Times New Roman"/>
                <w:color w:val="auto"/>
                <w:lang w:eastAsia="zh-CN"/>
              </w:rPr>
              <w:t>《</w:t>
            </w:r>
            <w:r>
              <w:rPr>
                <w:rFonts w:hint="eastAsia" w:ascii="Times New Roman" w:hAnsi="Times New Roman" w:cs="Times New Roman"/>
                <w:color w:val="auto"/>
                <w:lang w:eastAsia="zh-CN"/>
              </w:rPr>
              <w:t>建设项目环境影响报告表编制技术指南（污染影响类）（试行）</w:t>
            </w:r>
            <w:r>
              <w:rPr>
                <w:rFonts w:hint="eastAsia" w:cs="Times New Roman"/>
                <w:color w:val="auto"/>
                <w:lang w:eastAsia="zh-CN"/>
              </w:rPr>
              <w:t>》</w:t>
            </w:r>
            <w:r>
              <w:rPr>
                <w:rFonts w:hint="eastAsia" w:ascii="Times New Roman" w:hAnsi="Times New Roman" w:cs="Times New Roman"/>
                <w:color w:val="auto"/>
                <w:lang w:eastAsia="zh-CN"/>
              </w:rPr>
              <w:t>中表</w:t>
            </w:r>
            <w:r>
              <w:rPr>
                <w:rFonts w:hint="eastAsia" w:ascii="Times New Roman" w:hAnsi="Times New Roman" w:cs="Times New Roman"/>
                <w:color w:val="auto"/>
                <w:lang w:val="en-US" w:eastAsia="zh-CN"/>
              </w:rPr>
              <w:t>1专项评价设置原则表，本项目专项评价设置情况如下表1-1所示：</w:t>
            </w:r>
          </w:p>
          <w:p w14:paraId="27A70913">
            <w:pPr>
              <w:autoSpaceDE w:val="0"/>
              <w:autoSpaceDN w:val="0"/>
              <w:spacing w:line="240" w:lineRule="auto"/>
              <w:ind w:firstLine="0" w:firstLineChars="0"/>
              <w:jc w:val="center"/>
              <w:rPr>
                <w:rFonts w:hint="default" w:ascii="Times New Roman" w:hAnsi="Times New Roman"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表1-1</w:t>
            </w:r>
            <w:r>
              <w:rPr>
                <w:rFonts w:hint="eastAsia" w:cs="Times New Roman"/>
                <w:b/>
                <w:bCs/>
                <w:color w:val="auto"/>
                <w:kern w:val="0"/>
                <w:sz w:val="21"/>
                <w:szCs w:val="21"/>
                <w:lang w:val="en-US" w:eastAsia="zh-CN"/>
              </w:rPr>
              <w:t>本项目专项评价设置情况</w:t>
            </w:r>
          </w:p>
          <w:tbl>
            <w:tblPr>
              <w:tblStyle w:val="22"/>
              <w:tblW w:w="7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2936"/>
              <w:gridCol w:w="1944"/>
              <w:gridCol w:w="1112"/>
            </w:tblGrid>
            <w:tr w14:paraId="0B42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106" w:type="dxa"/>
                  <w:vAlign w:val="center"/>
                </w:tcPr>
                <w:p w14:paraId="27205FC4">
                  <w:pPr>
                    <w:widowControl/>
                    <w:spacing w:line="240" w:lineRule="auto"/>
                    <w:ind w:firstLine="0" w:firstLineChars="0"/>
                    <w:jc w:val="center"/>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专项评价的类别</w:t>
                  </w:r>
                </w:p>
              </w:tc>
              <w:tc>
                <w:tcPr>
                  <w:tcW w:w="2936" w:type="dxa"/>
                  <w:vAlign w:val="center"/>
                </w:tcPr>
                <w:p w14:paraId="2E736F8F">
                  <w:pPr>
                    <w:widowControl/>
                    <w:spacing w:line="240" w:lineRule="auto"/>
                    <w:ind w:firstLine="0" w:firstLineChars="0"/>
                    <w:jc w:val="center"/>
                    <w:rPr>
                      <w:rFonts w:hint="default" w:ascii="Times New Roman" w:hAnsi="Times New Roman" w:cs="Times New Roman"/>
                      <w:b/>
                      <w:bCs/>
                      <w:color w:val="auto"/>
                      <w:sz w:val="21"/>
                      <w:szCs w:val="21"/>
                      <w:lang w:val="en-US" w:eastAsia="zh-CN"/>
                    </w:rPr>
                  </w:pPr>
                  <w:r>
                    <w:rPr>
                      <w:rFonts w:hint="eastAsia" w:cs="Times New Roman"/>
                      <w:b/>
                      <w:bCs/>
                      <w:color w:val="auto"/>
                      <w:sz w:val="21"/>
                      <w:szCs w:val="21"/>
                      <w:lang w:val="en-US" w:eastAsia="zh-CN"/>
                    </w:rPr>
                    <w:t>设置原则</w:t>
                  </w:r>
                </w:p>
              </w:tc>
              <w:tc>
                <w:tcPr>
                  <w:tcW w:w="1944" w:type="dxa"/>
                  <w:vAlign w:val="center"/>
                </w:tcPr>
                <w:p w14:paraId="2A13FD73">
                  <w:pPr>
                    <w:widowControl/>
                    <w:spacing w:line="240" w:lineRule="auto"/>
                    <w:ind w:firstLine="0" w:firstLineChars="0"/>
                    <w:jc w:val="center"/>
                    <w:rPr>
                      <w:rFonts w:hint="default" w:ascii="Times New Roman" w:hAnsi="Times New Roman" w:cs="Times New Roman"/>
                      <w:b/>
                      <w:bCs/>
                      <w:color w:val="auto"/>
                      <w:sz w:val="21"/>
                      <w:szCs w:val="21"/>
                      <w:lang w:val="en-US" w:eastAsia="zh-CN"/>
                    </w:rPr>
                  </w:pPr>
                  <w:r>
                    <w:rPr>
                      <w:rFonts w:hint="eastAsia" w:cs="Times New Roman"/>
                      <w:b/>
                      <w:bCs/>
                      <w:color w:val="auto"/>
                      <w:sz w:val="21"/>
                      <w:szCs w:val="21"/>
                      <w:lang w:val="en-US" w:eastAsia="zh-CN"/>
                    </w:rPr>
                    <w:t>本项目情况</w:t>
                  </w:r>
                </w:p>
              </w:tc>
              <w:tc>
                <w:tcPr>
                  <w:tcW w:w="1112" w:type="dxa"/>
                  <w:vAlign w:val="center"/>
                </w:tcPr>
                <w:p w14:paraId="1BF2D069">
                  <w:pPr>
                    <w:widowControl/>
                    <w:spacing w:line="240" w:lineRule="auto"/>
                    <w:ind w:firstLine="0" w:firstLineChars="0"/>
                    <w:jc w:val="center"/>
                    <w:rPr>
                      <w:rFonts w:hint="default" w:ascii="Times New Roman" w:hAnsi="Times New Roman" w:cs="Times New Roman"/>
                      <w:b/>
                      <w:bCs/>
                      <w:color w:val="auto"/>
                      <w:sz w:val="21"/>
                      <w:szCs w:val="21"/>
                      <w:lang w:val="en-US" w:eastAsia="zh-CN"/>
                    </w:rPr>
                  </w:pPr>
                  <w:r>
                    <w:rPr>
                      <w:rFonts w:hint="eastAsia" w:cs="Times New Roman"/>
                      <w:b/>
                      <w:bCs/>
                      <w:color w:val="auto"/>
                      <w:sz w:val="21"/>
                      <w:szCs w:val="21"/>
                      <w:lang w:val="en-US" w:eastAsia="zh-CN"/>
                    </w:rPr>
                    <w:t>是否涉及专项评价</w:t>
                  </w:r>
                </w:p>
              </w:tc>
            </w:tr>
            <w:tr w14:paraId="62FC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106" w:type="dxa"/>
                  <w:vAlign w:val="center"/>
                </w:tcPr>
                <w:p w14:paraId="688BD49A">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大气</w:t>
                  </w:r>
                </w:p>
              </w:tc>
              <w:tc>
                <w:tcPr>
                  <w:tcW w:w="2936" w:type="dxa"/>
                  <w:vAlign w:val="center"/>
                </w:tcPr>
                <w:p w14:paraId="7A637676">
                  <w:pPr>
                    <w:widowControl/>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排放废气含有毒有害污染物</w:t>
                  </w:r>
                  <w:r>
                    <w:rPr>
                      <w:rFonts w:hint="eastAsia" w:cs="Times New Roman"/>
                      <w:color w:val="auto"/>
                      <w:sz w:val="21"/>
                      <w:szCs w:val="21"/>
                      <w:vertAlign w:val="superscript"/>
                      <w:lang w:val="en-US" w:eastAsia="zh-CN"/>
                    </w:rPr>
                    <w:t>1</w:t>
                  </w:r>
                  <w:r>
                    <w:rPr>
                      <w:rFonts w:hint="default" w:ascii="Times New Roman" w:hAnsi="Times New Roman" w:cs="Times New Roman"/>
                      <w:color w:val="auto"/>
                      <w:sz w:val="21"/>
                      <w:szCs w:val="21"/>
                      <w:lang w:val="en-US" w:eastAsia="zh-CN"/>
                    </w:rPr>
                    <w:t>、二噁英、苯并[a]芘、氰化物、氯气且厂界外500米范围内有环境空气保护目标</w:t>
                  </w:r>
                  <w:r>
                    <w:rPr>
                      <w:rFonts w:hint="eastAsia"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的建设项目</w:t>
                  </w:r>
                </w:p>
              </w:tc>
              <w:tc>
                <w:tcPr>
                  <w:tcW w:w="1944" w:type="dxa"/>
                  <w:vAlign w:val="center"/>
                </w:tcPr>
                <w:p w14:paraId="3477506C">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本项目废气主要为油烟废气、锅炉废气和恶臭，不涉及有毒有害污染物、二噁英、</w:t>
                  </w:r>
                  <w:r>
                    <w:rPr>
                      <w:rFonts w:hint="default" w:ascii="Times New Roman" w:hAnsi="Times New Roman" w:cs="Times New Roman"/>
                      <w:color w:val="auto"/>
                      <w:sz w:val="21"/>
                      <w:szCs w:val="21"/>
                      <w:lang w:val="en-US" w:eastAsia="zh-CN"/>
                    </w:rPr>
                    <w:t>苯并[a]芘、氰化物、氯气</w:t>
                  </w:r>
                  <w:r>
                    <w:rPr>
                      <w:rFonts w:hint="eastAsia" w:cs="Times New Roman"/>
                      <w:color w:val="auto"/>
                      <w:sz w:val="21"/>
                      <w:szCs w:val="21"/>
                      <w:lang w:val="en-US" w:eastAsia="zh-CN"/>
                    </w:rPr>
                    <w:t>等的排放。</w:t>
                  </w:r>
                </w:p>
              </w:tc>
              <w:tc>
                <w:tcPr>
                  <w:tcW w:w="1112" w:type="dxa"/>
                  <w:vAlign w:val="center"/>
                </w:tcPr>
                <w:p w14:paraId="01A04075">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否</w:t>
                  </w:r>
                </w:p>
              </w:tc>
            </w:tr>
            <w:tr w14:paraId="6D5E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6" w:type="dxa"/>
                  <w:vAlign w:val="center"/>
                </w:tcPr>
                <w:p w14:paraId="4B3652AF">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地表水</w:t>
                  </w:r>
                </w:p>
              </w:tc>
              <w:tc>
                <w:tcPr>
                  <w:tcW w:w="2936" w:type="dxa"/>
                  <w:vAlign w:val="center"/>
                </w:tcPr>
                <w:p w14:paraId="056EA351">
                  <w:pPr>
                    <w:widowControl/>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新增工业废水直排建设项目</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槽罐车外送污水处理厂的除外</w:t>
                  </w:r>
                  <w:r>
                    <w:rPr>
                      <w:rFonts w:hint="eastAsia" w:cs="Times New Roman"/>
                      <w:color w:val="auto"/>
                      <w:sz w:val="21"/>
                      <w:szCs w:val="21"/>
                      <w:lang w:val="en-US" w:eastAsia="zh-CN"/>
                    </w:rPr>
                    <w:t>）；</w:t>
                  </w:r>
                </w:p>
                <w:p w14:paraId="2FFD3378">
                  <w:pPr>
                    <w:widowControl/>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新增废水直排的污水集中处理厂</w:t>
                  </w:r>
                </w:p>
              </w:tc>
              <w:tc>
                <w:tcPr>
                  <w:tcW w:w="1944" w:type="dxa"/>
                  <w:vAlign w:val="center"/>
                </w:tcPr>
                <w:p w14:paraId="57970138">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项目</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w:t>
                  </w:r>
                  <w:r>
                    <w:rPr>
                      <w:rFonts w:hint="default" w:ascii="Times New Roman" w:hAnsi="Times New Roman" w:cs="Times New Roman"/>
                      <w:color w:val="auto"/>
                      <w:sz w:val="21"/>
                      <w:szCs w:val="21"/>
                      <w:lang w:val="en-US" w:eastAsia="zh-CN"/>
                    </w:rPr>
                    <w:t>化粪池处理后</w:t>
                  </w:r>
                  <w:r>
                    <w:rPr>
                      <w:rFonts w:hint="eastAsia" w:cs="Times New Roman"/>
                      <w:color w:val="auto"/>
                      <w:sz w:val="21"/>
                      <w:szCs w:val="21"/>
                      <w:lang w:val="en-US" w:eastAsia="zh-CN"/>
                    </w:rPr>
                    <w:t>排入</w:t>
                  </w:r>
                  <w:r>
                    <w:rPr>
                      <w:rFonts w:hint="default" w:ascii="Times New Roman" w:hAnsi="Times New Roman" w:cs="Times New Roman"/>
                      <w:color w:val="auto"/>
                      <w:sz w:val="21"/>
                      <w:szCs w:val="21"/>
                      <w:lang w:val="en-US" w:eastAsia="zh-CN"/>
                    </w:rPr>
                    <w:t>市政污水管网；生产废水</w:t>
                  </w:r>
                  <w:r>
                    <w:rPr>
                      <w:rFonts w:hint="eastAsia" w:cs="Times New Roman"/>
                      <w:color w:val="auto"/>
                      <w:sz w:val="21"/>
                      <w:szCs w:val="21"/>
                      <w:lang w:val="en-US" w:eastAsia="zh-CN"/>
                    </w:rPr>
                    <w:t>经自建隔油沉淀池预处理后依托租赁方</w:t>
                  </w:r>
                  <w:r>
                    <w:rPr>
                      <w:rFonts w:hint="default" w:ascii="Times New Roman" w:hAnsi="Times New Roman" w:cs="Times New Roman"/>
                      <w:color w:val="auto"/>
                      <w:sz w:val="21"/>
                      <w:szCs w:val="21"/>
                      <w:lang w:val="en-US" w:eastAsia="zh-CN"/>
                    </w:rPr>
                    <w:t>废水处理站处理后</w:t>
                  </w:r>
                  <w:r>
                    <w:rPr>
                      <w:rFonts w:hint="eastAsia" w:cs="Times New Roman"/>
                      <w:color w:val="auto"/>
                      <w:sz w:val="21"/>
                      <w:szCs w:val="21"/>
                      <w:lang w:val="en-US" w:eastAsia="zh-CN"/>
                    </w:rPr>
                    <w:t>排入</w:t>
                  </w:r>
                  <w:r>
                    <w:rPr>
                      <w:rFonts w:hint="default" w:ascii="Times New Roman" w:hAnsi="Times New Roman" w:cs="Times New Roman"/>
                      <w:color w:val="auto"/>
                      <w:sz w:val="21"/>
                      <w:szCs w:val="21"/>
                      <w:lang w:val="en-US" w:eastAsia="zh-CN"/>
                    </w:rPr>
                    <w:t>市政污水管网</w:t>
                  </w:r>
                  <w:r>
                    <w:rPr>
                      <w:rFonts w:hint="default" w:ascii="Times New Roman" w:hAnsi="Times New Roman" w:cs="Times New Roman"/>
                      <w:color w:val="auto"/>
                      <w:sz w:val="21"/>
                      <w:szCs w:val="21"/>
                    </w:rPr>
                    <w:t>。</w:t>
                  </w:r>
                </w:p>
              </w:tc>
              <w:tc>
                <w:tcPr>
                  <w:tcW w:w="1112" w:type="dxa"/>
                  <w:vAlign w:val="center"/>
                </w:tcPr>
                <w:p w14:paraId="2C91EC3D">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否</w:t>
                  </w:r>
                </w:p>
              </w:tc>
            </w:tr>
            <w:tr w14:paraId="65B9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106" w:type="dxa"/>
                  <w:vAlign w:val="center"/>
                </w:tcPr>
                <w:p w14:paraId="209239AB">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环境风险</w:t>
                  </w:r>
                </w:p>
              </w:tc>
              <w:tc>
                <w:tcPr>
                  <w:tcW w:w="2936" w:type="dxa"/>
                  <w:vAlign w:val="center"/>
                </w:tcPr>
                <w:p w14:paraId="240FB826">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有毒有害和易燃易爆危险物质存储量超过临界量</w:t>
                  </w:r>
                  <w:r>
                    <w:rPr>
                      <w:rFonts w:hint="eastAsia"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的建设项目</w:t>
                  </w:r>
                </w:p>
              </w:tc>
              <w:tc>
                <w:tcPr>
                  <w:tcW w:w="1944" w:type="dxa"/>
                  <w:vAlign w:val="center"/>
                </w:tcPr>
                <w:p w14:paraId="65D80B73">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本项目风险物质的存储量均未超过临界量。</w:t>
                  </w:r>
                </w:p>
              </w:tc>
              <w:tc>
                <w:tcPr>
                  <w:tcW w:w="1112" w:type="dxa"/>
                  <w:vAlign w:val="center"/>
                </w:tcPr>
                <w:p w14:paraId="2F48493F">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否</w:t>
                  </w:r>
                </w:p>
              </w:tc>
            </w:tr>
            <w:tr w14:paraId="7710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trPr>
              <w:tc>
                <w:tcPr>
                  <w:tcW w:w="1106" w:type="dxa"/>
                  <w:vAlign w:val="center"/>
                </w:tcPr>
                <w:p w14:paraId="20696105">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生态</w:t>
                  </w:r>
                </w:p>
              </w:tc>
              <w:tc>
                <w:tcPr>
                  <w:tcW w:w="2936" w:type="dxa"/>
                  <w:vAlign w:val="center"/>
                </w:tcPr>
                <w:p w14:paraId="6ECE3518">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取水口下游500米范围内有重要水生生物的自然产卵场、索饵场、越冬场和洄游通道的新增河道取水的污染类建设项目</w:t>
                  </w:r>
                </w:p>
              </w:tc>
              <w:tc>
                <w:tcPr>
                  <w:tcW w:w="1944" w:type="dxa"/>
                  <w:vAlign w:val="center"/>
                </w:tcPr>
                <w:p w14:paraId="1637FD5B">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本项目未设置河道取水口。</w:t>
                  </w:r>
                </w:p>
              </w:tc>
              <w:tc>
                <w:tcPr>
                  <w:tcW w:w="1112" w:type="dxa"/>
                  <w:vAlign w:val="center"/>
                </w:tcPr>
                <w:p w14:paraId="087F42BF">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否</w:t>
                  </w:r>
                </w:p>
              </w:tc>
            </w:tr>
            <w:tr w14:paraId="1200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106" w:type="dxa"/>
                  <w:vAlign w:val="center"/>
                </w:tcPr>
                <w:p w14:paraId="7EB0035B">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海洋</w:t>
                  </w:r>
                </w:p>
              </w:tc>
              <w:tc>
                <w:tcPr>
                  <w:tcW w:w="2936" w:type="dxa"/>
                  <w:vAlign w:val="center"/>
                </w:tcPr>
                <w:p w14:paraId="41221BC5">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直接向海排放污染物的海洋工程建设项目</w:t>
                  </w:r>
                </w:p>
              </w:tc>
              <w:tc>
                <w:tcPr>
                  <w:tcW w:w="1944" w:type="dxa"/>
                  <w:vAlign w:val="center"/>
                </w:tcPr>
                <w:p w14:paraId="5F6ED36C">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本项目不属于</w:t>
                  </w:r>
                  <w:r>
                    <w:rPr>
                      <w:rFonts w:hint="default" w:ascii="Times New Roman" w:hAnsi="Times New Roman" w:cs="Times New Roman"/>
                      <w:color w:val="auto"/>
                      <w:sz w:val="21"/>
                      <w:szCs w:val="21"/>
                      <w:lang w:val="en-US" w:eastAsia="zh-CN"/>
                    </w:rPr>
                    <w:t>海洋工程建设项目</w:t>
                  </w:r>
                  <w:r>
                    <w:rPr>
                      <w:rFonts w:hint="eastAsia" w:cs="Times New Roman"/>
                      <w:color w:val="auto"/>
                      <w:sz w:val="21"/>
                      <w:szCs w:val="21"/>
                      <w:lang w:val="en-US" w:eastAsia="zh-CN"/>
                    </w:rPr>
                    <w:t>。</w:t>
                  </w:r>
                </w:p>
              </w:tc>
              <w:tc>
                <w:tcPr>
                  <w:tcW w:w="1112" w:type="dxa"/>
                  <w:vAlign w:val="center"/>
                </w:tcPr>
                <w:p w14:paraId="349548E5">
                  <w:pPr>
                    <w:widowControl/>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否</w:t>
                  </w:r>
                </w:p>
              </w:tc>
            </w:tr>
            <w:tr w14:paraId="7673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8" w:type="dxa"/>
                  <w:gridSpan w:val="4"/>
                  <w:vAlign w:val="center"/>
                </w:tcPr>
                <w:p w14:paraId="32251F3B">
                  <w:pPr>
                    <w:widowControl/>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注</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1.废气中有毒有害污染物指纳入《有毒有害大气污染物名录》的污染物</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不包括无排放标准的污染物</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w:t>
                  </w:r>
                </w:p>
                <w:p w14:paraId="7545D411">
                  <w:pPr>
                    <w:widowControl/>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2.环境空气保护目标指自然保护区、风景名胜区、居住区、文化区和农村地区中人群较集中的区域。</w:t>
                  </w:r>
                </w:p>
                <w:p w14:paraId="593ADFF4">
                  <w:pPr>
                    <w:widowControl/>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3.临界量及其计算方法可参考《建设项目环境风险评价技术导则》</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HJ169</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附录B、附录C</w:t>
                  </w:r>
                  <w:r>
                    <w:rPr>
                      <w:rFonts w:hint="eastAsia" w:cs="Times New Roman"/>
                      <w:color w:val="auto"/>
                      <w:sz w:val="21"/>
                      <w:szCs w:val="21"/>
                      <w:lang w:val="en-US" w:eastAsia="zh-CN"/>
                    </w:rPr>
                    <w:t>。</w:t>
                  </w:r>
                </w:p>
              </w:tc>
            </w:tr>
          </w:tbl>
          <w:p w14:paraId="0953C02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kern w:val="0"/>
                <w:lang w:val="en-US" w:eastAsia="zh-CN"/>
              </w:rPr>
            </w:pPr>
            <w:r>
              <w:rPr>
                <w:rFonts w:hint="eastAsia" w:ascii="Times New Roman" w:hAnsi="Times New Roman" w:cs="Times New Roman"/>
                <w:color w:val="auto"/>
                <w:lang w:val="en-US" w:eastAsia="zh-CN"/>
              </w:rPr>
              <w:t>综上所述：本项目</w:t>
            </w:r>
            <w:r>
              <w:rPr>
                <w:rFonts w:hint="eastAsia" w:cs="Times New Roman"/>
                <w:color w:val="auto"/>
                <w:lang w:val="en-US" w:eastAsia="zh-CN"/>
              </w:rPr>
              <w:t>不</w:t>
            </w:r>
            <w:r>
              <w:rPr>
                <w:rFonts w:hint="eastAsia" w:ascii="Times New Roman" w:hAnsi="Times New Roman" w:cs="Times New Roman"/>
                <w:color w:val="auto"/>
                <w:lang w:val="en-US" w:eastAsia="zh-CN"/>
              </w:rPr>
              <w:t>设置专项评价。</w:t>
            </w:r>
          </w:p>
        </w:tc>
      </w:tr>
      <w:tr w14:paraId="289905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9" w:type="dxa"/>
            <w:vAlign w:val="center"/>
          </w:tcPr>
          <w:p w14:paraId="799B7DC1">
            <w:pPr>
              <w:autoSpaceDE w:val="0"/>
              <w:autoSpaceDN w:val="0"/>
              <w:spacing w:line="240" w:lineRule="auto"/>
              <w:ind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rPr>
              <w:t>规划情况</w:t>
            </w:r>
          </w:p>
        </w:tc>
        <w:tc>
          <w:tcPr>
            <w:tcW w:w="7321" w:type="dxa"/>
            <w:gridSpan w:val="3"/>
            <w:vAlign w:val="center"/>
          </w:tcPr>
          <w:p w14:paraId="46B1BB2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规划名称：《西咸新区沣西新城分区规划（2016-2035年）》</w:t>
            </w:r>
          </w:p>
          <w:p w14:paraId="51F412C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规划审批机关：陕西省西咸新区开发建设管理委员会</w:t>
            </w:r>
          </w:p>
          <w:p w14:paraId="5D15CB7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color w:val="auto"/>
              </w:rPr>
            </w:pPr>
            <w:r>
              <w:rPr>
                <w:rFonts w:hint="eastAsia" w:ascii="Times New Roman" w:hAnsi="Times New Roman" w:cs="Times New Roman"/>
                <w:color w:val="auto"/>
                <w:sz w:val="24"/>
                <w:highlight w:val="none"/>
                <w:lang w:val="en-US" w:eastAsia="zh-CN"/>
              </w:rPr>
              <w:t>审批文件名称及文号：陕西省西咸新区开发建设管理委员会关于《西咸新区沣西新城分区规划》的批复（陕西咸函〔2011〕123号）</w:t>
            </w:r>
          </w:p>
        </w:tc>
      </w:tr>
      <w:tr w14:paraId="76F2C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9" w:type="dxa"/>
            <w:vAlign w:val="center"/>
          </w:tcPr>
          <w:p w14:paraId="307CFE35">
            <w:pPr>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规划环境影响评价情况</w:t>
            </w:r>
          </w:p>
        </w:tc>
        <w:tc>
          <w:tcPr>
            <w:tcW w:w="7321" w:type="dxa"/>
            <w:gridSpan w:val="3"/>
            <w:vAlign w:val="center"/>
          </w:tcPr>
          <w:p w14:paraId="3F81B556">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t>规划环境影响评价文件名称</w:t>
            </w:r>
            <w:r>
              <w:rPr>
                <w:rFonts w:hint="eastAsia" w:ascii="Times New Roman" w:hAnsi="Times New Roman" w:eastAsia="宋体" w:cs="Times New Roman"/>
                <w:color w:val="auto"/>
                <w:sz w:val="24"/>
                <w:highlight w:val="none"/>
                <w:lang w:eastAsia="zh-CN"/>
              </w:rPr>
              <w:t>：《西咸新区沣西新城分区规划（2016-2035）环境影响报告书》；</w:t>
            </w:r>
          </w:p>
          <w:p w14:paraId="7C154F5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审查机关</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陕西省西咸新区环境保护局</w:t>
            </w:r>
            <w:r>
              <w:rPr>
                <w:rFonts w:hint="eastAsia" w:ascii="Times New Roman" w:hAnsi="Times New Roman" w:eastAsia="宋体" w:cs="Times New Roman"/>
                <w:color w:val="auto"/>
                <w:sz w:val="24"/>
                <w:highlight w:val="none"/>
                <w:lang w:eastAsia="zh-CN"/>
              </w:rPr>
              <w:t>；</w:t>
            </w:r>
          </w:p>
          <w:p w14:paraId="52597C2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color w:val="auto"/>
              </w:rPr>
            </w:pPr>
            <w:r>
              <w:rPr>
                <w:rFonts w:hint="eastAsia" w:ascii="Times New Roman" w:hAnsi="Times New Roman" w:eastAsia="宋体" w:cs="Times New Roman"/>
                <w:color w:val="auto"/>
                <w:sz w:val="24"/>
                <w:highlight w:val="none"/>
              </w:rPr>
              <w:t>审查文件名称及文号</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陕西省西咸新区环境保护局关于《西咸新区沣西新城分区规划（2016-2035）环境影响报告书》审查意见的函（陕西咸环函〔2018〕61号）</w:t>
            </w:r>
            <w:r>
              <w:rPr>
                <w:rFonts w:hint="default" w:ascii="Times New Roman" w:hAnsi="Times New Roman" w:cs="Times New Roman"/>
                <w:color w:val="auto"/>
              </w:rPr>
              <w:t>。</w:t>
            </w:r>
          </w:p>
        </w:tc>
      </w:tr>
      <w:tr w14:paraId="40090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9" w:type="dxa"/>
            <w:vAlign w:val="center"/>
          </w:tcPr>
          <w:p w14:paraId="22D86F45">
            <w:pPr>
              <w:autoSpaceDE w:val="0"/>
              <w:autoSpaceDN w:val="0"/>
              <w:spacing w:line="240" w:lineRule="auto"/>
              <w:ind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t>规划及规划环境影响评价符合性分析</w:t>
            </w:r>
          </w:p>
        </w:tc>
        <w:tc>
          <w:tcPr>
            <w:tcW w:w="7321" w:type="dxa"/>
            <w:gridSpan w:val="3"/>
          </w:tcPr>
          <w:p w14:paraId="2FF5CC7A">
            <w:pPr>
              <w:autoSpaceDE w:val="0"/>
              <w:autoSpaceDN w:val="0"/>
              <w:spacing w:line="240" w:lineRule="auto"/>
              <w:ind w:firstLine="0" w:firstLineChars="0"/>
              <w:jc w:val="center"/>
              <w:rPr>
                <w:rFonts w:hint="default" w:ascii="Times New Roman" w:hAnsi="Times New Roman" w:cs="Times New Roman"/>
                <w:color w:val="auto"/>
                <w:kern w:val="0"/>
              </w:rPr>
            </w:pPr>
            <w:r>
              <w:rPr>
                <w:rFonts w:hint="default" w:ascii="Times New Roman" w:hAnsi="Times New Roman" w:cs="Times New Roman"/>
                <w:b/>
                <w:bCs/>
                <w:color w:val="auto"/>
                <w:kern w:val="0"/>
                <w:sz w:val="21"/>
                <w:szCs w:val="21"/>
              </w:rPr>
              <w:t>表1-</w:t>
            </w:r>
            <w:r>
              <w:rPr>
                <w:rFonts w:hint="eastAsia" w:cs="Times New Roman"/>
                <w:b/>
                <w:bCs/>
                <w:color w:val="auto"/>
                <w:kern w:val="0"/>
                <w:sz w:val="21"/>
                <w:szCs w:val="21"/>
                <w:lang w:val="en-US" w:eastAsia="zh-CN"/>
              </w:rPr>
              <w:t>2</w:t>
            </w:r>
            <w:r>
              <w:rPr>
                <w:rFonts w:hint="default" w:ascii="Times New Roman" w:hAnsi="Times New Roman" w:cs="Times New Roman"/>
                <w:b/>
                <w:bCs/>
                <w:color w:val="auto"/>
                <w:kern w:val="0"/>
                <w:sz w:val="21"/>
                <w:szCs w:val="21"/>
              </w:rPr>
              <w:t xml:space="preserve">  项目与规划</w:t>
            </w:r>
            <w:r>
              <w:rPr>
                <w:rFonts w:hint="eastAsia" w:cs="Times New Roman"/>
                <w:b/>
                <w:bCs/>
                <w:color w:val="auto"/>
                <w:kern w:val="0"/>
                <w:sz w:val="21"/>
                <w:szCs w:val="21"/>
                <w:lang w:eastAsia="zh-CN"/>
              </w:rPr>
              <w:t>、</w:t>
            </w:r>
            <w:r>
              <w:rPr>
                <w:rFonts w:hint="default" w:ascii="Times New Roman" w:hAnsi="Times New Roman" w:cs="Times New Roman"/>
                <w:b/>
                <w:bCs/>
                <w:color w:val="auto"/>
                <w:kern w:val="0"/>
                <w:sz w:val="21"/>
                <w:szCs w:val="21"/>
              </w:rPr>
              <w:t>规划环评及审查意见相符性分析表</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3"/>
              <w:gridCol w:w="2630"/>
              <w:gridCol w:w="2853"/>
              <w:gridCol w:w="595"/>
            </w:tblGrid>
            <w:tr w14:paraId="6630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14" w:type="pct"/>
                  <w:noWrap w:val="0"/>
                  <w:vAlign w:val="center"/>
                </w:tcPr>
                <w:p w14:paraId="3AAEC700">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名称</w:t>
                  </w:r>
                </w:p>
              </w:tc>
              <w:tc>
                <w:tcPr>
                  <w:tcW w:w="1854" w:type="pct"/>
                  <w:noWrap w:val="0"/>
                  <w:vAlign w:val="center"/>
                </w:tcPr>
                <w:p w14:paraId="521B54FD">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规划要求</w:t>
                  </w:r>
                </w:p>
              </w:tc>
              <w:tc>
                <w:tcPr>
                  <w:tcW w:w="2011" w:type="pct"/>
                  <w:noWrap w:val="0"/>
                  <w:vAlign w:val="center"/>
                </w:tcPr>
                <w:p w14:paraId="6CE7E5F6">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项目情况</w:t>
                  </w:r>
                </w:p>
              </w:tc>
              <w:tc>
                <w:tcPr>
                  <w:tcW w:w="419" w:type="pct"/>
                  <w:noWrap w:val="0"/>
                  <w:vAlign w:val="center"/>
                </w:tcPr>
                <w:p w14:paraId="7085E09A">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b/>
                      <w:bCs w:val="0"/>
                      <w:color w:val="auto"/>
                      <w:kern w:val="0"/>
                      <w:sz w:val="21"/>
                      <w:szCs w:val="21"/>
                      <w:highlight w:val="none"/>
                    </w:rPr>
                  </w:pPr>
                  <w:r>
                    <w:rPr>
                      <w:rFonts w:hint="default"/>
                      <w:b/>
                      <w:bCs w:val="0"/>
                      <w:color w:val="auto"/>
                      <w:kern w:val="0"/>
                      <w:sz w:val="21"/>
                      <w:szCs w:val="21"/>
                      <w:highlight w:val="none"/>
                      <w:lang w:bidi="ar"/>
                    </w:rPr>
                    <w:t>符合性</w:t>
                  </w:r>
                </w:p>
              </w:tc>
            </w:tr>
            <w:tr w14:paraId="6745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14" w:type="pct"/>
                  <w:noWrap w:val="0"/>
                  <w:vAlign w:val="center"/>
                </w:tcPr>
                <w:p w14:paraId="406AED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《西咸新区沣西新城分区规划（2016-2035年）》</w:t>
                  </w:r>
                </w:p>
              </w:tc>
              <w:tc>
                <w:tcPr>
                  <w:tcW w:w="1854" w:type="pct"/>
                  <w:noWrap w:val="0"/>
                  <w:vAlign w:val="center"/>
                </w:tcPr>
                <w:p w14:paraId="39C5175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cs="Times New Roman"/>
                      <w:b w:val="0"/>
                      <w:bCs w:val="0"/>
                      <w:color w:val="auto"/>
                      <w:kern w:val="0"/>
                      <w:sz w:val="21"/>
                      <w:szCs w:val="21"/>
                      <w:highlight w:val="none"/>
                      <w:lang w:val="en-US" w:eastAsia="zh-CN"/>
                    </w:rPr>
                  </w:pPr>
                  <w:r>
                    <w:rPr>
                      <w:rFonts w:hint="eastAsia" w:cs="Times New Roman"/>
                      <w:b w:val="0"/>
                      <w:bCs w:val="0"/>
                      <w:color w:val="auto"/>
                      <w:kern w:val="0"/>
                      <w:sz w:val="21"/>
                      <w:szCs w:val="21"/>
                      <w:highlight w:val="none"/>
                      <w:lang w:val="en-US" w:eastAsia="zh-CN"/>
                    </w:rPr>
                    <w:t>规划范围：沣西新城位于西安市与咸阳市接壤部，包括鄠邑区的大王镇，长安区的马王街道、高桥乡，秦都区的钓台、陈杨寨街道，总面积142.77平方千米。</w:t>
                  </w:r>
                </w:p>
                <w:p w14:paraId="17D65EF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cs="Times New Roman"/>
                      <w:b w:val="0"/>
                      <w:bCs w:val="0"/>
                      <w:color w:val="auto"/>
                      <w:kern w:val="0"/>
                      <w:sz w:val="21"/>
                      <w:szCs w:val="21"/>
                      <w:highlight w:val="none"/>
                      <w:lang w:val="en-US" w:eastAsia="zh-CN"/>
                    </w:rPr>
                    <w:t>沣西新城行业准入条件：南部工业区-新能源、新材料、节能环保相关产业、现代仓储物流产业、农产品加工、新型建材行业、生物研发行业。</w:t>
                  </w:r>
                </w:p>
              </w:tc>
              <w:tc>
                <w:tcPr>
                  <w:tcW w:w="2011" w:type="pct"/>
                  <w:noWrap w:val="0"/>
                  <w:vAlign w:val="center"/>
                </w:tcPr>
                <w:p w14:paraId="4A44577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eastAsia"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本项目</w:t>
                  </w:r>
                  <w:r>
                    <w:rPr>
                      <w:rFonts w:hint="eastAsia" w:eastAsia="宋体" w:cs="Times New Roman"/>
                      <w:color w:val="auto"/>
                      <w:kern w:val="0"/>
                      <w:sz w:val="21"/>
                      <w:szCs w:val="21"/>
                      <w:highlight w:val="none"/>
                      <w:lang w:val="en-US" w:eastAsia="zh-CN"/>
                    </w:rPr>
                    <w:t>位于沣西新城沣景路以北、信息九路以西、西兴高速以南、咸户路以东，属于沣西新城分区规划范围内，</w:t>
                  </w:r>
                  <w:r>
                    <w:rPr>
                      <w:rFonts w:hint="eastAsia" w:cs="Times New Roman"/>
                      <w:color w:val="auto"/>
                      <w:kern w:val="0"/>
                      <w:sz w:val="21"/>
                      <w:szCs w:val="21"/>
                      <w:highlight w:val="none"/>
                      <w:lang w:val="en-US" w:eastAsia="zh-CN"/>
                    </w:rPr>
                    <w:t>根据租赁场地的不动产权证书，项目所在地属于工业用地，</w:t>
                  </w:r>
                  <w:r>
                    <w:rPr>
                      <w:rFonts w:hint="eastAsia"/>
                      <w:color w:val="auto"/>
                      <w:kern w:val="0"/>
                      <w:sz w:val="21"/>
                      <w:szCs w:val="21"/>
                    </w:rPr>
                    <w:t>本项目在沣西新城分区规划图的位置见</w:t>
                  </w:r>
                  <w:r>
                    <w:rPr>
                      <w:rFonts w:hint="eastAsia" w:cs="Times New Roman"/>
                      <w:color w:val="auto"/>
                      <w:kern w:val="0"/>
                      <w:sz w:val="21"/>
                      <w:szCs w:val="21"/>
                      <w:highlight w:val="none"/>
                      <w:lang w:val="en-US" w:eastAsia="zh-CN"/>
                    </w:rPr>
                    <w:t>附图</w:t>
                  </w:r>
                  <w:r>
                    <w:rPr>
                      <w:rFonts w:hint="eastAsia"/>
                      <w:color w:val="auto"/>
                      <w:kern w:val="0"/>
                      <w:sz w:val="21"/>
                      <w:szCs w:val="21"/>
                    </w:rPr>
                    <w:t>1</w:t>
                  </w:r>
                  <w:r>
                    <w:rPr>
                      <w:rFonts w:hint="eastAsia" w:cs="Times New Roman"/>
                      <w:color w:val="auto"/>
                      <w:kern w:val="0"/>
                      <w:sz w:val="21"/>
                      <w:szCs w:val="21"/>
                      <w:highlight w:val="none"/>
                      <w:lang w:val="en-US" w:eastAsia="zh-CN"/>
                    </w:rPr>
                    <w:t>。</w:t>
                  </w:r>
                </w:p>
                <w:p w14:paraId="05226AB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eastAsia="宋体" w:cs="Times New Roman"/>
                      <w:color w:val="auto"/>
                      <w:kern w:val="0"/>
                      <w:sz w:val="21"/>
                      <w:szCs w:val="21"/>
                      <w:highlight w:val="none"/>
                      <w:lang w:val="en-US" w:eastAsia="zh-CN"/>
                    </w:rPr>
                    <w:t>项目为</w:t>
                  </w:r>
                  <w:r>
                    <w:rPr>
                      <w:rFonts w:hint="eastAsia" w:cs="Times New Roman"/>
                      <w:color w:val="auto"/>
                      <w:kern w:val="0"/>
                      <w:sz w:val="21"/>
                      <w:szCs w:val="21"/>
                      <w:highlight w:val="none"/>
                      <w:lang w:val="en-US" w:eastAsia="zh-CN"/>
                    </w:rPr>
                    <w:t>水产品加工</w:t>
                  </w:r>
                  <w:r>
                    <w:rPr>
                      <w:rFonts w:hint="eastAsia" w:eastAsia="宋体" w:cs="Times New Roman"/>
                      <w:color w:val="auto"/>
                      <w:kern w:val="0"/>
                      <w:sz w:val="21"/>
                      <w:szCs w:val="21"/>
                      <w:highlight w:val="none"/>
                      <w:lang w:val="en-US" w:eastAsia="zh-CN"/>
                    </w:rPr>
                    <w:t>，</w:t>
                  </w:r>
                  <w:r>
                    <w:rPr>
                      <w:rFonts w:hint="eastAsia"/>
                      <w:color w:val="auto"/>
                      <w:kern w:val="0"/>
                      <w:sz w:val="21"/>
                      <w:szCs w:val="21"/>
                    </w:rPr>
                    <w:t>属于</w:t>
                  </w:r>
                  <w:r>
                    <w:rPr>
                      <w:rFonts w:hint="eastAsia" w:cs="Times New Roman"/>
                      <w:b w:val="0"/>
                      <w:bCs w:val="0"/>
                      <w:color w:val="auto"/>
                      <w:kern w:val="0"/>
                      <w:sz w:val="21"/>
                      <w:szCs w:val="21"/>
                      <w:highlight w:val="none"/>
                      <w:lang w:val="en-US" w:eastAsia="zh-CN"/>
                    </w:rPr>
                    <w:t>农产品加工</w:t>
                  </w:r>
                  <w:r>
                    <w:rPr>
                      <w:rFonts w:hint="eastAsia"/>
                      <w:color w:val="auto"/>
                      <w:kern w:val="0"/>
                      <w:sz w:val="21"/>
                      <w:szCs w:val="21"/>
                    </w:rPr>
                    <w:t>产业，满足准入条件</w:t>
                  </w:r>
                  <w:r>
                    <w:rPr>
                      <w:rFonts w:hint="eastAsia" w:cs="Times New Roman"/>
                      <w:color w:val="auto"/>
                      <w:kern w:val="0"/>
                      <w:sz w:val="21"/>
                      <w:szCs w:val="21"/>
                      <w:highlight w:val="none"/>
                      <w:lang w:val="en-US" w:eastAsia="zh-CN"/>
                    </w:rPr>
                    <w:t>。</w:t>
                  </w:r>
                </w:p>
              </w:tc>
              <w:tc>
                <w:tcPr>
                  <w:tcW w:w="419" w:type="pct"/>
                  <w:noWrap w:val="0"/>
                  <w:vAlign w:val="center"/>
                </w:tcPr>
                <w:p w14:paraId="5062DF6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3723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714" w:type="pct"/>
                  <w:noWrap w:val="0"/>
                  <w:vAlign w:val="center"/>
                </w:tcPr>
                <w:p w14:paraId="0151B47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《西咸新区沣西新城分区规划</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2016~2035年</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环境影响报告书》</w:t>
                  </w:r>
                </w:p>
              </w:tc>
              <w:tc>
                <w:tcPr>
                  <w:tcW w:w="1854" w:type="pct"/>
                  <w:noWrap w:val="0"/>
                  <w:vAlign w:val="center"/>
                </w:tcPr>
                <w:p w14:paraId="3281BE4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①对产业的引入采取“底线控制、优势相关、鼓励创新”的原则，底线控制即淘汰三高（高污染、高耗能、高耗水，如铸造、化工等），凡是非三高企业都可引入；</w:t>
                  </w:r>
                </w:p>
                <w:p w14:paraId="3EF38E0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②区内建设污水处理厂，对地表水有较大的改善，但考虑到距离最终的规划目标仍有差距，评价要求严禁高耗水、高排水企业入驻区内，严格控制污水外排；</w:t>
                  </w:r>
                </w:p>
                <w:p w14:paraId="7E5B6FD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③合理规划区内环卫基础设施建设，针对固废的不同性质，采取相应的处置措施。推行生活垃圾分类收集，提高生活垃圾无害化处理率和固体废物的综合利用率。固废须按照《一般工业固体废物贮存、处置场污染控制标准》</w:t>
                  </w:r>
                  <w:r>
                    <w:rPr>
                      <w:rFonts w:hint="eastAsia" w:ascii="Times New Roman" w:hAnsi="Times New Roman" w:eastAsia="宋体" w:cs="Times New Roman"/>
                      <w:color w:val="auto"/>
                      <w:kern w:val="0"/>
                      <w:sz w:val="21"/>
                      <w:szCs w:val="21"/>
                      <w:highlight w:val="none"/>
                      <w:lang w:val="en-US" w:eastAsia="zh-CN"/>
                    </w:rPr>
                    <w:t>（GB18599-2001）要求，进行贮存和处置，危废的产生和管理按照陕西省环境保护厅颁发的《</w:t>
                  </w:r>
                  <w:r>
                    <w:rPr>
                      <w:rFonts w:hint="eastAsia" w:cs="Times New Roman"/>
                      <w:color w:val="auto"/>
                      <w:kern w:val="0"/>
                      <w:sz w:val="21"/>
                      <w:szCs w:val="21"/>
                      <w:highlight w:val="none"/>
                      <w:lang w:val="en-US" w:eastAsia="zh-CN"/>
                    </w:rPr>
                    <w:t>危险废物转移管理办法</w:t>
                  </w:r>
                  <w:r>
                    <w:rPr>
                      <w:rFonts w:hint="eastAsia" w:ascii="Times New Roman" w:hAnsi="Times New Roman" w:eastAsia="宋体" w:cs="Times New Roman"/>
                      <w:color w:val="auto"/>
                      <w:kern w:val="0"/>
                      <w:sz w:val="21"/>
                      <w:szCs w:val="21"/>
                      <w:highlight w:val="none"/>
                      <w:lang w:eastAsia="zh-CN"/>
                    </w:rPr>
                    <w:t>》等有关规定文件的要求，收集后送往危废处理处置中心。</w:t>
                  </w:r>
                </w:p>
              </w:tc>
              <w:tc>
                <w:tcPr>
                  <w:tcW w:w="2011" w:type="pct"/>
                  <w:noWrap w:val="0"/>
                  <w:vAlign w:val="center"/>
                </w:tcPr>
                <w:p w14:paraId="1FAABD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①本项目</w:t>
                  </w:r>
                  <w:r>
                    <w:rPr>
                      <w:rFonts w:hint="eastAsia" w:cs="Times New Roman"/>
                      <w:color w:val="auto"/>
                      <w:kern w:val="0"/>
                      <w:sz w:val="21"/>
                      <w:szCs w:val="21"/>
                      <w:highlight w:val="none"/>
                      <w:lang w:val="en-US" w:eastAsia="zh-CN"/>
                    </w:rPr>
                    <w:t>为水产品加工</w:t>
                  </w:r>
                  <w:r>
                    <w:rPr>
                      <w:rFonts w:hint="eastAsia" w:ascii="Times New Roman" w:hAnsi="Times New Roman" w:eastAsia="宋体"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不属于“三高”行业</w:t>
                  </w:r>
                  <w:r>
                    <w:rPr>
                      <w:rFonts w:hint="eastAsia" w:ascii="Times New Roman" w:hAnsi="Times New Roman" w:eastAsia="宋体" w:cs="Times New Roman"/>
                      <w:color w:val="auto"/>
                      <w:kern w:val="0"/>
                      <w:sz w:val="21"/>
                      <w:szCs w:val="21"/>
                      <w:highlight w:val="none"/>
                      <w:lang w:eastAsia="zh-CN"/>
                    </w:rPr>
                    <w:t>；</w:t>
                  </w:r>
                </w:p>
                <w:p w14:paraId="05BC84F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②本项目不属于高耗水、高排水企业</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生产废水依托租赁方废水处理站处理后通过市政污水管网排入沣西新城渭河污水处理厂；</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依托租赁方化粪池处理后</w:t>
                  </w:r>
                  <w:r>
                    <w:rPr>
                      <w:rFonts w:hint="default" w:ascii="Times New Roman" w:hAnsi="Times New Roman" w:cs="Times New Roman"/>
                      <w:color w:val="auto"/>
                      <w:sz w:val="21"/>
                      <w:szCs w:val="21"/>
                      <w:lang w:val="en-US" w:eastAsia="zh-CN"/>
                    </w:rPr>
                    <w:t>通过市政污水管网排入沣西新城渭河污水处理厂</w:t>
                  </w:r>
                  <w:r>
                    <w:rPr>
                      <w:rFonts w:hint="eastAsia" w:cs="Times New Roman"/>
                      <w:color w:val="auto"/>
                      <w:sz w:val="21"/>
                      <w:szCs w:val="21"/>
                      <w:lang w:val="en-US" w:eastAsia="zh-CN"/>
                    </w:rPr>
                    <w:t>；</w:t>
                  </w:r>
                </w:p>
                <w:p w14:paraId="7EBB785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③本项目</w:t>
                  </w:r>
                  <w:r>
                    <w:rPr>
                      <w:rFonts w:hint="eastAsia" w:cs="Times New Roman"/>
                      <w:color w:val="auto"/>
                      <w:sz w:val="21"/>
                      <w:szCs w:val="21"/>
                      <w:lang w:val="en-US" w:eastAsia="zh-CN"/>
                    </w:rPr>
                    <w:t>筛选废料、废包装材料、废油脂、污泥等一般固体废物的贮存满足相应防渗漏、防雨淋、防扬尘等环境保护要求；废导热油为</w:t>
                  </w:r>
                  <w:r>
                    <w:rPr>
                      <w:rFonts w:hint="eastAsia" w:ascii="Times New Roman" w:hAnsi="Times New Roman" w:eastAsia="宋体" w:cs="Times New Roman"/>
                      <w:color w:val="auto"/>
                      <w:kern w:val="0"/>
                      <w:sz w:val="21"/>
                      <w:szCs w:val="21"/>
                      <w:highlight w:val="none"/>
                      <w:lang w:eastAsia="zh-CN"/>
                    </w:rPr>
                    <w:t>危险废物</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按照《危险废物贮存污染控制标准》（GB18597-2023）</w:t>
                  </w:r>
                  <w:r>
                    <w:rPr>
                      <w:rFonts w:hint="eastAsia" w:cs="Times New Roman"/>
                      <w:color w:val="auto"/>
                      <w:kern w:val="0"/>
                      <w:sz w:val="21"/>
                      <w:szCs w:val="21"/>
                      <w:highlight w:val="none"/>
                      <w:lang w:eastAsia="zh-CN"/>
                    </w:rPr>
                    <w:t>、《危险废物转移管理办法》</w:t>
                  </w:r>
                  <w:r>
                    <w:rPr>
                      <w:rFonts w:hint="eastAsia" w:ascii="Times New Roman" w:hAnsi="Times New Roman" w:eastAsia="宋体" w:cs="Times New Roman"/>
                      <w:color w:val="auto"/>
                      <w:kern w:val="0"/>
                      <w:sz w:val="21"/>
                      <w:szCs w:val="21"/>
                      <w:highlight w:val="none"/>
                      <w:lang w:eastAsia="zh-CN"/>
                    </w:rPr>
                    <w:t>要求进行贮存</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管理，</w:t>
                  </w:r>
                  <w:r>
                    <w:rPr>
                      <w:rFonts w:hint="eastAsia" w:ascii="Times New Roman" w:hAnsi="Times New Roman" w:eastAsia="宋体" w:cs="Times New Roman"/>
                      <w:color w:val="auto"/>
                      <w:kern w:val="0"/>
                      <w:sz w:val="21"/>
                      <w:szCs w:val="21"/>
                      <w:highlight w:val="none"/>
                      <w:lang w:eastAsia="zh-CN"/>
                    </w:rPr>
                    <w:t>定期交由有资质单位处置。</w:t>
                  </w:r>
                </w:p>
              </w:tc>
              <w:tc>
                <w:tcPr>
                  <w:tcW w:w="419" w:type="pct"/>
                  <w:noWrap w:val="0"/>
                  <w:vAlign w:val="center"/>
                </w:tcPr>
                <w:p w14:paraId="0AF9535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r w14:paraId="4DF0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14" w:type="pct"/>
                  <w:noWrap w:val="0"/>
                  <w:vAlign w:val="center"/>
                </w:tcPr>
                <w:p w14:paraId="760977B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《西咸新区沣西新城分区规划（2016-2035年）环境影响报告书》审查意见（陕西咸环函</w:t>
                  </w:r>
                  <w:r>
                    <w:rPr>
                      <w:rFonts w:hint="eastAsia" w:ascii="宋体" w:hAnsi="宋体" w:eastAsia="宋体" w:cs="宋体"/>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2018</w:t>
                  </w:r>
                  <w:r>
                    <w:rPr>
                      <w:rFonts w:hint="eastAsia" w:ascii="宋体" w:hAnsi="宋体" w:eastAsia="宋体" w:cs="宋体"/>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61号）</w:t>
                  </w:r>
                </w:p>
              </w:tc>
              <w:tc>
                <w:tcPr>
                  <w:tcW w:w="1854" w:type="pct"/>
                  <w:noWrap w:val="0"/>
                  <w:vAlign w:val="center"/>
                </w:tcPr>
                <w:p w14:paraId="6BD57B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①加强规划引导，坚持生态优先、绿色集约发展，突出城市与产业协调发展的理念。严格落实生态保护红线、环境质量底线、资源利用上线和环境准入负面清单管控要求。强化“三线一单”在优布局、控规模及对项目环境准入的强制约束作用。严禁“三高一低”项目入区</w:t>
                  </w:r>
                  <w:r>
                    <w:rPr>
                      <w:rFonts w:hint="eastAsia"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eastAsia="zh-CN"/>
                    </w:rPr>
                    <w:t>采用总量控制方式，限制大气污染物及水污染物排放量大的项目入区。引进项目的生产工艺、设备、污染治理技术，以及单位产品能耗、物耗、污染物排放和资源利用率等均需达到同行业国际先进水平，落实《报告书》提出的环境要求；</w:t>
                  </w:r>
                </w:p>
                <w:p w14:paraId="021D958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②严守环境质量底线，落实污染物总量管控要求。根据国家、陕西省、</w:t>
                  </w:r>
                  <w:r>
                    <w:rPr>
                      <w:rFonts w:hint="eastAsia" w:cs="Times New Roman"/>
                      <w:color w:val="auto"/>
                      <w:kern w:val="0"/>
                      <w:sz w:val="21"/>
                      <w:szCs w:val="21"/>
                      <w:highlight w:val="none"/>
                      <w:lang w:val="en-US" w:eastAsia="zh-CN"/>
                    </w:rPr>
                    <w:t>西咸</w:t>
                  </w:r>
                  <w:r>
                    <w:rPr>
                      <w:rFonts w:hint="eastAsia" w:ascii="Times New Roman" w:hAnsi="Times New Roman" w:eastAsia="宋体" w:cs="Times New Roman"/>
                      <w:color w:val="auto"/>
                      <w:kern w:val="0"/>
                      <w:sz w:val="21"/>
                      <w:szCs w:val="21"/>
                      <w:highlight w:val="none"/>
                      <w:lang w:eastAsia="zh-CN"/>
                    </w:rPr>
                    <w:t>新区有关大气、水、土壤污染防治行动计划相关要求，制定区域污染物减排方案，采取有效措施减少主要污染物和挥发性有机物等排放总量，实现区域环境质量改善目标；</w:t>
                  </w:r>
                </w:p>
                <w:p w14:paraId="3B96574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③结合区域大气环境质量改善目标要求，明确无煤化城市建设阶段性目标，进一步优化能源结构，加大无干热岩供热技术的应用推广。加强挥发性有机物产生企业监督管理，强化移动源污染防治；</w:t>
                  </w:r>
                </w:p>
                <w:p w14:paraId="098F472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④结合区域水环境质量改善目标的要求，提高再生水回用率，提高污水厂管理标准；落实畜禽养殖禁养、景观水体建设等措施；</w:t>
                  </w:r>
                </w:p>
                <w:p w14:paraId="24EFF5D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⑤结合规划及水源地保护相关法律法规，加强水源地保护，全力保障饮用水安全；</w:t>
                  </w:r>
                </w:p>
                <w:p w14:paraId="0FEED8D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⑥积极开展垃圾分类试点建设，加强固体废弃物特别是危险废物的集中处理处置。</w:t>
                  </w:r>
                </w:p>
              </w:tc>
              <w:tc>
                <w:tcPr>
                  <w:tcW w:w="2011" w:type="pct"/>
                  <w:noWrap w:val="0"/>
                  <w:vAlign w:val="center"/>
                </w:tcPr>
                <w:p w14:paraId="6460FE9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①本项目位于重点管控单元，符合“三线一单”管控要求</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不属于</w:t>
                  </w:r>
                  <w:r>
                    <w:rPr>
                      <w:rFonts w:hint="eastAsia" w:cs="Times New Roman"/>
                      <w:color w:val="auto"/>
                      <w:kern w:val="0"/>
                      <w:sz w:val="21"/>
                      <w:szCs w:val="21"/>
                      <w:highlight w:val="none"/>
                      <w:lang w:eastAsia="zh-CN"/>
                    </w:rPr>
                    <w:t>“三高一低”项目；</w:t>
                  </w:r>
                  <w:r>
                    <w:rPr>
                      <w:rFonts w:hint="eastAsia" w:cs="Times New Roman"/>
                      <w:color w:val="auto"/>
                      <w:kern w:val="0"/>
                      <w:sz w:val="21"/>
                      <w:szCs w:val="21"/>
                      <w:highlight w:val="none"/>
                      <w:lang w:val="en-US" w:eastAsia="zh-CN"/>
                    </w:rPr>
                    <w:t>废水经处理后排入市政污水管网，排放量较小，大气污染物排放量较小。本项目生产使用电能和天然气；油烟废气采用</w:t>
                  </w:r>
                  <w:r>
                    <w:rPr>
                      <w:rFonts w:hint="eastAsia" w:cs="Times New Roman"/>
                      <w:color w:val="auto"/>
                      <w:sz w:val="21"/>
                      <w:szCs w:val="21"/>
                      <w:lang w:val="en-US" w:eastAsia="zh-CN"/>
                    </w:rPr>
                    <w:t>油烟净化器进行处理，</w:t>
                  </w:r>
                  <w:r>
                    <w:rPr>
                      <w:rFonts w:hint="eastAsia" w:cs="Times New Roman"/>
                      <w:color w:val="auto"/>
                      <w:kern w:val="0"/>
                      <w:sz w:val="21"/>
                      <w:szCs w:val="21"/>
                      <w:highlight w:val="none"/>
                      <w:lang w:val="en-US" w:eastAsia="zh-CN"/>
                    </w:rPr>
                    <w:t>导热油炉采用低氮燃烧器。本项目的</w:t>
                  </w:r>
                  <w:r>
                    <w:rPr>
                      <w:rFonts w:hint="eastAsia" w:ascii="Times New Roman" w:hAnsi="Times New Roman" w:eastAsia="宋体" w:cs="Times New Roman"/>
                      <w:color w:val="auto"/>
                      <w:kern w:val="0"/>
                      <w:sz w:val="21"/>
                      <w:szCs w:val="21"/>
                      <w:highlight w:val="none"/>
                      <w:lang w:eastAsia="zh-CN"/>
                    </w:rPr>
                    <w:t>生产工艺、设备、污染治理技术，以及单位产品能耗、物耗、污染物排放和资源利用率等均</w:t>
                  </w:r>
                  <w:r>
                    <w:rPr>
                      <w:rFonts w:hint="eastAsia" w:cs="Times New Roman"/>
                      <w:color w:val="auto"/>
                      <w:kern w:val="0"/>
                      <w:sz w:val="21"/>
                      <w:szCs w:val="21"/>
                      <w:highlight w:val="none"/>
                      <w:lang w:val="en-US" w:eastAsia="zh-CN"/>
                    </w:rPr>
                    <w:t>可</w:t>
                  </w:r>
                  <w:r>
                    <w:rPr>
                      <w:rFonts w:hint="eastAsia" w:ascii="Times New Roman" w:hAnsi="Times New Roman" w:eastAsia="宋体" w:cs="Times New Roman"/>
                      <w:color w:val="auto"/>
                      <w:kern w:val="0"/>
                      <w:sz w:val="21"/>
                      <w:szCs w:val="21"/>
                      <w:highlight w:val="none"/>
                      <w:lang w:eastAsia="zh-CN"/>
                    </w:rPr>
                    <w:t>达到同行业国际先进水平</w:t>
                  </w:r>
                  <w:r>
                    <w:rPr>
                      <w:rFonts w:hint="eastAsia" w:cs="Times New Roman"/>
                      <w:color w:val="auto"/>
                      <w:kern w:val="0"/>
                      <w:sz w:val="21"/>
                      <w:szCs w:val="21"/>
                      <w:highlight w:val="none"/>
                      <w:lang w:eastAsia="zh-CN"/>
                    </w:rPr>
                    <w:t>。</w:t>
                  </w:r>
                </w:p>
                <w:p w14:paraId="7EEE5F8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②</w:t>
                  </w:r>
                  <w:r>
                    <w:rPr>
                      <w:rFonts w:hint="eastAsia" w:cs="Times New Roman"/>
                      <w:color w:val="auto"/>
                      <w:kern w:val="0"/>
                      <w:sz w:val="21"/>
                      <w:szCs w:val="21"/>
                      <w:highlight w:val="none"/>
                      <w:lang w:val="en-US" w:eastAsia="zh-CN"/>
                    </w:rPr>
                    <w:t>本项目</w:t>
                  </w:r>
                  <w:r>
                    <w:rPr>
                      <w:rFonts w:hint="eastAsia" w:ascii="Times New Roman" w:hAnsi="Times New Roman" w:eastAsia="宋体" w:cs="Times New Roman"/>
                      <w:color w:val="auto"/>
                      <w:kern w:val="0"/>
                      <w:sz w:val="21"/>
                      <w:szCs w:val="21"/>
                      <w:highlight w:val="none"/>
                      <w:lang w:eastAsia="zh-CN"/>
                    </w:rPr>
                    <w:t>产生的</w:t>
                  </w:r>
                  <w:r>
                    <w:rPr>
                      <w:rFonts w:hint="eastAsia" w:ascii="Times New Roman" w:hAnsi="Times New Roman" w:eastAsia="宋体" w:cs="Times New Roman"/>
                      <w:color w:val="auto"/>
                      <w:kern w:val="0"/>
                      <w:sz w:val="21"/>
                      <w:szCs w:val="21"/>
                      <w:highlight w:val="none"/>
                      <w:lang w:val="en-US" w:eastAsia="zh-CN"/>
                    </w:rPr>
                    <w:t>油烟废气经</w:t>
                  </w:r>
                  <w:r>
                    <w:rPr>
                      <w:rFonts w:hint="eastAsia" w:cs="Times New Roman"/>
                      <w:color w:val="auto"/>
                      <w:kern w:val="0"/>
                      <w:sz w:val="21"/>
                      <w:szCs w:val="21"/>
                      <w:highlight w:val="none"/>
                      <w:lang w:val="en-US" w:eastAsia="zh-CN"/>
                    </w:rPr>
                    <w:t>包围型集气设备</w:t>
                  </w:r>
                  <w:r>
                    <w:rPr>
                      <w:rFonts w:hint="eastAsia" w:ascii="Times New Roman" w:hAnsi="Times New Roman" w:eastAsia="宋体" w:cs="Times New Roman"/>
                      <w:color w:val="auto"/>
                      <w:kern w:val="0"/>
                      <w:sz w:val="21"/>
                      <w:szCs w:val="21"/>
                      <w:highlight w:val="none"/>
                      <w:lang w:val="en-US" w:eastAsia="zh-CN"/>
                    </w:rPr>
                    <w:t>收集+油烟净化器</w:t>
                  </w:r>
                  <w:r>
                    <w:rPr>
                      <w:rFonts w:hint="eastAsia" w:ascii="Times New Roman" w:hAnsi="Times New Roman" w:eastAsia="宋体" w:cs="Times New Roman"/>
                      <w:color w:val="auto"/>
                      <w:kern w:val="0"/>
                      <w:sz w:val="21"/>
                      <w:szCs w:val="21"/>
                      <w:highlight w:val="none"/>
                      <w:lang w:eastAsia="zh-CN"/>
                    </w:rPr>
                    <w:t>处理后通过</w:t>
                  </w:r>
                  <w:r>
                    <w:rPr>
                      <w:rFonts w:hint="eastAsia" w:cs="Times New Roman"/>
                      <w:color w:val="auto"/>
                      <w:kern w:val="0"/>
                      <w:sz w:val="21"/>
                      <w:szCs w:val="21"/>
                      <w:highlight w:val="none"/>
                      <w:lang w:val="en-US" w:eastAsia="zh-CN"/>
                    </w:rPr>
                    <w:t>30.4</w:t>
                  </w:r>
                  <w:r>
                    <w:rPr>
                      <w:rFonts w:hint="eastAsia" w:ascii="Times New Roman" w:hAnsi="Times New Roman" w:eastAsia="宋体" w:cs="Times New Roman"/>
                      <w:color w:val="auto"/>
                      <w:kern w:val="0"/>
                      <w:sz w:val="21"/>
                      <w:szCs w:val="21"/>
                      <w:highlight w:val="none"/>
                      <w:lang w:eastAsia="zh-CN"/>
                    </w:rPr>
                    <w:t>m高排气筒（</w:t>
                  </w:r>
                  <w:r>
                    <w:rPr>
                      <w:rFonts w:hint="eastAsia" w:ascii="Times New Roman" w:hAnsi="Times New Roman" w:eastAsia="宋体" w:cs="Times New Roman"/>
                      <w:color w:val="auto"/>
                      <w:kern w:val="0"/>
                      <w:sz w:val="21"/>
                      <w:szCs w:val="21"/>
                      <w:highlight w:val="none"/>
                      <w:lang w:val="en-US" w:eastAsia="zh-CN"/>
                    </w:rPr>
                    <w:t>DA001</w:t>
                  </w:r>
                  <w:r>
                    <w:rPr>
                      <w:rFonts w:hint="eastAsia" w:ascii="Times New Roman" w:hAnsi="Times New Roman" w:eastAsia="宋体" w:cs="Times New Roman"/>
                      <w:color w:val="auto"/>
                      <w:kern w:val="0"/>
                      <w:sz w:val="21"/>
                      <w:szCs w:val="21"/>
                      <w:highlight w:val="none"/>
                      <w:lang w:eastAsia="zh-CN"/>
                    </w:rPr>
                    <w:t>）排放，</w:t>
                  </w:r>
                  <w:r>
                    <w:rPr>
                      <w:rFonts w:hint="eastAsia" w:ascii="Times New Roman" w:hAnsi="Times New Roman" w:eastAsia="宋体" w:cs="Times New Roman"/>
                      <w:color w:val="auto"/>
                      <w:kern w:val="0"/>
                      <w:sz w:val="21"/>
                      <w:szCs w:val="21"/>
                      <w:highlight w:val="none"/>
                      <w:lang w:val="en-US" w:eastAsia="zh-CN"/>
                    </w:rPr>
                    <w:t>导热油炉采用低氮燃烧器，燃烧废气</w:t>
                  </w:r>
                  <w:r>
                    <w:rPr>
                      <w:rFonts w:hint="eastAsia" w:ascii="Times New Roman" w:hAnsi="Times New Roman" w:eastAsia="宋体" w:cs="Times New Roman"/>
                      <w:color w:val="auto"/>
                      <w:kern w:val="0"/>
                      <w:sz w:val="21"/>
                      <w:szCs w:val="21"/>
                      <w:highlight w:val="none"/>
                      <w:lang w:eastAsia="zh-CN"/>
                    </w:rPr>
                    <w:t>通过</w:t>
                  </w:r>
                  <w:r>
                    <w:rPr>
                      <w:rFonts w:hint="eastAsia" w:cs="Times New Roman"/>
                      <w:color w:val="auto"/>
                      <w:kern w:val="0"/>
                      <w:sz w:val="21"/>
                      <w:szCs w:val="21"/>
                      <w:highlight w:val="none"/>
                      <w:lang w:val="en-US" w:eastAsia="zh-CN"/>
                    </w:rPr>
                    <w:t>30.4</w:t>
                  </w:r>
                  <w:r>
                    <w:rPr>
                      <w:rFonts w:hint="eastAsia" w:ascii="Times New Roman" w:hAnsi="Times New Roman" w:eastAsia="宋体" w:cs="Times New Roman"/>
                      <w:color w:val="auto"/>
                      <w:kern w:val="0"/>
                      <w:sz w:val="21"/>
                      <w:szCs w:val="21"/>
                      <w:highlight w:val="none"/>
                      <w:lang w:eastAsia="zh-CN"/>
                    </w:rPr>
                    <w:t>m高排气筒（</w:t>
                  </w:r>
                  <w:r>
                    <w:rPr>
                      <w:rFonts w:hint="eastAsia" w:ascii="Times New Roman" w:hAnsi="Times New Roman" w:eastAsia="宋体" w:cs="Times New Roman"/>
                      <w:color w:val="auto"/>
                      <w:kern w:val="0"/>
                      <w:sz w:val="21"/>
                      <w:szCs w:val="21"/>
                      <w:highlight w:val="none"/>
                      <w:lang w:val="en-US" w:eastAsia="zh-CN"/>
                    </w:rPr>
                    <w:t>DA00</w:t>
                  </w:r>
                  <w:r>
                    <w:rPr>
                      <w:rFonts w:hint="eastAsia"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eastAsia="zh-CN"/>
                    </w:rPr>
                    <w:t>）排放</w:t>
                  </w:r>
                  <w:r>
                    <w:rPr>
                      <w:rFonts w:hint="eastAsia" w:cs="Times New Roman"/>
                      <w:color w:val="auto"/>
                      <w:kern w:val="0"/>
                      <w:sz w:val="21"/>
                      <w:szCs w:val="21"/>
                      <w:highlight w:val="none"/>
                      <w:lang w:val="en-US" w:eastAsia="zh-CN"/>
                    </w:rPr>
                    <w:t>；生产废水依托租赁方废水处理站处理后通过市政污水管网排入沣西新城渭河污水处理厂；</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依托租赁方化粪池处理后</w:t>
                  </w:r>
                  <w:r>
                    <w:rPr>
                      <w:rFonts w:hint="default" w:ascii="Times New Roman" w:hAnsi="Times New Roman" w:cs="Times New Roman"/>
                      <w:color w:val="auto"/>
                      <w:sz w:val="21"/>
                      <w:szCs w:val="21"/>
                      <w:lang w:val="en-US" w:eastAsia="zh-CN"/>
                    </w:rPr>
                    <w:t>通过市政污水管网排入沣西新城渭河污水处理厂</w:t>
                  </w:r>
                  <w:r>
                    <w:rPr>
                      <w:rFonts w:hint="eastAsia" w:cs="Times New Roman"/>
                      <w:color w:val="auto"/>
                      <w:sz w:val="21"/>
                      <w:szCs w:val="21"/>
                      <w:lang w:val="en-US" w:eastAsia="zh-CN"/>
                    </w:rPr>
                    <w:t>；</w:t>
                  </w:r>
                  <w:r>
                    <w:rPr>
                      <w:rFonts w:hint="eastAsia" w:cs="Times New Roman"/>
                      <w:color w:val="auto"/>
                      <w:kern w:val="0"/>
                      <w:sz w:val="21"/>
                      <w:szCs w:val="21"/>
                      <w:highlight w:val="none"/>
                      <w:lang w:val="en-US" w:eastAsia="zh-CN"/>
                    </w:rPr>
                    <w:t>项目在采取以上措施后，对周边环境质量影响较小。</w:t>
                  </w:r>
                </w:p>
                <w:p w14:paraId="5BF7B52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③</w:t>
                  </w:r>
                  <w:r>
                    <w:rPr>
                      <w:rFonts w:hint="eastAsia" w:cs="Times New Roman"/>
                      <w:color w:val="auto"/>
                      <w:kern w:val="0"/>
                      <w:sz w:val="21"/>
                      <w:szCs w:val="21"/>
                      <w:highlight w:val="none"/>
                      <w:lang w:val="en-US" w:eastAsia="zh-CN"/>
                    </w:rPr>
                    <w:t>本项目使用清洁能源电、天然气，不使用煤炭。</w:t>
                  </w:r>
                </w:p>
                <w:p w14:paraId="499609D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④</w:t>
                  </w:r>
                  <w:r>
                    <w:rPr>
                      <w:rFonts w:hint="eastAsia" w:cs="Times New Roman"/>
                      <w:color w:val="auto"/>
                      <w:kern w:val="0"/>
                      <w:sz w:val="21"/>
                      <w:szCs w:val="21"/>
                      <w:highlight w:val="none"/>
                      <w:lang w:val="en-US" w:eastAsia="zh-CN"/>
                    </w:rPr>
                    <w:t>本项目生产废水依托租赁方废水处理站处理后通过市政污水管网排入沣西新城渭河污水处理厂。</w:t>
                  </w:r>
                </w:p>
                <w:p w14:paraId="7608DF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eastAsia"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⑤</w:t>
                  </w:r>
                  <w:r>
                    <w:rPr>
                      <w:rFonts w:hint="eastAsia" w:cs="Times New Roman"/>
                      <w:color w:val="auto"/>
                      <w:kern w:val="0"/>
                      <w:sz w:val="21"/>
                      <w:szCs w:val="21"/>
                      <w:highlight w:val="none"/>
                      <w:lang w:val="en-US" w:eastAsia="zh-CN"/>
                    </w:rPr>
                    <w:t>本项目原料全部存放于库房内，库房和生产车间地面全部采用防渗混凝土进行硬化，项目周边无饮用水水源地。</w:t>
                  </w:r>
                </w:p>
                <w:p w14:paraId="36F8143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eastAsia="zh-CN"/>
                    </w:rPr>
                    <w:t>⑥本项目</w:t>
                  </w:r>
                  <w:r>
                    <w:rPr>
                      <w:rFonts w:hint="default" w:ascii="Times New Roman" w:hAnsi="Times New Roman" w:cs="Times New Roman"/>
                      <w:color w:val="auto"/>
                      <w:sz w:val="21"/>
                      <w:szCs w:val="21"/>
                      <w:lang w:val="en-US" w:eastAsia="zh-CN"/>
                    </w:rPr>
                    <w:t>生活垃圾由垃圾桶分类收集，交由环卫部门处理</w:t>
                  </w:r>
                  <w:r>
                    <w:rPr>
                      <w:rFonts w:hint="eastAsia" w:ascii="Times New Roman" w:hAnsi="Times New Roman" w:eastAsia="宋体" w:cs="Times New Roman"/>
                      <w:color w:val="auto"/>
                      <w:kern w:val="0"/>
                      <w:sz w:val="21"/>
                      <w:szCs w:val="21"/>
                      <w:highlight w:val="none"/>
                      <w:lang w:eastAsia="zh-CN"/>
                    </w:rPr>
                    <w:t>；</w:t>
                  </w:r>
                  <w:r>
                    <w:rPr>
                      <w:rFonts w:hint="eastAsia" w:cs="Times New Roman"/>
                      <w:color w:val="auto"/>
                      <w:sz w:val="21"/>
                      <w:szCs w:val="21"/>
                      <w:lang w:val="en-US" w:eastAsia="zh-CN"/>
                    </w:rPr>
                    <w:t>筛选废料、废包装材料集中收集后外售，废油脂由专用容器收集后交由专门的回收单位处置；污泥依托租赁方废水处理站的叠螺脱水机脱水后委外处置</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废导热油</w:t>
                  </w:r>
                  <w:r>
                    <w:rPr>
                      <w:rFonts w:hint="eastAsia" w:cs="Times New Roman"/>
                      <w:color w:val="auto"/>
                      <w:sz w:val="21"/>
                      <w:szCs w:val="21"/>
                      <w:lang w:val="en-US" w:eastAsia="zh-CN"/>
                    </w:rPr>
                    <w:t>收集后</w:t>
                  </w:r>
                  <w:r>
                    <w:rPr>
                      <w:rFonts w:hint="default" w:ascii="Times New Roman" w:hAnsi="Times New Roman" w:cs="Times New Roman"/>
                      <w:color w:val="auto"/>
                      <w:sz w:val="21"/>
                      <w:szCs w:val="21"/>
                      <w:lang w:val="en-US" w:eastAsia="zh-CN"/>
                    </w:rPr>
                    <w:t>暂存于</w:t>
                  </w:r>
                  <w:r>
                    <w:rPr>
                      <w:rFonts w:hint="eastAsia" w:cs="Times New Roman"/>
                      <w:color w:val="auto"/>
                      <w:sz w:val="21"/>
                      <w:szCs w:val="21"/>
                      <w:lang w:val="en-US" w:eastAsia="zh-CN"/>
                    </w:rPr>
                    <w:t>租赁方</w:t>
                  </w:r>
                  <w:r>
                    <w:rPr>
                      <w:rFonts w:hint="default" w:ascii="Times New Roman" w:hAnsi="Times New Roman" w:cs="Times New Roman"/>
                      <w:color w:val="auto"/>
                      <w:sz w:val="21"/>
                      <w:szCs w:val="21"/>
                      <w:lang w:val="en-US" w:eastAsia="zh-CN"/>
                    </w:rPr>
                    <w:t>危险废物贮存库，定期交由有资质的单位处置</w:t>
                  </w:r>
                  <w:r>
                    <w:rPr>
                      <w:rFonts w:hint="eastAsia" w:cs="Times New Roman"/>
                      <w:color w:val="auto"/>
                      <w:kern w:val="0"/>
                      <w:sz w:val="21"/>
                      <w:szCs w:val="21"/>
                      <w:highlight w:val="none"/>
                      <w:lang w:eastAsia="zh-CN"/>
                    </w:rPr>
                    <w:t>。</w:t>
                  </w:r>
                </w:p>
              </w:tc>
              <w:tc>
                <w:tcPr>
                  <w:tcW w:w="419" w:type="pct"/>
                  <w:noWrap w:val="0"/>
                  <w:vAlign w:val="center"/>
                </w:tcPr>
                <w:p w14:paraId="6052268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符合</w:t>
                  </w:r>
                </w:p>
              </w:tc>
            </w:tr>
          </w:tbl>
          <w:p w14:paraId="5134C374">
            <w:pPr>
              <w:autoSpaceDE w:val="0"/>
              <w:autoSpaceDN w:val="0"/>
              <w:spacing w:line="240" w:lineRule="auto"/>
              <w:ind w:firstLine="0" w:firstLineChars="0"/>
              <w:jc w:val="center"/>
              <w:rPr>
                <w:rFonts w:hint="default" w:ascii="Times New Roman" w:hAnsi="Times New Roman" w:cs="Times New Roman"/>
                <w:color w:val="auto"/>
                <w:kern w:val="0"/>
              </w:rPr>
            </w:pPr>
          </w:p>
        </w:tc>
      </w:tr>
      <w:tr w14:paraId="466940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49" w:type="dxa"/>
            <w:vAlign w:val="center"/>
          </w:tcPr>
          <w:p w14:paraId="2A29663E">
            <w:pPr>
              <w:autoSpaceDE w:val="0"/>
              <w:autoSpaceDN w:val="0"/>
              <w:adjustRightInd w:val="0"/>
              <w:snapToGrid w:val="0"/>
              <w:ind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t>其他符合性分析</w:t>
            </w:r>
          </w:p>
        </w:tc>
        <w:tc>
          <w:tcPr>
            <w:tcW w:w="7321" w:type="dxa"/>
            <w:gridSpan w:val="3"/>
            <w:vAlign w:val="center"/>
          </w:tcPr>
          <w:p w14:paraId="32729843">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bCs/>
                <w:color w:val="auto"/>
              </w:rPr>
            </w:pPr>
            <w:r>
              <w:rPr>
                <w:rFonts w:hint="eastAsia" w:cs="Times New Roman"/>
                <w:b/>
                <w:bCs/>
                <w:color w:val="auto"/>
                <w:lang w:eastAsia="zh-CN"/>
              </w:rPr>
              <w:t>1.</w:t>
            </w:r>
            <w:r>
              <w:rPr>
                <w:rFonts w:hint="default" w:ascii="Times New Roman" w:hAnsi="Times New Roman" w:cs="Times New Roman"/>
                <w:b/>
                <w:bCs/>
                <w:color w:val="auto"/>
              </w:rPr>
              <w:t>与“三线一单”符合性分析</w:t>
            </w:r>
          </w:p>
          <w:p w14:paraId="2DE7179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lang w:val="zh-CN"/>
              </w:rPr>
            </w:pPr>
            <w:r>
              <w:rPr>
                <w:rFonts w:hint="default" w:ascii="Times New Roman" w:hAnsi="Times New Roman" w:cs="Times New Roman"/>
                <w:color w:val="auto"/>
              </w:rPr>
              <w:t>根据《陕西省“三线一单”生态环境分区管控应用技术指南：环境影响评价（试行）》（陕环办发〔2022〕76号）、</w:t>
            </w:r>
            <w:r>
              <w:rPr>
                <w:rFonts w:hint="default"/>
                <w:color w:val="auto"/>
              </w:rPr>
              <w:t>《西安市生态环境保护委员会办公室关于印发&lt;2023年西安市生态环境分区管控调整方案&gt;的通知》（市生态委办发〔2024〕16号）</w:t>
            </w:r>
            <w:r>
              <w:rPr>
                <w:rFonts w:hint="default" w:ascii="Times New Roman" w:hAnsi="Times New Roman" w:cs="Times New Roman"/>
                <w:color w:val="auto"/>
              </w:rPr>
              <w:t>，</w:t>
            </w:r>
            <w:r>
              <w:rPr>
                <w:rFonts w:hint="default" w:ascii="Times New Roman" w:hAnsi="Times New Roman" w:cs="Times New Roman"/>
                <w:color w:val="auto"/>
                <w:lang w:val="zh-CN"/>
              </w:rPr>
              <w:t>本次评价采用“一图一表一说明”的表达方式对涉及“三线一单”生态环境分区管控符合性分析，具体如下：</w:t>
            </w:r>
          </w:p>
          <w:p w14:paraId="307D063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rPr>
            </w:pPr>
            <w:r>
              <w:rPr>
                <w:rFonts w:hint="default" w:ascii="Times New Roman" w:hAnsi="Times New Roman" w:cs="Times New Roman"/>
                <w:color w:val="auto"/>
                <w:lang w:val="zh-CN"/>
              </w:rPr>
              <w:t>一图：本项目“三线一单”生态环境分区管控单元图见图</w:t>
            </w:r>
            <w:r>
              <w:rPr>
                <w:rFonts w:hint="default" w:ascii="Times New Roman" w:hAnsi="Times New Roman" w:cs="Times New Roman"/>
                <w:color w:val="auto"/>
              </w:rPr>
              <w:t>1</w:t>
            </w:r>
            <w:r>
              <w:rPr>
                <w:rFonts w:hint="eastAsia" w:cs="Times New Roman"/>
                <w:color w:val="auto"/>
                <w:lang w:val="en-US" w:eastAsia="zh-CN"/>
              </w:rPr>
              <w:t>-1</w:t>
            </w:r>
            <w:r>
              <w:rPr>
                <w:rFonts w:hint="default" w:ascii="Times New Roman" w:hAnsi="Times New Roman" w:cs="Times New Roman"/>
                <w:color w:val="auto"/>
              </w:rPr>
              <w:t>。</w:t>
            </w:r>
          </w:p>
          <w:p w14:paraId="01F94BF2">
            <w:pPr>
              <w:spacing w:line="360" w:lineRule="auto"/>
              <w:ind w:left="0" w:leftChars="0" w:firstLine="0" w:firstLineChars="0"/>
              <w:jc w:val="center"/>
              <w:rPr>
                <w:rFonts w:hint="default" w:ascii="Times New Roman" w:hAnsi="Times New Roman" w:cs="Times New Roman"/>
                <w:b/>
                <w:bCs/>
                <w:color w:val="auto"/>
              </w:rPr>
            </w:pPr>
            <w:r>
              <w:rPr>
                <w:color w:val="auto"/>
              </w:rPr>
              <w:drawing>
                <wp:inline distT="0" distB="0" distL="114300" distR="114300">
                  <wp:extent cx="3141980" cy="4284345"/>
                  <wp:effectExtent l="0" t="0" r="1270" b="1905"/>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15"/>
                          <a:stretch>
                            <a:fillRect/>
                          </a:stretch>
                        </pic:blipFill>
                        <pic:spPr>
                          <a:xfrm>
                            <a:off x="0" y="0"/>
                            <a:ext cx="3141980" cy="4284345"/>
                          </a:xfrm>
                          <a:prstGeom prst="rect">
                            <a:avLst/>
                          </a:prstGeom>
                          <a:noFill/>
                          <a:ln>
                            <a:noFill/>
                          </a:ln>
                        </pic:spPr>
                      </pic:pic>
                    </a:graphicData>
                  </a:graphic>
                </wp:inline>
              </w:drawing>
            </w:r>
          </w:p>
          <w:p w14:paraId="1CE8A326">
            <w:pPr>
              <w:pStyle w:val="54"/>
              <w:rPr>
                <w:rFonts w:hint="eastAsia" w:ascii="Times New Roman" w:hAnsi="Times New Roman" w:eastAsia="宋体" w:cs="Times New Roman"/>
                <w:color w:val="auto"/>
                <w:lang w:eastAsia="zh-CN"/>
              </w:rPr>
            </w:pPr>
            <w:r>
              <w:rPr>
                <w:rFonts w:hint="default" w:ascii="Times New Roman" w:hAnsi="Times New Roman" w:cs="Times New Roman"/>
                <w:color w:val="auto"/>
              </w:rPr>
              <w:t>图1</w:t>
            </w:r>
            <w:r>
              <w:rPr>
                <w:rFonts w:hint="eastAsia" w:cs="Times New Roman"/>
                <w:color w:val="auto"/>
                <w:lang w:val="en-US" w:eastAsia="zh-CN"/>
              </w:rPr>
              <w:t>-1</w:t>
            </w:r>
            <w:r>
              <w:rPr>
                <w:rFonts w:hint="default" w:ascii="Times New Roman" w:hAnsi="Times New Roman" w:cs="Times New Roman"/>
                <w:color w:val="auto"/>
              </w:rPr>
              <w:t xml:space="preserve">  </w:t>
            </w:r>
            <w:r>
              <w:rPr>
                <w:rFonts w:hint="eastAsia" w:cs="Times New Roman"/>
                <w:color w:val="auto"/>
                <w:lang w:val="en-US" w:eastAsia="zh-CN"/>
              </w:rPr>
              <w:t>生态环境分区管控单元图</w:t>
            </w:r>
          </w:p>
          <w:p w14:paraId="6BD3C773">
            <w:pPr>
              <w:pStyle w:val="55"/>
              <w:rPr>
                <w:rFonts w:hint="default" w:ascii="Times New Roman" w:hAnsi="Times New Roman" w:cs="Times New Roman"/>
                <w:color w:val="auto"/>
                <w:kern w:val="0"/>
                <w:szCs w:val="21"/>
                <w:lang w:val="zh-CN"/>
              </w:rPr>
            </w:pPr>
            <w:r>
              <w:rPr>
                <w:rFonts w:hint="default" w:ascii="Times New Roman" w:hAnsi="Times New Roman" w:cs="Times New Roman"/>
                <w:color w:val="auto"/>
                <w:kern w:val="0"/>
                <w:szCs w:val="21"/>
                <w:lang w:val="zh-CN" w:eastAsia="zh-CN"/>
              </w:rPr>
              <w:t>一表：</w:t>
            </w:r>
            <w:r>
              <w:rPr>
                <w:rFonts w:hint="default" w:ascii="Times New Roman" w:hAnsi="Times New Roman" w:cs="Times New Roman"/>
                <w:color w:val="auto"/>
                <w:kern w:val="0"/>
                <w:szCs w:val="21"/>
                <w:lang w:val="en-US" w:eastAsia="zh-CN"/>
              </w:rPr>
              <w:t>项目范围涉及的生态环境管控单元准入清单见表1-</w:t>
            </w:r>
            <w:r>
              <w:rPr>
                <w:rFonts w:hint="eastAsia" w:ascii="Times New Roman" w:hAnsi="Times New Roman" w:cs="Times New Roman"/>
                <w:color w:val="auto"/>
                <w:kern w:val="0"/>
                <w:szCs w:val="21"/>
                <w:lang w:val="en-US" w:eastAsia="zh-CN"/>
              </w:rPr>
              <w:t>3</w:t>
            </w:r>
            <w:r>
              <w:rPr>
                <w:rFonts w:hint="default" w:ascii="Times New Roman" w:hAnsi="Times New Roman" w:cs="Times New Roman"/>
                <w:color w:val="auto"/>
                <w:kern w:val="0"/>
                <w:szCs w:val="21"/>
                <w:lang w:val="en-US" w:eastAsia="zh-CN"/>
              </w:rPr>
              <w:t>。</w:t>
            </w:r>
          </w:p>
          <w:p w14:paraId="11BBFD46">
            <w:pPr>
              <w:pStyle w:val="54"/>
              <w:rPr>
                <w:rFonts w:hint="default" w:ascii="Times New Roman" w:hAnsi="Times New Roman" w:eastAsia="宋体" w:cs="Times New Roman"/>
                <w:color w:val="auto"/>
              </w:rPr>
            </w:pPr>
            <w:r>
              <w:rPr>
                <w:rFonts w:hint="default" w:ascii="Times New Roman" w:hAnsi="Times New Roman" w:eastAsia="宋体" w:cs="Times New Roman"/>
                <w:color w:val="auto"/>
              </w:rPr>
              <w:t>表1-</w:t>
            </w:r>
            <w:r>
              <w:rPr>
                <w:rFonts w:hint="eastAsia" w:cs="Times New Roman"/>
                <w:color w:val="auto"/>
                <w:lang w:val="en-US" w:eastAsia="zh-CN"/>
              </w:rPr>
              <w:t>3</w:t>
            </w:r>
            <w:r>
              <w:rPr>
                <w:rFonts w:hint="default" w:ascii="Times New Roman" w:hAnsi="Times New Roman" w:eastAsia="宋体" w:cs="Times New Roman"/>
                <w:color w:val="auto"/>
              </w:rPr>
              <w:t xml:space="preserve">  建设项目范围涉及的生态环境管控单元准入清单</w:t>
            </w:r>
          </w:p>
          <w:tbl>
            <w:tblPr>
              <w:tblStyle w:val="22"/>
              <w:tblW w:w="71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
              <w:gridCol w:w="425"/>
              <w:gridCol w:w="437"/>
              <w:gridCol w:w="438"/>
              <w:gridCol w:w="461"/>
              <w:gridCol w:w="401"/>
              <w:gridCol w:w="449"/>
              <w:gridCol w:w="1813"/>
              <w:gridCol w:w="1173"/>
              <w:gridCol w:w="802"/>
              <w:gridCol w:w="423"/>
            </w:tblGrid>
            <w:tr w14:paraId="0517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2" w:hRule="atLeast"/>
                <w:jc w:val="center"/>
              </w:trPr>
              <w:tc>
                <w:tcPr>
                  <w:tcW w:w="258" w:type="pct"/>
                  <w:tcBorders>
                    <w:tl2br w:val="nil"/>
                    <w:tr2bl w:val="nil"/>
                  </w:tcBorders>
                  <w:vAlign w:val="center"/>
                </w:tcPr>
                <w:p w14:paraId="2E45ED31">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295" w:type="pct"/>
                  <w:tcBorders>
                    <w:tl2br w:val="nil"/>
                    <w:tr2bl w:val="nil"/>
                  </w:tcBorders>
                  <w:vAlign w:val="center"/>
                </w:tcPr>
                <w:p w14:paraId="082949D3">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市</w:t>
                  </w:r>
                </w:p>
              </w:tc>
              <w:tc>
                <w:tcPr>
                  <w:tcW w:w="303" w:type="pct"/>
                  <w:tcBorders>
                    <w:tl2br w:val="nil"/>
                    <w:tr2bl w:val="nil"/>
                  </w:tcBorders>
                  <w:vAlign w:val="center"/>
                </w:tcPr>
                <w:p w14:paraId="015E7BE8">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区县</w:t>
                  </w:r>
                </w:p>
              </w:tc>
              <w:tc>
                <w:tcPr>
                  <w:tcW w:w="304" w:type="pct"/>
                  <w:tcBorders>
                    <w:tl2br w:val="nil"/>
                    <w:tr2bl w:val="nil"/>
                  </w:tcBorders>
                  <w:vAlign w:val="center"/>
                </w:tcPr>
                <w:p w14:paraId="48EF546E">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环境管控单元名称</w:t>
                  </w:r>
                </w:p>
              </w:tc>
              <w:tc>
                <w:tcPr>
                  <w:tcW w:w="320" w:type="pct"/>
                  <w:tcBorders>
                    <w:tl2br w:val="nil"/>
                    <w:tr2bl w:val="nil"/>
                  </w:tcBorders>
                  <w:vAlign w:val="center"/>
                </w:tcPr>
                <w:p w14:paraId="303F1B4C">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管控</w:t>
                  </w:r>
                  <w:r>
                    <w:rPr>
                      <w:rFonts w:hint="default" w:ascii="Times New Roman" w:hAnsi="Times New Roman" w:cs="Times New Roman"/>
                      <w:color w:val="auto"/>
                      <w:sz w:val="21"/>
                      <w:szCs w:val="21"/>
                    </w:rPr>
                    <w:t>单元属性</w:t>
                  </w:r>
                </w:p>
              </w:tc>
              <w:tc>
                <w:tcPr>
                  <w:tcW w:w="278" w:type="pct"/>
                  <w:tcBorders>
                    <w:tl2br w:val="nil"/>
                    <w:tr2bl w:val="nil"/>
                  </w:tcBorders>
                  <w:vAlign w:val="center"/>
                </w:tcPr>
                <w:p w14:paraId="14FAE413">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管控单元分类</w:t>
                  </w:r>
                </w:p>
              </w:tc>
              <w:tc>
                <w:tcPr>
                  <w:tcW w:w="1572" w:type="pct"/>
                  <w:gridSpan w:val="2"/>
                  <w:tcBorders>
                    <w:tl2br w:val="nil"/>
                    <w:tr2bl w:val="nil"/>
                  </w:tcBorders>
                  <w:vAlign w:val="center"/>
                </w:tcPr>
                <w:p w14:paraId="3432A62F">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管控要求</w:t>
                  </w:r>
                </w:p>
              </w:tc>
              <w:tc>
                <w:tcPr>
                  <w:tcW w:w="815" w:type="pct"/>
                  <w:tcBorders>
                    <w:tl2br w:val="nil"/>
                    <w:tr2bl w:val="nil"/>
                  </w:tcBorders>
                  <w:vAlign w:val="center"/>
                </w:tcPr>
                <w:p w14:paraId="423F73DC">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本项目情况</w:t>
                  </w:r>
                </w:p>
              </w:tc>
              <w:tc>
                <w:tcPr>
                  <w:tcW w:w="557" w:type="pct"/>
                  <w:tcBorders>
                    <w:tl2br w:val="nil"/>
                    <w:tr2bl w:val="nil"/>
                  </w:tcBorders>
                  <w:vAlign w:val="center"/>
                </w:tcPr>
                <w:p w14:paraId="12ED0210">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占地面积（m</w:t>
                  </w:r>
                  <w:r>
                    <w:rPr>
                      <w:rFonts w:hint="default" w:ascii="Times New Roman" w:hAnsi="Times New Roman" w:cs="Times New Roman"/>
                      <w:color w:val="auto"/>
                      <w:sz w:val="21"/>
                      <w:szCs w:val="21"/>
                      <w:vertAlign w:val="superscript"/>
                    </w:rPr>
                    <w:t>2</w:t>
                  </w:r>
                  <w:r>
                    <w:rPr>
                      <w:rFonts w:hint="default" w:ascii="Times New Roman" w:hAnsi="Times New Roman" w:cs="Times New Roman"/>
                      <w:color w:val="auto"/>
                      <w:sz w:val="21"/>
                      <w:szCs w:val="21"/>
                    </w:rPr>
                    <w:t>）</w:t>
                  </w:r>
                </w:p>
              </w:tc>
              <w:tc>
                <w:tcPr>
                  <w:tcW w:w="293" w:type="pct"/>
                  <w:tcBorders>
                    <w:tl2br w:val="nil"/>
                    <w:tr2bl w:val="nil"/>
                  </w:tcBorders>
                  <w:vAlign w:val="center"/>
                </w:tcPr>
                <w:p w14:paraId="2E40EEF4">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符合性</w:t>
                  </w:r>
                </w:p>
              </w:tc>
            </w:tr>
            <w:tr w14:paraId="4239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58" w:type="pct"/>
                  <w:vMerge w:val="restart"/>
                  <w:tcBorders>
                    <w:tl2br w:val="nil"/>
                    <w:tr2bl w:val="nil"/>
                  </w:tcBorders>
                  <w:vAlign w:val="center"/>
                </w:tcPr>
                <w:p w14:paraId="60D853E0">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295" w:type="pct"/>
                  <w:vMerge w:val="restart"/>
                  <w:tcBorders>
                    <w:tl2br w:val="nil"/>
                    <w:tr2bl w:val="nil"/>
                  </w:tcBorders>
                  <w:vAlign w:val="center"/>
                </w:tcPr>
                <w:p w14:paraId="5529A0F6">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eastAsia" w:cs="Times New Roman"/>
                      <w:color w:val="auto"/>
                      <w:sz w:val="21"/>
                      <w:szCs w:val="21"/>
                      <w:lang w:val="en-US" w:eastAsia="zh-CN"/>
                    </w:rPr>
                    <w:t>咸阳市</w:t>
                  </w:r>
                </w:p>
              </w:tc>
              <w:tc>
                <w:tcPr>
                  <w:tcW w:w="303" w:type="pct"/>
                  <w:vMerge w:val="restart"/>
                  <w:tcBorders>
                    <w:tl2br w:val="nil"/>
                    <w:tr2bl w:val="nil"/>
                  </w:tcBorders>
                  <w:vAlign w:val="center"/>
                </w:tcPr>
                <w:p w14:paraId="23EDD576">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eastAsia"/>
                      <w:color w:val="auto"/>
                      <w:sz w:val="21"/>
                      <w:szCs w:val="21"/>
                      <w:lang w:val="en-US" w:eastAsia="zh-CN"/>
                    </w:rPr>
                    <w:t>秦都</w:t>
                  </w:r>
                  <w:r>
                    <w:rPr>
                      <w:color w:val="auto"/>
                      <w:sz w:val="21"/>
                      <w:szCs w:val="21"/>
                    </w:rPr>
                    <w:t>区</w:t>
                  </w:r>
                </w:p>
              </w:tc>
              <w:tc>
                <w:tcPr>
                  <w:tcW w:w="304" w:type="pct"/>
                  <w:vMerge w:val="restart"/>
                  <w:tcBorders>
                    <w:tl2br w:val="nil"/>
                    <w:tr2bl w:val="nil"/>
                  </w:tcBorders>
                  <w:vAlign w:val="center"/>
                </w:tcPr>
                <w:p w14:paraId="26C07348">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陕西省咸阳市</w:t>
                  </w:r>
                </w:p>
                <w:p w14:paraId="7F76D71D">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秦都</w:t>
                  </w:r>
                  <w:r>
                    <w:rPr>
                      <w:color w:val="auto"/>
                      <w:sz w:val="21"/>
                      <w:szCs w:val="21"/>
                    </w:rPr>
                    <w:t>区</w:t>
                  </w:r>
                  <w:r>
                    <w:rPr>
                      <w:rFonts w:hint="eastAsia" w:cs="Times New Roman"/>
                      <w:color w:val="auto"/>
                      <w:sz w:val="21"/>
                      <w:szCs w:val="21"/>
                      <w:lang w:val="en-US" w:eastAsia="zh-CN"/>
                    </w:rPr>
                    <w:t>重点</w:t>
                  </w:r>
                  <w:r>
                    <w:rPr>
                      <w:rFonts w:hint="default" w:ascii="Times New Roman" w:hAnsi="Times New Roman" w:eastAsia="宋体" w:cs="Times New Roman"/>
                      <w:color w:val="auto"/>
                      <w:sz w:val="21"/>
                      <w:szCs w:val="21"/>
                      <w:lang w:val="zh-CN"/>
                    </w:rPr>
                    <w:t>管控</w:t>
                  </w:r>
                  <w:r>
                    <w:rPr>
                      <w:rFonts w:hint="eastAsia" w:cs="Times New Roman"/>
                      <w:color w:val="auto"/>
                      <w:sz w:val="21"/>
                      <w:szCs w:val="21"/>
                      <w:lang w:val="en-US" w:eastAsia="zh-CN"/>
                    </w:rPr>
                    <w:t>单元6（西咸新区）</w:t>
                  </w:r>
                </w:p>
              </w:tc>
              <w:tc>
                <w:tcPr>
                  <w:tcW w:w="320" w:type="pct"/>
                  <w:vMerge w:val="restart"/>
                  <w:tcBorders>
                    <w:tl2br w:val="nil"/>
                    <w:tr2bl w:val="nil"/>
                  </w:tcBorders>
                  <w:vAlign w:val="center"/>
                </w:tcPr>
                <w:p w14:paraId="3650EDE2">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大气</w:t>
                  </w:r>
                </w:p>
                <w:p w14:paraId="69137200">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环境</w:t>
                  </w:r>
                </w:p>
                <w:p w14:paraId="1F1E68EF">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受体敏感重点管控区、水</w:t>
                  </w:r>
                </w:p>
                <w:p w14:paraId="5A595BCD">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环境</w:t>
                  </w:r>
                </w:p>
                <w:p w14:paraId="12FFDF6E">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城镇</w:t>
                  </w:r>
                </w:p>
                <w:p w14:paraId="33425964">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生活</w:t>
                  </w:r>
                </w:p>
                <w:p w14:paraId="60BEA1F2">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污染</w:t>
                  </w:r>
                </w:p>
                <w:p w14:paraId="662131A7">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重点</w:t>
                  </w:r>
                </w:p>
                <w:p w14:paraId="156D5993">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管控</w:t>
                  </w:r>
                </w:p>
                <w:p w14:paraId="7BDA870F">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区、高</w:t>
                  </w:r>
                </w:p>
                <w:p w14:paraId="12A9F2BA">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污染</w:t>
                  </w:r>
                </w:p>
                <w:p w14:paraId="43C177F7">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燃料</w:t>
                  </w:r>
                </w:p>
                <w:p w14:paraId="22158D39">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禁燃</w:t>
                  </w:r>
                </w:p>
                <w:p w14:paraId="1EF09A99">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区</w:t>
                  </w:r>
                </w:p>
              </w:tc>
              <w:tc>
                <w:tcPr>
                  <w:tcW w:w="278" w:type="pct"/>
                  <w:vMerge w:val="restart"/>
                  <w:tcBorders>
                    <w:tl2br w:val="nil"/>
                    <w:tr2bl w:val="nil"/>
                  </w:tcBorders>
                  <w:vAlign w:val="center"/>
                </w:tcPr>
                <w:p w14:paraId="2BC01F7C">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重点管控单元</w:t>
                  </w:r>
                </w:p>
              </w:tc>
              <w:tc>
                <w:tcPr>
                  <w:tcW w:w="312" w:type="pct"/>
                  <w:tcBorders>
                    <w:tl2br w:val="nil"/>
                    <w:tr2bl w:val="nil"/>
                  </w:tcBorders>
                  <w:vAlign w:val="center"/>
                </w:tcPr>
                <w:p w14:paraId="5E506202">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zh-CN" w:eastAsia="zh-CN"/>
                    </w:rPr>
                    <w:t>空间</w:t>
                  </w:r>
                  <w:r>
                    <w:rPr>
                      <w:rFonts w:hint="eastAsia" w:cs="Times New Roman"/>
                      <w:color w:val="auto"/>
                      <w:sz w:val="21"/>
                      <w:szCs w:val="21"/>
                      <w:lang w:val="en-US" w:eastAsia="zh-CN"/>
                    </w:rPr>
                    <w:t>布局</w:t>
                  </w:r>
                  <w:r>
                    <w:rPr>
                      <w:rFonts w:hint="default" w:ascii="Times New Roman" w:hAnsi="Times New Roman" w:cs="Times New Roman"/>
                      <w:color w:val="auto"/>
                      <w:sz w:val="21"/>
                      <w:szCs w:val="21"/>
                      <w:lang w:val="zh-CN" w:eastAsia="zh-CN"/>
                    </w:rPr>
                    <w:t>约束</w:t>
                  </w:r>
                </w:p>
              </w:tc>
              <w:tc>
                <w:tcPr>
                  <w:tcW w:w="1260" w:type="pct"/>
                  <w:tcBorders>
                    <w:tl2br w:val="nil"/>
                    <w:tr2bl w:val="nil"/>
                  </w:tcBorders>
                  <w:vAlign w:val="center"/>
                </w:tcPr>
                <w:p w14:paraId="52148BC3">
                  <w:pPr>
                    <w:pStyle w:val="42"/>
                    <w:adjustRightInd w:val="0"/>
                    <w:snapToGrid w:val="0"/>
                    <w:spacing w:before="24" w:beforeLines="10" w:after="24" w:afterLines="10" w:line="300" w:lineRule="exact"/>
                    <w:ind w:firstLine="0" w:firstLineChars="0"/>
                    <w:jc w:val="both"/>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大气环境受体敏感重点管控区：1.严格控制新增《陕西省</w:t>
                  </w:r>
                  <w:r>
                    <w:rPr>
                      <w:rFonts w:hint="eastAsia" w:cs="Times New Roman"/>
                      <w:color w:val="auto"/>
                      <w:sz w:val="21"/>
                      <w:szCs w:val="21"/>
                      <w:lang w:val="zh-CN"/>
                    </w:rPr>
                    <w:t>“</w:t>
                  </w:r>
                  <w:r>
                    <w:rPr>
                      <w:rFonts w:hint="default" w:ascii="Times New Roman" w:hAnsi="Times New Roman" w:eastAsia="宋体" w:cs="Times New Roman"/>
                      <w:color w:val="auto"/>
                      <w:sz w:val="21"/>
                      <w:szCs w:val="21"/>
                      <w:lang w:val="zh-CN"/>
                    </w:rPr>
                    <w:t>两高</w:t>
                  </w:r>
                  <w:r>
                    <w:rPr>
                      <w:rFonts w:hint="eastAsia" w:cs="Times New Roman"/>
                      <w:color w:val="auto"/>
                      <w:sz w:val="21"/>
                      <w:szCs w:val="21"/>
                      <w:lang w:val="zh-CN"/>
                    </w:rPr>
                    <w:t>”</w:t>
                  </w:r>
                  <w:r>
                    <w:rPr>
                      <w:rFonts w:hint="default" w:ascii="Times New Roman" w:hAnsi="Times New Roman" w:eastAsia="宋体" w:cs="Times New Roman"/>
                      <w:color w:val="auto"/>
                      <w:sz w:val="21"/>
                      <w:szCs w:val="21"/>
                      <w:lang w:val="zh-CN"/>
                    </w:rPr>
                    <w:t>项目管理暂行目录》行业项目（民生等项目除外，后续对</w:t>
                  </w:r>
                  <w:r>
                    <w:rPr>
                      <w:rFonts w:hint="eastAsia" w:cs="Times New Roman"/>
                      <w:color w:val="auto"/>
                      <w:sz w:val="21"/>
                      <w:szCs w:val="21"/>
                      <w:lang w:val="zh-CN"/>
                    </w:rPr>
                    <w:t>“</w:t>
                  </w:r>
                  <w:r>
                    <w:rPr>
                      <w:rFonts w:hint="default" w:ascii="Times New Roman" w:hAnsi="Times New Roman" w:eastAsia="宋体" w:cs="Times New Roman"/>
                      <w:color w:val="auto"/>
                      <w:sz w:val="21"/>
                      <w:szCs w:val="21"/>
                      <w:lang w:val="zh-CN"/>
                    </w:rPr>
                    <w:t>两高</w:t>
                  </w:r>
                  <w:r>
                    <w:rPr>
                      <w:rFonts w:hint="eastAsia" w:cs="Times New Roman"/>
                      <w:color w:val="auto"/>
                      <w:sz w:val="21"/>
                      <w:szCs w:val="21"/>
                      <w:lang w:val="zh-CN"/>
                    </w:rPr>
                    <w:t>”</w:t>
                  </w:r>
                  <w:r>
                    <w:rPr>
                      <w:rFonts w:hint="default" w:ascii="Times New Roman" w:hAnsi="Times New Roman" w:eastAsia="宋体" w:cs="Times New Roman"/>
                      <w:color w:val="auto"/>
                      <w:sz w:val="21"/>
                      <w:szCs w:val="21"/>
                      <w:lang w:val="zh-CN"/>
                    </w:rPr>
                    <w:t>范围国家如有新规定的，从其规定）。2.推动重污染企业搬迁入园或依法关闭。</w:t>
                  </w:r>
                </w:p>
                <w:p w14:paraId="15E81142">
                  <w:pPr>
                    <w:pStyle w:val="42"/>
                    <w:adjustRightInd w:val="0"/>
                    <w:snapToGrid w:val="0"/>
                    <w:spacing w:before="24" w:beforeLines="10" w:after="24" w:afterLines="10" w:line="300" w:lineRule="exact"/>
                    <w:ind w:firstLine="0" w:firstLineChars="0"/>
                    <w:jc w:val="both"/>
                    <w:rPr>
                      <w:rFonts w:hint="default" w:ascii="Times New Roman" w:hAnsi="Times New Roman" w:eastAsia="宋体" w:cs="Times New Roman"/>
                      <w:color w:val="auto"/>
                      <w:sz w:val="21"/>
                      <w:szCs w:val="21"/>
                      <w:lang w:val="zh-CN"/>
                    </w:rPr>
                  </w:pPr>
                </w:p>
              </w:tc>
              <w:tc>
                <w:tcPr>
                  <w:tcW w:w="815" w:type="pct"/>
                  <w:tcBorders>
                    <w:tl2br w:val="nil"/>
                    <w:tr2bl w:val="nil"/>
                  </w:tcBorders>
                  <w:vAlign w:val="center"/>
                </w:tcPr>
                <w:p w14:paraId="5F73BFD4">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本项目</w:t>
                  </w:r>
                  <w:r>
                    <w:rPr>
                      <w:rFonts w:hint="eastAsia" w:cs="Times New Roman"/>
                      <w:color w:val="auto"/>
                      <w:sz w:val="21"/>
                      <w:szCs w:val="21"/>
                      <w:lang w:val="en-US" w:eastAsia="zh-CN"/>
                    </w:rPr>
                    <w:t>为水产品加工，不属于两高行业；项目位于沣西新城规划范围内，不属于</w:t>
                  </w:r>
                  <w:r>
                    <w:rPr>
                      <w:rFonts w:hint="default" w:ascii="Times New Roman" w:hAnsi="Times New Roman" w:eastAsia="宋体" w:cs="Times New Roman"/>
                      <w:color w:val="auto"/>
                      <w:sz w:val="21"/>
                      <w:szCs w:val="21"/>
                      <w:lang w:val="zh-CN"/>
                    </w:rPr>
                    <w:t>重污染企业</w:t>
                  </w:r>
                  <w:r>
                    <w:rPr>
                      <w:rFonts w:hint="default" w:ascii="Times New Roman" w:hAnsi="Times New Roman" w:cs="Times New Roman"/>
                      <w:color w:val="auto"/>
                      <w:sz w:val="21"/>
                      <w:szCs w:val="21"/>
                    </w:rPr>
                    <w:t>。</w:t>
                  </w:r>
                </w:p>
              </w:tc>
              <w:tc>
                <w:tcPr>
                  <w:tcW w:w="557" w:type="pct"/>
                  <w:vMerge w:val="restart"/>
                  <w:tcBorders>
                    <w:tl2br w:val="nil"/>
                    <w:tr2bl w:val="nil"/>
                  </w:tcBorders>
                  <w:vAlign w:val="center"/>
                </w:tcPr>
                <w:p w14:paraId="6A35639E">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3173.28</w:t>
                  </w:r>
                </w:p>
              </w:tc>
              <w:tc>
                <w:tcPr>
                  <w:tcW w:w="293" w:type="pct"/>
                  <w:tcBorders>
                    <w:tl2br w:val="nil"/>
                    <w:tr2bl w:val="nil"/>
                  </w:tcBorders>
                  <w:vAlign w:val="center"/>
                </w:tcPr>
                <w:p w14:paraId="25831A4D">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F0D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58" w:type="pct"/>
                  <w:vMerge w:val="continue"/>
                  <w:tcBorders>
                    <w:tl2br w:val="nil"/>
                    <w:tr2bl w:val="nil"/>
                  </w:tcBorders>
                  <w:vAlign w:val="center"/>
                </w:tcPr>
                <w:p w14:paraId="01143D85">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95" w:type="pct"/>
                  <w:vMerge w:val="continue"/>
                  <w:tcBorders>
                    <w:tl2br w:val="nil"/>
                    <w:tr2bl w:val="nil"/>
                  </w:tcBorders>
                  <w:vAlign w:val="center"/>
                </w:tcPr>
                <w:p w14:paraId="3E590567">
                  <w:pPr>
                    <w:pStyle w:val="42"/>
                    <w:adjustRightInd w:val="0"/>
                    <w:snapToGrid w:val="0"/>
                    <w:spacing w:before="24" w:beforeLines="10" w:after="24" w:afterLines="10" w:line="300" w:lineRule="exact"/>
                    <w:ind w:firstLine="0" w:firstLineChars="0"/>
                    <w:rPr>
                      <w:rFonts w:hint="eastAsia" w:cs="Times New Roman"/>
                      <w:color w:val="auto"/>
                      <w:sz w:val="21"/>
                      <w:szCs w:val="21"/>
                      <w:lang w:val="en-US" w:eastAsia="zh-CN"/>
                    </w:rPr>
                  </w:pPr>
                </w:p>
              </w:tc>
              <w:tc>
                <w:tcPr>
                  <w:tcW w:w="303" w:type="pct"/>
                  <w:vMerge w:val="continue"/>
                  <w:tcBorders>
                    <w:tl2br w:val="nil"/>
                    <w:tr2bl w:val="nil"/>
                  </w:tcBorders>
                  <w:vAlign w:val="center"/>
                </w:tcPr>
                <w:p w14:paraId="42E2B5AE">
                  <w:pPr>
                    <w:pStyle w:val="42"/>
                    <w:adjustRightInd w:val="0"/>
                    <w:snapToGrid w:val="0"/>
                    <w:spacing w:before="24" w:beforeLines="10" w:after="24" w:afterLines="10" w:line="300" w:lineRule="exact"/>
                    <w:ind w:firstLine="0" w:firstLineChars="0"/>
                    <w:rPr>
                      <w:color w:val="auto"/>
                      <w:sz w:val="21"/>
                      <w:szCs w:val="21"/>
                    </w:rPr>
                  </w:pPr>
                </w:p>
              </w:tc>
              <w:tc>
                <w:tcPr>
                  <w:tcW w:w="304" w:type="pct"/>
                  <w:vMerge w:val="continue"/>
                  <w:tcBorders>
                    <w:tl2br w:val="nil"/>
                    <w:tr2bl w:val="nil"/>
                  </w:tcBorders>
                  <w:vAlign w:val="center"/>
                </w:tcPr>
                <w:p w14:paraId="46E60039">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eastAsia="zh-CN"/>
                    </w:rPr>
                  </w:pPr>
                </w:p>
              </w:tc>
              <w:tc>
                <w:tcPr>
                  <w:tcW w:w="320" w:type="pct"/>
                  <w:vMerge w:val="continue"/>
                  <w:tcBorders>
                    <w:tl2br w:val="nil"/>
                    <w:tr2bl w:val="nil"/>
                  </w:tcBorders>
                  <w:vAlign w:val="center"/>
                </w:tcPr>
                <w:p w14:paraId="2D675100">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p>
              </w:tc>
              <w:tc>
                <w:tcPr>
                  <w:tcW w:w="278" w:type="pct"/>
                  <w:vMerge w:val="continue"/>
                  <w:tcBorders>
                    <w:tl2br w:val="nil"/>
                    <w:tr2bl w:val="nil"/>
                  </w:tcBorders>
                  <w:vAlign w:val="center"/>
                </w:tcPr>
                <w:p w14:paraId="58CDE602">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p>
              </w:tc>
              <w:tc>
                <w:tcPr>
                  <w:tcW w:w="312" w:type="pct"/>
                  <w:tcBorders>
                    <w:tl2br w:val="nil"/>
                    <w:tr2bl w:val="nil"/>
                  </w:tcBorders>
                  <w:vAlign w:val="center"/>
                </w:tcPr>
                <w:p w14:paraId="0588B5E6">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lang w:val="zh-CN"/>
                    </w:rPr>
                  </w:pPr>
                  <w:r>
                    <w:rPr>
                      <w:rFonts w:hint="default" w:ascii="Times New Roman" w:hAnsi="Times New Roman" w:cs="Times New Roman"/>
                      <w:color w:val="auto"/>
                      <w:sz w:val="21"/>
                      <w:szCs w:val="21"/>
                      <w:lang w:val="zh-CN"/>
                    </w:rPr>
                    <w:t>污染物排放管控</w:t>
                  </w:r>
                </w:p>
              </w:tc>
              <w:tc>
                <w:tcPr>
                  <w:tcW w:w="1260" w:type="pct"/>
                  <w:tcBorders>
                    <w:tl2br w:val="nil"/>
                    <w:tr2bl w:val="nil"/>
                  </w:tcBorders>
                  <w:vAlign w:val="center"/>
                </w:tcPr>
                <w:p w14:paraId="079DD624">
                  <w:pPr>
                    <w:pStyle w:val="42"/>
                    <w:adjustRightInd w:val="0"/>
                    <w:snapToGrid w:val="0"/>
                    <w:spacing w:before="24" w:beforeLines="10" w:after="24" w:afterLines="10" w:line="300" w:lineRule="exact"/>
                    <w:ind w:firstLine="0" w:firstLineChars="0"/>
                    <w:jc w:val="both"/>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大气环境受体敏感重点管控区：1.城市建成区产生油烟的餐饮服务单位全部安装油烟净化装置并保持正常运行和定期维护。2.持续因地制宜实施“煤改气”、“油改气”、电能、地热、生物质等清洁能源取暖措施。3.鼓励将老旧车辆和非道路移动机械替换为清洁能源车辆。推进新能源或清洁能源汽车使用。4.位于大气污染防治重点区域的汾渭平原，特别排放限值行业（钢铁、水泥、焦化、石化、化工、有色等行业）现有企业全面执行二氧化硫、氮氧化物、颗粒物、挥发性有机物（VOCs）特别排放限值。</w:t>
                  </w:r>
                </w:p>
                <w:p w14:paraId="205B257C">
                  <w:pPr>
                    <w:pStyle w:val="42"/>
                    <w:adjustRightInd w:val="0"/>
                    <w:snapToGrid w:val="0"/>
                    <w:spacing w:before="24" w:beforeLines="10" w:after="24" w:afterLines="10" w:line="300" w:lineRule="exact"/>
                    <w:ind w:firstLine="0" w:firstLineChars="0"/>
                    <w:jc w:val="both"/>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水环境城镇生活污染重点管控区：1.加强城镇污水收集处理设施建设与提标改造。全省黄河流域城镇生活污水处理达到《陕西省黄河流域污水综合排放标准》（DB61/224-2018）排放限值要求。2.城镇新区管网建设及老旧城区管网升级改造中实行雨污分流，鼓励推进初期雨水收集、处理和资源化利用，建设人工湿地水质净化工程，对处理达标后的尾水进一步净化。3.污水处理厂出水用于绿化、农灌等用途的，合理确定管控要求，确保达到相应污水再生利用标准。4.加强城镇污水收集处理设施建设与提标改造，推进渭河南岸西部污水处理厂建设，提升污水处理能力，因地制宜在污水处理厂出水口处建设人工水质净化工程。推进新建污水处理设施与配套管网的同步设计、同步建设、同步投运，加快污水管网建设与雨污分流改造，完成市区老旧城区管网升级改造。</w:t>
                  </w:r>
                </w:p>
              </w:tc>
              <w:tc>
                <w:tcPr>
                  <w:tcW w:w="815" w:type="pct"/>
                  <w:tcBorders>
                    <w:tl2br w:val="nil"/>
                    <w:tr2bl w:val="nil"/>
                  </w:tcBorders>
                  <w:vAlign w:val="center"/>
                </w:tcPr>
                <w:p w14:paraId="40B0E15F">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w:t>
                  </w:r>
                  <w:r>
                    <w:rPr>
                      <w:rFonts w:hint="eastAsia" w:ascii="Times New Roman" w:hAnsi="Times New Roman" w:eastAsia="宋体" w:cs="Times New Roman"/>
                      <w:color w:val="auto"/>
                      <w:kern w:val="0"/>
                      <w:sz w:val="21"/>
                      <w:szCs w:val="21"/>
                      <w:highlight w:val="none"/>
                      <w:lang w:val="en-US" w:eastAsia="zh-CN"/>
                    </w:rPr>
                    <w:t>油烟废气经</w:t>
                  </w:r>
                  <w:r>
                    <w:rPr>
                      <w:rFonts w:hint="eastAsia" w:cs="Times New Roman"/>
                      <w:color w:val="auto"/>
                      <w:kern w:val="0"/>
                      <w:sz w:val="21"/>
                      <w:szCs w:val="21"/>
                      <w:highlight w:val="none"/>
                      <w:lang w:val="en-US" w:eastAsia="zh-CN"/>
                    </w:rPr>
                    <w:t>包围型集气设备</w:t>
                  </w:r>
                  <w:r>
                    <w:rPr>
                      <w:rFonts w:hint="eastAsia" w:ascii="Times New Roman" w:hAnsi="Times New Roman" w:eastAsia="宋体" w:cs="Times New Roman"/>
                      <w:color w:val="auto"/>
                      <w:kern w:val="0"/>
                      <w:sz w:val="21"/>
                      <w:szCs w:val="21"/>
                      <w:highlight w:val="none"/>
                      <w:lang w:val="en-US" w:eastAsia="zh-CN"/>
                    </w:rPr>
                    <w:t>收集+油烟净化器</w:t>
                  </w:r>
                  <w:r>
                    <w:rPr>
                      <w:rFonts w:hint="eastAsia" w:ascii="Times New Roman" w:hAnsi="Times New Roman" w:eastAsia="宋体" w:cs="Times New Roman"/>
                      <w:color w:val="auto"/>
                      <w:kern w:val="0"/>
                      <w:sz w:val="21"/>
                      <w:szCs w:val="21"/>
                      <w:highlight w:val="none"/>
                      <w:lang w:eastAsia="zh-CN"/>
                    </w:rPr>
                    <w:t>处理后通过</w:t>
                  </w:r>
                  <w:r>
                    <w:rPr>
                      <w:rFonts w:hint="eastAsia" w:cs="Times New Roman"/>
                      <w:color w:val="auto"/>
                      <w:kern w:val="0"/>
                      <w:sz w:val="21"/>
                      <w:szCs w:val="21"/>
                      <w:highlight w:val="none"/>
                      <w:lang w:val="en-US" w:eastAsia="zh-CN"/>
                    </w:rPr>
                    <w:t>30.4</w:t>
                  </w:r>
                  <w:r>
                    <w:rPr>
                      <w:rFonts w:hint="eastAsia" w:ascii="Times New Roman" w:hAnsi="Times New Roman" w:eastAsia="宋体" w:cs="Times New Roman"/>
                      <w:color w:val="auto"/>
                      <w:kern w:val="0"/>
                      <w:sz w:val="21"/>
                      <w:szCs w:val="21"/>
                      <w:highlight w:val="none"/>
                      <w:lang w:eastAsia="zh-CN"/>
                    </w:rPr>
                    <w:t>m高排气筒（</w:t>
                  </w:r>
                  <w:r>
                    <w:rPr>
                      <w:rFonts w:hint="eastAsia" w:ascii="Times New Roman" w:hAnsi="Times New Roman" w:eastAsia="宋体" w:cs="Times New Roman"/>
                      <w:color w:val="auto"/>
                      <w:kern w:val="0"/>
                      <w:sz w:val="21"/>
                      <w:szCs w:val="21"/>
                      <w:highlight w:val="none"/>
                      <w:lang w:val="en-US" w:eastAsia="zh-CN"/>
                    </w:rPr>
                    <w:t>DA00</w:t>
                  </w:r>
                  <w:r>
                    <w:rPr>
                      <w:rFonts w:hint="eastAsia"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eastAsia="zh-CN"/>
                    </w:rPr>
                    <w:t>）排放，</w:t>
                  </w:r>
                  <w:r>
                    <w:rPr>
                      <w:rFonts w:hint="eastAsia" w:ascii="Times New Roman" w:hAnsi="Times New Roman" w:eastAsia="宋体" w:cs="Times New Roman"/>
                      <w:color w:val="auto"/>
                      <w:kern w:val="0"/>
                      <w:sz w:val="21"/>
                      <w:szCs w:val="21"/>
                      <w:highlight w:val="none"/>
                      <w:lang w:val="en-US" w:eastAsia="zh-CN"/>
                    </w:rPr>
                    <w:t>导热油炉采用低氮燃烧器，燃烧废气</w:t>
                  </w:r>
                  <w:r>
                    <w:rPr>
                      <w:rFonts w:hint="eastAsia" w:ascii="Times New Roman" w:hAnsi="Times New Roman" w:eastAsia="宋体" w:cs="Times New Roman"/>
                      <w:color w:val="auto"/>
                      <w:kern w:val="0"/>
                      <w:sz w:val="21"/>
                      <w:szCs w:val="21"/>
                      <w:highlight w:val="none"/>
                      <w:lang w:eastAsia="zh-CN"/>
                    </w:rPr>
                    <w:t>通过</w:t>
                  </w:r>
                  <w:r>
                    <w:rPr>
                      <w:rFonts w:hint="eastAsia" w:cs="Times New Roman"/>
                      <w:color w:val="auto"/>
                      <w:kern w:val="0"/>
                      <w:sz w:val="21"/>
                      <w:szCs w:val="21"/>
                      <w:highlight w:val="none"/>
                      <w:lang w:val="en-US" w:eastAsia="zh-CN"/>
                    </w:rPr>
                    <w:t>30.4</w:t>
                  </w:r>
                  <w:r>
                    <w:rPr>
                      <w:rFonts w:hint="eastAsia" w:ascii="Times New Roman" w:hAnsi="Times New Roman" w:eastAsia="宋体" w:cs="Times New Roman"/>
                      <w:color w:val="auto"/>
                      <w:kern w:val="0"/>
                      <w:sz w:val="21"/>
                      <w:szCs w:val="21"/>
                      <w:highlight w:val="none"/>
                      <w:lang w:eastAsia="zh-CN"/>
                    </w:rPr>
                    <w:t>m高排气筒（</w:t>
                  </w:r>
                  <w:r>
                    <w:rPr>
                      <w:rFonts w:hint="eastAsia" w:ascii="Times New Roman" w:hAnsi="Times New Roman" w:eastAsia="宋体" w:cs="Times New Roman"/>
                      <w:color w:val="auto"/>
                      <w:kern w:val="0"/>
                      <w:sz w:val="21"/>
                      <w:szCs w:val="21"/>
                      <w:highlight w:val="none"/>
                      <w:lang w:val="en-US" w:eastAsia="zh-CN"/>
                    </w:rPr>
                    <w:t>DA00</w:t>
                  </w:r>
                  <w:r>
                    <w:rPr>
                      <w:rFonts w:hint="eastAsia"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eastAsia="zh-CN"/>
                    </w:rPr>
                    <w:t>）排放</w:t>
                  </w:r>
                  <w:r>
                    <w:rPr>
                      <w:rFonts w:hint="eastAsia" w:cs="Times New Roman"/>
                      <w:color w:val="auto"/>
                      <w:kern w:val="0"/>
                      <w:sz w:val="21"/>
                      <w:szCs w:val="21"/>
                      <w:highlight w:val="none"/>
                      <w:lang w:eastAsia="zh-CN"/>
                    </w:rPr>
                    <w:t>；</w:t>
                  </w:r>
                  <w:r>
                    <w:rPr>
                      <w:rFonts w:hint="eastAsia" w:cs="Times New Roman"/>
                      <w:color w:val="auto"/>
                      <w:sz w:val="21"/>
                      <w:szCs w:val="21"/>
                      <w:lang w:val="en-US" w:eastAsia="zh-CN"/>
                    </w:rPr>
                    <w:t>运输车辆采用新能源汽车；项目</w:t>
                  </w:r>
                  <w:r>
                    <w:rPr>
                      <w:rFonts w:hint="default" w:ascii="Times New Roman" w:hAnsi="Times New Roman" w:cs="Times New Roman"/>
                      <w:color w:val="auto"/>
                      <w:sz w:val="21"/>
                      <w:szCs w:val="21"/>
                      <w:lang w:eastAsia="zh-CN"/>
                    </w:rPr>
                    <w:t>实行</w:t>
                  </w:r>
                  <w:r>
                    <w:rPr>
                      <w:rFonts w:hint="default" w:ascii="Times New Roman" w:hAnsi="Times New Roman" w:cs="Times New Roman"/>
                      <w:color w:val="auto"/>
                      <w:sz w:val="21"/>
                      <w:szCs w:val="21"/>
                    </w:rPr>
                    <w:t>雨污分流，</w:t>
                  </w:r>
                  <w:r>
                    <w:rPr>
                      <w:rFonts w:hint="default" w:ascii="Times New Roman" w:hAnsi="Times New Roman" w:cs="Times New Roman"/>
                      <w:color w:val="auto"/>
                      <w:sz w:val="21"/>
                      <w:szCs w:val="21"/>
                      <w:lang w:val="en-US" w:eastAsia="zh-CN"/>
                    </w:rPr>
                    <w:t>生产废水</w:t>
                  </w:r>
                  <w:r>
                    <w:rPr>
                      <w:rFonts w:hint="eastAsia" w:cs="Times New Roman"/>
                      <w:color w:val="auto"/>
                      <w:sz w:val="21"/>
                      <w:szCs w:val="21"/>
                      <w:lang w:val="en-US" w:eastAsia="zh-CN"/>
                    </w:rPr>
                    <w:t>依托租赁方</w:t>
                  </w:r>
                  <w:r>
                    <w:rPr>
                      <w:rFonts w:hint="default" w:ascii="Times New Roman" w:hAnsi="Times New Roman" w:cs="Times New Roman"/>
                      <w:color w:val="auto"/>
                      <w:sz w:val="21"/>
                      <w:szCs w:val="21"/>
                      <w:lang w:val="en-US" w:eastAsia="zh-CN"/>
                    </w:rPr>
                    <w:t>废水处理站处理后通过市政污水管网排入沣西新城渭河污水处理厂；</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w:t>
                  </w:r>
                  <w:r>
                    <w:rPr>
                      <w:rFonts w:hint="default" w:ascii="Times New Roman" w:hAnsi="Times New Roman" w:cs="Times New Roman"/>
                      <w:color w:val="auto"/>
                      <w:sz w:val="21"/>
                      <w:szCs w:val="21"/>
                      <w:lang w:val="en-US" w:eastAsia="zh-CN"/>
                    </w:rPr>
                    <w:t>化粪池处理后通过市政污水管网排入沣西新城渭河污水处理厂</w:t>
                  </w:r>
                  <w:r>
                    <w:rPr>
                      <w:rFonts w:hint="default" w:ascii="Times New Roman" w:hAnsi="Times New Roman" w:cs="Times New Roman"/>
                      <w:color w:val="auto"/>
                      <w:sz w:val="21"/>
                      <w:szCs w:val="21"/>
                    </w:rPr>
                    <w:t>。</w:t>
                  </w:r>
                </w:p>
              </w:tc>
              <w:tc>
                <w:tcPr>
                  <w:tcW w:w="557" w:type="pct"/>
                  <w:vMerge w:val="continue"/>
                  <w:tcBorders>
                    <w:tl2br w:val="nil"/>
                    <w:tr2bl w:val="nil"/>
                  </w:tcBorders>
                  <w:vAlign w:val="center"/>
                </w:tcPr>
                <w:p w14:paraId="141B5B5B">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93" w:type="pct"/>
                  <w:tcBorders>
                    <w:tl2br w:val="nil"/>
                    <w:tr2bl w:val="nil"/>
                  </w:tcBorders>
                  <w:vAlign w:val="center"/>
                </w:tcPr>
                <w:p w14:paraId="61A60F25">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C1E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58" w:type="pct"/>
                  <w:vMerge w:val="continue"/>
                  <w:tcBorders>
                    <w:tl2br w:val="nil"/>
                    <w:tr2bl w:val="nil"/>
                  </w:tcBorders>
                  <w:vAlign w:val="center"/>
                </w:tcPr>
                <w:p w14:paraId="409512D3">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95" w:type="pct"/>
                  <w:vMerge w:val="continue"/>
                  <w:tcBorders>
                    <w:tl2br w:val="nil"/>
                    <w:tr2bl w:val="nil"/>
                  </w:tcBorders>
                  <w:vAlign w:val="center"/>
                </w:tcPr>
                <w:p w14:paraId="1B7420B6">
                  <w:pPr>
                    <w:pStyle w:val="42"/>
                    <w:adjustRightInd w:val="0"/>
                    <w:snapToGrid w:val="0"/>
                    <w:spacing w:before="24" w:beforeLines="10" w:after="24" w:afterLines="10" w:line="300" w:lineRule="exact"/>
                    <w:ind w:firstLine="0" w:firstLineChars="0"/>
                    <w:rPr>
                      <w:rFonts w:hint="eastAsia" w:cs="Times New Roman"/>
                      <w:color w:val="auto"/>
                      <w:sz w:val="21"/>
                      <w:szCs w:val="21"/>
                      <w:lang w:val="en-US" w:eastAsia="zh-CN"/>
                    </w:rPr>
                  </w:pPr>
                </w:p>
              </w:tc>
              <w:tc>
                <w:tcPr>
                  <w:tcW w:w="303" w:type="pct"/>
                  <w:vMerge w:val="continue"/>
                  <w:tcBorders>
                    <w:tl2br w:val="nil"/>
                    <w:tr2bl w:val="nil"/>
                  </w:tcBorders>
                  <w:vAlign w:val="center"/>
                </w:tcPr>
                <w:p w14:paraId="7A01E675">
                  <w:pPr>
                    <w:pStyle w:val="42"/>
                    <w:adjustRightInd w:val="0"/>
                    <w:snapToGrid w:val="0"/>
                    <w:spacing w:before="24" w:beforeLines="10" w:after="24" w:afterLines="10" w:line="300" w:lineRule="exact"/>
                    <w:ind w:firstLine="0" w:firstLineChars="0"/>
                    <w:rPr>
                      <w:color w:val="auto"/>
                      <w:sz w:val="21"/>
                      <w:szCs w:val="21"/>
                    </w:rPr>
                  </w:pPr>
                </w:p>
              </w:tc>
              <w:tc>
                <w:tcPr>
                  <w:tcW w:w="304" w:type="pct"/>
                  <w:vMerge w:val="continue"/>
                  <w:tcBorders>
                    <w:tl2br w:val="nil"/>
                    <w:tr2bl w:val="nil"/>
                  </w:tcBorders>
                  <w:vAlign w:val="center"/>
                </w:tcPr>
                <w:p w14:paraId="650040D9">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eastAsia="zh-CN"/>
                    </w:rPr>
                  </w:pPr>
                </w:p>
              </w:tc>
              <w:tc>
                <w:tcPr>
                  <w:tcW w:w="320" w:type="pct"/>
                  <w:vMerge w:val="continue"/>
                  <w:tcBorders>
                    <w:tl2br w:val="nil"/>
                    <w:tr2bl w:val="nil"/>
                  </w:tcBorders>
                  <w:vAlign w:val="center"/>
                </w:tcPr>
                <w:p w14:paraId="56E504BB">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p>
              </w:tc>
              <w:tc>
                <w:tcPr>
                  <w:tcW w:w="278" w:type="pct"/>
                  <w:vMerge w:val="continue"/>
                  <w:tcBorders>
                    <w:tl2br w:val="nil"/>
                    <w:tr2bl w:val="nil"/>
                  </w:tcBorders>
                  <w:vAlign w:val="center"/>
                </w:tcPr>
                <w:p w14:paraId="3BB3EB40">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p>
              </w:tc>
              <w:tc>
                <w:tcPr>
                  <w:tcW w:w="312" w:type="pct"/>
                  <w:tcBorders>
                    <w:tl2br w:val="nil"/>
                    <w:tr2bl w:val="nil"/>
                  </w:tcBorders>
                  <w:vAlign w:val="center"/>
                </w:tcPr>
                <w:p w14:paraId="58079DBE">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lang w:val="zh-CN"/>
                    </w:rPr>
                  </w:pPr>
                  <w:r>
                    <w:rPr>
                      <w:rFonts w:hint="default" w:ascii="Times New Roman" w:hAnsi="Times New Roman" w:cs="Times New Roman"/>
                      <w:color w:val="auto"/>
                      <w:sz w:val="21"/>
                      <w:szCs w:val="21"/>
                      <w:lang w:val="zh-CN"/>
                    </w:rPr>
                    <w:t>环境风险防控</w:t>
                  </w:r>
                </w:p>
              </w:tc>
              <w:tc>
                <w:tcPr>
                  <w:tcW w:w="1260" w:type="pct"/>
                  <w:tcBorders>
                    <w:tl2br w:val="nil"/>
                    <w:tr2bl w:val="nil"/>
                  </w:tcBorders>
                  <w:vAlign w:val="center"/>
                </w:tcPr>
                <w:p w14:paraId="1D10E41F">
                  <w:pPr>
                    <w:pStyle w:val="42"/>
                    <w:adjustRightInd w:val="0"/>
                    <w:snapToGrid w:val="0"/>
                    <w:spacing w:before="24" w:beforeLines="10" w:after="24" w:afterLines="10" w:line="300" w:lineRule="exact"/>
                    <w:ind w:firstLine="0" w:firstLineChars="0"/>
                    <w:jc w:val="center"/>
                    <w:rPr>
                      <w:rFonts w:hint="eastAsia" w:ascii="Times New Roman" w:hAnsi="Times New Roman" w:eastAsia="宋体" w:cs="Times New Roman"/>
                      <w:color w:val="auto"/>
                      <w:sz w:val="21"/>
                      <w:szCs w:val="21"/>
                      <w:lang w:val="zh-CN" w:eastAsia="zh-CN"/>
                    </w:rPr>
                  </w:pPr>
                  <w:r>
                    <w:rPr>
                      <w:rFonts w:hint="eastAsia" w:cs="Times New Roman"/>
                      <w:color w:val="auto"/>
                      <w:sz w:val="21"/>
                      <w:szCs w:val="21"/>
                      <w:lang w:val="en-US" w:eastAsia="zh-CN"/>
                    </w:rPr>
                    <w:t>/</w:t>
                  </w:r>
                </w:p>
              </w:tc>
              <w:tc>
                <w:tcPr>
                  <w:tcW w:w="815" w:type="pct"/>
                  <w:tcBorders>
                    <w:tl2br w:val="nil"/>
                    <w:tr2bl w:val="nil"/>
                  </w:tcBorders>
                  <w:vAlign w:val="center"/>
                </w:tcPr>
                <w:p w14:paraId="4BD0D3EE">
                  <w:pPr>
                    <w:pStyle w:val="42"/>
                    <w:adjustRightInd w:val="0"/>
                    <w:snapToGrid w:val="0"/>
                    <w:spacing w:before="24" w:beforeLines="10" w:after="24" w:afterLines="10" w:line="300" w:lineRule="exact"/>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557" w:type="pct"/>
                  <w:vMerge w:val="continue"/>
                  <w:tcBorders>
                    <w:tl2br w:val="nil"/>
                    <w:tr2bl w:val="nil"/>
                  </w:tcBorders>
                  <w:vAlign w:val="center"/>
                </w:tcPr>
                <w:p w14:paraId="4476B953">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93" w:type="pct"/>
                  <w:tcBorders>
                    <w:tl2br w:val="nil"/>
                    <w:tr2bl w:val="nil"/>
                  </w:tcBorders>
                  <w:vAlign w:val="center"/>
                </w:tcPr>
                <w:p w14:paraId="27616AEA">
                  <w:pPr>
                    <w:pStyle w:val="42"/>
                    <w:adjustRightInd w:val="0"/>
                    <w:snapToGrid w:val="0"/>
                    <w:spacing w:before="24" w:beforeLines="10" w:after="24" w:afterLines="10" w:line="300" w:lineRule="exact"/>
                    <w:ind w:firstLine="0" w:firstLineChars="0"/>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w:t>
                  </w:r>
                </w:p>
              </w:tc>
            </w:tr>
            <w:tr w14:paraId="35C1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jc w:val="center"/>
              </w:trPr>
              <w:tc>
                <w:tcPr>
                  <w:tcW w:w="258" w:type="pct"/>
                  <w:vMerge w:val="continue"/>
                  <w:tcBorders>
                    <w:tl2br w:val="nil"/>
                    <w:tr2bl w:val="nil"/>
                  </w:tcBorders>
                  <w:vAlign w:val="center"/>
                </w:tcPr>
                <w:p w14:paraId="6DD2BAF5">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95" w:type="pct"/>
                  <w:vMerge w:val="continue"/>
                  <w:tcBorders>
                    <w:tl2br w:val="nil"/>
                    <w:tr2bl w:val="nil"/>
                  </w:tcBorders>
                  <w:vAlign w:val="center"/>
                </w:tcPr>
                <w:p w14:paraId="6C5EED66">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303" w:type="pct"/>
                  <w:vMerge w:val="continue"/>
                  <w:tcBorders>
                    <w:tl2br w:val="nil"/>
                    <w:tr2bl w:val="nil"/>
                  </w:tcBorders>
                  <w:vAlign w:val="center"/>
                </w:tcPr>
                <w:p w14:paraId="734D2AE4">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304" w:type="pct"/>
                  <w:vMerge w:val="continue"/>
                  <w:tcBorders>
                    <w:tl2br w:val="nil"/>
                    <w:tr2bl w:val="nil"/>
                  </w:tcBorders>
                  <w:vAlign w:val="center"/>
                </w:tcPr>
                <w:p w14:paraId="44894D47">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320" w:type="pct"/>
                  <w:vMerge w:val="continue"/>
                  <w:tcBorders>
                    <w:tl2br w:val="nil"/>
                    <w:tr2bl w:val="nil"/>
                  </w:tcBorders>
                  <w:vAlign w:val="center"/>
                </w:tcPr>
                <w:p w14:paraId="614DA010">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78" w:type="pct"/>
                  <w:vMerge w:val="continue"/>
                  <w:tcBorders>
                    <w:tl2br w:val="nil"/>
                    <w:tr2bl w:val="nil"/>
                  </w:tcBorders>
                  <w:vAlign w:val="center"/>
                </w:tcPr>
                <w:p w14:paraId="117F4F30">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312" w:type="pct"/>
                  <w:tcBorders>
                    <w:tl2br w:val="nil"/>
                    <w:tr2bl w:val="nil"/>
                  </w:tcBorders>
                  <w:vAlign w:val="center"/>
                </w:tcPr>
                <w:p w14:paraId="523DC2FA">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资源利用效率要求</w:t>
                  </w:r>
                </w:p>
              </w:tc>
              <w:tc>
                <w:tcPr>
                  <w:tcW w:w="1260" w:type="pct"/>
                  <w:tcBorders>
                    <w:tl2br w:val="nil"/>
                    <w:tr2bl w:val="nil"/>
                  </w:tcBorders>
                  <w:vAlign w:val="center"/>
                </w:tcPr>
                <w:p w14:paraId="1E936EC8">
                  <w:pPr>
                    <w:pStyle w:val="42"/>
                    <w:adjustRightInd w:val="0"/>
                    <w:snapToGrid w:val="0"/>
                    <w:spacing w:before="24" w:beforeLines="10" w:after="24" w:afterLines="10" w:line="300" w:lineRule="exact"/>
                    <w:ind w:firstLine="0" w:firstLineChars="0"/>
                    <w:jc w:val="both"/>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sz w:val="21"/>
                      <w:szCs w:val="21"/>
                      <w:lang w:val="zh-CN"/>
                    </w:rPr>
                    <w:t>高污染燃料禁燃区：严格禁燃区管控。市区和南六县市全域及北五县市城镇周边划定为高污染燃料禁燃区，禁止销售、使用煤炭及其制品等高污染燃料（35蒸吨及以上燃煤锅炉、火力发电企业、机组及水泥、砖瓦等原料煤使用企业除外）；各县市区全面退出禁燃区内洁净煤加工中心及配送网点，对配送网点及群众存量煤炭全部有偿回收。北五县市非禁燃区内可采用洁净煤或“生物质成型燃料+专用炉具”兜底。加强对直送、网络等方式销售散煤的监管，严厉打击违法销售行为，同时倒查上游企业责任，从源头杜绝散煤销售。</w:t>
                  </w:r>
                </w:p>
              </w:tc>
              <w:tc>
                <w:tcPr>
                  <w:tcW w:w="815" w:type="pct"/>
                  <w:tcBorders>
                    <w:tl2br w:val="nil"/>
                    <w:tr2bl w:val="nil"/>
                  </w:tcBorders>
                  <w:vAlign w:val="center"/>
                </w:tcPr>
                <w:p w14:paraId="1F59157E">
                  <w:pPr>
                    <w:pStyle w:val="42"/>
                    <w:adjustRightInd w:val="0"/>
                    <w:snapToGrid w:val="0"/>
                    <w:spacing w:before="24" w:beforeLines="10" w:after="24" w:afterLines="10" w:line="300" w:lineRule="exact"/>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本项目</w:t>
                  </w:r>
                  <w:r>
                    <w:rPr>
                      <w:rFonts w:hint="eastAsia" w:cs="Times New Roman"/>
                      <w:color w:val="auto"/>
                      <w:sz w:val="21"/>
                      <w:szCs w:val="21"/>
                      <w:lang w:val="en-US" w:eastAsia="zh-CN"/>
                    </w:rPr>
                    <w:t>不涉及高污染燃料的使用，项目生产使用电、天然气。</w:t>
                  </w:r>
                </w:p>
              </w:tc>
              <w:tc>
                <w:tcPr>
                  <w:tcW w:w="557" w:type="pct"/>
                  <w:vMerge w:val="continue"/>
                  <w:tcBorders>
                    <w:tl2br w:val="nil"/>
                    <w:tr2bl w:val="nil"/>
                  </w:tcBorders>
                  <w:vAlign w:val="center"/>
                </w:tcPr>
                <w:p w14:paraId="7974CC5D">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p>
              </w:tc>
              <w:tc>
                <w:tcPr>
                  <w:tcW w:w="293" w:type="pct"/>
                  <w:tcBorders>
                    <w:tl2br w:val="nil"/>
                    <w:tr2bl w:val="nil"/>
                  </w:tcBorders>
                  <w:vAlign w:val="center"/>
                </w:tcPr>
                <w:p w14:paraId="67FCC071">
                  <w:pPr>
                    <w:pStyle w:val="42"/>
                    <w:adjustRightInd w:val="0"/>
                    <w:snapToGrid w:val="0"/>
                    <w:spacing w:before="24" w:beforeLines="10" w:after="24" w:afterLines="10" w:line="300" w:lineRule="exac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bl>
          <w:p w14:paraId="36641BB3">
            <w:pPr>
              <w:spacing w:line="360" w:lineRule="auto"/>
              <w:ind w:firstLine="482"/>
              <w:rPr>
                <w:rFonts w:hint="default" w:ascii="Times New Roman" w:hAnsi="Times New Roman" w:cs="Times New Roman"/>
                <w:b/>
                <w:bCs/>
                <w:color w:val="auto"/>
              </w:rPr>
            </w:pPr>
            <w:r>
              <w:rPr>
                <w:rFonts w:hint="default" w:ascii="Times New Roman" w:hAnsi="Times New Roman" w:cs="Times New Roman"/>
                <w:color w:val="auto"/>
                <w:kern w:val="0"/>
                <w:szCs w:val="21"/>
                <w:lang w:val="zh-CN"/>
              </w:rPr>
              <w:t>一说明：本</w:t>
            </w:r>
            <w:r>
              <w:rPr>
                <w:rFonts w:hint="default" w:ascii="Times New Roman" w:hAnsi="Times New Roman" w:eastAsia="宋体" w:cs="Times New Roman"/>
                <w:color w:val="auto"/>
                <w:kern w:val="0"/>
                <w:szCs w:val="21"/>
                <w:lang w:val="zh-CN"/>
              </w:rPr>
              <w:t>项目位于重点管控单元，</w:t>
            </w:r>
            <w:r>
              <w:rPr>
                <w:rFonts w:hint="default" w:ascii="Times New Roman" w:hAnsi="Times New Roman" w:eastAsia="宋体" w:cs="Times New Roman"/>
                <w:color w:val="auto"/>
                <w:kern w:val="0"/>
                <w:szCs w:val="21"/>
                <w:lang w:val="zh-CN" w:eastAsia="zh-CN"/>
              </w:rPr>
              <w:t>为</w:t>
            </w:r>
            <w:r>
              <w:rPr>
                <w:rFonts w:hint="eastAsia" w:cs="Times New Roman"/>
                <w:color w:val="auto"/>
                <w:kern w:val="0"/>
                <w:szCs w:val="21"/>
                <w:lang w:val="en-US" w:eastAsia="zh-CN"/>
              </w:rPr>
              <w:t>水产品</w:t>
            </w:r>
            <w:r>
              <w:rPr>
                <w:rFonts w:hint="eastAsia" w:cs="Times New Roman"/>
                <w:color w:val="auto"/>
                <w:kern w:val="0"/>
                <w:szCs w:val="21"/>
                <w:lang w:val="zh-CN" w:eastAsia="zh-CN"/>
              </w:rPr>
              <w:t>加工</w:t>
            </w:r>
            <w:r>
              <w:rPr>
                <w:rFonts w:hint="eastAsia" w:cs="Times New Roman"/>
                <w:color w:val="auto"/>
                <w:kern w:val="0"/>
                <w:szCs w:val="21"/>
                <w:lang w:val="en-US" w:eastAsia="zh-CN"/>
              </w:rPr>
              <w:t>项目</w:t>
            </w:r>
            <w:r>
              <w:rPr>
                <w:rFonts w:hint="default" w:ascii="Times New Roman" w:hAnsi="Times New Roman" w:eastAsia="宋体" w:cs="Times New Roman"/>
                <w:color w:val="auto"/>
                <w:kern w:val="0"/>
                <w:szCs w:val="21"/>
                <w:lang w:val="zh-CN" w:eastAsia="zh-CN"/>
              </w:rPr>
              <w:t>，</w:t>
            </w:r>
            <w:r>
              <w:rPr>
                <w:rFonts w:hint="default" w:ascii="Times New Roman" w:hAnsi="Times New Roman" w:eastAsia="宋体" w:cs="Times New Roman"/>
                <w:color w:val="auto"/>
                <w:kern w:val="0"/>
                <w:szCs w:val="21"/>
                <w:lang w:val="zh-CN"/>
              </w:rPr>
              <w:t>不</w:t>
            </w:r>
            <w:r>
              <w:rPr>
                <w:rFonts w:hint="default" w:ascii="Times New Roman" w:hAnsi="Times New Roman" w:cs="Times New Roman"/>
                <w:color w:val="auto"/>
                <w:kern w:val="0"/>
                <w:szCs w:val="21"/>
                <w:lang w:val="zh-CN"/>
              </w:rPr>
              <w:t>属于“两高”项目；项目主要能源为电</w:t>
            </w:r>
            <w:r>
              <w:rPr>
                <w:rFonts w:hint="eastAsia" w:cs="Times New Roman"/>
                <w:color w:val="auto"/>
                <w:kern w:val="0"/>
                <w:szCs w:val="21"/>
                <w:lang w:val="zh-CN"/>
              </w:rPr>
              <w:t>、</w:t>
            </w:r>
            <w:r>
              <w:rPr>
                <w:rFonts w:hint="eastAsia" w:cs="Times New Roman"/>
                <w:color w:val="auto"/>
                <w:kern w:val="0"/>
                <w:szCs w:val="21"/>
                <w:lang w:val="en-US" w:eastAsia="zh-CN"/>
              </w:rPr>
              <w:t>天然气</w:t>
            </w:r>
            <w:r>
              <w:rPr>
                <w:rFonts w:hint="default" w:ascii="Times New Roman" w:hAnsi="Times New Roman" w:cs="Times New Roman"/>
                <w:color w:val="auto"/>
                <w:kern w:val="0"/>
                <w:szCs w:val="21"/>
                <w:lang w:val="zh-CN"/>
              </w:rPr>
              <w:t>。项目运营期将落实各项污染防治措施，保证项目废气、废水、噪声、固体废物长期稳定达标排放或妥善处置。项目建设严格按照陕西省、</w:t>
            </w:r>
            <w:r>
              <w:rPr>
                <w:rFonts w:hint="eastAsia" w:cs="Times New Roman"/>
                <w:color w:val="auto"/>
                <w:kern w:val="0"/>
                <w:szCs w:val="21"/>
                <w:lang w:val="en-US" w:eastAsia="zh-CN"/>
              </w:rPr>
              <w:t>西安</w:t>
            </w:r>
            <w:r>
              <w:rPr>
                <w:rFonts w:hint="default" w:ascii="Times New Roman" w:hAnsi="Times New Roman" w:cs="Times New Roman"/>
                <w:color w:val="auto"/>
                <w:kern w:val="0"/>
                <w:szCs w:val="21"/>
                <w:lang w:val="zh-CN"/>
              </w:rPr>
              <w:t>市生态环境总体准入清单总体要求、生态保护红线等各项规定，符合管控方案的相关要求。</w:t>
            </w:r>
          </w:p>
          <w:p w14:paraId="15679839">
            <w:pPr>
              <w:spacing w:line="360" w:lineRule="auto"/>
              <w:ind w:firstLine="482"/>
              <w:rPr>
                <w:rFonts w:hint="default" w:ascii="Times New Roman" w:hAnsi="Times New Roman" w:cs="Times New Roman"/>
                <w:b/>
                <w:bCs/>
                <w:color w:val="auto"/>
              </w:rPr>
            </w:pPr>
            <w:r>
              <w:rPr>
                <w:rFonts w:hint="eastAsia" w:cs="Times New Roman"/>
                <w:b/>
                <w:bCs/>
                <w:color w:val="auto"/>
                <w:lang w:eastAsia="zh-CN"/>
              </w:rPr>
              <w:t>2.</w:t>
            </w:r>
            <w:r>
              <w:rPr>
                <w:rFonts w:hint="default" w:ascii="Times New Roman" w:hAnsi="Times New Roman" w:cs="Times New Roman"/>
                <w:b/>
                <w:bCs/>
                <w:color w:val="auto"/>
              </w:rPr>
              <w:t>与产业政策符合性分析</w:t>
            </w:r>
          </w:p>
          <w:p w14:paraId="64B286E7">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lang w:val="zh-CN"/>
              </w:rPr>
              <w:t>本项目为</w:t>
            </w:r>
            <w:r>
              <w:rPr>
                <w:rFonts w:hint="eastAsia" w:cs="Times New Roman"/>
                <w:color w:val="auto"/>
                <w:lang w:val="en-US" w:eastAsia="zh-CN"/>
              </w:rPr>
              <w:t>水产品</w:t>
            </w:r>
            <w:r>
              <w:rPr>
                <w:rFonts w:hint="default" w:ascii="Times New Roman" w:hAnsi="Times New Roman" w:eastAsia="宋体" w:cs="Times New Roman"/>
                <w:color w:val="auto"/>
                <w:lang w:val="en-US" w:eastAsia="zh-CN"/>
              </w:rPr>
              <w:t>加工</w:t>
            </w:r>
            <w:r>
              <w:rPr>
                <w:rFonts w:hint="eastAsia" w:cs="Times New Roman"/>
                <w:color w:val="auto"/>
                <w:lang w:val="zh-CN"/>
              </w:rPr>
              <w:t>，</w:t>
            </w:r>
            <w:r>
              <w:rPr>
                <w:rFonts w:hint="default" w:ascii="Times New Roman" w:hAnsi="Times New Roman" w:cs="Times New Roman"/>
                <w:color w:val="auto"/>
              </w:rPr>
              <w:t>根据《产业结构调整指导目录（2024年本）》，本项目</w:t>
            </w:r>
            <w:r>
              <w:rPr>
                <w:rFonts w:hint="eastAsia" w:cs="Times New Roman"/>
                <w:color w:val="auto"/>
                <w:lang w:val="en-US" w:eastAsia="zh-CN"/>
              </w:rPr>
              <w:t>不</w:t>
            </w:r>
            <w:r>
              <w:rPr>
                <w:rFonts w:hint="default" w:ascii="Times New Roman" w:hAnsi="Times New Roman" w:cs="Times New Roman"/>
                <w:color w:val="auto"/>
              </w:rPr>
              <w:t>属于鼓励类</w:t>
            </w:r>
            <w:r>
              <w:rPr>
                <w:rFonts w:hint="eastAsia" w:cs="Times New Roman"/>
                <w:color w:val="auto"/>
                <w:lang w:eastAsia="zh-CN"/>
              </w:rPr>
              <w:t>、</w:t>
            </w:r>
            <w:r>
              <w:rPr>
                <w:rFonts w:hint="eastAsia" w:cs="Times New Roman"/>
                <w:color w:val="auto"/>
                <w:lang w:val="en-US" w:eastAsia="zh-CN"/>
              </w:rPr>
              <w:t>限制类和淘汰类，视为允许类</w:t>
            </w:r>
            <w:r>
              <w:rPr>
                <w:rFonts w:hint="eastAsia" w:cs="Times New Roman"/>
                <w:color w:val="auto"/>
                <w:lang w:eastAsia="zh-CN"/>
              </w:rPr>
              <w:t>；</w:t>
            </w:r>
            <w:r>
              <w:rPr>
                <w:rFonts w:hint="eastAsia" w:cs="Times New Roman"/>
                <w:color w:val="auto"/>
                <w:lang w:val="en-US" w:eastAsia="zh-CN"/>
              </w:rPr>
              <w:t>项目不属于</w:t>
            </w:r>
            <w:r>
              <w:rPr>
                <w:rFonts w:hint="default" w:ascii="Times New Roman" w:hAnsi="Times New Roman" w:cs="Times New Roman"/>
                <w:color w:val="auto"/>
                <w:sz w:val="24"/>
              </w:rPr>
              <w:t>《市场准入负面清单（202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年版）》禁止准入类</w:t>
            </w:r>
            <w:r>
              <w:rPr>
                <w:rFonts w:hint="eastAsia" w:ascii="Times New Roman" w:hAnsi="Times New Roman" w:cs="Times New Roman"/>
                <w:color w:val="auto"/>
                <w:sz w:val="24"/>
                <w:lang w:val="en-US" w:eastAsia="zh-CN"/>
              </w:rPr>
              <w:t>项目，</w:t>
            </w:r>
            <w:r>
              <w:rPr>
                <w:rFonts w:hint="default" w:ascii="Times New Roman" w:hAnsi="Times New Roman" w:cs="Times New Roman"/>
                <w:color w:val="auto"/>
              </w:rPr>
              <w:t>因此本项目的建设符合国家现行产业政策。</w:t>
            </w:r>
          </w:p>
          <w:p w14:paraId="3523A446">
            <w:pPr>
              <w:spacing w:line="360" w:lineRule="auto"/>
              <w:ind w:firstLine="482"/>
              <w:rPr>
                <w:rFonts w:hint="default" w:ascii="Times New Roman" w:hAnsi="Times New Roman" w:cs="Times New Roman"/>
                <w:color w:val="auto"/>
              </w:rPr>
            </w:pPr>
            <w:r>
              <w:rPr>
                <w:rFonts w:hint="eastAsia" w:cs="Times New Roman"/>
                <w:b/>
                <w:bCs/>
                <w:color w:val="auto"/>
                <w:lang w:eastAsia="zh-CN"/>
              </w:rPr>
              <w:t>3.</w:t>
            </w:r>
            <w:r>
              <w:rPr>
                <w:rFonts w:hint="default" w:ascii="Times New Roman" w:hAnsi="Times New Roman" w:cs="Times New Roman"/>
                <w:b/>
                <w:bCs/>
                <w:color w:val="auto"/>
              </w:rPr>
              <w:t>与相关政策符合性分析</w:t>
            </w:r>
          </w:p>
          <w:p w14:paraId="3B4EB092">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本项目与相关政策的符合性分析见表1-</w:t>
            </w:r>
            <w:r>
              <w:rPr>
                <w:rFonts w:hint="eastAsia" w:cs="Times New Roman"/>
                <w:color w:val="auto"/>
                <w:lang w:val="en-US" w:eastAsia="zh-CN"/>
              </w:rPr>
              <w:t>4</w:t>
            </w:r>
            <w:r>
              <w:rPr>
                <w:rFonts w:hint="default" w:ascii="Times New Roman" w:hAnsi="Times New Roman" w:cs="Times New Roman"/>
                <w:color w:val="auto"/>
              </w:rPr>
              <w:t>。</w:t>
            </w:r>
          </w:p>
          <w:p w14:paraId="4A567512">
            <w:pPr>
              <w:tabs>
                <w:tab w:val="left" w:pos="8607"/>
              </w:tabs>
              <w:spacing w:line="360" w:lineRule="auto"/>
              <w:ind w:firstLine="0" w:firstLineChars="0"/>
              <w:jc w:val="center"/>
              <w:rPr>
                <w:rFonts w:hint="default" w:ascii="Times New Roman" w:hAnsi="Times New Roman" w:eastAsia="黑体" w:cs="Times New Roman"/>
                <w:color w:val="auto"/>
                <w:sz w:val="21"/>
                <w:szCs w:val="21"/>
              </w:rPr>
            </w:pPr>
            <w:r>
              <w:rPr>
                <w:rFonts w:hint="default" w:ascii="Times New Roman" w:hAnsi="Times New Roman" w:cs="Times New Roman"/>
                <w:b/>
                <w:bCs/>
                <w:color w:val="auto"/>
                <w:sz w:val="21"/>
                <w:szCs w:val="21"/>
              </w:rPr>
              <w:t>表1-</w:t>
            </w:r>
            <w:r>
              <w:rPr>
                <w:rFonts w:hint="eastAsia" w:cs="Times New Roman"/>
                <w:b/>
                <w:bCs/>
                <w:color w:val="auto"/>
                <w:sz w:val="21"/>
                <w:szCs w:val="21"/>
                <w:lang w:val="en-US" w:eastAsia="zh-CN"/>
              </w:rPr>
              <w:t>4</w:t>
            </w:r>
            <w:r>
              <w:rPr>
                <w:rFonts w:hint="default"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与相关政策的符合性分析</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54"/>
              <w:gridCol w:w="2925"/>
              <w:gridCol w:w="2400"/>
              <w:gridCol w:w="709"/>
            </w:tblGrid>
            <w:tr w14:paraId="6135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69C0D3D4">
                  <w:pPr>
                    <w:autoSpaceDE w:val="0"/>
                    <w:autoSpaceDN w:val="0"/>
                    <w:spacing w:line="360" w:lineRule="atLeast"/>
                    <w:ind w:firstLine="0" w:firstLineChars="0"/>
                    <w:contextualSpacing/>
                    <w:jc w:val="center"/>
                    <w:outlineLvl w:val="1"/>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文件名称</w:t>
                  </w:r>
                </w:p>
              </w:tc>
              <w:tc>
                <w:tcPr>
                  <w:tcW w:w="2063" w:type="pct"/>
                  <w:tcBorders>
                    <w:tl2br w:val="nil"/>
                    <w:tr2bl w:val="nil"/>
                  </w:tcBorders>
                  <w:shd w:val="clear" w:color="auto" w:fill="auto"/>
                  <w:vAlign w:val="center"/>
                </w:tcPr>
                <w:p w14:paraId="2DD2A2E8">
                  <w:pPr>
                    <w:autoSpaceDE w:val="0"/>
                    <w:autoSpaceDN w:val="0"/>
                    <w:spacing w:line="360" w:lineRule="atLeast"/>
                    <w:ind w:firstLine="0" w:firstLineChars="0"/>
                    <w:contextualSpacing/>
                    <w:jc w:val="center"/>
                    <w:outlineLvl w:val="1"/>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内容要求</w:t>
                  </w:r>
                </w:p>
              </w:tc>
              <w:tc>
                <w:tcPr>
                  <w:tcW w:w="1693" w:type="pct"/>
                  <w:tcBorders>
                    <w:tl2br w:val="nil"/>
                    <w:tr2bl w:val="nil"/>
                  </w:tcBorders>
                  <w:shd w:val="clear" w:color="auto" w:fill="auto"/>
                  <w:vAlign w:val="center"/>
                </w:tcPr>
                <w:p w14:paraId="49FCC0E4">
                  <w:pPr>
                    <w:autoSpaceDE w:val="0"/>
                    <w:autoSpaceDN w:val="0"/>
                    <w:spacing w:line="360" w:lineRule="atLeast"/>
                    <w:ind w:firstLine="0" w:firstLineChars="0"/>
                    <w:contextualSpacing/>
                    <w:jc w:val="center"/>
                    <w:outlineLvl w:val="1"/>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本项目情况</w:t>
                  </w:r>
                </w:p>
              </w:tc>
              <w:tc>
                <w:tcPr>
                  <w:tcW w:w="500" w:type="pct"/>
                  <w:tcBorders>
                    <w:tl2br w:val="nil"/>
                    <w:tr2bl w:val="nil"/>
                  </w:tcBorders>
                  <w:shd w:val="clear" w:color="auto" w:fill="auto"/>
                  <w:vAlign w:val="center"/>
                </w:tcPr>
                <w:p w14:paraId="4326D498">
                  <w:pPr>
                    <w:autoSpaceDE w:val="0"/>
                    <w:autoSpaceDN w:val="0"/>
                    <w:spacing w:line="360" w:lineRule="atLeast"/>
                    <w:ind w:firstLine="0" w:firstLineChars="0"/>
                    <w:contextualSpacing/>
                    <w:jc w:val="center"/>
                    <w:outlineLvl w:val="1"/>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符合性</w:t>
                  </w:r>
                </w:p>
              </w:tc>
            </w:tr>
            <w:tr w14:paraId="2C48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3A06C55B">
                  <w:pPr>
                    <w:adjustRightInd w:val="0"/>
                    <w:snapToGrid w:val="0"/>
                    <w:spacing w:line="360" w:lineRule="atLeast"/>
                    <w:ind w:firstLine="0" w:firstLineChars="0"/>
                    <w:jc w:val="center"/>
                    <w:rPr>
                      <w:rFonts w:hint="default" w:ascii="Times New Roman" w:hAnsi="Times New Roman" w:cs="Times New Roman"/>
                      <w:color w:val="auto"/>
                      <w:lang w:val="zh-CN"/>
                    </w:rPr>
                  </w:pPr>
                  <w:r>
                    <w:rPr>
                      <w:rFonts w:hint="default" w:ascii="Times New Roman" w:hAnsi="Times New Roman" w:cs="Times New Roman"/>
                      <w:color w:val="auto"/>
                      <w:sz w:val="21"/>
                      <w:szCs w:val="21"/>
                    </w:rPr>
                    <w:t>《陕西省“十四五”生态环境保护规划》</w:t>
                  </w:r>
                </w:p>
              </w:tc>
              <w:tc>
                <w:tcPr>
                  <w:tcW w:w="2063" w:type="pct"/>
                  <w:tcBorders>
                    <w:tl2br w:val="nil"/>
                    <w:tr2bl w:val="nil"/>
                  </w:tcBorders>
                  <w:shd w:val="clear" w:color="auto" w:fill="auto"/>
                  <w:vAlign w:val="center"/>
                </w:tcPr>
                <w:p w14:paraId="2D814B2D">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①建立健全生态环境分区管控体系，建立以“三线一单”为核心的全省生态环境分区管控体系，做好“三线一单”成果优化完善工作，进一步细化生态环境分区管控要求和准入清单；</w:t>
                  </w:r>
                </w:p>
                <w:p w14:paraId="327DE7EA">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②提升能源结构清洁低碳水平，加快电源结构调整和布局优化，新增用电需求主要通过新能源电力保障，减少煤电占比；</w:t>
                  </w:r>
                </w:p>
                <w:p w14:paraId="1E880880">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③坚持源头防治、综合施策，稳步推进大气污染防治攻坚行动，聚焦细颗粒物和臭氧污染协同控制，推进氮氧化物和挥发性有机物协调减排，强化区域协调治理和重污染天气应对，持续改善全省大气环境质量；</w:t>
                  </w:r>
                </w:p>
                <w:p w14:paraId="7E59936C">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④持续推进工业污水治理，引导工业企业污水近零排放，降低污染负荷。强化工业集聚区污染治理，推进工业园区污水处理设施分类管理、分期升级改造和污水管网排查整治；</w:t>
                  </w:r>
                </w:p>
                <w:p w14:paraId="04E39209">
                  <w:pPr>
                    <w:adjustRightInd w:val="0"/>
                    <w:snapToGrid w:val="0"/>
                    <w:spacing w:line="360" w:lineRule="atLeast"/>
                    <w:ind w:firstLine="0" w:firstLineChars="0"/>
                    <w:rPr>
                      <w:rFonts w:hint="default" w:ascii="Times New Roman" w:hAnsi="Times New Roman" w:cs="Times New Roman"/>
                      <w:color w:val="auto"/>
                      <w:lang w:val="zh-CN"/>
                    </w:rPr>
                  </w:pPr>
                  <w:r>
                    <w:rPr>
                      <w:rFonts w:hint="default" w:ascii="Times New Roman" w:hAnsi="Times New Roman" w:cs="Times New Roman"/>
                      <w:color w:val="auto"/>
                      <w:sz w:val="21"/>
                      <w:szCs w:val="21"/>
                    </w:rPr>
                    <w:t>⑤强化危险废物全程环境监管，深入开展危险废物规范化环境管理，完善危险废物重点监管单位清单。深入推进大宗固体废物污染防治，加强固体废物源头减量和资源化利用。</w:t>
                  </w:r>
                </w:p>
              </w:tc>
              <w:tc>
                <w:tcPr>
                  <w:tcW w:w="1693" w:type="pct"/>
                  <w:tcBorders>
                    <w:tl2br w:val="nil"/>
                    <w:tr2bl w:val="nil"/>
                  </w:tcBorders>
                  <w:shd w:val="clear" w:color="auto" w:fill="auto"/>
                  <w:vAlign w:val="center"/>
                </w:tcPr>
                <w:p w14:paraId="15A22939">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①本项目位于沣西新城沣景路以北</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信息九路以西</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西</w:t>
                  </w:r>
                  <w:r>
                    <w:rPr>
                      <w:rFonts w:hint="default" w:ascii="Times New Roman" w:hAnsi="Times New Roman" w:cs="Times New Roman"/>
                      <w:color w:val="auto"/>
                      <w:sz w:val="21"/>
                      <w:szCs w:val="21"/>
                      <w:lang w:val="en-US" w:eastAsia="zh-CN"/>
                    </w:rPr>
                    <w:t>兴</w:t>
                  </w:r>
                  <w:r>
                    <w:rPr>
                      <w:rFonts w:hint="default" w:ascii="Times New Roman" w:hAnsi="Times New Roman" w:cs="Times New Roman"/>
                      <w:color w:val="auto"/>
                      <w:sz w:val="21"/>
                      <w:szCs w:val="21"/>
                    </w:rPr>
                    <w:t>高速以南</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咸户路以东，位于</w:t>
                  </w:r>
                  <w:r>
                    <w:rPr>
                      <w:rFonts w:hint="eastAsia" w:cs="Times New Roman"/>
                      <w:color w:val="auto"/>
                      <w:sz w:val="21"/>
                      <w:szCs w:val="21"/>
                      <w:lang w:val="en-US" w:eastAsia="zh-CN"/>
                    </w:rPr>
                    <w:t>西安市</w:t>
                  </w:r>
                  <w:r>
                    <w:rPr>
                      <w:rFonts w:hint="default" w:ascii="Times New Roman" w:hAnsi="Times New Roman" w:cs="Times New Roman"/>
                      <w:color w:val="auto"/>
                      <w:sz w:val="21"/>
                      <w:szCs w:val="21"/>
                    </w:rPr>
                    <w:t>生态环境分区重点管控单元内，采取环评提出的各项污染防治措施后，符合重点管控单元管控要求；</w:t>
                  </w:r>
                </w:p>
                <w:p w14:paraId="250153DA">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②本项目采用电</w:t>
                  </w:r>
                  <w:r>
                    <w:rPr>
                      <w:rFonts w:hint="eastAsia" w:cs="Times New Roman"/>
                      <w:color w:val="auto"/>
                      <w:sz w:val="21"/>
                      <w:szCs w:val="21"/>
                      <w:lang w:val="en-US" w:eastAsia="zh-CN"/>
                    </w:rPr>
                    <w:t>和天然气</w:t>
                  </w:r>
                  <w:r>
                    <w:rPr>
                      <w:rFonts w:hint="default" w:ascii="Times New Roman" w:hAnsi="Times New Roman" w:cs="Times New Roman"/>
                      <w:color w:val="auto"/>
                      <w:sz w:val="21"/>
                      <w:szCs w:val="21"/>
                    </w:rPr>
                    <w:t>作为能源，属于清洁能源；</w:t>
                  </w:r>
                </w:p>
                <w:p w14:paraId="4768EA34">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③本项目</w:t>
                  </w:r>
                  <w:r>
                    <w:rPr>
                      <w:rFonts w:hint="eastAsia" w:cs="Times New Roman"/>
                      <w:color w:val="auto"/>
                      <w:kern w:val="0"/>
                      <w:sz w:val="21"/>
                      <w:szCs w:val="21"/>
                      <w:highlight w:val="none"/>
                      <w:lang w:val="en-US" w:eastAsia="zh-CN"/>
                    </w:rPr>
                    <w:t>油烟废气采用</w:t>
                  </w:r>
                  <w:r>
                    <w:rPr>
                      <w:rFonts w:hint="eastAsia" w:cs="Times New Roman"/>
                      <w:color w:val="auto"/>
                      <w:sz w:val="21"/>
                      <w:szCs w:val="21"/>
                      <w:lang w:val="en-US" w:eastAsia="zh-CN"/>
                    </w:rPr>
                    <w:t>油烟净化器进行处理，</w:t>
                  </w:r>
                  <w:r>
                    <w:rPr>
                      <w:rFonts w:hint="eastAsia" w:cs="Times New Roman"/>
                      <w:color w:val="auto"/>
                      <w:kern w:val="0"/>
                      <w:sz w:val="21"/>
                      <w:szCs w:val="21"/>
                      <w:highlight w:val="none"/>
                      <w:lang w:val="en-US" w:eastAsia="zh-CN"/>
                    </w:rPr>
                    <w:t>导热油炉采用低氮燃烧器</w:t>
                  </w:r>
                  <w:r>
                    <w:rPr>
                      <w:rFonts w:hint="eastAsia" w:cs="Times New Roman"/>
                      <w:color w:val="auto"/>
                      <w:sz w:val="21"/>
                      <w:szCs w:val="21"/>
                      <w:lang w:eastAsia="zh-CN"/>
                    </w:rPr>
                    <w:t>，</w:t>
                  </w:r>
                  <w:r>
                    <w:rPr>
                      <w:rFonts w:hint="eastAsia" w:cs="Times New Roman"/>
                      <w:color w:val="auto"/>
                      <w:sz w:val="21"/>
                      <w:szCs w:val="21"/>
                      <w:lang w:val="en-US" w:eastAsia="zh-CN"/>
                    </w:rPr>
                    <w:t>废气</w:t>
                  </w:r>
                  <w:r>
                    <w:rPr>
                      <w:rFonts w:hint="default" w:ascii="Times New Roman" w:hAnsi="Times New Roman" w:cs="Times New Roman"/>
                      <w:color w:val="auto"/>
                      <w:sz w:val="21"/>
                      <w:szCs w:val="21"/>
                    </w:rPr>
                    <w:t>可达标排放；</w:t>
                  </w:r>
                </w:p>
                <w:p w14:paraId="10C70B9E">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④本项目</w:t>
                  </w:r>
                  <w:r>
                    <w:rPr>
                      <w:rFonts w:hint="default" w:ascii="Times New Roman" w:hAnsi="Times New Roman" w:cs="Times New Roman"/>
                      <w:color w:val="auto"/>
                      <w:sz w:val="21"/>
                      <w:szCs w:val="21"/>
                      <w:lang w:val="en-US" w:eastAsia="zh-CN"/>
                    </w:rPr>
                    <w:t>生产废水</w:t>
                  </w:r>
                  <w:r>
                    <w:rPr>
                      <w:rFonts w:hint="eastAsia" w:cs="Times New Roman"/>
                      <w:color w:val="auto"/>
                      <w:sz w:val="21"/>
                      <w:szCs w:val="21"/>
                      <w:lang w:val="en-US" w:eastAsia="zh-CN"/>
                    </w:rPr>
                    <w:t>依托租赁方</w:t>
                  </w:r>
                  <w:r>
                    <w:rPr>
                      <w:rFonts w:hint="default" w:ascii="Times New Roman" w:hAnsi="Times New Roman" w:cs="Times New Roman"/>
                      <w:color w:val="auto"/>
                      <w:sz w:val="21"/>
                      <w:szCs w:val="21"/>
                      <w:lang w:val="en-US" w:eastAsia="zh-CN"/>
                    </w:rPr>
                    <w:t>废水处理站处理后通过市政污水管网排入沣西新城渭河污水处理厂；</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w:t>
                  </w:r>
                  <w:r>
                    <w:rPr>
                      <w:rFonts w:hint="default" w:ascii="Times New Roman" w:hAnsi="Times New Roman" w:cs="Times New Roman"/>
                      <w:color w:val="auto"/>
                      <w:sz w:val="21"/>
                      <w:szCs w:val="21"/>
                      <w:lang w:val="en-US" w:eastAsia="zh-CN"/>
                    </w:rPr>
                    <w:t>化粪池处理后通过市政污水管网排入沣西新城渭河污水处理厂</w:t>
                  </w:r>
                  <w:r>
                    <w:rPr>
                      <w:rFonts w:hint="default" w:ascii="Times New Roman" w:hAnsi="Times New Roman" w:cs="Times New Roman"/>
                      <w:color w:val="auto"/>
                      <w:sz w:val="21"/>
                      <w:szCs w:val="21"/>
                    </w:rPr>
                    <w:t>；</w:t>
                  </w:r>
                </w:p>
                <w:p w14:paraId="415070B2">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⑤本项目危险废物采用专用容器分类收集后暂存</w:t>
                  </w:r>
                  <w:r>
                    <w:rPr>
                      <w:rFonts w:hint="eastAsia" w:ascii="Times New Roman" w:hAnsi="Times New Roman" w:cs="Times New Roman"/>
                      <w:color w:val="auto"/>
                      <w:sz w:val="21"/>
                      <w:szCs w:val="21"/>
                      <w:lang w:val="en-US" w:eastAsia="zh-CN"/>
                    </w:rPr>
                    <w:t>于</w:t>
                  </w:r>
                  <w:r>
                    <w:rPr>
                      <w:rFonts w:hint="eastAsia" w:cs="Times New Roman"/>
                      <w:color w:val="auto"/>
                      <w:sz w:val="21"/>
                      <w:szCs w:val="21"/>
                      <w:lang w:val="en-US" w:eastAsia="zh-CN"/>
                    </w:rPr>
                    <w:t>租赁方</w:t>
                  </w:r>
                  <w:r>
                    <w:rPr>
                      <w:rFonts w:hint="default" w:ascii="Times New Roman" w:hAnsi="Times New Roman" w:cs="Times New Roman"/>
                      <w:color w:val="auto"/>
                      <w:sz w:val="21"/>
                      <w:szCs w:val="21"/>
                      <w:lang w:eastAsia="zh-CN"/>
                    </w:rPr>
                    <w:t>危险废物贮存库</w:t>
                  </w:r>
                  <w:r>
                    <w:rPr>
                      <w:rFonts w:hint="default" w:ascii="Times New Roman" w:hAnsi="Times New Roman" w:cs="Times New Roman"/>
                      <w:color w:val="auto"/>
                      <w:sz w:val="21"/>
                      <w:szCs w:val="21"/>
                    </w:rPr>
                    <w:t>，定期交</w:t>
                  </w:r>
                  <w:r>
                    <w:rPr>
                      <w:rFonts w:hint="eastAsia" w:cs="Times New Roman"/>
                      <w:color w:val="auto"/>
                      <w:sz w:val="21"/>
                      <w:szCs w:val="21"/>
                      <w:lang w:val="en-US" w:eastAsia="zh-CN"/>
                    </w:rPr>
                    <w:t>给</w:t>
                  </w:r>
                  <w:r>
                    <w:rPr>
                      <w:rFonts w:hint="default" w:ascii="Times New Roman" w:hAnsi="Times New Roman" w:cs="Times New Roman"/>
                      <w:color w:val="auto"/>
                      <w:sz w:val="21"/>
                      <w:szCs w:val="21"/>
                    </w:rPr>
                    <w:t>有资质单位</w:t>
                  </w:r>
                  <w:r>
                    <w:rPr>
                      <w:rFonts w:hint="default" w:ascii="Times New Roman" w:hAnsi="Times New Roman" w:cs="Times New Roman"/>
                      <w:color w:val="auto"/>
                      <w:sz w:val="21"/>
                      <w:szCs w:val="21"/>
                      <w:lang w:eastAsia="zh-CN"/>
                    </w:rPr>
                    <w:t>处置</w:t>
                  </w:r>
                  <w:r>
                    <w:rPr>
                      <w:rFonts w:hint="default" w:ascii="Times New Roman" w:hAnsi="Times New Roman" w:cs="Times New Roman"/>
                      <w:color w:val="auto"/>
                      <w:sz w:val="21"/>
                      <w:szCs w:val="21"/>
                    </w:rPr>
                    <w:t>，各类固废均得到合理处置。</w:t>
                  </w:r>
                </w:p>
              </w:tc>
              <w:tc>
                <w:tcPr>
                  <w:tcW w:w="500" w:type="pct"/>
                  <w:tcBorders>
                    <w:tl2br w:val="nil"/>
                    <w:tr2bl w:val="nil"/>
                  </w:tcBorders>
                  <w:shd w:val="clear" w:color="auto" w:fill="auto"/>
                  <w:vAlign w:val="center"/>
                </w:tcPr>
                <w:p w14:paraId="7AB5F5D4">
                  <w:pPr>
                    <w:adjustRightInd w:val="0"/>
                    <w:snapToGrid w:val="0"/>
                    <w:spacing w:line="360" w:lineRule="atLeast"/>
                    <w:ind w:firstLine="0" w:firstLineChars="0"/>
                    <w:jc w:val="center"/>
                    <w:rPr>
                      <w:rFonts w:hint="default" w:ascii="Times New Roman" w:hAnsi="Times New Roman" w:cs="Times New Roman"/>
                      <w:color w:val="auto"/>
                      <w:lang w:val="zh-CN"/>
                    </w:rPr>
                  </w:pPr>
                  <w:r>
                    <w:rPr>
                      <w:rFonts w:hint="default" w:ascii="Times New Roman" w:hAnsi="Times New Roman" w:cs="Times New Roman"/>
                      <w:color w:val="auto"/>
                      <w:sz w:val="21"/>
                      <w:szCs w:val="21"/>
                    </w:rPr>
                    <w:t>符合</w:t>
                  </w:r>
                </w:p>
              </w:tc>
            </w:tr>
            <w:tr w14:paraId="4C32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27672656">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eastAsia" w:cs="Times New Roman"/>
                      <w:color w:val="auto"/>
                      <w:sz w:val="21"/>
                      <w:szCs w:val="21"/>
                      <w:highlight w:val="none"/>
                      <w:lang w:val="en-US" w:eastAsia="zh-CN"/>
                    </w:rPr>
                    <w:t>《陕西省噪声污染防治行动计划（2023-2025年）》</w:t>
                  </w:r>
                </w:p>
              </w:tc>
              <w:tc>
                <w:tcPr>
                  <w:tcW w:w="2063" w:type="pct"/>
                  <w:tcBorders>
                    <w:tl2br w:val="nil"/>
                    <w:tr2bl w:val="nil"/>
                  </w:tcBorders>
                  <w:shd w:val="clear" w:color="auto" w:fill="auto"/>
                  <w:vAlign w:val="center"/>
                </w:tcPr>
                <w:p w14:paraId="68406D84">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严格落实噪声污染防治要求。切实加强规划环评工作，充分考虑区域开发等规划内容产生的噪声对声环境质量的影响。可能产生噪声污染的新改扩建项目应当依法开展环评，符合相关规划环评管控要求。建设项目的噪声污染防治设施应当与主体工程同时设计、同时施工、同时投产使用。督促建设单位依法开展竣工环境保护验收，加大事中事后监管力度，确保各项措施落地见效。</w:t>
                  </w:r>
                </w:p>
              </w:tc>
              <w:tc>
                <w:tcPr>
                  <w:tcW w:w="1693" w:type="pct"/>
                  <w:tcBorders>
                    <w:tl2br w:val="nil"/>
                    <w:tr2bl w:val="nil"/>
                  </w:tcBorders>
                  <w:shd w:val="clear" w:color="auto" w:fill="auto"/>
                  <w:vAlign w:val="center"/>
                </w:tcPr>
                <w:p w14:paraId="267FC8B9">
                  <w:pPr>
                    <w:adjustRightInd w:val="0"/>
                    <w:snapToGrid w:val="0"/>
                    <w:spacing w:line="360" w:lineRule="atLeast"/>
                    <w:ind w:firstLine="0" w:firstLineChars="0"/>
                    <w:jc w:val="both"/>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zh-CN" w:eastAsia="zh-CN"/>
                    </w:rPr>
                    <w:t>本项目位于</w:t>
                  </w:r>
                  <w:r>
                    <w:rPr>
                      <w:rFonts w:hint="eastAsia" w:eastAsia="宋体" w:cs="Times New Roman"/>
                      <w:color w:val="auto"/>
                      <w:kern w:val="0"/>
                      <w:sz w:val="21"/>
                      <w:szCs w:val="21"/>
                      <w:highlight w:val="none"/>
                      <w:lang w:val="en-US" w:eastAsia="zh-CN"/>
                    </w:rPr>
                    <w:t>沣西新城分区规划范围内</w:t>
                  </w:r>
                  <w:r>
                    <w:rPr>
                      <w:rFonts w:hint="default" w:ascii="Times New Roman" w:hAnsi="Times New Roman" w:eastAsia="宋体" w:cs="Times New Roman"/>
                      <w:color w:val="auto"/>
                      <w:sz w:val="21"/>
                      <w:szCs w:val="21"/>
                      <w:lang w:val="zh-CN" w:eastAsia="zh-CN"/>
                    </w:rPr>
                    <w:t>，项目符合规划环评管控要求，项目目前正在依法办理环评手续，环评要求项目的噪声污染防治设施应当与主体工程同时设计、同时施工、同时投产使用。项目建成运行前依法开展竣工环境保护验收。</w:t>
                  </w:r>
                </w:p>
              </w:tc>
              <w:tc>
                <w:tcPr>
                  <w:tcW w:w="500" w:type="pct"/>
                  <w:tcBorders>
                    <w:tl2br w:val="nil"/>
                    <w:tr2bl w:val="nil"/>
                  </w:tcBorders>
                  <w:shd w:val="clear" w:color="auto" w:fill="auto"/>
                  <w:vAlign w:val="center"/>
                </w:tcPr>
                <w:p w14:paraId="5E802489">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4918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5E62E206">
                  <w:pPr>
                    <w:adjustRightInd w:val="0"/>
                    <w:snapToGrid w:val="0"/>
                    <w:spacing w:line="360" w:lineRule="atLeast"/>
                    <w:ind w:firstLine="0" w:firstLineChars="0"/>
                    <w:jc w:val="center"/>
                    <w:rPr>
                      <w:rFonts w:hint="eastAsia" w:cs="Times New Roman"/>
                      <w:color w:val="auto"/>
                      <w:sz w:val="21"/>
                      <w:szCs w:val="21"/>
                      <w:highlight w:val="none"/>
                      <w:lang w:val="en-US" w:eastAsia="zh-CN"/>
                    </w:rPr>
                  </w:pPr>
                  <w:r>
                    <w:rPr>
                      <w:rFonts w:hint="default" w:ascii="Times New Roman" w:hAnsi="Times New Roman" w:cs="Times New Roman"/>
                      <w:color w:val="auto"/>
                      <w:sz w:val="21"/>
                      <w:szCs w:val="21"/>
                    </w:rPr>
                    <w:t>《陕西省生态环境厅关于&lt;进一步加强关中地区涉气重点行业项目&gt;环评管理的通知》</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陕环环评函〔2023〕76号</w:t>
                  </w:r>
                  <w:r>
                    <w:rPr>
                      <w:rFonts w:hint="default" w:ascii="Times New Roman" w:hAnsi="Times New Roman" w:cs="Times New Roman"/>
                      <w:color w:val="auto"/>
                      <w:sz w:val="21"/>
                      <w:szCs w:val="21"/>
                      <w:lang w:eastAsia="zh-CN"/>
                    </w:rPr>
                    <w:t>）</w:t>
                  </w:r>
                </w:p>
              </w:tc>
              <w:tc>
                <w:tcPr>
                  <w:tcW w:w="2063" w:type="pct"/>
                  <w:tcBorders>
                    <w:tl2br w:val="nil"/>
                    <w:tr2bl w:val="nil"/>
                  </w:tcBorders>
                  <w:shd w:val="clear" w:color="auto" w:fill="auto"/>
                  <w:vAlign w:val="center"/>
                </w:tcPr>
                <w:p w14:paraId="6B1AB086">
                  <w:pPr>
                    <w:adjustRightInd w:val="0"/>
                    <w:snapToGrid w:val="0"/>
                    <w:spacing w:line="360" w:lineRule="atLeast"/>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关中地区涉气重点行业项目范围为生态环境部确定的39个重点行业的新改扩建项目，涉及关中各市</w:t>
                  </w:r>
                  <w:r>
                    <w:rPr>
                      <w:rFonts w:hint="eastAsia" w:cs="Times New Roman"/>
                      <w:color w:val="auto"/>
                      <w:sz w:val="21"/>
                      <w:szCs w:val="21"/>
                      <w:lang w:eastAsia="zh-CN"/>
                    </w:rPr>
                    <w:t>（</w:t>
                  </w:r>
                  <w:r>
                    <w:rPr>
                      <w:rFonts w:hint="default" w:ascii="Times New Roman" w:hAnsi="Times New Roman" w:cs="Times New Roman"/>
                      <w:color w:val="auto"/>
                      <w:sz w:val="21"/>
                      <w:szCs w:val="21"/>
                    </w:rPr>
                    <w:t>区</w:t>
                  </w:r>
                  <w:r>
                    <w:rPr>
                      <w:rFonts w:hint="eastAsia" w:cs="Times New Roman"/>
                      <w:color w:val="auto"/>
                      <w:sz w:val="21"/>
                      <w:szCs w:val="21"/>
                      <w:lang w:eastAsia="zh-CN"/>
                    </w:rPr>
                    <w:t>）</w:t>
                  </w:r>
                  <w:r>
                    <w:rPr>
                      <w:rFonts w:hint="default" w:ascii="Times New Roman" w:hAnsi="Times New Roman" w:cs="Times New Roman"/>
                      <w:color w:val="auto"/>
                      <w:sz w:val="21"/>
                      <w:szCs w:val="21"/>
                    </w:rPr>
                    <w:t>辖区及开发区范围内的应达到环保绩效A级、绩效引领性水平要求，西安市、咸阳市、渭南市的其他区域应达到环保绩效B级及以上要求。</w:t>
                  </w:r>
                </w:p>
              </w:tc>
              <w:tc>
                <w:tcPr>
                  <w:tcW w:w="1693" w:type="pct"/>
                  <w:tcBorders>
                    <w:tl2br w:val="nil"/>
                    <w:tr2bl w:val="nil"/>
                  </w:tcBorders>
                  <w:shd w:val="clear" w:color="auto" w:fill="auto"/>
                  <w:vAlign w:val="center"/>
                </w:tcPr>
                <w:p w14:paraId="3583AECE">
                  <w:pPr>
                    <w:adjustRightInd w:val="0"/>
                    <w:snapToGrid w:val="0"/>
                    <w:spacing w:line="360" w:lineRule="atLeast"/>
                    <w:ind w:firstLine="0" w:firstLineChars="0"/>
                    <w:jc w:val="both"/>
                    <w:rPr>
                      <w:rFonts w:hint="default" w:ascii="Times New Roman" w:hAnsi="Times New Roman" w:eastAsia="宋体" w:cs="Times New Roman"/>
                      <w:color w:val="auto"/>
                      <w:sz w:val="21"/>
                      <w:szCs w:val="21"/>
                      <w:lang w:val="zh-CN" w:eastAsia="zh-CN"/>
                    </w:rPr>
                  </w:pPr>
                  <w:r>
                    <w:rPr>
                      <w:rFonts w:hint="default" w:ascii="Times New Roman" w:hAnsi="Times New Roman" w:cs="Times New Roman"/>
                      <w:color w:val="auto"/>
                      <w:sz w:val="21"/>
                      <w:szCs w:val="21"/>
                    </w:rPr>
                    <w:t>本项目</w:t>
                  </w:r>
                  <w:r>
                    <w:rPr>
                      <w:rFonts w:hint="eastAsia" w:cs="Times New Roman"/>
                      <w:color w:val="auto"/>
                      <w:sz w:val="21"/>
                      <w:szCs w:val="21"/>
                      <w:lang w:val="en-US" w:eastAsia="zh-CN"/>
                    </w:rPr>
                    <w:t>为水产品</w:t>
                  </w:r>
                  <w:r>
                    <w:rPr>
                      <w:rFonts w:hint="default" w:ascii="Times New Roman" w:hAnsi="Times New Roman" w:cs="Times New Roman"/>
                      <w:color w:val="auto"/>
                      <w:sz w:val="21"/>
                      <w:szCs w:val="21"/>
                      <w:lang w:val="en-US" w:eastAsia="zh-CN"/>
                    </w:rPr>
                    <w:t>加工</w:t>
                  </w:r>
                  <w:r>
                    <w:rPr>
                      <w:rFonts w:hint="default" w:ascii="Times New Roman" w:hAnsi="Times New Roman" w:cs="Times New Roman"/>
                      <w:color w:val="auto"/>
                      <w:sz w:val="21"/>
                      <w:szCs w:val="21"/>
                      <w:lang w:val="zh-CN"/>
                    </w:rPr>
                    <w:t>，</w:t>
                  </w:r>
                  <w:r>
                    <w:rPr>
                      <w:rFonts w:hint="eastAsia"/>
                      <w:color w:val="auto"/>
                      <w:sz w:val="21"/>
                      <w:szCs w:val="21"/>
                      <w:lang w:val="en-US" w:eastAsia="zh-CN"/>
                    </w:rPr>
                    <w:t>不</w:t>
                  </w:r>
                  <w:r>
                    <w:rPr>
                      <w:rFonts w:hint="default" w:ascii="Times New Roman" w:hAnsi="Times New Roman" w:cs="Times New Roman"/>
                      <w:color w:val="auto"/>
                      <w:sz w:val="21"/>
                      <w:szCs w:val="21"/>
                    </w:rPr>
                    <w:t>属于《重污染天气重点行业应急减排措施制定技术指南（2020年修订版）》（环办大气函〔2020〕340号）中列明的39个涉气重点行业。</w:t>
                  </w:r>
                </w:p>
              </w:tc>
              <w:tc>
                <w:tcPr>
                  <w:tcW w:w="500" w:type="pct"/>
                  <w:tcBorders>
                    <w:tl2br w:val="nil"/>
                    <w:tr2bl w:val="nil"/>
                  </w:tcBorders>
                  <w:shd w:val="clear" w:color="auto" w:fill="auto"/>
                  <w:vAlign w:val="center"/>
                </w:tcPr>
                <w:p w14:paraId="11125344">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B93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70F375F0">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《西安市</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十四五</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生态环境保护规划》</w:t>
                  </w:r>
                </w:p>
              </w:tc>
              <w:tc>
                <w:tcPr>
                  <w:tcW w:w="2063" w:type="pct"/>
                  <w:tcBorders>
                    <w:tl2br w:val="nil"/>
                    <w:tr2bl w:val="nil"/>
                  </w:tcBorders>
                  <w:shd w:val="clear" w:color="auto" w:fill="auto"/>
                  <w:vAlign w:val="center"/>
                </w:tcPr>
                <w:p w14:paraId="35B165BF">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①强化VOCs综合整治。将挥发性有机物纳入污染物排放总量控制体系，有效减少重点污染源、全社会挥发性有机物和NOx排放总量。</w:t>
                  </w:r>
                </w:p>
                <w:p w14:paraId="6FD8A245">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②</w:t>
                  </w:r>
                  <w:r>
                    <w:rPr>
                      <w:rFonts w:hint="default" w:ascii="Times New Roman" w:hAnsi="Times New Roman" w:cs="Times New Roman"/>
                      <w:color w:val="auto"/>
                      <w:sz w:val="21"/>
                      <w:szCs w:val="21"/>
                      <w:lang w:val="en-US" w:eastAsia="zh-CN"/>
                    </w:rPr>
                    <w:t>提升危险废物环境监管能力。加大对危险废物污染防治监管力度，规范危险废物环境管理，形成覆盖危险废物产生、收集、贮存、转移、运输、利用、处置等全过程的监管体系。</w:t>
                  </w:r>
                </w:p>
              </w:tc>
              <w:tc>
                <w:tcPr>
                  <w:tcW w:w="1693" w:type="pct"/>
                  <w:tcBorders>
                    <w:tl2br w:val="nil"/>
                    <w:tr2bl w:val="nil"/>
                  </w:tcBorders>
                  <w:shd w:val="clear" w:color="auto" w:fill="auto"/>
                  <w:vAlign w:val="center"/>
                </w:tcPr>
                <w:p w14:paraId="09DEF008">
                  <w:pPr>
                    <w:adjustRightInd w:val="0"/>
                    <w:snapToGrid w:val="0"/>
                    <w:spacing w:line="360" w:lineRule="atLeast"/>
                    <w:ind w:firstLine="0" w:firstLineChars="0"/>
                    <w:rPr>
                      <w:rFonts w:hint="eastAsia" w:cs="Times New Roman"/>
                      <w:color w:val="auto"/>
                      <w:sz w:val="21"/>
                      <w:szCs w:val="21"/>
                      <w:lang w:eastAsia="zh-CN"/>
                    </w:rPr>
                  </w:pPr>
                  <w:r>
                    <w:rPr>
                      <w:rFonts w:hint="default" w:ascii="Times New Roman" w:hAnsi="Times New Roman" w:cs="Times New Roman"/>
                      <w:color w:val="auto"/>
                      <w:sz w:val="21"/>
                      <w:szCs w:val="21"/>
                    </w:rPr>
                    <w:t>①本项目</w:t>
                  </w:r>
                  <w:r>
                    <w:rPr>
                      <w:rFonts w:hint="eastAsia" w:cs="Times New Roman"/>
                      <w:color w:val="auto"/>
                      <w:kern w:val="0"/>
                      <w:sz w:val="21"/>
                      <w:szCs w:val="21"/>
                      <w:highlight w:val="none"/>
                      <w:lang w:val="en-US" w:eastAsia="zh-CN"/>
                    </w:rPr>
                    <w:t>导热油炉采用低氮燃烧器</w:t>
                  </w:r>
                  <w:r>
                    <w:rPr>
                      <w:rFonts w:hint="eastAsia" w:cs="Times New Roman"/>
                      <w:color w:val="auto"/>
                      <w:sz w:val="21"/>
                      <w:szCs w:val="21"/>
                      <w:lang w:eastAsia="zh-CN"/>
                    </w:rPr>
                    <w:t>，</w:t>
                  </w:r>
                  <w:r>
                    <w:rPr>
                      <w:rFonts w:hint="default" w:ascii="Times New Roman" w:hAnsi="Times New Roman" w:cs="Times New Roman"/>
                      <w:color w:val="auto"/>
                      <w:sz w:val="21"/>
                      <w:szCs w:val="21"/>
                    </w:rPr>
                    <w:t>将NOx纳入了总量控制体系</w:t>
                  </w:r>
                  <w:r>
                    <w:rPr>
                      <w:rFonts w:hint="eastAsia" w:cs="Times New Roman"/>
                      <w:color w:val="auto"/>
                      <w:sz w:val="21"/>
                      <w:szCs w:val="21"/>
                      <w:lang w:eastAsia="zh-CN"/>
                    </w:rPr>
                    <w:t>。</w:t>
                  </w:r>
                </w:p>
                <w:p w14:paraId="0DD24B15">
                  <w:pPr>
                    <w:adjustRightInd w:val="0"/>
                    <w:snapToGrid w:val="0"/>
                    <w:spacing w:line="360" w:lineRule="atLeast"/>
                    <w:ind w:firstLine="0" w:firstLineChars="0"/>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②本项目危险废物采用专用容器分类收集后暂存</w:t>
                  </w:r>
                  <w:r>
                    <w:rPr>
                      <w:rFonts w:hint="eastAsia" w:ascii="Times New Roman" w:hAnsi="Times New Roman" w:cs="Times New Roman"/>
                      <w:color w:val="auto"/>
                      <w:sz w:val="21"/>
                      <w:szCs w:val="21"/>
                      <w:lang w:val="en-US" w:eastAsia="zh-CN"/>
                    </w:rPr>
                    <w:t>于</w:t>
                  </w:r>
                  <w:r>
                    <w:rPr>
                      <w:rFonts w:hint="eastAsia" w:cs="Times New Roman"/>
                      <w:color w:val="auto"/>
                      <w:sz w:val="21"/>
                      <w:szCs w:val="21"/>
                      <w:lang w:val="en-US" w:eastAsia="zh-CN"/>
                    </w:rPr>
                    <w:t>租赁方</w:t>
                  </w:r>
                  <w:r>
                    <w:rPr>
                      <w:rFonts w:hint="default" w:ascii="Times New Roman" w:hAnsi="Times New Roman" w:cs="Times New Roman"/>
                      <w:color w:val="auto"/>
                      <w:sz w:val="21"/>
                      <w:szCs w:val="21"/>
                      <w:lang w:eastAsia="zh-CN"/>
                    </w:rPr>
                    <w:t>危险废物贮存库</w:t>
                  </w:r>
                  <w:r>
                    <w:rPr>
                      <w:rFonts w:hint="default" w:ascii="Times New Roman" w:hAnsi="Times New Roman" w:cs="Times New Roman"/>
                      <w:color w:val="auto"/>
                      <w:sz w:val="21"/>
                      <w:szCs w:val="21"/>
                    </w:rPr>
                    <w:t>，定期交有资质单位</w:t>
                  </w:r>
                  <w:r>
                    <w:rPr>
                      <w:rFonts w:hint="default" w:ascii="Times New Roman" w:hAnsi="Times New Roman" w:cs="Times New Roman"/>
                      <w:color w:val="auto"/>
                      <w:sz w:val="21"/>
                      <w:szCs w:val="21"/>
                      <w:lang w:eastAsia="zh-CN"/>
                    </w:rPr>
                    <w:t>处置</w:t>
                  </w:r>
                  <w:r>
                    <w:rPr>
                      <w:rFonts w:hint="default" w:ascii="Times New Roman" w:hAnsi="Times New Roman" w:cs="Times New Roman"/>
                      <w:color w:val="auto"/>
                      <w:sz w:val="21"/>
                      <w:szCs w:val="21"/>
                    </w:rPr>
                    <w:t>。</w:t>
                  </w:r>
                </w:p>
              </w:tc>
              <w:tc>
                <w:tcPr>
                  <w:tcW w:w="500" w:type="pct"/>
                  <w:tcBorders>
                    <w:tl2br w:val="nil"/>
                    <w:tr2bl w:val="nil"/>
                  </w:tcBorders>
                  <w:shd w:val="clear" w:color="auto" w:fill="auto"/>
                  <w:vAlign w:val="center"/>
                </w:tcPr>
                <w:p w14:paraId="5CC479E4">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zh-CN"/>
                    </w:rPr>
                    <w:t>符合</w:t>
                  </w:r>
                </w:p>
              </w:tc>
            </w:tr>
            <w:tr w14:paraId="3016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25F22CE6">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《西咸新区大气污染治理专项行动方案（2023-2027年）》（陕西咸党发〔2023〕4号）</w:t>
                  </w:r>
                </w:p>
              </w:tc>
              <w:tc>
                <w:tcPr>
                  <w:tcW w:w="2063" w:type="pct"/>
                  <w:tcBorders>
                    <w:tl2br w:val="nil"/>
                    <w:tr2bl w:val="nil"/>
                  </w:tcBorders>
                  <w:shd w:val="clear" w:color="auto" w:fill="auto"/>
                  <w:vAlign w:val="center"/>
                </w:tcPr>
                <w:p w14:paraId="1DAFA9AE">
                  <w:pPr>
                    <w:adjustRightInd w:val="0"/>
                    <w:snapToGrid w:val="0"/>
                    <w:spacing w:line="360" w:lineRule="atLeast"/>
                    <w:ind w:firstLine="0" w:firstLineChars="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产业发展结构调整：严格新、改、扩建涉气重点行业绩效评级限制条件。新区范围内新、改、扩建涉气重点行业企业应达到环保绩效A级、绩效引领性水平。</w:t>
                  </w:r>
                </w:p>
                <w:p w14:paraId="729B12E0">
                  <w:pPr>
                    <w:adjustRightInd w:val="0"/>
                    <w:snapToGrid w:val="0"/>
                    <w:spacing w:line="360" w:lineRule="atLeast"/>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严把锅炉准入关口。全面禁止新建燃煤锅炉，推动燃气锅炉实施低氮燃烧深度改造，鼓励企业将氮氧化物浓度控制在30毫克/立方米以内。</w:t>
                  </w:r>
                </w:p>
              </w:tc>
              <w:tc>
                <w:tcPr>
                  <w:tcW w:w="1693" w:type="pct"/>
                  <w:tcBorders>
                    <w:tl2br w:val="nil"/>
                    <w:tr2bl w:val="nil"/>
                  </w:tcBorders>
                  <w:shd w:val="clear" w:color="auto" w:fill="auto"/>
                  <w:vAlign w:val="center"/>
                </w:tcPr>
                <w:p w14:paraId="01E02567">
                  <w:pPr>
                    <w:adjustRightInd w:val="0"/>
                    <w:snapToGrid w:val="0"/>
                    <w:spacing w:line="360" w:lineRule="atLeast"/>
                    <w:ind w:firstLine="0" w:firstLineChars="0"/>
                    <w:jc w:val="both"/>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项目不属于涉气重点行业企业。</w:t>
                  </w:r>
                </w:p>
                <w:p w14:paraId="772C5E97">
                  <w:pPr>
                    <w:adjustRightInd w:val="0"/>
                    <w:snapToGrid w:val="0"/>
                    <w:spacing w:line="360" w:lineRule="atLeast"/>
                    <w:ind w:firstLine="0" w:firstLineChars="0"/>
                    <w:jc w:val="both"/>
                    <w:rPr>
                      <w:rFonts w:hint="default" w:ascii="Times New Roman" w:hAnsi="Times New Roman" w:eastAsia="宋体" w:cs="Times New Roman"/>
                      <w:color w:val="auto"/>
                      <w:sz w:val="21"/>
                      <w:szCs w:val="21"/>
                      <w:lang w:val="zh-CN"/>
                    </w:rPr>
                  </w:pPr>
                  <w:r>
                    <w:rPr>
                      <w:rFonts w:hint="eastAsia" w:cs="Times New Roman"/>
                      <w:color w:val="auto"/>
                      <w:kern w:val="0"/>
                      <w:sz w:val="21"/>
                      <w:szCs w:val="21"/>
                      <w:highlight w:val="none"/>
                      <w:lang w:val="en-US" w:eastAsia="zh-CN"/>
                    </w:rPr>
                    <w:t>导热油炉采用低氮燃烧器</w:t>
                  </w:r>
                  <w:r>
                    <w:rPr>
                      <w:rFonts w:hint="eastAsia" w:cs="Times New Roman"/>
                      <w:color w:val="auto"/>
                      <w:sz w:val="21"/>
                      <w:szCs w:val="21"/>
                      <w:lang w:eastAsia="zh-CN"/>
                    </w:rPr>
                    <w:t>，</w:t>
                  </w:r>
                  <w:r>
                    <w:rPr>
                      <w:rFonts w:hint="default" w:ascii="Times New Roman" w:hAnsi="Times New Roman" w:cs="Times New Roman"/>
                      <w:color w:val="auto"/>
                      <w:sz w:val="21"/>
                      <w:szCs w:val="21"/>
                      <w:lang w:val="en-US" w:eastAsia="zh-CN"/>
                    </w:rPr>
                    <w:t>氮氧化物排放浓度</w:t>
                  </w:r>
                  <w:r>
                    <w:rPr>
                      <w:rFonts w:hint="eastAsia" w:cs="Times New Roman"/>
                      <w:color w:val="auto"/>
                      <w:sz w:val="21"/>
                      <w:szCs w:val="21"/>
                      <w:lang w:val="en-US" w:eastAsia="zh-CN"/>
                    </w:rPr>
                    <w:t>可</w:t>
                  </w:r>
                  <w:r>
                    <w:rPr>
                      <w:rFonts w:hint="default" w:ascii="Times New Roman" w:hAnsi="Times New Roman" w:cs="Times New Roman"/>
                      <w:color w:val="auto"/>
                      <w:sz w:val="21"/>
                      <w:szCs w:val="21"/>
                      <w:lang w:val="en-US" w:eastAsia="zh-CN"/>
                    </w:rPr>
                    <w:t>控制在30毫克/立方米以内。</w:t>
                  </w:r>
                </w:p>
              </w:tc>
              <w:tc>
                <w:tcPr>
                  <w:tcW w:w="500" w:type="pct"/>
                  <w:tcBorders>
                    <w:tl2br w:val="nil"/>
                    <w:tr2bl w:val="nil"/>
                  </w:tcBorders>
                  <w:shd w:val="clear" w:color="auto" w:fill="auto"/>
                  <w:vAlign w:val="center"/>
                </w:tcPr>
                <w:p w14:paraId="57F04748">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8B6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43" w:type="pct"/>
                  <w:tcBorders>
                    <w:tl2br w:val="nil"/>
                    <w:tr2bl w:val="nil"/>
                  </w:tcBorders>
                  <w:shd w:val="clear" w:color="auto" w:fill="auto"/>
                  <w:vAlign w:val="center"/>
                </w:tcPr>
                <w:p w14:paraId="3CC238CA">
                  <w:pPr>
                    <w:adjustRightInd w:val="0"/>
                    <w:snapToGrid w:val="0"/>
                    <w:spacing w:line="360" w:lineRule="atLeast"/>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《沣西新城推进实现“十四五”空气质量目标暨大气污染治理专项行动2025年工作方案》</w:t>
                  </w:r>
                </w:p>
              </w:tc>
              <w:tc>
                <w:tcPr>
                  <w:tcW w:w="2063" w:type="pct"/>
                  <w:tcBorders>
                    <w:tl2br w:val="nil"/>
                    <w:tr2bl w:val="nil"/>
                  </w:tcBorders>
                  <w:shd w:val="clear" w:color="auto" w:fill="auto"/>
                  <w:vAlign w:val="center"/>
                </w:tcPr>
                <w:p w14:paraId="6FAF73E5">
                  <w:pPr>
                    <w:adjustRightInd w:val="0"/>
                    <w:snapToGrid w:val="0"/>
                    <w:spacing w:line="360" w:lineRule="atLeast"/>
                    <w:ind w:firstLine="0" w:firstLineChars="0"/>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强化源头管控。</w:t>
                  </w:r>
                  <w:r>
                    <w:rPr>
                      <w:rFonts w:hint="default" w:ascii="Times New Roman" w:hAnsi="Times New Roman" w:cs="Times New Roman"/>
                      <w:color w:val="auto"/>
                      <w:sz w:val="21"/>
                      <w:szCs w:val="21"/>
                      <w:lang w:val="en-US" w:eastAsia="zh-CN"/>
                    </w:rPr>
                    <w:t>严格落实省、市、新区及新城产业规划、产业政策、生态环境分区管控、规划环评、重点污染物总量控制、污染物排放区域削减等要求，积极推行区域、规划环境影响评价，新改扩建化工、石化、建材、有色等项目的环境影响评价应满足区域和规划环评要求。</w:t>
                  </w:r>
                </w:p>
                <w:p w14:paraId="655F0D86">
                  <w:pPr>
                    <w:adjustRightInd w:val="0"/>
                    <w:snapToGrid w:val="0"/>
                    <w:spacing w:line="360" w:lineRule="atLeast"/>
                    <w:ind w:firstLine="0" w:firstLineChars="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推动燃气锅炉实施低氮燃烧深度改造。持续推进燃气锅炉低氮燃烧深度改造，氮氧化物排放浓度控制在30毫克/立方米以内。</w:t>
                  </w:r>
                </w:p>
              </w:tc>
              <w:tc>
                <w:tcPr>
                  <w:tcW w:w="1693" w:type="pct"/>
                  <w:tcBorders>
                    <w:tl2br w:val="nil"/>
                    <w:tr2bl w:val="nil"/>
                  </w:tcBorders>
                  <w:shd w:val="clear" w:color="auto" w:fill="auto"/>
                  <w:vAlign w:val="center"/>
                </w:tcPr>
                <w:p w14:paraId="1498F5A0">
                  <w:pPr>
                    <w:adjustRightInd w:val="0"/>
                    <w:snapToGrid w:val="0"/>
                    <w:spacing w:line="360" w:lineRule="atLeast"/>
                    <w:ind w:firstLine="0" w:firstLineChars="0"/>
                    <w:jc w:val="both"/>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项目</w:t>
                  </w:r>
                  <w:r>
                    <w:rPr>
                      <w:rFonts w:hint="default" w:ascii="Times New Roman" w:hAnsi="Times New Roman" w:eastAsia="宋体" w:cs="Times New Roman"/>
                      <w:color w:val="auto"/>
                      <w:sz w:val="21"/>
                      <w:szCs w:val="21"/>
                      <w:lang w:val="zh-CN" w:eastAsia="zh-CN"/>
                    </w:rPr>
                    <w:t>位于</w:t>
                  </w:r>
                  <w:r>
                    <w:rPr>
                      <w:rFonts w:hint="eastAsia" w:eastAsia="宋体" w:cs="Times New Roman"/>
                      <w:color w:val="auto"/>
                      <w:kern w:val="0"/>
                      <w:sz w:val="21"/>
                      <w:szCs w:val="21"/>
                      <w:highlight w:val="none"/>
                      <w:lang w:val="en-US" w:eastAsia="zh-CN"/>
                    </w:rPr>
                    <w:t>沣西新城分区规划范围内</w:t>
                  </w:r>
                  <w:r>
                    <w:rPr>
                      <w:rFonts w:hint="default" w:ascii="Times New Roman" w:hAnsi="Times New Roman" w:eastAsia="宋体" w:cs="Times New Roman"/>
                      <w:color w:val="auto"/>
                      <w:sz w:val="21"/>
                      <w:szCs w:val="21"/>
                      <w:lang w:val="zh-CN" w:eastAsia="zh-CN"/>
                    </w:rPr>
                    <w:t>，</w:t>
                  </w:r>
                  <w:r>
                    <w:rPr>
                      <w:rFonts w:hint="default" w:ascii="Times New Roman" w:hAnsi="Times New Roman" w:cs="Times New Roman"/>
                      <w:color w:val="auto"/>
                      <w:sz w:val="21"/>
                      <w:szCs w:val="21"/>
                      <w:lang w:val="en-US" w:eastAsia="zh-CN"/>
                    </w:rPr>
                    <w:t>符合省、市、新区及新城产业规划、产业政策、生态环境分区管控以及园区规划环评等要求</w:t>
                  </w:r>
                  <w:r>
                    <w:rPr>
                      <w:rFonts w:hint="eastAsia" w:ascii="Times New Roman" w:hAnsi="Times New Roman" w:cs="Times New Roman"/>
                      <w:color w:val="auto"/>
                      <w:sz w:val="21"/>
                      <w:szCs w:val="21"/>
                      <w:lang w:val="en-US" w:eastAsia="zh-CN"/>
                    </w:rPr>
                    <w:t>。</w:t>
                  </w:r>
                </w:p>
                <w:p w14:paraId="0635929D">
                  <w:pPr>
                    <w:adjustRightInd w:val="0"/>
                    <w:snapToGrid w:val="0"/>
                    <w:spacing w:line="360" w:lineRule="atLeast"/>
                    <w:ind w:firstLine="0" w:firstLineChars="0"/>
                    <w:jc w:val="both"/>
                    <w:rPr>
                      <w:rFonts w:hint="eastAsia" w:ascii="Times New Roman" w:hAnsi="Times New Roman" w:cs="Times New Roman"/>
                      <w:color w:val="auto"/>
                      <w:sz w:val="21"/>
                      <w:szCs w:val="21"/>
                      <w:lang w:val="en-US" w:eastAsia="zh-CN"/>
                    </w:rPr>
                  </w:pPr>
                  <w:r>
                    <w:rPr>
                      <w:rFonts w:hint="eastAsia" w:cs="Times New Roman"/>
                      <w:color w:val="auto"/>
                      <w:kern w:val="0"/>
                      <w:sz w:val="21"/>
                      <w:szCs w:val="21"/>
                      <w:highlight w:val="none"/>
                      <w:lang w:val="en-US" w:eastAsia="zh-CN"/>
                    </w:rPr>
                    <w:t>导热油炉采用低氮燃烧器</w:t>
                  </w:r>
                  <w:r>
                    <w:rPr>
                      <w:rFonts w:hint="eastAsia" w:cs="Times New Roman"/>
                      <w:color w:val="auto"/>
                      <w:sz w:val="21"/>
                      <w:szCs w:val="21"/>
                      <w:lang w:eastAsia="zh-CN"/>
                    </w:rPr>
                    <w:t>，</w:t>
                  </w:r>
                  <w:r>
                    <w:rPr>
                      <w:rFonts w:hint="default" w:ascii="Times New Roman" w:hAnsi="Times New Roman" w:cs="Times New Roman"/>
                      <w:color w:val="auto"/>
                      <w:sz w:val="21"/>
                      <w:szCs w:val="21"/>
                      <w:lang w:val="en-US" w:eastAsia="zh-CN"/>
                    </w:rPr>
                    <w:t>氮氧化物排放浓度</w:t>
                  </w:r>
                  <w:r>
                    <w:rPr>
                      <w:rFonts w:hint="eastAsia" w:cs="Times New Roman"/>
                      <w:color w:val="auto"/>
                      <w:sz w:val="21"/>
                      <w:szCs w:val="21"/>
                      <w:lang w:val="en-US" w:eastAsia="zh-CN"/>
                    </w:rPr>
                    <w:t>可</w:t>
                  </w:r>
                  <w:r>
                    <w:rPr>
                      <w:rFonts w:hint="default" w:ascii="Times New Roman" w:hAnsi="Times New Roman" w:cs="Times New Roman"/>
                      <w:color w:val="auto"/>
                      <w:sz w:val="21"/>
                      <w:szCs w:val="21"/>
                      <w:lang w:val="en-US" w:eastAsia="zh-CN"/>
                    </w:rPr>
                    <w:t>控制在30毫克/立方米以内。</w:t>
                  </w:r>
                </w:p>
                <w:p w14:paraId="4429E3D6">
                  <w:pPr>
                    <w:adjustRightInd w:val="0"/>
                    <w:snapToGrid w:val="0"/>
                    <w:spacing w:line="360" w:lineRule="atLeast"/>
                    <w:ind w:firstLine="0" w:firstLineChars="0"/>
                    <w:jc w:val="both"/>
                    <w:rPr>
                      <w:rFonts w:hint="default" w:ascii="Times New Roman" w:hAnsi="Times New Roman" w:cs="Times New Roman"/>
                      <w:color w:val="auto"/>
                      <w:sz w:val="21"/>
                      <w:szCs w:val="21"/>
                      <w:lang w:val="en-US" w:eastAsia="zh-CN"/>
                    </w:rPr>
                  </w:pPr>
                </w:p>
              </w:tc>
              <w:tc>
                <w:tcPr>
                  <w:tcW w:w="500" w:type="pct"/>
                  <w:tcBorders>
                    <w:tl2br w:val="nil"/>
                    <w:tr2bl w:val="nil"/>
                  </w:tcBorders>
                  <w:shd w:val="clear" w:color="auto" w:fill="auto"/>
                  <w:vAlign w:val="center"/>
                </w:tcPr>
                <w:p w14:paraId="0EB91106">
                  <w:pPr>
                    <w:adjustRightInd w:val="0"/>
                    <w:snapToGrid w:val="0"/>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bl>
          <w:p w14:paraId="634A214B">
            <w:pPr>
              <w:tabs>
                <w:tab w:val="left" w:pos="6240"/>
              </w:tabs>
              <w:ind w:firstLine="482"/>
              <w:rPr>
                <w:rFonts w:hint="default" w:ascii="Times New Roman" w:hAnsi="Times New Roman" w:cs="Times New Roman"/>
                <w:b/>
                <w:bCs/>
                <w:color w:val="auto"/>
              </w:rPr>
            </w:pPr>
            <w:r>
              <w:rPr>
                <w:rFonts w:hint="eastAsia" w:cs="Times New Roman"/>
                <w:b/>
                <w:bCs/>
                <w:color w:val="auto"/>
                <w:lang w:eastAsia="zh-CN"/>
              </w:rPr>
              <w:t>4.</w:t>
            </w:r>
            <w:r>
              <w:rPr>
                <w:rFonts w:hint="default" w:ascii="Times New Roman" w:hAnsi="Times New Roman" w:cs="Times New Roman"/>
                <w:b/>
                <w:bCs/>
                <w:color w:val="auto"/>
              </w:rPr>
              <w:t>选址合理性分析</w:t>
            </w:r>
          </w:p>
          <w:p w14:paraId="4063A9EA">
            <w:pPr>
              <w:tabs>
                <w:tab w:val="left" w:pos="6240"/>
              </w:tabs>
              <w:ind w:firstLine="480"/>
              <w:rPr>
                <w:rFonts w:hint="default" w:ascii="Times New Roman" w:hAnsi="Times New Roman" w:cs="Times New Roman"/>
                <w:color w:val="auto"/>
              </w:rPr>
            </w:pPr>
            <w:r>
              <w:rPr>
                <w:rFonts w:hint="default" w:ascii="Times New Roman" w:hAnsi="Times New Roman" w:cs="Times New Roman"/>
                <w:color w:val="auto"/>
              </w:rPr>
              <w:t>本项目</w:t>
            </w:r>
            <w:r>
              <w:rPr>
                <w:rFonts w:hint="eastAsia" w:cs="Times New Roman"/>
                <w:color w:val="auto"/>
                <w:lang w:val="en-US" w:eastAsia="zh-CN"/>
              </w:rPr>
              <w:t>位于</w:t>
            </w:r>
            <w:r>
              <w:rPr>
                <w:rFonts w:hint="default" w:ascii="Times New Roman" w:hAnsi="Times New Roman" w:cs="Times New Roman"/>
                <w:color w:val="auto"/>
              </w:rPr>
              <w:t>陕西省西咸新区沣西新城沣景路以北</w:t>
            </w:r>
            <w:r>
              <w:rPr>
                <w:rFonts w:hint="eastAsia" w:cs="Times New Roman"/>
                <w:color w:val="auto"/>
                <w:lang w:eastAsia="zh-CN"/>
              </w:rPr>
              <w:t>、</w:t>
            </w:r>
            <w:r>
              <w:rPr>
                <w:rFonts w:hint="default" w:ascii="Times New Roman" w:hAnsi="Times New Roman" w:cs="Times New Roman"/>
                <w:color w:val="auto"/>
              </w:rPr>
              <w:t>信息九路以西</w:t>
            </w:r>
            <w:r>
              <w:rPr>
                <w:rFonts w:hint="eastAsia" w:cs="Times New Roman"/>
                <w:color w:val="auto"/>
                <w:lang w:eastAsia="zh-CN"/>
              </w:rPr>
              <w:t>、</w:t>
            </w:r>
            <w:r>
              <w:rPr>
                <w:rFonts w:hint="default" w:ascii="Times New Roman" w:hAnsi="Times New Roman" w:cs="Times New Roman"/>
                <w:color w:val="auto"/>
              </w:rPr>
              <w:t>西</w:t>
            </w:r>
            <w:r>
              <w:rPr>
                <w:rFonts w:hint="eastAsia" w:cs="Times New Roman"/>
                <w:color w:val="auto"/>
                <w:lang w:val="en-US" w:eastAsia="zh-CN"/>
              </w:rPr>
              <w:t>兴</w:t>
            </w:r>
            <w:r>
              <w:rPr>
                <w:rFonts w:hint="default" w:ascii="Times New Roman" w:hAnsi="Times New Roman" w:cs="Times New Roman"/>
                <w:color w:val="auto"/>
              </w:rPr>
              <w:t>高速以南</w:t>
            </w:r>
            <w:r>
              <w:rPr>
                <w:rFonts w:hint="eastAsia" w:cs="Times New Roman"/>
                <w:color w:val="auto"/>
                <w:lang w:eastAsia="zh-CN"/>
              </w:rPr>
              <w:t>、</w:t>
            </w:r>
            <w:r>
              <w:rPr>
                <w:rFonts w:hint="default" w:ascii="Times New Roman" w:hAnsi="Times New Roman" w:cs="Times New Roman"/>
                <w:color w:val="auto"/>
              </w:rPr>
              <w:t>咸户路以东，</w:t>
            </w:r>
            <w:r>
              <w:rPr>
                <w:rFonts w:hint="eastAsia" w:cs="Times New Roman"/>
                <w:color w:val="auto"/>
                <w:lang w:val="en-US" w:eastAsia="zh-CN"/>
              </w:rPr>
              <w:t>租赁</w:t>
            </w:r>
            <w:r>
              <w:rPr>
                <w:rFonts w:hint="default" w:ascii="Times New Roman" w:hAnsi="Times New Roman" w:cs="Times New Roman"/>
                <w:color w:val="auto"/>
              </w:rPr>
              <w:t>陕西物流每一天供应链管理有限公</w:t>
            </w:r>
            <w:r>
              <w:rPr>
                <w:rFonts w:hint="eastAsia" w:cs="Times New Roman"/>
                <w:color w:val="auto"/>
                <w:lang w:val="en-US" w:eastAsia="zh-CN"/>
              </w:rPr>
              <w:t>司2#楼1层进行建设，根据租赁场地的不动产权证书（陕（2021）西咸新区不动产权第0002937号），</w:t>
            </w:r>
            <w:r>
              <w:rPr>
                <w:rFonts w:hint="default" w:ascii="Times New Roman" w:hAnsi="Times New Roman" w:cs="Times New Roman"/>
                <w:color w:val="auto"/>
              </w:rPr>
              <w:t>用地</w:t>
            </w:r>
            <w:r>
              <w:rPr>
                <w:rFonts w:hint="eastAsia" w:cs="Times New Roman"/>
                <w:color w:val="auto"/>
                <w:lang w:val="en-US" w:eastAsia="zh-CN"/>
              </w:rPr>
              <w:t>性质</w:t>
            </w:r>
            <w:r>
              <w:rPr>
                <w:rFonts w:hint="default" w:ascii="Times New Roman" w:hAnsi="Times New Roman" w:cs="Times New Roman"/>
                <w:color w:val="auto"/>
              </w:rPr>
              <w:t>为工业用地。</w:t>
            </w:r>
          </w:p>
          <w:p w14:paraId="6DCCDE8A">
            <w:pPr>
              <w:pStyle w:val="8"/>
              <w:tabs>
                <w:tab w:val="left" w:pos="6240"/>
              </w:tabs>
              <w:ind w:firstLine="480"/>
              <w:jc w:val="both"/>
              <w:rPr>
                <w:rFonts w:hint="default" w:ascii="Times New Roman" w:hAnsi="Times New Roman" w:cs="Times New Roman"/>
                <w:color w:val="auto"/>
              </w:rPr>
            </w:pPr>
            <w:r>
              <w:rPr>
                <w:rFonts w:hint="default" w:ascii="Times New Roman" w:hAnsi="Times New Roman" w:cs="Times New Roman"/>
                <w:color w:val="auto"/>
              </w:rPr>
              <w:t>项目所在地交通便利，供电、供</w:t>
            </w:r>
            <w:r>
              <w:rPr>
                <w:rFonts w:hint="eastAsia" w:cs="Times New Roman"/>
                <w:color w:val="auto"/>
                <w:lang w:val="en-US" w:eastAsia="zh-CN"/>
              </w:rPr>
              <w:t>水</w:t>
            </w:r>
            <w:r>
              <w:rPr>
                <w:rFonts w:hint="default" w:ascii="Times New Roman" w:hAnsi="Times New Roman" w:cs="Times New Roman"/>
                <w:color w:val="auto"/>
              </w:rPr>
              <w:t>、通讯等基础配套设施已完备，具有良好的建设条件。项目附近无饮用水源保护区、风景名胜区、自然保护区和其他需要特别保护的区域范围，项目厂界外50m范围内无声环境保护目标</w:t>
            </w:r>
            <w:r>
              <w:rPr>
                <w:rFonts w:hint="eastAsia" w:cs="Times New Roman"/>
                <w:color w:val="auto"/>
                <w:lang w:eastAsia="zh-CN"/>
              </w:rPr>
              <w:t>，</w:t>
            </w:r>
            <w:r>
              <w:rPr>
                <w:rFonts w:hint="eastAsia" w:cs="Times New Roman"/>
                <w:color w:val="auto"/>
                <w:lang w:val="en-US" w:eastAsia="zh-CN"/>
              </w:rPr>
              <w:t>最近敏感目标为厂界东北侧375m的曹家寨村，其位于主导风向的上风向，项目主导风向下风向</w:t>
            </w:r>
            <w:r>
              <w:rPr>
                <w:rFonts w:hint="default" w:ascii="Times New Roman" w:hAnsi="Times New Roman" w:cs="Times New Roman"/>
                <w:color w:val="auto"/>
              </w:rPr>
              <w:t>5</w:t>
            </w:r>
            <w:r>
              <w:rPr>
                <w:rFonts w:hint="eastAsia" w:cs="Times New Roman"/>
                <w:color w:val="auto"/>
                <w:lang w:val="en-US" w:eastAsia="zh-CN"/>
              </w:rPr>
              <w:t>0</w:t>
            </w:r>
            <w:r>
              <w:rPr>
                <w:rFonts w:hint="default" w:ascii="Times New Roman" w:hAnsi="Times New Roman" w:cs="Times New Roman"/>
                <w:color w:val="auto"/>
              </w:rPr>
              <w:t>0m范围内无</w:t>
            </w:r>
            <w:r>
              <w:rPr>
                <w:rFonts w:hint="eastAsia" w:cs="Times New Roman"/>
                <w:color w:val="auto"/>
                <w:lang w:val="en-US" w:eastAsia="zh-CN"/>
              </w:rPr>
              <w:t>大气</w:t>
            </w:r>
            <w:r>
              <w:rPr>
                <w:rFonts w:hint="default" w:ascii="Times New Roman" w:hAnsi="Times New Roman" w:cs="Times New Roman"/>
                <w:color w:val="auto"/>
              </w:rPr>
              <w:t>环境保护目标</w:t>
            </w:r>
            <w:r>
              <w:rPr>
                <w:rFonts w:hint="eastAsia" w:cs="Times New Roman"/>
                <w:color w:val="auto"/>
                <w:lang w:eastAsia="zh-CN"/>
              </w:rPr>
              <w:t>，</w:t>
            </w:r>
            <w:r>
              <w:rPr>
                <w:rFonts w:hint="eastAsia" w:cs="Times New Roman"/>
                <w:color w:val="auto"/>
                <w:lang w:val="en-US" w:eastAsia="zh-CN"/>
              </w:rPr>
              <w:t>项目</w:t>
            </w:r>
            <w:r>
              <w:rPr>
                <w:rFonts w:hint="default" w:ascii="Times New Roman" w:hAnsi="Times New Roman" w:cs="Times New Roman"/>
                <w:color w:val="auto"/>
              </w:rPr>
              <w:t>不存在环境制约因素。在严格落实评价中提出的各项污染防治措施，加强环保设施的运行维护和管理，并落实环境风险防范措施后，项目废气、废水、噪声均可长期稳定达标排放</w:t>
            </w:r>
            <w:r>
              <w:rPr>
                <w:rFonts w:hint="eastAsia" w:cs="Times New Roman"/>
                <w:color w:val="auto"/>
                <w:lang w:eastAsia="zh-CN"/>
              </w:rPr>
              <w:t>，</w:t>
            </w:r>
            <w:r>
              <w:rPr>
                <w:rFonts w:hint="default" w:ascii="Times New Roman" w:hAnsi="Times New Roman" w:cs="Times New Roman"/>
                <w:color w:val="auto"/>
              </w:rPr>
              <w:t>固废</w:t>
            </w:r>
            <w:r>
              <w:rPr>
                <w:rFonts w:hint="eastAsia" w:cs="Times New Roman"/>
                <w:color w:val="auto"/>
                <w:lang w:val="en-US" w:eastAsia="zh-CN"/>
              </w:rPr>
              <w:t>可得到</w:t>
            </w:r>
            <w:r>
              <w:rPr>
                <w:rFonts w:hint="default" w:ascii="Times New Roman" w:hAnsi="Times New Roman" w:cs="Times New Roman"/>
                <w:color w:val="auto"/>
              </w:rPr>
              <w:t>妥善处置，环境风险可接受，对周围环境影响较小，不会改变评价区现有环境功能，对周围环境保护目标的影响可接受。</w:t>
            </w:r>
          </w:p>
          <w:p w14:paraId="4094244D">
            <w:pPr>
              <w:pStyle w:val="8"/>
              <w:tabs>
                <w:tab w:val="left" w:pos="6240"/>
              </w:tabs>
              <w:ind w:firstLine="480"/>
              <w:jc w:val="both"/>
              <w:rPr>
                <w:rFonts w:hint="eastAsia"/>
                <w:color w:val="auto"/>
                <w:lang w:val="en-US" w:eastAsia="zh-CN"/>
              </w:rPr>
            </w:pPr>
            <w:r>
              <w:rPr>
                <w:rFonts w:hint="eastAsia"/>
                <w:color w:val="auto"/>
                <w:lang w:val="en-US" w:eastAsia="zh-CN"/>
              </w:rPr>
              <w:t>项目租赁厂区的入驻企业均为食品企业，不存在对食品有显著污染的区域，不属于有害废弃物以及粉尘、有害气体、放射性物质和其他扩散性污染源不能有效清除的地址，不属于易发生洪涝灾害的地区，厂区周围不存在有虫害大量孳生的潜在场所，符合</w:t>
            </w:r>
            <w:r>
              <w:rPr>
                <w:color w:val="auto"/>
              </w:rPr>
              <w:t>《食品安全国家标准 食品生产通用卫生规范》（GB 14881</w:t>
            </w:r>
            <w:r>
              <w:rPr>
                <w:rFonts w:hint="eastAsia"/>
                <w:color w:val="auto"/>
                <w:lang w:val="en-US" w:eastAsia="zh-CN"/>
              </w:rPr>
              <w:t>-2025</w:t>
            </w:r>
            <w:r>
              <w:rPr>
                <w:color w:val="auto"/>
              </w:rPr>
              <w:t>）</w:t>
            </w:r>
            <w:r>
              <w:rPr>
                <w:rFonts w:hint="eastAsia"/>
                <w:color w:val="auto"/>
                <w:lang w:val="en-US" w:eastAsia="zh-CN"/>
              </w:rPr>
              <w:t>的选址要求。</w:t>
            </w:r>
          </w:p>
          <w:p w14:paraId="1AA8CA26">
            <w:pPr>
              <w:pStyle w:val="8"/>
              <w:tabs>
                <w:tab w:val="left" w:pos="6240"/>
              </w:tabs>
              <w:ind w:firstLine="480"/>
              <w:rPr>
                <w:rFonts w:hint="default" w:ascii="Times New Roman" w:hAnsi="Times New Roman" w:cs="Times New Roman"/>
                <w:color w:val="auto"/>
              </w:rPr>
            </w:pPr>
            <w:r>
              <w:rPr>
                <w:rFonts w:hint="default" w:ascii="Times New Roman" w:hAnsi="Times New Roman" w:cs="Times New Roman"/>
                <w:color w:val="auto"/>
              </w:rPr>
              <w:t>综上，从环境影响的角度分析，项目选址可行。</w:t>
            </w:r>
          </w:p>
          <w:p w14:paraId="7C820099">
            <w:pPr>
              <w:spacing w:line="360" w:lineRule="auto"/>
              <w:ind w:firstLine="480"/>
              <w:rPr>
                <w:rFonts w:hint="default" w:ascii="Times New Roman" w:hAnsi="Times New Roman" w:cs="Times New Roman"/>
                <w:color w:val="auto"/>
              </w:rPr>
            </w:pPr>
          </w:p>
          <w:p w14:paraId="58BDC343">
            <w:pPr>
              <w:spacing w:line="360" w:lineRule="auto"/>
              <w:ind w:firstLine="480"/>
              <w:rPr>
                <w:rFonts w:hint="default" w:ascii="Times New Roman" w:hAnsi="Times New Roman" w:cs="Times New Roman"/>
                <w:color w:val="auto"/>
              </w:rPr>
            </w:pPr>
          </w:p>
          <w:p w14:paraId="493AC5B1">
            <w:pPr>
              <w:spacing w:line="360" w:lineRule="auto"/>
              <w:ind w:firstLine="480"/>
              <w:rPr>
                <w:rFonts w:hint="default" w:ascii="Times New Roman" w:hAnsi="Times New Roman" w:cs="Times New Roman"/>
                <w:color w:val="auto"/>
              </w:rPr>
            </w:pPr>
          </w:p>
          <w:p w14:paraId="31BF3A16">
            <w:pPr>
              <w:spacing w:line="360" w:lineRule="auto"/>
              <w:ind w:firstLine="480"/>
              <w:rPr>
                <w:rFonts w:hint="default" w:ascii="Times New Roman" w:hAnsi="Times New Roman" w:cs="Times New Roman"/>
                <w:color w:val="auto"/>
              </w:rPr>
            </w:pPr>
          </w:p>
          <w:p w14:paraId="4F35A9C0">
            <w:pPr>
              <w:spacing w:line="360" w:lineRule="auto"/>
              <w:ind w:firstLine="480"/>
              <w:rPr>
                <w:rFonts w:hint="default" w:ascii="Times New Roman" w:hAnsi="Times New Roman" w:cs="Times New Roman"/>
                <w:color w:val="auto"/>
              </w:rPr>
            </w:pPr>
          </w:p>
          <w:p w14:paraId="6D794509">
            <w:pPr>
              <w:spacing w:line="360" w:lineRule="auto"/>
              <w:ind w:firstLine="480"/>
              <w:rPr>
                <w:rFonts w:hint="default" w:ascii="Times New Roman" w:hAnsi="Times New Roman" w:cs="Times New Roman"/>
                <w:color w:val="auto"/>
              </w:rPr>
            </w:pPr>
          </w:p>
          <w:p w14:paraId="3EA55A32">
            <w:pPr>
              <w:spacing w:line="360" w:lineRule="auto"/>
              <w:ind w:firstLine="480"/>
              <w:rPr>
                <w:rFonts w:hint="default" w:ascii="Times New Roman" w:hAnsi="Times New Roman" w:cs="Times New Roman"/>
                <w:color w:val="auto"/>
              </w:rPr>
            </w:pPr>
          </w:p>
          <w:p w14:paraId="5277B2EC">
            <w:pPr>
              <w:spacing w:line="360" w:lineRule="auto"/>
              <w:ind w:firstLine="480"/>
              <w:rPr>
                <w:rFonts w:hint="default" w:ascii="Times New Roman" w:hAnsi="Times New Roman" w:cs="Times New Roman"/>
                <w:color w:val="auto"/>
              </w:rPr>
            </w:pPr>
          </w:p>
          <w:p w14:paraId="1E81D276">
            <w:pPr>
              <w:spacing w:line="360" w:lineRule="auto"/>
              <w:ind w:firstLine="480"/>
              <w:rPr>
                <w:rFonts w:hint="default" w:ascii="Times New Roman" w:hAnsi="Times New Roman" w:cs="Times New Roman"/>
                <w:color w:val="auto"/>
              </w:rPr>
            </w:pPr>
          </w:p>
          <w:p w14:paraId="09AB2AF4">
            <w:pPr>
              <w:spacing w:line="360" w:lineRule="auto"/>
              <w:ind w:firstLine="480"/>
              <w:rPr>
                <w:rFonts w:hint="default" w:ascii="Times New Roman" w:hAnsi="Times New Roman" w:cs="Times New Roman"/>
                <w:color w:val="auto"/>
              </w:rPr>
            </w:pPr>
          </w:p>
          <w:p w14:paraId="1E0CF7BD">
            <w:pPr>
              <w:spacing w:line="360" w:lineRule="auto"/>
              <w:ind w:firstLine="480"/>
              <w:rPr>
                <w:rFonts w:hint="default" w:ascii="Times New Roman" w:hAnsi="Times New Roman" w:cs="Times New Roman"/>
                <w:color w:val="auto"/>
              </w:rPr>
            </w:pPr>
          </w:p>
          <w:p w14:paraId="110295CF">
            <w:pPr>
              <w:spacing w:line="360" w:lineRule="auto"/>
              <w:ind w:firstLine="480"/>
              <w:rPr>
                <w:rFonts w:hint="default" w:ascii="Times New Roman" w:hAnsi="Times New Roman" w:cs="Times New Roman"/>
                <w:color w:val="auto"/>
              </w:rPr>
            </w:pPr>
          </w:p>
          <w:p w14:paraId="6B6AABBD">
            <w:pPr>
              <w:spacing w:line="360" w:lineRule="auto"/>
              <w:ind w:firstLine="480"/>
              <w:rPr>
                <w:rFonts w:hint="default" w:ascii="Times New Roman" w:hAnsi="Times New Roman" w:cs="Times New Roman"/>
                <w:color w:val="auto"/>
              </w:rPr>
            </w:pPr>
          </w:p>
          <w:p w14:paraId="0C319B89">
            <w:pPr>
              <w:spacing w:line="360" w:lineRule="auto"/>
              <w:ind w:firstLine="480"/>
              <w:rPr>
                <w:rFonts w:hint="default" w:ascii="Times New Roman" w:hAnsi="Times New Roman" w:cs="Times New Roman"/>
                <w:color w:val="auto"/>
              </w:rPr>
            </w:pPr>
          </w:p>
          <w:p w14:paraId="246E8D95">
            <w:pPr>
              <w:spacing w:line="360" w:lineRule="auto"/>
              <w:ind w:firstLine="480"/>
              <w:rPr>
                <w:rFonts w:hint="default" w:ascii="Times New Roman" w:hAnsi="Times New Roman" w:cs="Times New Roman"/>
                <w:color w:val="auto"/>
              </w:rPr>
            </w:pPr>
          </w:p>
          <w:p w14:paraId="4E59AFCF">
            <w:pPr>
              <w:spacing w:line="360" w:lineRule="auto"/>
              <w:ind w:firstLine="480"/>
              <w:rPr>
                <w:rFonts w:hint="default" w:ascii="Times New Roman" w:hAnsi="Times New Roman" w:cs="Times New Roman"/>
                <w:color w:val="auto"/>
              </w:rPr>
            </w:pPr>
          </w:p>
          <w:p w14:paraId="48B073F6">
            <w:pPr>
              <w:spacing w:line="360" w:lineRule="auto"/>
              <w:ind w:left="0" w:leftChars="0" w:firstLine="0" w:firstLineChars="0"/>
              <w:rPr>
                <w:rFonts w:hint="default" w:ascii="Times New Roman" w:hAnsi="Times New Roman" w:cs="Times New Roman"/>
                <w:color w:val="auto"/>
              </w:rPr>
            </w:pPr>
          </w:p>
        </w:tc>
      </w:tr>
    </w:tbl>
    <w:p w14:paraId="18DE4F78">
      <w:pPr>
        <w:spacing w:line="360" w:lineRule="auto"/>
        <w:ind w:firstLine="600"/>
        <w:outlineLvl w:val="0"/>
        <w:rPr>
          <w:rFonts w:hint="default" w:ascii="Times New Roman" w:hAnsi="Times New Roman" w:eastAsia="黑体" w:cs="Times New Roman"/>
          <w:color w:val="auto"/>
          <w:sz w:val="30"/>
        </w:rPr>
        <w:sectPr>
          <w:footerReference r:id="rId12"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033BBC14">
      <w:pPr>
        <w:pStyle w:val="17"/>
        <w:spacing w:before="0" w:beforeAutospacing="0" w:after="0" w:afterAutospacing="0" w:line="360" w:lineRule="auto"/>
        <w:ind w:firstLine="560"/>
        <w:jc w:val="center"/>
        <w:outlineLvl w:val="0"/>
        <w:rPr>
          <w:rFonts w:hint="default" w:ascii="Times New Roman" w:hAnsi="Times New Roman" w:eastAsia="黑体" w:cs="Times New Roman"/>
          <w:snapToGrid w:val="0"/>
          <w:color w:val="auto"/>
          <w:sz w:val="28"/>
          <w:szCs w:val="28"/>
        </w:rPr>
      </w:pPr>
      <w:r>
        <w:rPr>
          <w:rFonts w:hint="default" w:ascii="Times New Roman" w:hAnsi="Times New Roman" w:eastAsia="黑体" w:cs="Times New Roman"/>
          <w:snapToGrid w:val="0"/>
          <w:color w:val="auto"/>
          <w:sz w:val="28"/>
          <w:szCs w:val="28"/>
        </w:rPr>
        <w:t>二、建设项目工程分析</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04"/>
      </w:tblGrid>
      <w:tr w14:paraId="731103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2" w:type="dxa"/>
            <w:vAlign w:val="center"/>
          </w:tcPr>
          <w:p w14:paraId="011D184F">
            <w:pPr>
              <w:pStyle w:val="17"/>
              <w:adjustRightInd w:val="0"/>
              <w:snapToGrid w:val="0"/>
              <w:spacing w:before="0" w:beforeAutospacing="0" w:after="0" w:afterAutospacing="0"/>
              <w:ind w:firstLine="0" w:firstLineChars="0"/>
              <w:jc w:val="center"/>
              <w:rPr>
                <w:rFonts w:hint="default" w:ascii="Times New Roman" w:hAnsi="Times New Roman" w:cs="Times New Roman"/>
                <w:color w:val="auto"/>
                <w:szCs w:val="24"/>
              </w:rPr>
            </w:pPr>
            <w:r>
              <w:rPr>
                <w:rFonts w:hint="default" w:ascii="Times New Roman" w:hAnsi="Times New Roman" w:cs="Times New Roman"/>
                <w:color w:val="auto"/>
                <w:szCs w:val="24"/>
              </w:rPr>
              <w:t>建设内容</w:t>
            </w:r>
          </w:p>
        </w:tc>
        <w:tc>
          <w:tcPr>
            <w:tcW w:w="8618" w:type="dxa"/>
          </w:tcPr>
          <w:p w14:paraId="00CD9D63">
            <w:pPr>
              <w:widowControl/>
              <w:spacing w:line="360" w:lineRule="auto"/>
              <w:ind w:firstLine="482"/>
              <w:jc w:val="left"/>
              <w:rPr>
                <w:rFonts w:hint="default" w:ascii="Times New Roman" w:hAnsi="Times New Roman" w:cs="Times New Roman"/>
                <w:b/>
                <w:bCs/>
                <w:color w:val="auto"/>
              </w:rPr>
            </w:pPr>
            <w:r>
              <w:rPr>
                <w:rFonts w:hint="eastAsia" w:cs="Times New Roman"/>
                <w:b/>
                <w:bCs/>
                <w:color w:val="auto"/>
                <w:lang w:eastAsia="zh-CN"/>
              </w:rPr>
              <w:t>1.</w:t>
            </w:r>
            <w:r>
              <w:rPr>
                <w:rFonts w:hint="default" w:ascii="Times New Roman" w:hAnsi="Times New Roman" w:cs="Times New Roman"/>
                <w:b/>
                <w:bCs/>
                <w:color w:val="auto"/>
              </w:rPr>
              <w:t>项目由来</w:t>
            </w:r>
          </w:p>
          <w:p w14:paraId="470135BD">
            <w:pPr>
              <w:widowControl/>
              <w:spacing w:line="360" w:lineRule="auto"/>
              <w:ind w:firstLine="480"/>
              <w:rPr>
                <w:rFonts w:hint="eastAsia" w:cs="Times New Roman"/>
                <w:color w:val="auto"/>
                <w:lang w:eastAsia="zh-CN"/>
              </w:rPr>
            </w:pPr>
            <w:r>
              <w:rPr>
                <w:rFonts w:hint="eastAsia" w:cs="Times New Roman"/>
                <w:bCs/>
                <w:color w:val="auto"/>
                <w:lang w:eastAsia="zh-CN"/>
              </w:rPr>
              <w:t>陕西大秦滨洋食品有限公司</w:t>
            </w:r>
            <w:r>
              <w:rPr>
                <w:rFonts w:hint="default" w:ascii="Times New Roman" w:hAnsi="Times New Roman" w:cs="Times New Roman"/>
                <w:bCs/>
                <w:color w:val="auto"/>
                <w:lang w:eastAsia="zh-CN"/>
              </w:rPr>
              <w:t>成立于</w:t>
            </w:r>
            <w:r>
              <w:rPr>
                <w:rFonts w:hint="eastAsia" w:cs="Times New Roman"/>
                <w:bCs/>
                <w:color w:val="auto"/>
                <w:lang w:eastAsia="zh-CN"/>
              </w:rPr>
              <w:t>202</w:t>
            </w:r>
            <w:r>
              <w:rPr>
                <w:rFonts w:hint="eastAsia" w:cs="Times New Roman"/>
                <w:bCs/>
                <w:color w:val="auto"/>
                <w:lang w:val="en-US" w:eastAsia="zh-CN"/>
              </w:rPr>
              <w:t>6</w:t>
            </w:r>
            <w:r>
              <w:rPr>
                <w:rFonts w:hint="eastAsia" w:cs="Times New Roman"/>
                <w:bCs/>
                <w:color w:val="auto"/>
                <w:lang w:eastAsia="zh-CN"/>
              </w:rPr>
              <w:t>年</w:t>
            </w:r>
            <w:r>
              <w:rPr>
                <w:rFonts w:hint="eastAsia" w:cs="Times New Roman"/>
                <w:bCs/>
                <w:color w:val="auto"/>
                <w:lang w:val="en-US" w:eastAsia="zh-CN"/>
              </w:rPr>
              <w:t>5</w:t>
            </w:r>
            <w:r>
              <w:rPr>
                <w:rFonts w:hint="eastAsia" w:cs="Times New Roman"/>
                <w:bCs/>
                <w:color w:val="auto"/>
                <w:lang w:eastAsia="zh-CN"/>
              </w:rPr>
              <w:t>月</w:t>
            </w:r>
            <w:r>
              <w:rPr>
                <w:rFonts w:hint="eastAsia" w:cs="Times New Roman"/>
                <w:bCs/>
                <w:color w:val="auto"/>
                <w:lang w:val="en-US" w:eastAsia="zh-CN"/>
              </w:rPr>
              <w:t>8</w:t>
            </w:r>
            <w:r>
              <w:rPr>
                <w:rFonts w:hint="eastAsia" w:cs="Times New Roman"/>
                <w:bCs/>
                <w:color w:val="auto"/>
                <w:lang w:eastAsia="zh-CN"/>
              </w:rPr>
              <w:t>日</w:t>
            </w:r>
            <w:r>
              <w:rPr>
                <w:rFonts w:hint="default" w:ascii="Times New Roman" w:hAnsi="Times New Roman" w:cs="Times New Roman"/>
                <w:bCs/>
                <w:color w:val="auto"/>
                <w:lang w:eastAsia="zh-CN"/>
              </w:rPr>
              <w:t>，</w:t>
            </w:r>
            <w:r>
              <w:rPr>
                <w:rFonts w:hint="eastAsia" w:cs="Times New Roman"/>
                <w:bCs/>
                <w:color w:val="auto"/>
                <w:lang w:val="en-US" w:eastAsia="zh-CN"/>
              </w:rPr>
              <w:t>经营范围包括水产品批发、食品生产等。公司拟租赁</w:t>
            </w:r>
            <w:r>
              <w:rPr>
                <w:rFonts w:hint="default" w:ascii="Times New Roman" w:hAnsi="Times New Roman" w:cs="Times New Roman"/>
                <w:color w:val="auto"/>
              </w:rPr>
              <w:t>陕西省西咸新区沣西新城陕西物流每一天供应链管理有限公</w:t>
            </w:r>
            <w:r>
              <w:rPr>
                <w:rFonts w:hint="eastAsia" w:cs="Times New Roman"/>
                <w:color w:val="auto"/>
                <w:lang w:val="en-US" w:eastAsia="zh-CN"/>
              </w:rPr>
              <w:t>司已建厂房建设</w:t>
            </w:r>
            <w:r>
              <w:rPr>
                <w:rFonts w:hint="eastAsia" w:cs="Times New Roman"/>
                <w:bCs/>
                <w:color w:val="auto"/>
                <w:lang w:val="en-US" w:eastAsia="zh-CN"/>
              </w:rPr>
              <w:t>小龙虾加工项目</w:t>
            </w:r>
            <w:r>
              <w:rPr>
                <w:rFonts w:hint="eastAsia" w:cs="Times New Roman"/>
                <w:color w:val="auto"/>
                <w:lang w:eastAsia="zh-CN"/>
              </w:rPr>
              <w:t>。</w:t>
            </w:r>
          </w:p>
          <w:p w14:paraId="2D2C828F">
            <w:pPr>
              <w:widowControl/>
              <w:spacing w:line="360" w:lineRule="auto"/>
              <w:ind w:firstLine="480"/>
              <w:rPr>
                <w:rFonts w:hint="default" w:ascii="Times New Roman" w:hAnsi="Times New Roman" w:cs="Times New Roman"/>
                <w:bCs/>
                <w:color w:val="auto"/>
                <w:lang w:val="en-US" w:eastAsia="zh-CN"/>
              </w:rPr>
            </w:pPr>
            <w:r>
              <w:rPr>
                <w:rFonts w:hint="eastAsia" w:cs="Times New Roman"/>
                <w:bCs/>
                <w:color w:val="auto"/>
                <w:lang w:val="en-US" w:eastAsia="zh-CN"/>
              </w:rPr>
              <w:t>根据《陕西省西咸新区水土保持规划（2021-2030年）》，项目涉及水土流失重点预防区（泾渭川道重点预防区），</w:t>
            </w:r>
            <w:r>
              <w:rPr>
                <w:rFonts w:hint="default" w:ascii="Times New Roman" w:hAnsi="Times New Roman" w:cs="Times New Roman"/>
                <w:bCs/>
                <w:color w:val="auto"/>
              </w:rPr>
              <w:t>按照《建设项目环境影响评价分类管理名录》（2021年版），本项目属于</w:t>
            </w:r>
            <w:r>
              <w:rPr>
                <w:rFonts w:hint="eastAsia" w:cs="Times New Roman"/>
                <w:bCs/>
                <w:color w:val="auto"/>
                <w:lang w:eastAsia="zh-CN"/>
              </w:rPr>
              <w:t>“</w:t>
            </w:r>
            <w:r>
              <w:rPr>
                <w:rFonts w:hint="default" w:ascii="Times New Roman" w:hAnsi="Times New Roman" w:cs="Times New Roman"/>
                <w:bCs/>
                <w:color w:val="auto"/>
              </w:rPr>
              <w:t>十、</w:t>
            </w:r>
            <w:r>
              <w:rPr>
                <w:rFonts w:hint="eastAsia" w:cs="Times New Roman"/>
                <w:bCs/>
                <w:color w:val="auto"/>
                <w:lang w:val="en-US" w:eastAsia="zh-CN"/>
              </w:rPr>
              <w:t>农副食品加工业13</w:t>
            </w:r>
            <w:r>
              <w:rPr>
                <w:rFonts w:hint="eastAsia" w:cs="Times New Roman"/>
                <w:bCs/>
                <w:color w:val="auto"/>
                <w:lang w:eastAsia="zh-CN"/>
              </w:rPr>
              <w:t>——</w:t>
            </w:r>
            <w:r>
              <w:rPr>
                <w:rFonts w:hint="eastAsia" w:cs="Times New Roman"/>
                <w:bCs/>
                <w:color w:val="auto"/>
                <w:lang w:val="en-US" w:eastAsia="zh-CN"/>
              </w:rPr>
              <w:t>19</w:t>
            </w:r>
            <w:r>
              <w:rPr>
                <w:rFonts w:hint="default" w:ascii="Times New Roman" w:hAnsi="Times New Roman" w:cs="Times New Roman"/>
                <w:bCs/>
                <w:color w:val="auto"/>
              </w:rPr>
              <w:t>.</w:t>
            </w:r>
            <w:r>
              <w:rPr>
                <w:rFonts w:hint="eastAsia" w:cs="Times New Roman"/>
                <w:bCs/>
                <w:color w:val="auto"/>
                <w:lang w:val="en-US" w:eastAsia="zh-CN"/>
              </w:rPr>
              <w:t>水产品加工136</w:t>
            </w:r>
            <w:r>
              <w:rPr>
                <w:rFonts w:hint="eastAsia" w:cs="Times New Roman"/>
                <w:bCs/>
                <w:color w:val="auto"/>
                <w:lang w:eastAsia="zh-CN"/>
              </w:rPr>
              <w:t>”</w:t>
            </w:r>
            <w:r>
              <w:rPr>
                <w:rFonts w:hint="default" w:ascii="Times New Roman" w:hAnsi="Times New Roman" w:cs="Times New Roman"/>
                <w:bCs/>
                <w:color w:val="auto"/>
              </w:rPr>
              <w:t>中的</w:t>
            </w:r>
            <w:r>
              <w:rPr>
                <w:rFonts w:hint="eastAsia" w:cs="Times New Roman"/>
                <w:bCs/>
                <w:color w:val="auto"/>
                <w:lang w:eastAsia="zh-CN"/>
              </w:rPr>
              <w:t>“</w:t>
            </w:r>
            <w:r>
              <w:rPr>
                <w:rFonts w:hint="eastAsia" w:cs="Times New Roman"/>
                <w:bCs/>
                <w:color w:val="auto"/>
                <w:lang w:val="en-US" w:eastAsia="zh-CN"/>
              </w:rPr>
              <w:t>涉及环境敏感区的</w:t>
            </w:r>
            <w:r>
              <w:rPr>
                <w:rFonts w:hint="eastAsia" w:cs="Times New Roman"/>
                <w:bCs/>
                <w:color w:val="auto"/>
                <w:lang w:eastAsia="zh-CN"/>
              </w:rPr>
              <w:t>”</w:t>
            </w:r>
            <w:r>
              <w:rPr>
                <w:rFonts w:hint="default" w:ascii="Times New Roman" w:hAnsi="Times New Roman" w:cs="Times New Roman"/>
                <w:bCs/>
                <w:color w:val="auto"/>
              </w:rPr>
              <w:t>，应编制环境影响报告表</w:t>
            </w:r>
            <w:r>
              <w:rPr>
                <w:rFonts w:hint="eastAsia" w:cs="Times New Roman"/>
                <w:bCs/>
                <w:color w:val="auto"/>
                <w:lang w:eastAsia="zh-CN"/>
              </w:rPr>
              <w:t>。</w:t>
            </w:r>
          </w:p>
          <w:p w14:paraId="6120E5F8">
            <w:pPr>
              <w:widowControl/>
              <w:spacing w:line="360" w:lineRule="auto"/>
              <w:ind w:firstLine="482"/>
              <w:jc w:val="left"/>
              <w:rPr>
                <w:rFonts w:hint="default" w:ascii="Times New Roman" w:hAnsi="Times New Roman" w:cs="Times New Roman"/>
                <w:b/>
                <w:bCs/>
                <w:color w:val="auto"/>
              </w:rPr>
            </w:pPr>
            <w:r>
              <w:rPr>
                <w:rFonts w:hint="eastAsia" w:cs="Times New Roman"/>
                <w:b/>
                <w:bCs/>
                <w:color w:val="auto"/>
                <w:lang w:eastAsia="zh-CN"/>
              </w:rPr>
              <w:t>2.</w:t>
            </w:r>
            <w:r>
              <w:rPr>
                <w:rFonts w:hint="default" w:ascii="Times New Roman" w:hAnsi="Times New Roman" w:cs="Times New Roman"/>
                <w:b/>
                <w:bCs/>
                <w:color w:val="auto"/>
                <w:lang w:eastAsia="zh-CN"/>
              </w:rPr>
              <w:t>项目</w:t>
            </w:r>
            <w:r>
              <w:rPr>
                <w:rFonts w:hint="default" w:ascii="Times New Roman" w:hAnsi="Times New Roman" w:cs="Times New Roman"/>
                <w:b/>
                <w:bCs/>
                <w:color w:val="auto"/>
              </w:rPr>
              <w:t>地理位置及四邻关系</w:t>
            </w:r>
          </w:p>
          <w:p w14:paraId="603E689D">
            <w:pPr>
              <w:widowControl/>
              <w:spacing w:line="360" w:lineRule="auto"/>
              <w:ind w:firstLine="480"/>
              <w:rPr>
                <w:rFonts w:hint="eastAsia" w:ascii="Times New Roman" w:hAnsi="Times New Roman" w:eastAsia="宋体" w:cs="Times New Roman"/>
                <w:color w:val="auto"/>
                <w:lang w:eastAsia="zh-CN"/>
              </w:rPr>
            </w:pPr>
            <w:r>
              <w:rPr>
                <w:rFonts w:hint="default" w:ascii="Times New Roman" w:hAnsi="Times New Roman" w:cs="Times New Roman"/>
                <w:bCs/>
                <w:color w:val="auto"/>
              </w:rPr>
              <w:t>本项目位于</w:t>
            </w:r>
            <w:r>
              <w:rPr>
                <w:rFonts w:hint="default" w:ascii="Times New Roman" w:hAnsi="Times New Roman" w:cs="Times New Roman"/>
                <w:color w:val="auto"/>
              </w:rPr>
              <w:t>陕西省西咸新区沣西新城沣景路以北</w:t>
            </w:r>
            <w:r>
              <w:rPr>
                <w:rFonts w:hint="eastAsia" w:cs="Times New Roman"/>
                <w:color w:val="auto"/>
                <w:lang w:eastAsia="zh-CN"/>
              </w:rPr>
              <w:t>、</w:t>
            </w:r>
            <w:r>
              <w:rPr>
                <w:rFonts w:hint="default" w:ascii="Times New Roman" w:hAnsi="Times New Roman" w:cs="Times New Roman"/>
                <w:color w:val="auto"/>
              </w:rPr>
              <w:t>信息九路以西</w:t>
            </w:r>
            <w:r>
              <w:rPr>
                <w:rFonts w:hint="eastAsia" w:cs="Times New Roman"/>
                <w:color w:val="auto"/>
                <w:lang w:eastAsia="zh-CN"/>
              </w:rPr>
              <w:t>、</w:t>
            </w:r>
            <w:r>
              <w:rPr>
                <w:rFonts w:hint="default" w:ascii="Times New Roman" w:hAnsi="Times New Roman" w:cs="Times New Roman"/>
                <w:color w:val="auto"/>
              </w:rPr>
              <w:t>西</w:t>
            </w:r>
            <w:r>
              <w:rPr>
                <w:rFonts w:hint="eastAsia" w:cs="Times New Roman"/>
                <w:color w:val="auto"/>
                <w:lang w:val="en-US" w:eastAsia="zh-CN"/>
              </w:rPr>
              <w:t>兴</w:t>
            </w:r>
            <w:r>
              <w:rPr>
                <w:rFonts w:hint="default" w:ascii="Times New Roman" w:hAnsi="Times New Roman" w:cs="Times New Roman"/>
                <w:color w:val="auto"/>
              </w:rPr>
              <w:t>高速以南</w:t>
            </w:r>
            <w:r>
              <w:rPr>
                <w:rFonts w:hint="eastAsia" w:cs="Times New Roman"/>
                <w:color w:val="auto"/>
                <w:lang w:eastAsia="zh-CN"/>
              </w:rPr>
              <w:t>、</w:t>
            </w:r>
            <w:r>
              <w:rPr>
                <w:rFonts w:hint="default" w:ascii="Times New Roman" w:hAnsi="Times New Roman" w:cs="Times New Roman"/>
                <w:color w:val="auto"/>
              </w:rPr>
              <w:t>咸户路以东，项目中心坐标为：E108°</w:t>
            </w:r>
            <w:r>
              <w:rPr>
                <w:rFonts w:hint="eastAsia" w:cs="Times New Roman"/>
                <w:color w:val="auto"/>
                <w:lang w:val="en-US" w:eastAsia="zh-CN"/>
              </w:rPr>
              <w:t>40</w:t>
            </w:r>
            <w:r>
              <w:rPr>
                <w:rFonts w:hint="default" w:ascii="Times New Roman" w:hAnsi="Times New Roman" w:cs="Times New Roman"/>
                <w:color w:val="auto"/>
              </w:rPr>
              <w:t>'</w:t>
            </w:r>
            <w:r>
              <w:rPr>
                <w:rFonts w:hint="eastAsia" w:cs="Times New Roman"/>
                <w:color w:val="auto"/>
                <w:lang w:val="en-US" w:eastAsia="zh-CN"/>
              </w:rPr>
              <w:t>36.024</w:t>
            </w:r>
            <w:r>
              <w:rPr>
                <w:rFonts w:hint="default"/>
                <w:color w:val="auto"/>
              </w:rPr>
              <w:t>″</w:t>
            </w:r>
            <w:r>
              <w:rPr>
                <w:rFonts w:hint="default" w:ascii="Times New Roman" w:hAnsi="Times New Roman" w:cs="Times New Roman"/>
                <w:color w:val="auto"/>
              </w:rPr>
              <w:t>、N34</w:t>
            </w:r>
            <w:r>
              <w:rPr>
                <w:rFonts w:hint="default"/>
                <w:color w:val="auto"/>
              </w:rPr>
              <w:t>°</w:t>
            </w:r>
            <w:r>
              <w:rPr>
                <w:rFonts w:hint="eastAsia" w:cs="Times New Roman"/>
                <w:color w:val="auto"/>
                <w:lang w:val="en-US" w:eastAsia="zh-CN"/>
              </w:rPr>
              <w:t>17</w:t>
            </w:r>
            <w:r>
              <w:rPr>
                <w:rFonts w:hint="default"/>
                <w:color w:val="auto"/>
              </w:rPr>
              <w:t>′</w:t>
            </w:r>
            <w:r>
              <w:rPr>
                <w:rFonts w:hint="eastAsia" w:cs="Times New Roman"/>
                <w:color w:val="auto"/>
                <w:lang w:val="en-US" w:eastAsia="zh-CN"/>
              </w:rPr>
              <w:t>29.762</w:t>
            </w:r>
            <w:r>
              <w:rPr>
                <w:rFonts w:hint="default"/>
                <w:color w:val="auto"/>
              </w:rPr>
              <w:t>″</w:t>
            </w:r>
            <w:r>
              <w:rPr>
                <w:rFonts w:hint="default" w:ascii="Times New Roman" w:hAnsi="Times New Roman" w:cs="Times New Roman"/>
                <w:color w:val="auto"/>
              </w:rPr>
              <w:t>，项目地理位置图见附图</w:t>
            </w:r>
            <w:r>
              <w:rPr>
                <w:rFonts w:hint="eastAsia" w:cs="Times New Roman"/>
                <w:color w:val="auto"/>
                <w:lang w:val="en-US" w:eastAsia="zh-CN"/>
              </w:rPr>
              <w:t>2</w:t>
            </w:r>
            <w:r>
              <w:rPr>
                <w:rFonts w:hint="default" w:ascii="Times New Roman" w:hAnsi="Times New Roman" w:cs="Times New Roman"/>
                <w:color w:val="auto"/>
              </w:rPr>
              <w:t>。项目东侧为信息九路，南侧为沣景路，西侧为陕西物流每一天供应链管理有限公</w:t>
            </w:r>
            <w:r>
              <w:rPr>
                <w:rFonts w:hint="eastAsia" w:cs="Times New Roman"/>
                <w:color w:val="auto"/>
                <w:lang w:val="en-US" w:eastAsia="zh-CN"/>
              </w:rPr>
              <w:t>司3#楼</w:t>
            </w:r>
            <w:r>
              <w:rPr>
                <w:rFonts w:hint="default" w:ascii="Times New Roman" w:hAnsi="Times New Roman" w:cs="Times New Roman"/>
                <w:color w:val="auto"/>
              </w:rPr>
              <w:t>，北侧为陕西物流每一天供应链管理有限公</w:t>
            </w:r>
            <w:r>
              <w:rPr>
                <w:rFonts w:hint="eastAsia" w:cs="Times New Roman"/>
                <w:color w:val="auto"/>
                <w:lang w:val="en-US" w:eastAsia="zh-CN"/>
              </w:rPr>
              <w:t>司1#楼</w:t>
            </w:r>
            <w:r>
              <w:rPr>
                <w:rFonts w:hint="default" w:ascii="Times New Roman" w:hAnsi="Times New Roman" w:cs="Times New Roman"/>
                <w:color w:val="auto"/>
              </w:rPr>
              <w:t>。</w:t>
            </w:r>
            <w:r>
              <w:rPr>
                <w:rFonts w:hint="eastAsia" w:cs="Times New Roman"/>
                <w:color w:val="auto"/>
                <w:lang w:val="en-US" w:eastAsia="zh-CN"/>
              </w:rPr>
              <w:t>项目位于</w:t>
            </w:r>
            <w:r>
              <w:rPr>
                <w:rFonts w:hint="default" w:ascii="Times New Roman" w:hAnsi="Times New Roman" w:cs="Times New Roman"/>
                <w:color w:val="auto"/>
              </w:rPr>
              <w:t>陕西物流每一天供应链管理有限公</w:t>
            </w:r>
            <w:r>
              <w:rPr>
                <w:rFonts w:hint="eastAsia" w:cs="Times New Roman"/>
                <w:color w:val="auto"/>
                <w:lang w:val="en-US" w:eastAsia="zh-CN"/>
              </w:rPr>
              <w:t>司2#楼1层，目前2-5层暂无其他食品生产企业。</w:t>
            </w:r>
            <w:r>
              <w:rPr>
                <w:rFonts w:hint="default" w:ascii="Times New Roman" w:hAnsi="Times New Roman" w:cs="Times New Roman"/>
                <w:color w:val="auto"/>
              </w:rPr>
              <w:t>四邻关系图见附图</w:t>
            </w:r>
            <w:r>
              <w:rPr>
                <w:rFonts w:hint="eastAsia" w:cs="Times New Roman"/>
                <w:color w:val="auto"/>
                <w:lang w:val="en-US" w:eastAsia="zh-CN"/>
              </w:rPr>
              <w:t>3</w:t>
            </w:r>
            <w:r>
              <w:rPr>
                <w:rFonts w:hint="default" w:ascii="Times New Roman" w:hAnsi="Times New Roman" w:cs="Times New Roman"/>
                <w:color w:val="auto"/>
              </w:rPr>
              <w:t>。</w:t>
            </w:r>
          </w:p>
          <w:p w14:paraId="18DDFDD3">
            <w:pPr>
              <w:widowControl/>
              <w:spacing w:line="360" w:lineRule="auto"/>
              <w:ind w:firstLine="482"/>
              <w:jc w:val="left"/>
              <w:rPr>
                <w:rFonts w:hint="default" w:ascii="Times New Roman" w:hAnsi="Times New Roman" w:cs="Times New Roman"/>
                <w:b/>
                <w:bCs/>
                <w:color w:val="auto"/>
              </w:rPr>
            </w:pPr>
            <w:r>
              <w:rPr>
                <w:rFonts w:hint="eastAsia" w:cs="Times New Roman"/>
                <w:b/>
                <w:bCs/>
                <w:color w:val="auto"/>
                <w:lang w:eastAsia="zh-CN"/>
              </w:rPr>
              <w:t>3.</w:t>
            </w:r>
            <w:r>
              <w:rPr>
                <w:rFonts w:hint="default" w:ascii="Times New Roman" w:hAnsi="Times New Roman" w:cs="Times New Roman"/>
                <w:b/>
                <w:bCs/>
                <w:color w:val="auto"/>
              </w:rPr>
              <w:t>项目组成及建设内容</w:t>
            </w:r>
          </w:p>
          <w:p w14:paraId="2EA1FF7F">
            <w:pPr>
              <w:widowControl/>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本项目</w:t>
            </w:r>
            <w:r>
              <w:rPr>
                <w:rFonts w:hint="eastAsia" w:cs="Times New Roman"/>
                <w:color w:val="auto"/>
                <w:lang w:val="en-US" w:eastAsia="zh-CN"/>
              </w:rPr>
              <w:t>租赁</w:t>
            </w:r>
            <w:r>
              <w:rPr>
                <w:rFonts w:hint="default" w:ascii="Times New Roman" w:hAnsi="Times New Roman" w:cs="Times New Roman"/>
                <w:color w:val="auto"/>
              </w:rPr>
              <w:t>陕西物流每一天供应链管理有限公</w:t>
            </w:r>
            <w:r>
              <w:rPr>
                <w:rFonts w:hint="eastAsia" w:cs="Times New Roman"/>
                <w:color w:val="auto"/>
                <w:lang w:val="en-US" w:eastAsia="zh-CN"/>
              </w:rPr>
              <w:t>司2#楼1层进行建设，</w:t>
            </w:r>
            <w:r>
              <w:rPr>
                <w:rFonts w:hint="default" w:ascii="Times New Roman" w:hAnsi="Times New Roman" w:cs="Times New Roman"/>
                <w:color w:val="auto"/>
              </w:rPr>
              <w:t>建设内容为</w:t>
            </w:r>
            <w:r>
              <w:rPr>
                <w:rFonts w:hint="eastAsia" w:cs="Times New Roman"/>
                <w:color w:val="auto"/>
                <w:lang w:val="en-US" w:eastAsia="zh-CN"/>
              </w:rPr>
              <w:t>生产车间及其配套设施</w:t>
            </w:r>
            <w:r>
              <w:rPr>
                <w:rFonts w:hint="default" w:ascii="Times New Roman" w:hAnsi="Times New Roman" w:cs="Times New Roman"/>
                <w:color w:val="auto"/>
              </w:rPr>
              <w:t>。主要建设内容见表2-1。</w:t>
            </w:r>
          </w:p>
          <w:p w14:paraId="58DD09A6">
            <w:pPr>
              <w:tabs>
                <w:tab w:val="left" w:pos="8607"/>
              </w:tabs>
              <w:spacing w:line="360" w:lineRule="auto"/>
              <w:ind w:firstLine="0" w:firstLineChars="0"/>
              <w:jc w:val="center"/>
              <w:rPr>
                <w:rFonts w:hint="default" w:ascii="Times New Roman" w:hAnsi="Times New Roman" w:cs="Times New Roman"/>
                <w:b/>
                <w:bCs/>
                <w:color w:val="auto"/>
                <w:sz w:val="21"/>
                <w:szCs w:val="21"/>
                <w:lang w:val="zh-CN"/>
              </w:rPr>
            </w:pPr>
            <w:r>
              <w:rPr>
                <w:rFonts w:hint="default" w:ascii="Times New Roman" w:hAnsi="Times New Roman" w:cs="Times New Roman"/>
                <w:b/>
                <w:bCs/>
                <w:color w:val="auto"/>
                <w:sz w:val="21"/>
                <w:szCs w:val="21"/>
                <w:lang w:val="zh-CN"/>
              </w:rPr>
              <w:t>表2-1  项目组成及建设内容一览表</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426"/>
              <w:gridCol w:w="798"/>
              <w:gridCol w:w="5424"/>
              <w:gridCol w:w="952"/>
            </w:tblGrid>
            <w:tr w14:paraId="724D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Align w:val="center"/>
                </w:tcPr>
                <w:p w14:paraId="67050174">
                  <w:pPr>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类别</w:t>
                  </w:r>
                </w:p>
              </w:tc>
              <w:tc>
                <w:tcPr>
                  <w:tcW w:w="730" w:type="pct"/>
                  <w:gridSpan w:val="2"/>
                  <w:vAlign w:val="center"/>
                </w:tcPr>
                <w:p w14:paraId="4215951D">
                  <w:pPr>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名称</w:t>
                  </w:r>
                </w:p>
              </w:tc>
              <w:tc>
                <w:tcPr>
                  <w:tcW w:w="3237" w:type="pct"/>
                  <w:vAlign w:val="center"/>
                </w:tcPr>
                <w:p w14:paraId="41C00863">
                  <w:pPr>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建设内容</w:t>
                  </w:r>
                </w:p>
              </w:tc>
              <w:tc>
                <w:tcPr>
                  <w:tcW w:w="568" w:type="pct"/>
                  <w:vAlign w:val="center"/>
                </w:tcPr>
                <w:p w14:paraId="5087E5CD">
                  <w:pPr>
                    <w:spacing w:line="240" w:lineRule="auto"/>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备注</w:t>
                  </w:r>
                </w:p>
              </w:tc>
            </w:tr>
            <w:tr w14:paraId="21E3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Align w:val="center"/>
                </w:tcPr>
                <w:p w14:paraId="3789A268">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主体</w:t>
                  </w:r>
                </w:p>
                <w:p w14:paraId="4A35AFD6">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730" w:type="pct"/>
                  <w:gridSpan w:val="2"/>
                  <w:vAlign w:val="center"/>
                </w:tcPr>
                <w:p w14:paraId="4FB160B1">
                  <w:pPr>
                    <w:autoSpaceDE w:val="0"/>
                    <w:autoSpaceDN w:val="0"/>
                    <w:spacing w:line="240" w:lineRule="auto"/>
                    <w:ind w:firstLine="0" w:firstLineChars="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生产车间</w:t>
                  </w:r>
                </w:p>
              </w:tc>
              <w:tc>
                <w:tcPr>
                  <w:tcW w:w="3237" w:type="pct"/>
                  <w:vAlign w:val="center"/>
                </w:tcPr>
                <w:p w14:paraId="323F0C38">
                  <w:pPr>
                    <w:pStyle w:val="49"/>
                    <w:jc w:val="both"/>
                    <w:rPr>
                      <w:rFonts w:hint="default" w:ascii="Times New Roman" w:hAnsi="Times New Roman" w:cs="Times New Roman"/>
                      <w:color w:val="auto"/>
                    </w:rPr>
                  </w:pPr>
                  <w:r>
                    <w:rPr>
                      <w:rFonts w:hint="eastAsia" w:cs="Times New Roman"/>
                      <w:color w:val="auto"/>
                      <w:lang w:val="en-US" w:eastAsia="zh-CN"/>
                    </w:rPr>
                    <w:t>位于2#楼1层，框架</w:t>
                  </w:r>
                  <w:r>
                    <w:rPr>
                      <w:rFonts w:hint="default" w:ascii="Times New Roman" w:hAnsi="Times New Roman" w:cs="Times New Roman"/>
                      <w:color w:val="auto"/>
                    </w:rPr>
                    <w:t>结构，</w:t>
                  </w:r>
                  <w:r>
                    <w:rPr>
                      <w:rFonts w:hint="eastAsia" w:cs="Times New Roman"/>
                      <w:color w:val="auto"/>
                      <w:lang w:val="en-US" w:eastAsia="zh-CN"/>
                    </w:rPr>
                    <w:t>层高4.3m，总</w:t>
                  </w:r>
                  <w:r>
                    <w:rPr>
                      <w:rFonts w:hint="default" w:ascii="Times New Roman" w:hAnsi="Times New Roman" w:cs="Times New Roman"/>
                      <w:color w:val="auto"/>
                    </w:rPr>
                    <w:t>建筑面积</w:t>
                  </w:r>
                  <w:r>
                    <w:rPr>
                      <w:rFonts w:hint="eastAsia" w:cs="Times New Roman"/>
                      <w:color w:val="auto"/>
                      <w:lang w:val="en-US" w:eastAsia="zh-CN"/>
                    </w:rPr>
                    <w:t>3173.28</w:t>
                  </w:r>
                  <w:r>
                    <w:rPr>
                      <w:rFonts w:hint="default" w:ascii="Times New Roman" w:hAnsi="Times New Roman" w:cs="Times New Roman"/>
                      <w:color w:val="auto"/>
                    </w:rPr>
                    <w:t>m</w:t>
                  </w:r>
                  <w:r>
                    <w:rPr>
                      <w:rFonts w:hint="default" w:ascii="Times New Roman" w:hAnsi="Times New Roman" w:cs="Times New Roman"/>
                      <w:color w:val="auto"/>
                      <w:vertAlign w:val="superscript"/>
                    </w:rPr>
                    <w:t>2</w:t>
                  </w:r>
                  <w:r>
                    <w:rPr>
                      <w:rFonts w:hint="default" w:ascii="Times New Roman" w:hAnsi="Times New Roman" w:cs="Times New Roman"/>
                      <w:color w:val="auto"/>
                    </w:rPr>
                    <w:t>，</w:t>
                  </w:r>
                  <w:r>
                    <w:rPr>
                      <w:rFonts w:hint="eastAsia" w:cs="Times New Roman"/>
                      <w:color w:val="auto"/>
                      <w:lang w:val="en-US" w:eastAsia="zh-CN"/>
                    </w:rPr>
                    <w:t>车间东部设1条小龙虾加工生产线，生产区域分为清洗间、操作间、挑选间、分拣间、包装间、冷藏室、检验室、成品装车区</w:t>
                  </w:r>
                  <w:r>
                    <w:rPr>
                      <w:rFonts w:hint="default" w:ascii="Times New Roman" w:hAnsi="Times New Roman" w:cs="Times New Roman"/>
                      <w:color w:val="auto"/>
                    </w:rPr>
                    <w:t>。</w:t>
                  </w:r>
                </w:p>
              </w:tc>
              <w:tc>
                <w:tcPr>
                  <w:tcW w:w="568" w:type="pct"/>
                  <w:vMerge w:val="restart"/>
                  <w:vAlign w:val="center"/>
                </w:tcPr>
                <w:p w14:paraId="63EEAB57">
                  <w:pPr>
                    <w:autoSpaceDE w:val="0"/>
                    <w:autoSpaceDN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租赁已建厂房</w:t>
                  </w:r>
                </w:p>
              </w:tc>
            </w:tr>
            <w:tr w14:paraId="1983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3" w:type="pct"/>
                  <w:vMerge w:val="restart"/>
                  <w:vAlign w:val="center"/>
                </w:tcPr>
                <w:p w14:paraId="3C833F62">
                  <w:pPr>
                    <w:autoSpaceDE w:val="0"/>
                    <w:autoSpaceDN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辅助工程</w:t>
                  </w:r>
                </w:p>
              </w:tc>
              <w:tc>
                <w:tcPr>
                  <w:tcW w:w="730" w:type="pct"/>
                  <w:gridSpan w:val="2"/>
                  <w:vAlign w:val="center"/>
                </w:tcPr>
                <w:p w14:paraId="064CC743">
                  <w:pPr>
                    <w:autoSpaceDE w:val="0"/>
                    <w:autoSpaceDN w:val="0"/>
                    <w:spacing w:line="240" w:lineRule="auto"/>
                    <w:ind w:firstLine="0" w:firstLineChars="0"/>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办公</w:t>
                  </w:r>
                  <w:r>
                    <w:rPr>
                      <w:rFonts w:hint="eastAsia" w:cs="Times New Roman"/>
                      <w:color w:val="auto"/>
                      <w:sz w:val="21"/>
                      <w:szCs w:val="21"/>
                      <w:lang w:val="en-US" w:eastAsia="zh-CN"/>
                    </w:rPr>
                    <w:t>区</w:t>
                  </w:r>
                </w:p>
              </w:tc>
              <w:tc>
                <w:tcPr>
                  <w:tcW w:w="3237" w:type="pct"/>
                  <w:vAlign w:val="center"/>
                </w:tcPr>
                <w:p w14:paraId="706725E6">
                  <w:pPr>
                    <w:pStyle w:val="49"/>
                    <w:jc w:val="both"/>
                    <w:rPr>
                      <w:rFonts w:hint="default" w:ascii="Times New Roman" w:hAnsi="Times New Roman" w:eastAsia="宋体" w:cs="Times New Roman"/>
                      <w:color w:val="auto"/>
                      <w:lang w:val="en-US" w:eastAsia="zh-CN"/>
                    </w:rPr>
                  </w:pPr>
                  <w:r>
                    <w:rPr>
                      <w:rFonts w:hint="eastAsia" w:cs="Times New Roman"/>
                      <w:color w:val="auto"/>
                      <w:lang w:val="en-US" w:eastAsia="zh-CN"/>
                    </w:rPr>
                    <w:t>位于生产线西侧，用于员工办公。</w:t>
                  </w:r>
                </w:p>
              </w:tc>
              <w:tc>
                <w:tcPr>
                  <w:tcW w:w="568" w:type="pct"/>
                  <w:vMerge w:val="continue"/>
                  <w:vAlign w:val="center"/>
                </w:tcPr>
                <w:p w14:paraId="6EA38A99">
                  <w:pPr>
                    <w:autoSpaceDE w:val="0"/>
                    <w:autoSpaceDN w:val="0"/>
                    <w:spacing w:line="240" w:lineRule="auto"/>
                    <w:ind w:firstLine="0" w:firstLineChars="0"/>
                    <w:jc w:val="center"/>
                    <w:rPr>
                      <w:rFonts w:hint="default" w:ascii="Times New Roman" w:hAnsi="Times New Roman" w:eastAsia="宋体" w:cs="Times New Roman"/>
                      <w:color w:val="auto"/>
                      <w:sz w:val="21"/>
                      <w:szCs w:val="21"/>
                      <w:lang w:val="en-US" w:eastAsia="zh-CN"/>
                    </w:rPr>
                  </w:pPr>
                </w:p>
              </w:tc>
            </w:tr>
            <w:tr w14:paraId="0437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463" w:type="pct"/>
                  <w:vMerge w:val="continue"/>
                  <w:vAlign w:val="center"/>
                </w:tcPr>
                <w:p w14:paraId="40AC7E01">
                  <w:pPr>
                    <w:autoSpaceDE w:val="0"/>
                    <w:autoSpaceDN w:val="0"/>
                    <w:spacing w:line="240" w:lineRule="auto"/>
                    <w:ind w:firstLine="0" w:firstLineChars="0"/>
                    <w:jc w:val="center"/>
                    <w:rPr>
                      <w:rFonts w:hint="default" w:ascii="Times New Roman" w:hAnsi="Times New Roman" w:cs="Times New Roman"/>
                      <w:color w:val="auto"/>
                      <w:sz w:val="21"/>
                      <w:szCs w:val="21"/>
                      <w:lang w:eastAsia="zh-CN"/>
                    </w:rPr>
                  </w:pPr>
                </w:p>
              </w:tc>
              <w:tc>
                <w:tcPr>
                  <w:tcW w:w="730" w:type="pct"/>
                  <w:gridSpan w:val="2"/>
                  <w:vAlign w:val="center"/>
                </w:tcPr>
                <w:p w14:paraId="14B3F252">
                  <w:pPr>
                    <w:autoSpaceDE w:val="0"/>
                    <w:autoSpaceDN w:val="0"/>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导热油加热间</w:t>
                  </w:r>
                </w:p>
              </w:tc>
              <w:tc>
                <w:tcPr>
                  <w:tcW w:w="3237" w:type="pct"/>
                  <w:vAlign w:val="center"/>
                </w:tcPr>
                <w:p w14:paraId="0D8AAC40">
                  <w:pPr>
                    <w:pStyle w:val="49"/>
                    <w:jc w:val="both"/>
                    <w:rPr>
                      <w:rFonts w:hint="default" w:ascii="Times New Roman" w:hAnsi="Times New Roman" w:cs="Times New Roman"/>
                      <w:color w:val="auto"/>
                      <w:lang w:eastAsia="zh-CN"/>
                    </w:rPr>
                  </w:pPr>
                  <w:r>
                    <w:rPr>
                      <w:rFonts w:hint="eastAsia" w:cs="Times New Roman"/>
                      <w:color w:val="auto"/>
                      <w:lang w:val="en-US" w:eastAsia="zh-CN"/>
                    </w:rPr>
                    <w:t>位于清洗间</w:t>
                  </w:r>
                  <w:r>
                    <w:rPr>
                      <w:rFonts w:hint="eastAsia" w:cs="Times New Roman"/>
                      <w:color w:val="auto"/>
                      <w:sz w:val="21"/>
                      <w:szCs w:val="21"/>
                      <w:lang w:val="en-US" w:eastAsia="zh-CN"/>
                    </w:rPr>
                    <w:t>南</w:t>
                  </w:r>
                  <w:r>
                    <w:rPr>
                      <w:rFonts w:hint="eastAsia" w:ascii="Times New Roman" w:hAnsi="Times New Roman" w:cs="Times New Roman"/>
                      <w:color w:val="auto"/>
                      <w:sz w:val="21"/>
                      <w:szCs w:val="21"/>
                      <w:lang w:val="en-US" w:eastAsia="zh-CN"/>
                    </w:rPr>
                    <w:t>侧</w:t>
                  </w:r>
                  <w:r>
                    <w:rPr>
                      <w:rFonts w:hint="eastAsia" w:cs="Times New Roman"/>
                      <w:color w:val="auto"/>
                      <w:lang w:val="en-US" w:eastAsia="zh-CN"/>
                    </w:rPr>
                    <w:t>，</w:t>
                  </w:r>
                  <w:r>
                    <w:rPr>
                      <w:rFonts w:hint="default" w:ascii="Times New Roman" w:hAnsi="Times New Roman" w:cs="Times New Roman"/>
                      <w:color w:val="auto"/>
                    </w:rPr>
                    <w:t>建筑面积</w:t>
                  </w:r>
                  <w:r>
                    <w:rPr>
                      <w:rFonts w:hint="eastAsia" w:cs="Times New Roman"/>
                      <w:color w:val="auto"/>
                      <w:lang w:val="en-US" w:eastAsia="zh-CN"/>
                    </w:rPr>
                    <w:t>36.45</w:t>
                  </w:r>
                  <w:r>
                    <w:rPr>
                      <w:rFonts w:hint="default" w:ascii="Times New Roman" w:hAnsi="Times New Roman" w:cs="Times New Roman"/>
                      <w:color w:val="auto"/>
                    </w:rPr>
                    <w:t>m</w:t>
                  </w:r>
                  <w:r>
                    <w:rPr>
                      <w:rFonts w:hint="default" w:ascii="Times New Roman" w:hAnsi="Times New Roman" w:cs="Times New Roman"/>
                      <w:color w:val="auto"/>
                      <w:vertAlign w:val="superscript"/>
                    </w:rPr>
                    <w:t>2</w:t>
                  </w:r>
                  <w:r>
                    <w:rPr>
                      <w:rFonts w:hint="default" w:ascii="Times New Roman" w:hAnsi="Times New Roman" w:cs="Times New Roman"/>
                      <w:color w:val="auto"/>
                    </w:rPr>
                    <w:t>，</w:t>
                  </w:r>
                  <w:r>
                    <w:rPr>
                      <w:rFonts w:hint="eastAsia" w:cs="Times New Roman"/>
                      <w:color w:val="auto"/>
                      <w:lang w:val="en-US" w:eastAsia="zh-CN"/>
                    </w:rPr>
                    <w:t>设2台99kW的燃气</w:t>
                  </w:r>
                  <w:r>
                    <w:rPr>
                      <w:rFonts w:hint="eastAsia" w:cs="Times New Roman"/>
                      <w:color w:val="auto"/>
                      <w:sz w:val="21"/>
                      <w:szCs w:val="21"/>
                      <w:lang w:val="en-US" w:eastAsia="zh-CN"/>
                    </w:rPr>
                    <w:t>导热油炉</w:t>
                  </w:r>
                  <w:r>
                    <w:rPr>
                      <w:rFonts w:hint="eastAsia" w:cs="Times New Roman"/>
                      <w:color w:val="auto"/>
                      <w:lang w:val="en-US" w:eastAsia="zh-CN"/>
                    </w:rPr>
                    <w:t>。</w:t>
                  </w:r>
                </w:p>
              </w:tc>
              <w:tc>
                <w:tcPr>
                  <w:tcW w:w="568" w:type="pct"/>
                  <w:vMerge w:val="continue"/>
                  <w:vAlign w:val="center"/>
                </w:tcPr>
                <w:p w14:paraId="2E236467">
                  <w:pPr>
                    <w:autoSpaceDE w:val="0"/>
                    <w:autoSpaceDN w:val="0"/>
                    <w:spacing w:line="240" w:lineRule="auto"/>
                    <w:ind w:firstLine="0" w:firstLineChars="0"/>
                    <w:jc w:val="center"/>
                    <w:rPr>
                      <w:rFonts w:hint="eastAsia" w:cs="Times New Roman"/>
                      <w:color w:val="auto"/>
                      <w:sz w:val="21"/>
                      <w:szCs w:val="21"/>
                      <w:lang w:val="en-US" w:eastAsia="zh-CN"/>
                    </w:rPr>
                  </w:pPr>
                </w:p>
              </w:tc>
            </w:tr>
            <w:tr w14:paraId="6E78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463" w:type="pct"/>
                  <w:vMerge w:val="restart"/>
                  <w:vAlign w:val="center"/>
                </w:tcPr>
                <w:p w14:paraId="00CB37AF">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w:t>
                  </w:r>
                </w:p>
                <w:p w14:paraId="224D6EDD">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730" w:type="pct"/>
                  <w:gridSpan w:val="2"/>
                  <w:vAlign w:val="center"/>
                </w:tcPr>
                <w:p w14:paraId="551F82F5">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给水</w:t>
                  </w:r>
                </w:p>
              </w:tc>
              <w:tc>
                <w:tcPr>
                  <w:tcW w:w="3237" w:type="pct"/>
                  <w:vAlign w:val="center"/>
                </w:tcPr>
                <w:p w14:paraId="2B1A73AA">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由</w:t>
                  </w:r>
                  <w:r>
                    <w:rPr>
                      <w:rFonts w:hint="eastAsia" w:cs="Times New Roman"/>
                      <w:color w:val="auto"/>
                      <w:sz w:val="21"/>
                      <w:szCs w:val="21"/>
                      <w:lang w:val="en-US" w:eastAsia="zh-CN"/>
                    </w:rPr>
                    <w:t>市政给水管网</w:t>
                  </w:r>
                  <w:r>
                    <w:rPr>
                      <w:rFonts w:hint="default" w:ascii="Times New Roman" w:hAnsi="Times New Roman" w:cs="Times New Roman"/>
                      <w:color w:val="auto"/>
                      <w:sz w:val="21"/>
                      <w:szCs w:val="21"/>
                    </w:rPr>
                    <w:t>供给。</w:t>
                  </w:r>
                </w:p>
              </w:tc>
              <w:tc>
                <w:tcPr>
                  <w:tcW w:w="568" w:type="pct"/>
                  <w:vAlign w:val="center"/>
                </w:tcPr>
                <w:p w14:paraId="7DE173AC">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依托</w:t>
                  </w:r>
                </w:p>
              </w:tc>
            </w:tr>
            <w:tr w14:paraId="7956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463" w:type="pct"/>
                  <w:vMerge w:val="continue"/>
                  <w:vAlign w:val="center"/>
                </w:tcPr>
                <w:p w14:paraId="0166ACCB">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730" w:type="pct"/>
                  <w:gridSpan w:val="2"/>
                  <w:vAlign w:val="center"/>
                </w:tcPr>
                <w:p w14:paraId="3326FA1E">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排水</w:t>
                  </w:r>
                </w:p>
              </w:tc>
              <w:tc>
                <w:tcPr>
                  <w:tcW w:w="3237" w:type="pct"/>
                  <w:vAlign w:val="center"/>
                </w:tcPr>
                <w:p w14:paraId="58EACBCE">
                  <w:pPr>
                    <w:spacing w:line="240"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雨污分流，项目</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依托租赁方化粪池处理后</w:t>
                  </w:r>
                  <w:r>
                    <w:rPr>
                      <w:rFonts w:hint="default" w:ascii="Times New Roman" w:hAnsi="Times New Roman" w:cs="Times New Roman"/>
                      <w:color w:val="auto"/>
                      <w:sz w:val="21"/>
                      <w:szCs w:val="21"/>
                      <w:lang w:val="en-US" w:eastAsia="zh-CN"/>
                    </w:rPr>
                    <w:t>通过市政污水管网排入沣西新城渭河污水处理厂</w:t>
                  </w:r>
                  <w:r>
                    <w:rPr>
                      <w:rFonts w:hint="eastAsia" w:cs="Times New Roman"/>
                      <w:color w:val="auto"/>
                      <w:sz w:val="21"/>
                      <w:szCs w:val="21"/>
                      <w:lang w:val="en-US" w:eastAsia="zh-CN"/>
                    </w:rPr>
                    <w:t>；生产废水依托租赁方废水处理站处理后</w:t>
                  </w:r>
                  <w:r>
                    <w:rPr>
                      <w:rFonts w:hint="default" w:ascii="Times New Roman" w:hAnsi="Times New Roman" w:cs="Times New Roman"/>
                      <w:color w:val="auto"/>
                      <w:sz w:val="21"/>
                      <w:szCs w:val="21"/>
                      <w:lang w:val="en-US" w:eastAsia="zh-CN"/>
                    </w:rPr>
                    <w:t>通过市政污水管网排入沣西新城渭河污水处理厂</w:t>
                  </w:r>
                  <w:r>
                    <w:rPr>
                      <w:rFonts w:hint="default" w:ascii="Times New Roman" w:hAnsi="Times New Roman" w:cs="Times New Roman"/>
                      <w:color w:val="auto"/>
                      <w:sz w:val="21"/>
                      <w:szCs w:val="21"/>
                    </w:rPr>
                    <w:t>。</w:t>
                  </w:r>
                </w:p>
              </w:tc>
              <w:tc>
                <w:tcPr>
                  <w:tcW w:w="568" w:type="pct"/>
                  <w:vAlign w:val="center"/>
                </w:tcPr>
                <w:p w14:paraId="660F59D6">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依托</w:t>
                  </w:r>
                </w:p>
              </w:tc>
            </w:tr>
            <w:tr w14:paraId="33B0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63" w:type="pct"/>
                  <w:vMerge w:val="continue"/>
                  <w:vAlign w:val="center"/>
                </w:tcPr>
                <w:p w14:paraId="28686105">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730" w:type="pct"/>
                  <w:gridSpan w:val="2"/>
                  <w:vAlign w:val="center"/>
                </w:tcPr>
                <w:p w14:paraId="1F7741BE">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供电</w:t>
                  </w:r>
                </w:p>
              </w:tc>
              <w:tc>
                <w:tcPr>
                  <w:tcW w:w="3237" w:type="pct"/>
                  <w:vAlign w:val="center"/>
                </w:tcPr>
                <w:p w14:paraId="72E50A8E">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由市政供电电网供给。</w:t>
                  </w:r>
                </w:p>
              </w:tc>
              <w:tc>
                <w:tcPr>
                  <w:tcW w:w="568" w:type="pct"/>
                  <w:vAlign w:val="center"/>
                </w:tcPr>
                <w:p w14:paraId="4D4DEC66">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依托</w:t>
                  </w:r>
                </w:p>
              </w:tc>
            </w:tr>
            <w:tr w14:paraId="7AAA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63" w:type="pct"/>
                  <w:vMerge w:val="continue"/>
                  <w:vAlign w:val="center"/>
                </w:tcPr>
                <w:p w14:paraId="29F29783">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730" w:type="pct"/>
                  <w:gridSpan w:val="2"/>
                  <w:vAlign w:val="center"/>
                </w:tcPr>
                <w:p w14:paraId="61F10583">
                  <w:pPr>
                    <w:autoSpaceDE w:val="0"/>
                    <w:autoSpaceDN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供气</w:t>
                  </w:r>
                </w:p>
              </w:tc>
              <w:tc>
                <w:tcPr>
                  <w:tcW w:w="3237" w:type="pct"/>
                  <w:vAlign w:val="center"/>
                </w:tcPr>
                <w:p w14:paraId="43153021">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由市政</w:t>
                  </w:r>
                  <w:r>
                    <w:rPr>
                      <w:rFonts w:hint="eastAsia" w:cs="Times New Roman"/>
                      <w:color w:val="auto"/>
                      <w:sz w:val="21"/>
                      <w:szCs w:val="21"/>
                      <w:lang w:val="en-US" w:eastAsia="zh-CN"/>
                    </w:rPr>
                    <w:t>天然气管网</w:t>
                  </w:r>
                  <w:r>
                    <w:rPr>
                      <w:rFonts w:hint="default" w:ascii="Times New Roman" w:hAnsi="Times New Roman" w:cs="Times New Roman"/>
                      <w:color w:val="auto"/>
                      <w:sz w:val="21"/>
                      <w:szCs w:val="21"/>
                    </w:rPr>
                    <w:t>供给。</w:t>
                  </w:r>
                </w:p>
              </w:tc>
              <w:tc>
                <w:tcPr>
                  <w:tcW w:w="568" w:type="pct"/>
                  <w:vAlign w:val="center"/>
                </w:tcPr>
                <w:p w14:paraId="71C7C5F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依托</w:t>
                  </w:r>
                </w:p>
              </w:tc>
            </w:tr>
            <w:tr w14:paraId="64F7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463" w:type="pct"/>
                  <w:vMerge w:val="continue"/>
                  <w:vAlign w:val="center"/>
                </w:tcPr>
                <w:p w14:paraId="24464FC6">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730" w:type="pct"/>
                  <w:gridSpan w:val="2"/>
                  <w:vAlign w:val="center"/>
                </w:tcPr>
                <w:p w14:paraId="3587DEE6">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采暖、制冷</w:t>
                  </w:r>
                </w:p>
              </w:tc>
              <w:tc>
                <w:tcPr>
                  <w:tcW w:w="3237" w:type="pct"/>
                  <w:vAlign w:val="center"/>
                </w:tcPr>
                <w:p w14:paraId="6738D161">
                  <w:pPr>
                    <w:spacing w:line="240" w:lineRule="auto"/>
                    <w:ind w:firstLine="0" w:firstLineChars="0"/>
                    <w:jc w:val="center"/>
                    <w:rPr>
                      <w:rFonts w:hint="default" w:ascii="Times New Roman" w:hAnsi="Times New Roman" w:cs="Times New Roman"/>
                      <w:color w:val="auto"/>
                      <w:sz w:val="21"/>
                      <w:szCs w:val="21"/>
                      <w:highlight w:val="yellow"/>
                    </w:rPr>
                  </w:pPr>
                  <w:r>
                    <w:rPr>
                      <w:rFonts w:hint="eastAsia" w:cs="Times New Roman"/>
                      <w:color w:val="auto"/>
                      <w:sz w:val="21"/>
                      <w:szCs w:val="21"/>
                      <w:lang w:val="en-US" w:eastAsia="zh-CN"/>
                    </w:rPr>
                    <w:t>办公生活区</w:t>
                  </w:r>
                  <w:r>
                    <w:rPr>
                      <w:rFonts w:hint="default" w:ascii="Times New Roman" w:hAnsi="Times New Roman" w:cs="Times New Roman"/>
                      <w:color w:val="auto"/>
                      <w:sz w:val="21"/>
                      <w:szCs w:val="21"/>
                    </w:rPr>
                    <w:t>采用空调进行采暖、制冷</w:t>
                  </w:r>
                  <w:r>
                    <w:rPr>
                      <w:rFonts w:hint="eastAsia" w:cs="Times New Roman"/>
                      <w:color w:val="auto"/>
                      <w:sz w:val="21"/>
                      <w:szCs w:val="21"/>
                      <w:lang w:eastAsia="zh-CN"/>
                    </w:rPr>
                    <w:t>，</w:t>
                  </w:r>
                  <w:r>
                    <w:rPr>
                      <w:rFonts w:hint="eastAsia" w:cs="Times New Roman"/>
                      <w:color w:val="auto"/>
                      <w:sz w:val="21"/>
                      <w:szCs w:val="21"/>
                      <w:lang w:val="en-US" w:eastAsia="zh-CN"/>
                    </w:rPr>
                    <w:t>生产区不进行采暖、制冷，油炸工序用热采用导热油加热</w:t>
                  </w:r>
                  <w:r>
                    <w:rPr>
                      <w:rFonts w:hint="default" w:ascii="Times New Roman" w:hAnsi="Times New Roman" w:cs="Times New Roman"/>
                      <w:color w:val="auto"/>
                      <w:sz w:val="21"/>
                      <w:szCs w:val="21"/>
                    </w:rPr>
                    <w:t>。</w:t>
                  </w:r>
                </w:p>
              </w:tc>
              <w:tc>
                <w:tcPr>
                  <w:tcW w:w="568" w:type="pct"/>
                  <w:vAlign w:val="center"/>
                </w:tcPr>
                <w:p w14:paraId="62166F05">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新建</w:t>
                  </w:r>
                </w:p>
              </w:tc>
            </w:tr>
            <w:tr w14:paraId="1AE5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463" w:type="pct"/>
                  <w:vMerge w:val="restart"/>
                  <w:vAlign w:val="center"/>
                </w:tcPr>
                <w:p w14:paraId="310A444C">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环保工程</w:t>
                  </w:r>
                </w:p>
              </w:tc>
              <w:tc>
                <w:tcPr>
                  <w:tcW w:w="730" w:type="pct"/>
                  <w:gridSpan w:val="2"/>
                  <w:vAlign w:val="center"/>
                </w:tcPr>
                <w:p w14:paraId="693C953A">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3237" w:type="pct"/>
                  <w:vAlign w:val="center"/>
                </w:tcPr>
                <w:p w14:paraId="4564F997">
                  <w:pPr>
                    <w:spacing w:line="240" w:lineRule="auto"/>
                    <w:ind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项目</w:t>
                  </w:r>
                  <w:r>
                    <w:rPr>
                      <w:rFonts w:hint="eastAsia" w:cs="Times New Roman"/>
                      <w:color w:val="auto"/>
                      <w:sz w:val="21"/>
                      <w:szCs w:val="21"/>
                      <w:lang w:val="en-US" w:eastAsia="zh-CN"/>
                    </w:rPr>
                    <w:t>油烟废气经包围型集气设备收集+静电式油烟净化器</w:t>
                  </w:r>
                  <w:r>
                    <w:rPr>
                      <w:rFonts w:hint="default" w:ascii="Times New Roman" w:hAnsi="Times New Roman" w:cs="Times New Roman"/>
                      <w:color w:val="auto"/>
                      <w:sz w:val="21"/>
                      <w:szCs w:val="21"/>
                    </w:rPr>
                    <w:t>处理后通过</w:t>
                  </w:r>
                  <w:r>
                    <w:rPr>
                      <w:rFonts w:hint="eastAsia" w:cs="Times New Roman"/>
                      <w:color w:val="auto"/>
                      <w:sz w:val="21"/>
                      <w:szCs w:val="21"/>
                      <w:lang w:val="en-US" w:eastAsia="zh-CN"/>
                    </w:rPr>
                    <w:t>30.4</w:t>
                  </w:r>
                  <w:r>
                    <w:rPr>
                      <w:rFonts w:hint="default" w:ascii="Times New Roman" w:hAnsi="Times New Roman" w:cs="Times New Roman"/>
                      <w:color w:val="auto"/>
                      <w:sz w:val="21"/>
                      <w:szCs w:val="21"/>
                    </w:rPr>
                    <w:t>m高排气筒</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DA00</w:t>
                  </w:r>
                  <w:r>
                    <w:rPr>
                      <w:rFonts w:hint="eastAsia" w:cs="Times New Roman"/>
                      <w:color w:val="auto"/>
                      <w:sz w:val="21"/>
                      <w:szCs w:val="21"/>
                      <w:lang w:val="en-US" w:eastAsia="zh-CN"/>
                    </w:rPr>
                    <w:t>1</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排放</w:t>
                  </w:r>
                  <w:r>
                    <w:rPr>
                      <w:rFonts w:hint="eastAsia" w:cs="Times New Roman"/>
                      <w:color w:val="auto"/>
                      <w:sz w:val="21"/>
                      <w:szCs w:val="21"/>
                      <w:lang w:eastAsia="zh-CN"/>
                    </w:rPr>
                    <w:t>，</w:t>
                  </w:r>
                  <w:r>
                    <w:rPr>
                      <w:rFonts w:hint="eastAsia" w:cs="Times New Roman"/>
                      <w:color w:val="auto"/>
                      <w:sz w:val="21"/>
                      <w:szCs w:val="21"/>
                      <w:lang w:val="en-US" w:eastAsia="zh-CN"/>
                    </w:rPr>
                    <w:t>导热油炉采用低氮燃烧器，燃烧废气</w:t>
                  </w:r>
                  <w:r>
                    <w:rPr>
                      <w:rFonts w:hint="default" w:ascii="Times New Roman" w:hAnsi="Times New Roman" w:cs="Times New Roman"/>
                      <w:color w:val="auto"/>
                      <w:sz w:val="21"/>
                      <w:szCs w:val="21"/>
                    </w:rPr>
                    <w:t>通过</w:t>
                  </w:r>
                  <w:r>
                    <w:rPr>
                      <w:rFonts w:hint="eastAsia" w:cs="Times New Roman"/>
                      <w:color w:val="auto"/>
                      <w:sz w:val="21"/>
                      <w:szCs w:val="21"/>
                      <w:lang w:val="en-US" w:eastAsia="zh-CN"/>
                    </w:rPr>
                    <w:t>30.4</w:t>
                  </w:r>
                  <w:r>
                    <w:rPr>
                      <w:rFonts w:hint="default" w:ascii="Times New Roman" w:hAnsi="Times New Roman" w:cs="Times New Roman"/>
                      <w:color w:val="auto"/>
                      <w:sz w:val="21"/>
                      <w:szCs w:val="21"/>
                    </w:rPr>
                    <w:t>m高排气筒</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DA00</w:t>
                  </w:r>
                  <w:r>
                    <w:rPr>
                      <w:rFonts w:hint="eastAsia" w:cs="Times New Roman"/>
                      <w:color w:val="auto"/>
                      <w:sz w:val="21"/>
                      <w:szCs w:val="21"/>
                      <w:lang w:val="en-US" w:eastAsia="zh-CN"/>
                    </w:rPr>
                    <w:t>1</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排放</w:t>
                  </w:r>
                  <w:r>
                    <w:rPr>
                      <w:rFonts w:hint="eastAsia" w:cs="Times New Roman"/>
                      <w:color w:val="auto"/>
                      <w:sz w:val="21"/>
                      <w:szCs w:val="21"/>
                      <w:lang w:eastAsia="zh-CN"/>
                    </w:rPr>
                    <w:t>，</w:t>
                  </w:r>
                  <w:r>
                    <w:rPr>
                      <w:rFonts w:hint="eastAsia" w:cs="Times New Roman"/>
                      <w:color w:val="auto"/>
                      <w:sz w:val="21"/>
                      <w:szCs w:val="21"/>
                      <w:lang w:val="en-US" w:eastAsia="zh-CN"/>
                    </w:rPr>
                    <w:t>清洗池通过每天对池体清洗、车间通风等措施抑制恶臭气体。</w:t>
                  </w:r>
                </w:p>
              </w:tc>
              <w:tc>
                <w:tcPr>
                  <w:tcW w:w="568" w:type="pct"/>
                  <w:vAlign w:val="center"/>
                </w:tcPr>
                <w:p w14:paraId="26982A74">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新建</w:t>
                  </w:r>
                </w:p>
              </w:tc>
            </w:tr>
            <w:tr w14:paraId="5CD9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463" w:type="pct"/>
                  <w:vMerge w:val="continue"/>
                  <w:vAlign w:val="center"/>
                </w:tcPr>
                <w:p w14:paraId="025F6002">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730" w:type="pct"/>
                  <w:gridSpan w:val="2"/>
                  <w:vAlign w:val="center"/>
                </w:tcPr>
                <w:p w14:paraId="2789D959">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w:t>
                  </w:r>
                </w:p>
              </w:tc>
              <w:tc>
                <w:tcPr>
                  <w:tcW w:w="3237" w:type="pct"/>
                  <w:vAlign w:val="center"/>
                </w:tcPr>
                <w:p w14:paraId="20D56B7E">
                  <w:pPr>
                    <w:spacing w:line="240" w:lineRule="auto"/>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w:t>
                  </w:r>
                  <w:r>
                    <w:rPr>
                      <w:rFonts w:hint="default" w:ascii="Times New Roman" w:hAnsi="Times New Roman" w:cs="Times New Roman"/>
                      <w:color w:val="auto"/>
                      <w:sz w:val="21"/>
                      <w:szCs w:val="21"/>
                      <w:lang w:eastAsia="zh-CN"/>
                    </w:rPr>
                    <w:t>生活污水</w:t>
                  </w:r>
                  <w:r>
                    <w:rPr>
                      <w:rFonts w:hint="eastAsia" w:cs="Times New Roman"/>
                      <w:color w:val="auto"/>
                      <w:sz w:val="21"/>
                      <w:szCs w:val="21"/>
                      <w:lang w:val="en-US" w:eastAsia="zh-CN"/>
                    </w:rPr>
                    <w:t>依托租赁方化粪池处理后</w:t>
                  </w:r>
                  <w:r>
                    <w:rPr>
                      <w:rFonts w:hint="default" w:ascii="Times New Roman" w:hAnsi="Times New Roman" w:cs="Times New Roman"/>
                      <w:color w:val="auto"/>
                      <w:sz w:val="21"/>
                      <w:szCs w:val="21"/>
                      <w:lang w:val="en-US" w:eastAsia="zh-CN"/>
                    </w:rPr>
                    <w:t>通过市政污水管网排入沣西新城渭河污水处理厂</w:t>
                  </w:r>
                  <w:r>
                    <w:rPr>
                      <w:rFonts w:hint="eastAsia" w:cs="Times New Roman"/>
                      <w:color w:val="auto"/>
                      <w:sz w:val="21"/>
                      <w:szCs w:val="21"/>
                      <w:lang w:val="en-US" w:eastAsia="zh-CN"/>
                    </w:rPr>
                    <w:t>；生产废水先经企业自建的隔油沉淀池预处理，再依托租赁方废水处理站处理后</w:t>
                  </w:r>
                  <w:r>
                    <w:rPr>
                      <w:rFonts w:hint="default" w:ascii="Times New Roman" w:hAnsi="Times New Roman" w:cs="Times New Roman"/>
                      <w:color w:val="auto"/>
                      <w:sz w:val="21"/>
                      <w:szCs w:val="21"/>
                      <w:lang w:val="en-US" w:eastAsia="zh-CN"/>
                    </w:rPr>
                    <w:t>通过市政污水管网排入沣西新城渭河污水处理厂</w:t>
                  </w:r>
                  <w:r>
                    <w:rPr>
                      <w:rFonts w:hint="default" w:ascii="Times New Roman" w:hAnsi="Times New Roman" w:cs="Times New Roman"/>
                      <w:color w:val="auto"/>
                      <w:sz w:val="21"/>
                      <w:szCs w:val="21"/>
                    </w:rPr>
                    <w:t>。</w:t>
                  </w:r>
                </w:p>
              </w:tc>
              <w:tc>
                <w:tcPr>
                  <w:tcW w:w="568" w:type="pct"/>
                  <w:vAlign w:val="center"/>
                </w:tcPr>
                <w:p w14:paraId="66B5FBED">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新建</w:t>
                  </w:r>
                  <w:r>
                    <w:rPr>
                      <w:rFonts w:hint="eastAsia" w:cs="Times New Roman"/>
                      <w:color w:val="auto"/>
                      <w:sz w:val="21"/>
                      <w:szCs w:val="21"/>
                      <w:lang w:val="en-US" w:eastAsia="zh-CN"/>
                    </w:rPr>
                    <w:t>+依托</w:t>
                  </w:r>
                </w:p>
              </w:tc>
            </w:tr>
            <w:tr w14:paraId="1D8C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63" w:type="pct"/>
                  <w:vMerge w:val="continue"/>
                  <w:vAlign w:val="center"/>
                </w:tcPr>
                <w:p w14:paraId="49B1DE34">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730" w:type="pct"/>
                  <w:gridSpan w:val="2"/>
                  <w:vAlign w:val="center"/>
                </w:tcPr>
                <w:p w14:paraId="613F3092">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3237" w:type="pct"/>
                  <w:vAlign w:val="center"/>
                </w:tcPr>
                <w:p w14:paraId="6E0F6949">
                  <w:pPr>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项目</w:t>
                  </w:r>
                  <w:r>
                    <w:rPr>
                      <w:rFonts w:hint="default" w:ascii="Times New Roman" w:hAnsi="Times New Roman" w:cs="Times New Roman"/>
                      <w:color w:val="auto"/>
                      <w:sz w:val="21"/>
                      <w:szCs w:val="21"/>
                    </w:rPr>
                    <w:t>选用低噪声设备，采取基础减振、厂房隔声</w:t>
                  </w:r>
                  <w:r>
                    <w:rPr>
                      <w:rFonts w:hint="eastAsia" w:cs="Times New Roman"/>
                      <w:color w:val="auto"/>
                      <w:sz w:val="21"/>
                      <w:szCs w:val="21"/>
                      <w:lang w:eastAsia="zh-CN"/>
                    </w:rPr>
                    <w:t>、</w:t>
                  </w:r>
                  <w:r>
                    <w:rPr>
                      <w:rFonts w:hint="eastAsia" w:cs="Times New Roman"/>
                      <w:color w:val="auto"/>
                      <w:sz w:val="21"/>
                      <w:szCs w:val="21"/>
                      <w:lang w:val="en-US" w:eastAsia="zh-CN"/>
                    </w:rPr>
                    <w:t>消声</w:t>
                  </w:r>
                  <w:r>
                    <w:rPr>
                      <w:rFonts w:hint="default" w:ascii="Times New Roman" w:hAnsi="Times New Roman" w:cs="Times New Roman"/>
                      <w:color w:val="auto"/>
                      <w:sz w:val="21"/>
                      <w:szCs w:val="21"/>
                    </w:rPr>
                    <w:t>等措施。</w:t>
                  </w:r>
                </w:p>
              </w:tc>
              <w:tc>
                <w:tcPr>
                  <w:tcW w:w="568" w:type="pct"/>
                  <w:vAlign w:val="center"/>
                </w:tcPr>
                <w:p w14:paraId="3207DC97">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新建</w:t>
                  </w:r>
                </w:p>
              </w:tc>
            </w:tr>
            <w:tr w14:paraId="27F1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463" w:type="pct"/>
                  <w:vMerge w:val="continue"/>
                  <w:vAlign w:val="center"/>
                </w:tcPr>
                <w:p w14:paraId="3962DB55">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254" w:type="pct"/>
                  <w:vMerge w:val="restart"/>
                  <w:vAlign w:val="center"/>
                </w:tcPr>
                <w:p w14:paraId="5039F34F">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固废</w:t>
                  </w:r>
                </w:p>
              </w:tc>
              <w:tc>
                <w:tcPr>
                  <w:tcW w:w="476" w:type="pct"/>
                  <w:vAlign w:val="center"/>
                </w:tcPr>
                <w:p w14:paraId="08427E20">
                  <w:pPr>
                    <w:autoSpaceDE w:val="0"/>
                    <w:autoSpaceDN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生活垃圾</w:t>
                  </w:r>
                </w:p>
              </w:tc>
              <w:tc>
                <w:tcPr>
                  <w:tcW w:w="3237" w:type="pct"/>
                  <w:vAlign w:val="center"/>
                </w:tcPr>
                <w:p w14:paraId="3AAE911C">
                  <w:pPr>
                    <w:spacing w:line="240" w:lineRule="auto"/>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生活垃圾由垃圾桶分类收集，交由环卫部门处理</w:t>
                  </w:r>
                  <w:r>
                    <w:rPr>
                      <w:rFonts w:hint="eastAsia" w:cs="Times New Roman"/>
                      <w:color w:val="auto"/>
                      <w:sz w:val="21"/>
                      <w:szCs w:val="21"/>
                      <w:lang w:val="en-US" w:eastAsia="zh-CN"/>
                    </w:rPr>
                    <w:t>。</w:t>
                  </w:r>
                </w:p>
              </w:tc>
              <w:tc>
                <w:tcPr>
                  <w:tcW w:w="568" w:type="pct"/>
                  <w:vAlign w:val="center"/>
                </w:tcPr>
                <w:p w14:paraId="6A0F6ED8">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新建</w:t>
                  </w:r>
                </w:p>
              </w:tc>
            </w:tr>
            <w:tr w14:paraId="5AEA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463" w:type="pct"/>
                  <w:vMerge w:val="continue"/>
                  <w:vAlign w:val="center"/>
                </w:tcPr>
                <w:p w14:paraId="2C22E039">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254" w:type="pct"/>
                  <w:vMerge w:val="continue"/>
                  <w:vAlign w:val="center"/>
                </w:tcPr>
                <w:p w14:paraId="1AF2D37C">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476" w:type="pct"/>
                  <w:vAlign w:val="center"/>
                </w:tcPr>
                <w:p w14:paraId="6B9CB258">
                  <w:pPr>
                    <w:autoSpaceDE w:val="0"/>
                    <w:autoSpaceDN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一般固废</w:t>
                  </w:r>
                </w:p>
              </w:tc>
              <w:tc>
                <w:tcPr>
                  <w:tcW w:w="3237" w:type="pct"/>
                  <w:vAlign w:val="center"/>
                </w:tcPr>
                <w:p w14:paraId="1A764D23">
                  <w:pPr>
                    <w:spacing w:line="240" w:lineRule="auto"/>
                    <w:ind w:firstLine="0" w:firstLineChars="0"/>
                    <w:jc w:val="both"/>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筛选废料、废包装材料集中收集后暂存于车间东南角的一般固废暂存区，外售处理；废油脂由专用容器收集后交由专门的回收单位处置；污泥依托租赁方废水处理站的叠螺脱水机脱水后委外处置。</w:t>
                  </w:r>
                </w:p>
              </w:tc>
              <w:tc>
                <w:tcPr>
                  <w:tcW w:w="568" w:type="pct"/>
                  <w:vAlign w:val="center"/>
                </w:tcPr>
                <w:p w14:paraId="442DB5B8">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新建</w:t>
                  </w:r>
                </w:p>
              </w:tc>
            </w:tr>
            <w:tr w14:paraId="4A85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463" w:type="pct"/>
                  <w:vMerge w:val="continue"/>
                  <w:vAlign w:val="center"/>
                </w:tcPr>
                <w:p w14:paraId="74CFC7CD">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254" w:type="pct"/>
                  <w:vMerge w:val="continue"/>
                  <w:vAlign w:val="center"/>
                </w:tcPr>
                <w:p w14:paraId="156F0B72">
                  <w:pPr>
                    <w:autoSpaceDE w:val="0"/>
                    <w:autoSpaceDN w:val="0"/>
                    <w:spacing w:line="240" w:lineRule="auto"/>
                    <w:ind w:firstLine="0" w:firstLineChars="0"/>
                    <w:jc w:val="center"/>
                    <w:rPr>
                      <w:rFonts w:hint="default" w:ascii="Times New Roman" w:hAnsi="Times New Roman" w:cs="Times New Roman"/>
                      <w:color w:val="auto"/>
                      <w:sz w:val="21"/>
                      <w:szCs w:val="21"/>
                    </w:rPr>
                  </w:pPr>
                </w:p>
              </w:tc>
              <w:tc>
                <w:tcPr>
                  <w:tcW w:w="476" w:type="pct"/>
                  <w:vAlign w:val="center"/>
                </w:tcPr>
                <w:p w14:paraId="18435770">
                  <w:pPr>
                    <w:autoSpaceDE w:val="0"/>
                    <w:autoSpaceDN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危险废物</w:t>
                  </w:r>
                </w:p>
              </w:tc>
              <w:tc>
                <w:tcPr>
                  <w:tcW w:w="3237" w:type="pct"/>
                  <w:vAlign w:val="center"/>
                </w:tcPr>
                <w:p w14:paraId="6E80146E">
                  <w:pPr>
                    <w:spacing w:line="240" w:lineRule="auto"/>
                    <w:ind w:firstLine="0" w:firstLineChars="0"/>
                    <w:jc w:val="both"/>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废导热油收集后</w:t>
                  </w:r>
                  <w:r>
                    <w:rPr>
                      <w:rFonts w:hint="default" w:ascii="Times New Roman" w:hAnsi="Times New Roman" w:cs="Times New Roman"/>
                      <w:color w:val="auto"/>
                      <w:sz w:val="21"/>
                      <w:szCs w:val="21"/>
                      <w:lang w:val="en-US" w:eastAsia="zh-CN"/>
                    </w:rPr>
                    <w:t>暂存于</w:t>
                  </w:r>
                  <w:r>
                    <w:rPr>
                      <w:rFonts w:hint="eastAsia" w:cs="Times New Roman"/>
                      <w:color w:val="auto"/>
                      <w:sz w:val="21"/>
                      <w:szCs w:val="21"/>
                      <w:lang w:val="en-US" w:eastAsia="zh-CN"/>
                    </w:rPr>
                    <w:t>租赁方</w:t>
                  </w:r>
                  <w:r>
                    <w:rPr>
                      <w:rFonts w:hint="default" w:ascii="Times New Roman" w:hAnsi="Times New Roman" w:cs="Times New Roman"/>
                      <w:color w:val="auto"/>
                      <w:sz w:val="21"/>
                      <w:szCs w:val="21"/>
                      <w:lang w:val="en-US" w:eastAsia="zh-CN"/>
                    </w:rPr>
                    <w:t>危险废物贮存库，定期交由有资质的单位处置</w:t>
                  </w:r>
                  <w:r>
                    <w:rPr>
                      <w:rFonts w:hint="eastAsia" w:cs="Times New Roman"/>
                      <w:color w:val="auto"/>
                      <w:sz w:val="21"/>
                      <w:szCs w:val="21"/>
                      <w:lang w:val="en-US" w:eastAsia="zh-CN"/>
                    </w:rPr>
                    <w:t>。</w:t>
                  </w:r>
                </w:p>
              </w:tc>
              <w:tc>
                <w:tcPr>
                  <w:tcW w:w="568" w:type="pct"/>
                  <w:vAlign w:val="center"/>
                </w:tcPr>
                <w:p w14:paraId="67C66AC4">
                  <w:pPr>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依托</w:t>
                  </w:r>
                </w:p>
              </w:tc>
            </w:tr>
          </w:tbl>
          <w:p w14:paraId="6A1DF570">
            <w:pPr>
              <w:widowControl/>
              <w:spacing w:line="360" w:lineRule="auto"/>
              <w:ind w:firstLine="482"/>
              <w:jc w:val="left"/>
              <w:rPr>
                <w:rFonts w:hint="default" w:ascii="Times New Roman" w:hAnsi="Times New Roman" w:eastAsia="宋体" w:cs="Times New Roman"/>
                <w:b/>
                <w:bCs/>
                <w:color w:val="auto"/>
                <w:lang w:val="en-US" w:eastAsia="zh-CN"/>
              </w:rPr>
            </w:pPr>
            <w:r>
              <w:rPr>
                <w:rFonts w:hint="eastAsia" w:cs="Times New Roman"/>
                <w:b/>
                <w:bCs/>
                <w:color w:val="auto"/>
                <w:lang w:eastAsia="zh-CN"/>
              </w:rPr>
              <w:t>4.</w:t>
            </w:r>
            <w:r>
              <w:rPr>
                <w:rFonts w:hint="default" w:ascii="Times New Roman" w:hAnsi="Times New Roman" w:eastAsia="宋体" w:cs="Times New Roman"/>
                <w:b/>
                <w:bCs/>
                <w:color w:val="auto"/>
                <w:lang w:val="en-US" w:eastAsia="zh-CN"/>
              </w:rPr>
              <w:t>产品方案</w:t>
            </w:r>
          </w:p>
          <w:p w14:paraId="31ED03CC">
            <w:pPr>
              <w:pStyle w:val="50"/>
              <w:bidi w:val="0"/>
              <w:rPr>
                <w:rFonts w:hint="default" w:ascii="Times New Roman" w:hAnsi="Times New Roman" w:cs="Times New Roman"/>
                <w:color w:val="auto"/>
                <w:lang w:eastAsia="zh-CN"/>
              </w:rPr>
            </w:pPr>
            <w:r>
              <w:rPr>
                <w:rFonts w:hint="default" w:ascii="Times New Roman" w:hAnsi="Times New Roman" w:cs="Times New Roman"/>
                <w:color w:val="auto"/>
                <w:lang w:val="zh-CN"/>
              </w:rPr>
              <w:t>表2</w:t>
            </w:r>
            <w:r>
              <w:rPr>
                <w:rFonts w:hint="default" w:ascii="Times New Roman" w:hAnsi="Times New Roman" w:cs="Times New Roman"/>
                <w:color w:val="auto"/>
                <w:lang w:val="en-US" w:eastAsia="zh-CN"/>
              </w:rPr>
              <w:t>-2</w:t>
            </w:r>
            <w:r>
              <w:rPr>
                <w:rFonts w:hint="default" w:ascii="Times New Roman" w:hAnsi="Times New Roman" w:cs="Times New Roman"/>
                <w:color w:val="auto"/>
                <w:lang w:val="zh-CN"/>
              </w:rPr>
              <w:t xml:space="preserve">  项目产品方案一览表</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1744"/>
              <w:gridCol w:w="1823"/>
              <w:gridCol w:w="1533"/>
              <w:gridCol w:w="2136"/>
            </w:tblGrid>
            <w:tr w14:paraId="5F5D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pct"/>
                  <w:shd w:val="clear" w:color="auto" w:fill="auto"/>
                  <w:noWrap w:val="0"/>
                  <w:vAlign w:val="center"/>
                </w:tcPr>
                <w:p w14:paraId="47C2328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cs="Times New Roman"/>
                      <w:b/>
                      <w:bCs w:val="0"/>
                      <w:color w:val="auto"/>
                      <w:sz w:val="21"/>
                      <w:szCs w:val="21"/>
                      <w:lang w:val="en-US" w:eastAsia="zh-CN"/>
                    </w:rPr>
                    <w:t>序号</w:t>
                  </w:r>
                </w:p>
              </w:tc>
              <w:tc>
                <w:tcPr>
                  <w:tcW w:w="1041" w:type="pct"/>
                  <w:shd w:val="clear" w:color="auto" w:fill="auto"/>
                  <w:noWrap w:val="0"/>
                  <w:vAlign w:val="center"/>
                </w:tcPr>
                <w:p w14:paraId="733C52B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产品名称</w:t>
                  </w:r>
                </w:p>
              </w:tc>
              <w:tc>
                <w:tcPr>
                  <w:tcW w:w="1088" w:type="pct"/>
                  <w:shd w:val="clear" w:color="auto" w:fill="auto"/>
                  <w:noWrap w:val="0"/>
                  <w:vAlign w:val="center"/>
                </w:tcPr>
                <w:p w14:paraId="7C5907A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rPr>
                    <w:t>产品</w:t>
                  </w:r>
                  <w:r>
                    <w:rPr>
                      <w:rFonts w:hint="default" w:ascii="Times New Roman" w:hAnsi="Times New Roman" w:cs="Times New Roman"/>
                      <w:b/>
                      <w:bCs w:val="0"/>
                      <w:color w:val="auto"/>
                      <w:sz w:val="21"/>
                      <w:szCs w:val="21"/>
                      <w:lang w:val="en-US" w:eastAsia="zh-CN"/>
                    </w:rPr>
                    <w:t>规格</w:t>
                  </w:r>
                </w:p>
              </w:tc>
              <w:tc>
                <w:tcPr>
                  <w:tcW w:w="915" w:type="pct"/>
                  <w:shd w:val="clear" w:color="auto" w:fill="auto"/>
                  <w:noWrap w:val="0"/>
                  <w:vAlign w:val="center"/>
                </w:tcPr>
                <w:p w14:paraId="29EE19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年</w:t>
                  </w:r>
                  <w:r>
                    <w:rPr>
                      <w:rFonts w:hint="default" w:ascii="Times New Roman" w:hAnsi="Times New Roman" w:eastAsia="宋体" w:cs="Times New Roman"/>
                      <w:b/>
                      <w:bCs w:val="0"/>
                      <w:color w:val="auto"/>
                      <w:sz w:val="21"/>
                      <w:szCs w:val="21"/>
                      <w:lang w:eastAsia="zh-CN"/>
                    </w:rPr>
                    <w:t>产</w:t>
                  </w:r>
                  <w:r>
                    <w:rPr>
                      <w:rFonts w:hint="default" w:ascii="Times New Roman" w:hAnsi="Times New Roman" w:eastAsia="宋体" w:cs="Times New Roman"/>
                      <w:b/>
                      <w:bCs w:val="0"/>
                      <w:color w:val="auto"/>
                      <w:sz w:val="21"/>
                      <w:szCs w:val="21"/>
                    </w:rPr>
                    <w:t>量</w:t>
                  </w:r>
                  <w:r>
                    <w:rPr>
                      <w:rFonts w:hint="default" w:ascii="Times New Roman" w:hAnsi="Times New Roman" w:cs="Times New Roman"/>
                      <w:b/>
                      <w:bCs w:val="0"/>
                      <w:color w:val="auto"/>
                      <w:sz w:val="21"/>
                      <w:szCs w:val="21"/>
                      <w:lang w:val="en-US" w:eastAsia="zh-CN"/>
                    </w:rPr>
                    <w:t>（t/a）</w:t>
                  </w:r>
                </w:p>
              </w:tc>
              <w:tc>
                <w:tcPr>
                  <w:tcW w:w="1275" w:type="pct"/>
                  <w:shd w:val="clear" w:color="auto" w:fill="auto"/>
                  <w:noWrap w:val="0"/>
                  <w:vAlign w:val="center"/>
                </w:tcPr>
                <w:p w14:paraId="67DBF13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bCs w:val="0"/>
                      <w:color w:val="auto"/>
                      <w:sz w:val="21"/>
                      <w:szCs w:val="21"/>
                      <w:lang w:val="en-US" w:eastAsia="zh-CN"/>
                    </w:rPr>
                  </w:pPr>
                  <w:r>
                    <w:rPr>
                      <w:rFonts w:hint="eastAsia" w:cs="Times New Roman"/>
                      <w:b/>
                      <w:bCs w:val="0"/>
                      <w:color w:val="auto"/>
                      <w:sz w:val="21"/>
                      <w:szCs w:val="21"/>
                      <w:lang w:val="en-US" w:eastAsia="zh-CN"/>
                    </w:rPr>
                    <w:t>备注</w:t>
                  </w:r>
                </w:p>
              </w:tc>
            </w:tr>
            <w:tr w14:paraId="50C2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80" w:type="pct"/>
                  <w:shd w:val="clear" w:color="auto" w:fill="auto"/>
                  <w:noWrap w:val="0"/>
                  <w:vAlign w:val="center"/>
                </w:tcPr>
                <w:p w14:paraId="44D864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8"/>
                      <w:rFonts w:hint="default" w:ascii="Times New Roman" w:hAnsi="Times New Roman" w:cs="Times New Roman"/>
                      <w:color w:val="auto"/>
                      <w:sz w:val="21"/>
                      <w:szCs w:val="21"/>
                      <w:lang w:val="en-US" w:eastAsia="zh-CN" w:bidi="ar"/>
                    </w:rPr>
                  </w:pPr>
                  <w:r>
                    <w:rPr>
                      <w:rStyle w:val="48"/>
                      <w:rFonts w:hint="default" w:ascii="Times New Roman" w:hAnsi="Times New Roman" w:cs="Times New Roman"/>
                      <w:color w:val="auto"/>
                      <w:sz w:val="21"/>
                      <w:szCs w:val="21"/>
                      <w:lang w:val="en-US" w:eastAsia="zh-CN" w:bidi="ar"/>
                    </w:rPr>
                    <w:t>1</w:t>
                  </w:r>
                </w:p>
              </w:tc>
              <w:tc>
                <w:tcPr>
                  <w:tcW w:w="1041" w:type="pct"/>
                  <w:shd w:val="clear" w:color="auto" w:fill="auto"/>
                  <w:noWrap w:val="0"/>
                  <w:vAlign w:val="center"/>
                </w:tcPr>
                <w:p w14:paraId="61ADC6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油炸小龙虾</w:t>
                  </w:r>
                </w:p>
              </w:tc>
              <w:tc>
                <w:tcPr>
                  <w:tcW w:w="1088" w:type="pct"/>
                  <w:shd w:val="clear" w:color="auto" w:fill="auto"/>
                  <w:noWrap w:val="0"/>
                  <w:vAlign w:val="center"/>
                </w:tcPr>
                <w:p w14:paraId="6DFEA7D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10kg/袋</w:t>
                  </w:r>
                </w:p>
              </w:tc>
              <w:tc>
                <w:tcPr>
                  <w:tcW w:w="915" w:type="pct"/>
                  <w:shd w:val="clear" w:color="auto" w:fill="auto"/>
                  <w:noWrap w:val="0"/>
                  <w:vAlign w:val="center"/>
                </w:tcPr>
                <w:p w14:paraId="4B3D3A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rPr>
                  </w:pPr>
                  <w:r>
                    <w:rPr>
                      <w:rFonts w:hint="eastAsia" w:cs="Times New Roman"/>
                      <w:b w:val="0"/>
                      <w:bCs/>
                      <w:color w:val="auto"/>
                      <w:sz w:val="21"/>
                      <w:szCs w:val="21"/>
                      <w:lang w:val="en-US" w:eastAsia="zh-CN"/>
                    </w:rPr>
                    <w:t>550</w:t>
                  </w:r>
                </w:p>
              </w:tc>
              <w:tc>
                <w:tcPr>
                  <w:tcW w:w="1275" w:type="pct"/>
                  <w:shd w:val="clear" w:color="auto" w:fill="auto"/>
                  <w:noWrap w:val="0"/>
                  <w:vAlign w:val="center"/>
                </w:tcPr>
                <w:p w14:paraId="7EB64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328D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pct"/>
                  <w:shd w:val="clear" w:color="auto" w:fill="auto"/>
                  <w:noWrap w:val="0"/>
                  <w:vAlign w:val="center"/>
                </w:tcPr>
                <w:p w14:paraId="52DFEB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8"/>
                      <w:rFonts w:hint="default" w:ascii="Times New Roman" w:hAnsi="Times New Roman" w:cs="Times New Roman"/>
                      <w:color w:val="auto"/>
                      <w:sz w:val="21"/>
                      <w:szCs w:val="21"/>
                      <w:lang w:val="en-US" w:eastAsia="zh-CN" w:bidi="ar"/>
                    </w:rPr>
                  </w:pPr>
                  <w:r>
                    <w:rPr>
                      <w:rStyle w:val="48"/>
                      <w:rFonts w:hint="default" w:ascii="Times New Roman" w:hAnsi="Times New Roman" w:cs="Times New Roman"/>
                      <w:color w:val="auto"/>
                      <w:sz w:val="21"/>
                      <w:szCs w:val="21"/>
                      <w:lang w:val="en-US" w:eastAsia="zh-CN" w:bidi="ar"/>
                    </w:rPr>
                    <w:t>2</w:t>
                  </w:r>
                </w:p>
              </w:tc>
              <w:tc>
                <w:tcPr>
                  <w:tcW w:w="1041" w:type="pct"/>
                  <w:shd w:val="clear" w:color="auto" w:fill="auto"/>
                  <w:noWrap w:val="0"/>
                  <w:vAlign w:val="center"/>
                </w:tcPr>
                <w:p w14:paraId="72CA00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锁鲜小龙虾</w:t>
                  </w:r>
                </w:p>
              </w:tc>
              <w:tc>
                <w:tcPr>
                  <w:tcW w:w="1088" w:type="pct"/>
                  <w:shd w:val="clear" w:color="auto" w:fill="auto"/>
                  <w:noWrap w:val="0"/>
                  <w:vAlign w:val="center"/>
                </w:tcPr>
                <w:p w14:paraId="67666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10kg/袋</w:t>
                  </w:r>
                </w:p>
              </w:tc>
              <w:tc>
                <w:tcPr>
                  <w:tcW w:w="915" w:type="pct"/>
                  <w:shd w:val="clear" w:color="auto" w:fill="auto"/>
                  <w:noWrap w:val="0"/>
                  <w:vAlign w:val="center"/>
                </w:tcPr>
                <w:p w14:paraId="104E7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300</w:t>
                  </w:r>
                </w:p>
              </w:tc>
              <w:tc>
                <w:tcPr>
                  <w:tcW w:w="1275" w:type="pct"/>
                  <w:shd w:val="clear" w:color="auto" w:fill="auto"/>
                  <w:noWrap w:val="0"/>
                  <w:vAlign w:val="center"/>
                </w:tcPr>
                <w:p w14:paraId="4791E4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color w:val="auto"/>
                      <w:sz w:val="21"/>
                      <w:szCs w:val="21"/>
                      <w:lang w:val="en-US" w:eastAsia="zh-CN"/>
                    </w:rPr>
                  </w:pPr>
                  <w:r>
                    <w:rPr>
                      <w:rFonts w:hint="eastAsia" w:cs="Times New Roman"/>
                      <w:b w:val="0"/>
                      <w:bCs/>
                      <w:color w:val="auto"/>
                      <w:sz w:val="21"/>
                      <w:szCs w:val="21"/>
                      <w:lang w:val="en-US" w:eastAsia="zh-CN"/>
                    </w:rPr>
                    <w:t>/</w:t>
                  </w:r>
                </w:p>
              </w:tc>
            </w:tr>
            <w:tr w14:paraId="324F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pct"/>
                  <w:shd w:val="clear" w:color="auto" w:fill="auto"/>
                  <w:noWrap w:val="0"/>
                  <w:vAlign w:val="center"/>
                </w:tcPr>
                <w:p w14:paraId="23C7A1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8"/>
                      <w:rFonts w:hint="default" w:ascii="Times New Roman" w:hAnsi="Times New Roman" w:cs="Times New Roman"/>
                      <w:color w:val="auto"/>
                      <w:sz w:val="21"/>
                      <w:szCs w:val="21"/>
                      <w:lang w:val="en-US" w:eastAsia="zh-CN" w:bidi="ar"/>
                    </w:rPr>
                  </w:pPr>
                  <w:r>
                    <w:rPr>
                      <w:rStyle w:val="48"/>
                      <w:rFonts w:hint="eastAsia" w:ascii="Times New Roman" w:hAnsi="Times New Roman" w:eastAsia="宋体" w:cs="Times New Roman"/>
                      <w:color w:val="auto"/>
                      <w:sz w:val="21"/>
                      <w:szCs w:val="21"/>
                      <w:lang w:val="en-US" w:eastAsia="zh-CN" w:bidi="ar"/>
                    </w:rPr>
                    <w:t>3</w:t>
                  </w:r>
                </w:p>
              </w:tc>
              <w:tc>
                <w:tcPr>
                  <w:tcW w:w="1041" w:type="pct"/>
                  <w:shd w:val="clear" w:color="auto" w:fill="auto"/>
                  <w:noWrap w:val="0"/>
                  <w:vAlign w:val="center"/>
                </w:tcPr>
                <w:p w14:paraId="489AE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color w:val="auto"/>
                      <w:sz w:val="21"/>
                      <w:szCs w:val="21"/>
                      <w:lang w:val="en-US" w:eastAsia="zh-CN"/>
                    </w:rPr>
                  </w:pPr>
                  <w:r>
                    <w:rPr>
                      <w:rFonts w:hint="eastAsia" w:cs="Times New Roman"/>
                      <w:b w:val="0"/>
                      <w:bCs/>
                      <w:color w:val="auto"/>
                      <w:sz w:val="21"/>
                      <w:szCs w:val="21"/>
                      <w:lang w:val="en-US" w:eastAsia="zh-CN"/>
                    </w:rPr>
                    <w:t>活</w:t>
                  </w:r>
                  <w:r>
                    <w:rPr>
                      <w:rFonts w:hint="default" w:ascii="Times New Roman" w:hAnsi="Times New Roman" w:eastAsia="宋体" w:cs="Times New Roman"/>
                      <w:b w:val="0"/>
                      <w:bCs/>
                      <w:color w:val="auto"/>
                      <w:sz w:val="21"/>
                      <w:szCs w:val="21"/>
                      <w:lang w:val="en-US" w:eastAsia="zh-CN"/>
                    </w:rPr>
                    <w:t>小龙虾</w:t>
                  </w:r>
                </w:p>
              </w:tc>
              <w:tc>
                <w:tcPr>
                  <w:tcW w:w="1088" w:type="pct"/>
                  <w:shd w:val="clear" w:color="auto" w:fill="auto"/>
                  <w:noWrap w:val="0"/>
                  <w:vAlign w:val="center"/>
                </w:tcPr>
                <w:p w14:paraId="1CB252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color w:val="auto"/>
                      <w:sz w:val="21"/>
                      <w:szCs w:val="21"/>
                      <w:lang w:val="en-US" w:eastAsia="zh-CN"/>
                    </w:rPr>
                  </w:pPr>
                  <w:r>
                    <w:rPr>
                      <w:rFonts w:hint="eastAsia" w:cs="Times New Roman"/>
                      <w:i w:val="0"/>
                      <w:iCs w:val="0"/>
                      <w:color w:val="auto"/>
                      <w:kern w:val="0"/>
                      <w:sz w:val="21"/>
                      <w:szCs w:val="21"/>
                      <w:u w:val="none"/>
                      <w:lang w:val="en-US" w:eastAsia="zh-CN" w:bidi="ar"/>
                    </w:rPr>
                    <w:t>15kg</w:t>
                  </w:r>
                  <w:r>
                    <w:rPr>
                      <w:rFonts w:hint="default" w:ascii="Times New Roman" w:hAnsi="Times New Roman" w:eastAsia="宋体" w:cs="Times New Roman"/>
                      <w:i w:val="0"/>
                      <w:iCs w:val="0"/>
                      <w:color w:val="auto"/>
                      <w:kern w:val="0"/>
                      <w:sz w:val="21"/>
                      <w:szCs w:val="21"/>
                      <w:u w:val="none"/>
                      <w:lang w:val="en-US" w:eastAsia="zh-CN" w:bidi="ar"/>
                    </w:rPr>
                    <w:t>/泡沫箱</w:t>
                  </w:r>
                </w:p>
              </w:tc>
              <w:tc>
                <w:tcPr>
                  <w:tcW w:w="915" w:type="pct"/>
                  <w:shd w:val="clear" w:color="auto" w:fill="auto"/>
                  <w:noWrap w:val="0"/>
                  <w:vAlign w:val="center"/>
                </w:tcPr>
                <w:p w14:paraId="401386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color w:val="auto"/>
                      <w:sz w:val="21"/>
                      <w:szCs w:val="21"/>
                      <w:lang w:val="en-US" w:eastAsia="zh-CN"/>
                    </w:rPr>
                  </w:pPr>
                  <w:r>
                    <w:rPr>
                      <w:rFonts w:hint="eastAsia" w:cs="Times New Roman"/>
                      <w:b w:val="0"/>
                      <w:bCs/>
                      <w:color w:val="auto"/>
                      <w:sz w:val="21"/>
                      <w:szCs w:val="21"/>
                      <w:lang w:val="en-US" w:eastAsia="zh-CN"/>
                    </w:rPr>
                    <w:t>200</w:t>
                  </w:r>
                </w:p>
              </w:tc>
              <w:tc>
                <w:tcPr>
                  <w:tcW w:w="1275" w:type="pct"/>
                  <w:shd w:val="clear" w:color="auto" w:fill="auto"/>
                  <w:noWrap w:val="0"/>
                  <w:vAlign w:val="center"/>
                </w:tcPr>
                <w:p w14:paraId="3C057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b w:val="0"/>
                      <w:bCs/>
                      <w:color w:val="auto"/>
                      <w:sz w:val="21"/>
                      <w:szCs w:val="21"/>
                      <w:lang w:val="en-US" w:eastAsia="zh-CN"/>
                    </w:rPr>
                  </w:pPr>
                  <w:r>
                    <w:rPr>
                      <w:rFonts w:hint="eastAsia" w:cs="Times New Roman"/>
                      <w:b w:val="0"/>
                      <w:bCs/>
                      <w:color w:val="auto"/>
                      <w:sz w:val="21"/>
                      <w:szCs w:val="21"/>
                      <w:lang w:val="en-US" w:eastAsia="zh-CN"/>
                    </w:rPr>
                    <w:t>不进行加工，直接销售</w:t>
                  </w:r>
                </w:p>
              </w:tc>
            </w:tr>
          </w:tbl>
          <w:p w14:paraId="714AF23C">
            <w:pPr>
              <w:tabs>
                <w:tab w:val="left" w:pos="615"/>
                <w:tab w:val="left" w:pos="3615"/>
              </w:tabs>
              <w:spacing w:line="360" w:lineRule="auto"/>
              <w:ind w:firstLine="482"/>
              <w:rPr>
                <w:rFonts w:hint="default" w:ascii="Times New Roman" w:hAnsi="Times New Roman" w:cs="Times New Roman"/>
                <w:b/>
                <w:bCs/>
                <w:color w:val="auto"/>
              </w:rPr>
            </w:pPr>
            <w:r>
              <w:rPr>
                <w:rFonts w:hint="eastAsia" w:cs="Times New Roman"/>
                <w:b/>
                <w:bCs/>
                <w:color w:val="auto"/>
                <w:lang w:val="en-US" w:eastAsia="zh-CN"/>
              </w:rPr>
              <w:t>5.</w:t>
            </w:r>
            <w:r>
              <w:rPr>
                <w:rFonts w:hint="default" w:ascii="Times New Roman" w:hAnsi="Times New Roman" w:cs="Times New Roman"/>
                <w:b/>
                <w:bCs/>
                <w:color w:val="auto"/>
              </w:rPr>
              <w:t>主要原辅材料</w:t>
            </w:r>
            <w:r>
              <w:rPr>
                <w:rFonts w:hint="default" w:ascii="Times New Roman" w:hAnsi="Times New Roman" w:cs="Times New Roman"/>
                <w:b/>
                <w:bCs/>
                <w:color w:val="auto"/>
                <w:lang w:eastAsia="zh-CN"/>
              </w:rPr>
              <w:t>及能源消耗</w:t>
            </w:r>
          </w:p>
          <w:p w14:paraId="3AFB8CAC">
            <w:pPr>
              <w:spacing w:line="360" w:lineRule="auto"/>
              <w:ind w:firstLine="480"/>
              <w:rPr>
                <w:rFonts w:hint="default" w:ascii="Times New Roman" w:hAnsi="Times New Roman" w:cs="Times New Roman"/>
                <w:color w:val="auto"/>
              </w:rPr>
            </w:pPr>
            <w:r>
              <w:rPr>
                <w:rFonts w:hint="eastAsia" w:cs="Times New Roman"/>
                <w:color w:val="auto"/>
                <w:lang w:eastAsia="zh-CN"/>
              </w:rPr>
              <w:t>本</w:t>
            </w:r>
            <w:r>
              <w:rPr>
                <w:rFonts w:hint="default" w:ascii="Times New Roman" w:hAnsi="Times New Roman" w:cs="Times New Roman"/>
                <w:color w:val="auto"/>
                <w:lang w:eastAsia="zh-CN"/>
              </w:rPr>
              <w:t>项目主要</w:t>
            </w:r>
            <w:r>
              <w:rPr>
                <w:rFonts w:hint="default" w:ascii="Times New Roman" w:hAnsi="Times New Roman" w:cs="Times New Roman"/>
                <w:color w:val="auto"/>
              </w:rPr>
              <w:t>原辅材料</w:t>
            </w:r>
            <w:r>
              <w:rPr>
                <w:rFonts w:hint="default" w:ascii="Times New Roman" w:hAnsi="Times New Roman" w:cs="Times New Roman"/>
                <w:color w:val="auto"/>
                <w:lang w:eastAsia="zh-CN"/>
              </w:rPr>
              <w:t>及能源消耗情况</w:t>
            </w:r>
            <w:r>
              <w:rPr>
                <w:rFonts w:hint="default" w:ascii="Times New Roman" w:hAnsi="Times New Roman" w:cs="Times New Roman"/>
                <w:color w:val="auto"/>
              </w:rPr>
              <w:t>见下表。</w:t>
            </w:r>
          </w:p>
          <w:p w14:paraId="082D29D1">
            <w:pPr>
              <w:tabs>
                <w:tab w:val="left" w:pos="8607"/>
              </w:tabs>
              <w:spacing w:line="240" w:lineRule="auto"/>
              <w:ind w:firstLine="0" w:firstLineChars="0"/>
              <w:jc w:val="center"/>
              <w:rPr>
                <w:rFonts w:hint="default" w:ascii="Times New Roman" w:hAnsi="Times New Roman" w:cs="Times New Roman"/>
                <w:b/>
                <w:bCs/>
                <w:color w:val="auto"/>
                <w:sz w:val="21"/>
                <w:szCs w:val="21"/>
                <w:lang w:val="zh-CN"/>
              </w:rPr>
            </w:pPr>
            <w:r>
              <w:rPr>
                <w:rFonts w:hint="default" w:ascii="Times New Roman" w:hAnsi="Times New Roman" w:cs="Times New Roman"/>
                <w:b/>
                <w:bCs/>
                <w:color w:val="auto"/>
                <w:sz w:val="21"/>
                <w:szCs w:val="21"/>
              </w:rPr>
              <w:t>表2-</w:t>
            </w:r>
            <w:r>
              <w:rPr>
                <w:rFonts w:hint="eastAsia" w:cs="Times New Roman"/>
                <w:b/>
                <w:bCs/>
                <w:color w:val="auto"/>
                <w:sz w:val="21"/>
                <w:szCs w:val="21"/>
                <w:lang w:val="en-US" w:eastAsia="zh-CN"/>
              </w:rPr>
              <w:t>3</w:t>
            </w:r>
            <w:r>
              <w:rPr>
                <w:rFonts w:hint="default" w:ascii="Times New Roman" w:hAnsi="Times New Roman" w:cs="Times New Roman"/>
                <w:b/>
                <w:bCs/>
                <w:color w:val="auto"/>
                <w:sz w:val="21"/>
                <w:szCs w:val="21"/>
              </w:rPr>
              <w:t xml:space="preserve"> </w:t>
            </w:r>
            <w:r>
              <w:rPr>
                <w:rFonts w:hint="default" w:ascii="Times New Roman" w:hAnsi="Times New Roman" w:cs="Times New Roman"/>
                <w:b/>
                <w:bCs/>
                <w:color w:val="auto"/>
                <w:sz w:val="21"/>
                <w:szCs w:val="21"/>
                <w:lang w:eastAsia="zh-CN"/>
              </w:rPr>
              <w:t>主要</w:t>
            </w:r>
            <w:r>
              <w:rPr>
                <w:rFonts w:hint="default" w:ascii="Times New Roman" w:hAnsi="Times New Roman" w:cs="Times New Roman"/>
                <w:b/>
                <w:bCs/>
                <w:color w:val="auto"/>
                <w:sz w:val="21"/>
                <w:szCs w:val="21"/>
                <w:lang w:val="zh-CN"/>
              </w:rPr>
              <w:t>原辅材料及能源消耗情况一览表</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52"/>
              <w:gridCol w:w="1131"/>
              <w:gridCol w:w="1468"/>
              <w:gridCol w:w="1177"/>
              <w:gridCol w:w="1051"/>
              <w:gridCol w:w="1594"/>
            </w:tblGrid>
            <w:tr w14:paraId="1F3E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vAlign w:val="center"/>
                </w:tcPr>
                <w:p w14:paraId="74EC02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auto"/>
                      <w:sz w:val="21"/>
                      <w:szCs w:val="21"/>
                    </w:rPr>
                  </w:pPr>
                  <w:r>
                    <w:rPr>
                      <w:rFonts w:hint="eastAsia" w:ascii="宋体" w:hAnsi="宋体" w:eastAsia="宋体" w:cs="宋体"/>
                      <w:b/>
                      <w:bCs/>
                      <w:i w:val="0"/>
                      <w:iCs w:val="0"/>
                      <w:color w:val="auto"/>
                      <w:kern w:val="0"/>
                      <w:sz w:val="21"/>
                      <w:szCs w:val="21"/>
                      <w:u w:val="none"/>
                      <w:lang w:val="en-US" w:eastAsia="zh-CN" w:bidi="ar"/>
                    </w:rPr>
                    <w:t>序号</w:t>
                  </w:r>
                </w:p>
              </w:tc>
              <w:tc>
                <w:tcPr>
                  <w:tcW w:w="747" w:type="pct"/>
                  <w:vAlign w:val="center"/>
                </w:tcPr>
                <w:p w14:paraId="279358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auto"/>
                      <w:sz w:val="21"/>
                      <w:szCs w:val="21"/>
                    </w:rPr>
                  </w:pPr>
                  <w:r>
                    <w:rPr>
                      <w:rFonts w:hint="eastAsia" w:ascii="宋体" w:hAnsi="宋体" w:eastAsia="宋体" w:cs="宋体"/>
                      <w:b/>
                      <w:bCs/>
                      <w:i w:val="0"/>
                      <w:iCs w:val="0"/>
                      <w:color w:val="auto"/>
                      <w:kern w:val="0"/>
                      <w:sz w:val="21"/>
                      <w:szCs w:val="21"/>
                      <w:u w:val="none"/>
                      <w:lang w:val="en-US" w:eastAsia="zh-CN" w:bidi="ar"/>
                    </w:rPr>
                    <w:t>名称</w:t>
                  </w:r>
                </w:p>
              </w:tc>
              <w:tc>
                <w:tcPr>
                  <w:tcW w:w="675" w:type="pct"/>
                  <w:vAlign w:val="center"/>
                </w:tcPr>
                <w:p w14:paraId="779B61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auto"/>
                      <w:sz w:val="21"/>
                      <w:szCs w:val="21"/>
                    </w:rPr>
                  </w:pPr>
                  <w:r>
                    <w:rPr>
                      <w:rFonts w:hint="eastAsia" w:ascii="宋体" w:hAnsi="宋体" w:eastAsia="宋体" w:cs="宋体"/>
                      <w:b/>
                      <w:bCs/>
                      <w:i w:val="0"/>
                      <w:iCs w:val="0"/>
                      <w:color w:val="auto"/>
                      <w:kern w:val="0"/>
                      <w:sz w:val="21"/>
                      <w:szCs w:val="21"/>
                      <w:u w:val="none"/>
                      <w:lang w:val="en-US" w:eastAsia="zh-CN" w:bidi="ar"/>
                    </w:rPr>
                    <w:t>状态</w:t>
                  </w:r>
                </w:p>
              </w:tc>
              <w:tc>
                <w:tcPr>
                  <w:tcW w:w="876" w:type="pct"/>
                  <w:vAlign w:val="center"/>
                </w:tcPr>
                <w:p w14:paraId="3AF39A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auto"/>
                      <w:sz w:val="21"/>
                      <w:szCs w:val="21"/>
                    </w:rPr>
                  </w:pPr>
                  <w:r>
                    <w:rPr>
                      <w:rFonts w:hint="eastAsia" w:ascii="宋体" w:hAnsi="宋体" w:eastAsia="宋体" w:cs="宋体"/>
                      <w:b/>
                      <w:bCs/>
                      <w:i w:val="0"/>
                      <w:iCs w:val="0"/>
                      <w:color w:val="auto"/>
                      <w:kern w:val="0"/>
                      <w:sz w:val="21"/>
                      <w:szCs w:val="21"/>
                      <w:u w:val="none"/>
                      <w:lang w:val="en-US" w:eastAsia="zh-CN" w:bidi="ar"/>
                    </w:rPr>
                    <w:t>包装规格</w:t>
                  </w:r>
                </w:p>
              </w:tc>
              <w:tc>
                <w:tcPr>
                  <w:tcW w:w="702" w:type="pct"/>
                  <w:vAlign w:val="center"/>
                </w:tcPr>
                <w:p w14:paraId="4BB94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年用量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627" w:type="pct"/>
                  <w:vAlign w:val="center"/>
                </w:tcPr>
                <w:p w14:paraId="3C44FE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auto"/>
                      <w:sz w:val="21"/>
                      <w:szCs w:val="21"/>
                    </w:rPr>
                  </w:pPr>
                  <w:r>
                    <w:rPr>
                      <w:rFonts w:hint="eastAsia" w:ascii="宋体" w:hAnsi="宋体" w:eastAsia="宋体" w:cs="宋体"/>
                      <w:b/>
                      <w:bCs/>
                      <w:i w:val="0"/>
                      <w:iCs w:val="0"/>
                      <w:color w:val="auto"/>
                      <w:kern w:val="0"/>
                      <w:sz w:val="21"/>
                      <w:szCs w:val="21"/>
                      <w:u w:val="none"/>
                      <w:lang w:val="en-US" w:eastAsia="zh-CN" w:bidi="ar"/>
                    </w:rPr>
                    <w:t>最大储存量</w:t>
                  </w:r>
                  <w:r>
                    <w:rPr>
                      <w:rFonts w:hint="default" w:ascii="Times New Roman" w:hAnsi="Times New Roman" w:eastAsia="宋体" w:cs="Times New Roman"/>
                      <w:b/>
                      <w:bCs/>
                      <w:i w:val="0"/>
                      <w:iCs w:val="0"/>
                      <w:color w:val="auto"/>
                      <w:kern w:val="0"/>
                      <w:sz w:val="21"/>
                      <w:szCs w:val="21"/>
                      <w:u w:val="none"/>
                      <w:lang w:val="en-US" w:eastAsia="zh-CN" w:bidi="ar"/>
                    </w:rPr>
                    <w:t>t</w:t>
                  </w:r>
                </w:p>
              </w:tc>
              <w:tc>
                <w:tcPr>
                  <w:tcW w:w="951" w:type="pct"/>
                  <w:vAlign w:val="center"/>
                </w:tcPr>
                <w:p w14:paraId="589FB0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sz w:val="21"/>
                      <w:szCs w:val="21"/>
                      <w:lang w:eastAsia="zh-CN"/>
                    </w:rPr>
                  </w:pPr>
                  <w:r>
                    <w:rPr>
                      <w:rFonts w:hint="eastAsia" w:ascii="宋体" w:hAnsi="宋体" w:eastAsia="宋体" w:cs="宋体"/>
                      <w:b/>
                      <w:bCs/>
                      <w:i w:val="0"/>
                      <w:iCs w:val="0"/>
                      <w:color w:val="auto"/>
                      <w:kern w:val="0"/>
                      <w:sz w:val="21"/>
                      <w:szCs w:val="21"/>
                      <w:u w:val="none"/>
                      <w:lang w:val="en-US" w:eastAsia="zh-CN" w:bidi="ar"/>
                    </w:rPr>
                    <w:t>备注</w:t>
                  </w:r>
                </w:p>
              </w:tc>
            </w:tr>
            <w:tr w14:paraId="30E6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8" w:type="pct"/>
                  <w:vAlign w:val="center"/>
                </w:tcPr>
                <w:p w14:paraId="6F71B3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747" w:type="pct"/>
                  <w:shd w:val="clear" w:color="auto" w:fill="auto"/>
                  <w:vAlign w:val="center"/>
                </w:tcPr>
                <w:p w14:paraId="344DCB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小龙虾</w:t>
                  </w:r>
                </w:p>
              </w:tc>
              <w:tc>
                <w:tcPr>
                  <w:tcW w:w="675" w:type="pct"/>
                  <w:shd w:val="clear" w:color="auto" w:fill="auto"/>
                  <w:vAlign w:val="center"/>
                </w:tcPr>
                <w:p w14:paraId="42B918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活</w:t>
                  </w:r>
                  <w:r>
                    <w:rPr>
                      <w:rFonts w:hint="default" w:ascii="Times New Roman" w:hAnsi="Times New Roman" w:cs="Times New Roman"/>
                      <w:color w:val="auto"/>
                      <w:sz w:val="21"/>
                      <w:szCs w:val="21"/>
                      <w:lang w:val="en-US"/>
                    </w:rPr>
                    <w:t>小龙虾</w:t>
                  </w:r>
                </w:p>
              </w:tc>
              <w:tc>
                <w:tcPr>
                  <w:tcW w:w="876" w:type="pct"/>
                  <w:shd w:val="clear" w:color="auto" w:fill="auto"/>
                  <w:vAlign w:val="center"/>
                </w:tcPr>
                <w:p w14:paraId="74EFAE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rPr>
                  </w:pPr>
                  <w:r>
                    <w:rPr>
                      <w:rFonts w:hint="eastAsia" w:cs="Times New Roman"/>
                      <w:i w:val="0"/>
                      <w:iCs w:val="0"/>
                      <w:color w:val="auto"/>
                      <w:kern w:val="0"/>
                      <w:sz w:val="21"/>
                      <w:szCs w:val="21"/>
                      <w:u w:val="none"/>
                      <w:lang w:val="en-US" w:eastAsia="zh-CN" w:bidi="ar"/>
                    </w:rPr>
                    <w:t>15kg</w:t>
                  </w:r>
                  <w:r>
                    <w:rPr>
                      <w:rFonts w:hint="default" w:ascii="Times New Roman" w:hAnsi="Times New Roman" w:eastAsia="宋体" w:cs="Times New Roman"/>
                      <w:i w:val="0"/>
                      <w:iCs w:val="0"/>
                      <w:color w:val="auto"/>
                      <w:kern w:val="0"/>
                      <w:sz w:val="21"/>
                      <w:szCs w:val="21"/>
                      <w:u w:val="none"/>
                      <w:lang w:val="en-US" w:eastAsia="zh-CN" w:bidi="ar"/>
                    </w:rPr>
                    <w:t>/泡沫箱</w:t>
                  </w:r>
                </w:p>
              </w:tc>
              <w:tc>
                <w:tcPr>
                  <w:tcW w:w="702" w:type="pct"/>
                  <w:shd w:val="clear" w:color="auto" w:fill="auto"/>
                  <w:vAlign w:val="center"/>
                </w:tcPr>
                <w:p w14:paraId="343F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1055</w:t>
                  </w:r>
                </w:p>
              </w:tc>
              <w:tc>
                <w:tcPr>
                  <w:tcW w:w="627" w:type="pct"/>
                  <w:shd w:val="clear" w:color="auto" w:fill="auto"/>
                  <w:vAlign w:val="center"/>
                </w:tcPr>
                <w:p w14:paraId="2509DC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top"/>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w:t>
                  </w:r>
                </w:p>
              </w:tc>
              <w:tc>
                <w:tcPr>
                  <w:tcW w:w="951" w:type="pct"/>
                  <w:shd w:val="clear" w:color="auto" w:fill="auto"/>
                  <w:vAlign w:val="center"/>
                </w:tcPr>
                <w:p w14:paraId="179EAC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r>
            <w:tr w14:paraId="5933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shd w:val="clear" w:color="auto" w:fill="auto"/>
                  <w:vAlign w:val="center"/>
                </w:tcPr>
                <w:p w14:paraId="618D49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747" w:type="pct"/>
                  <w:vAlign w:val="center"/>
                </w:tcPr>
                <w:p w14:paraId="381FE9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食用盐</w:t>
                  </w:r>
                </w:p>
              </w:tc>
              <w:tc>
                <w:tcPr>
                  <w:tcW w:w="675" w:type="pct"/>
                  <w:vAlign w:val="center"/>
                </w:tcPr>
                <w:p w14:paraId="16242B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固态</w:t>
                  </w:r>
                </w:p>
              </w:tc>
              <w:tc>
                <w:tcPr>
                  <w:tcW w:w="876" w:type="pct"/>
                  <w:vAlign w:val="center"/>
                </w:tcPr>
                <w:p w14:paraId="40B999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eastAsia="zh-CN"/>
                    </w:rPr>
                  </w:pPr>
                  <w:r>
                    <w:rPr>
                      <w:rFonts w:hint="eastAsia" w:cs="Times New Roman"/>
                      <w:i w:val="0"/>
                      <w:iCs w:val="0"/>
                      <w:color w:val="auto"/>
                      <w:kern w:val="0"/>
                      <w:sz w:val="21"/>
                      <w:szCs w:val="21"/>
                      <w:u w:val="none"/>
                      <w:lang w:val="en-US" w:eastAsia="zh-CN" w:bidi="ar"/>
                    </w:rPr>
                    <w:t>25kg</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袋</w:t>
                  </w:r>
                </w:p>
              </w:tc>
              <w:tc>
                <w:tcPr>
                  <w:tcW w:w="702" w:type="pct"/>
                  <w:vAlign w:val="center"/>
                </w:tcPr>
                <w:p w14:paraId="7BD8B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w:t>
                  </w:r>
                </w:p>
              </w:tc>
              <w:tc>
                <w:tcPr>
                  <w:tcW w:w="627" w:type="pct"/>
                  <w:vAlign w:val="center"/>
                </w:tcPr>
                <w:p w14:paraId="1F717E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0.5</w:t>
                  </w:r>
                </w:p>
              </w:tc>
              <w:tc>
                <w:tcPr>
                  <w:tcW w:w="951" w:type="pct"/>
                  <w:shd w:val="clear" w:color="auto" w:fill="auto"/>
                  <w:vAlign w:val="center"/>
                </w:tcPr>
                <w:p w14:paraId="14BDA3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r>
            <w:tr w14:paraId="46B7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shd w:val="clear" w:color="auto" w:fill="auto"/>
                  <w:vAlign w:val="center"/>
                </w:tcPr>
                <w:p w14:paraId="08FAC1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747" w:type="pct"/>
                  <w:vAlign w:val="center"/>
                </w:tcPr>
                <w:p w14:paraId="52FDFD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植物油</w:t>
                  </w:r>
                </w:p>
              </w:tc>
              <w:tc>
                <w:tcPr>
                  <w:tcW w:w="675" w:type="pct"/>
                  <w:vAlign w:val="center"/>
                </w:tcPr>
                <w:p w14:paraId="5381F2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液体</w:t>
                  </w:r>
                </w:p>
              </w:tc>
              <w:tc>
                <w:tcPr>
                  <w:tcW w:w="876" w:type="pct"/>
                  <w:vAlign w:val="center"/>
                </w:tcPr>
                <w:p w14:paraId="23E175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eastAsia="zh-CN"/>
                    </w:rPr>
                  </w:pP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kg/</w:t>
                  </w:r>
                  <w:r>
                    <w:rPr>
                      <w:rFonts w:hint="eastAsia" w:ascii="宋体" w:hAnsi="宋体" w:eastAsia="宋体" w:cs="宋体"/>
                      <w:i w:val="0"/>
                      <w:iCs w:val="0"/>
                      <w:color w:val="auto"/>
                      <w:kern w:val="0"/>
                      <w:sz w:val="21"/>
                      <w:szCs w:val="21"/>
                      <w:u w:val="none"/>
                      <w:lang w:val="en-US" w:eastAsia="zh-CN" w:bidi="ar"/>
                    </w:rPr>
                    <w:t>桶</w:t>
                  </w:r>
                </w:p>
              </w:tc>
              <w:tc>
                <w:tcPr>
                  <w:tcW w:w="702" w:type="pct"/>
                  <w:vAlign w:val="center"/>
                </w:tcPr>
                <w:p w14:paraId="2736CA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10</w:t>
                  </w:r>
                </w:p>
              </w:tc>
              <w:tc>
                <w:tcPr>
                  <w:tcW w:w="627" w:type="pct"/>
                  <w:vAlign w:val="center"/>
                </w:tcPr>
                <w:p w14:paraId="6B4DE7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w:t>
                  </w:r>
                </w:p>
              </w:tc>
              <w:tc>
                <w:tcPr>
                  <w:tcW w:w="951" w:type="pct"/>
                  <w:shd w:val="clear" w:color="auto" w:fill="auto"/>
                  <w:vAlign w:val="center"/>
                </w:tcPr>
                <w:p w14:paraId="4F1DE5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r>
            <w:tr w14:paraId="2E29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shd w:val="clear" w:color="auto" w:fill="auto"/>
                  <w:vAlign w:val="center"/>
                </w:tcPr>
                <w:p w14:paraId="5AF313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747" w:type="pct"/>
                  <w:vAlign w:val="center"/>
                </w:tcPr>
                <w:p w14:paraId="4146D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姜黄粉</w:t>
                  </w:r>
                </w:p>
              </w:tc>
              <w:tc>
                <w:tcPr>
                  <w:tcW w:w="675" w:type="pct"/>
                  <w:vAlign w:val="center"/>
                </w:tcPr>
                <w:p w14:paraId="029666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0"/>
                      <w:rFonts w:hint="default" w:ascii="Times New Roman" w:hAnsi="Times New Roman" w:cs="Times New Roman"/>
                      <w:color w:val="auto"/>
                      <w:sz w:val="21"/>
                      <w:szCs w:val="21"/>
                      <w:lang w:val="en-US" w:eastAsia="zh-CN" w:bidi="ar"/>
                    </w:rPr>
                  </w:pPr>
                  <w:r>
                    <w:rPr>
                      <w:rFonts w:hint="eastAsia" w:ascii="宋体" w:hAnsi="宋体" w:cs="宋体"/>
                      <w:i w:val="0"/>
                      <w:iCs w:val="0"/>
                      <w:color w:val="auto"/>
                      <w:kern w:val="0"/>
                      <w:sz w:val="21"/>
                      <w:szCs w:val="21"/>
                      <w:u w:val="none"/>
                      <w:lang w:val="en-US" w:eastAsia="zh-CN" w:bidi="ar"/>
                    </w:rPr>
                    <w:t>粉</w:t>
                  </w:r>
                  <w:r>
                    <w:rPr>
                      <w:rFonts w:hint="eastAsia" w:ascii="宋体" w:hAnsi="宋体" w:eastAsia="宋体" w:cs="宋体"/>
                      <w:i w:val="0"/>
                      <w:iCs w:val="0"/>
                      <w:color w:val="auto"/>
                      <w:kern w:val="0"/>
                      <w:sz w:val="21"/>
                      <w:szCs w:val="21"/>
                      <w:u w:val="none"/>
                      <w:lang w:val="en-US" w:eastAsia="zh-CN" w:bidi="ar"/>
                    </w:rPr>
                    <w:t>状</w:t>
                  </w:r>
                </w:p>
              </w:tc>
              <w:tc>
                <w:tcPr>
                  <w:tcW w:w="876" w:type="pct"/>
                  <w:vAlign w:val="center"/>
                </w:tcPr>
                <w:p w14:paraId="4F2B56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0"/>
                      <w:rFonts w:hint="default" w:ascii="Times New Roman" w:hAnsi="Times New Roman" w:cs="Times New Roman"/>
                      <w:color w:val="auto"/>
                      <w:sz w:val="21"/>
                      <w:szCs w:val="21"/>
                      <w:lang w:val="en-US" w:eastAsia="zh-CN" w:bidi="ar"/>
                    </w:rPr>
                  </w:pPr>
                  <w:r>
                    <w:rPr>
                      <w:rFonts w:hint="eastAsia" w:cs="Times New Roman"/>
                      <w:i w:val="0"/>
                      <w:iCs w:val="0"/>
                      <w:color w:val="auto"/>
                      <w:kern w:val="0"/>
                      <w:sz w:val="21"/>
                      <w:szCs w:val="21"/>
                      <w:u w:val="none"/>
                      <w:lang w:val="en-US" w:eastAsia="zh-CN" w:bidi="ar"/>
                    </w:rPr>
                    <w:t>5kg</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袋</w:t>
                  </w:r>
                </w:p>
              </w:tc>
              <w:tc>
                <w:tcPr>
                  <w:tcW w:w="702" w:type="pct"/>
                  <w:vAlign w:val="center"/>
                </w:tcPr>
                <w:p w14:paraId="34B06A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0.03</w:t>
                  </w:r>
                </w:p>
              </w:tc>
              <w:tc>
                <w:tcPr>
                  <w:tcW w:w="627" w:type="pct"/>
                  <w:vAlign w:val="center"/>
                </w:tcPr>
                <w:p w14:paraId="5D089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0.01</w:t>
                  </w:r>
                </w:p>
              </w:tc>
              <w:tc>
                <w:tcPr>
                  <w:tcW w:w="951" w:type="pct"/>
                  <w:shd w:val="clear" w:color="auto" w:fill="auto"/>
                  <w:vAlign w:val="center"/>
                </w:tcPr>
                <w:p w14:paraId="17053B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0014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18" w:type="pct"/>
                  <w:shd w:val="clear" w:color="auto" w:fill="auto"/>
                  <w:vAlign w:val="center"/>
                </w:tcPr>
                <w:p w14:paraId="69AA6D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p>
              </w:tc>
              <w:tc>
                <w:tcPr>
                  <w:tcW w:w="747" w:type="pct"/>
                  <w:vAlign w:val="center"/>
                </w:tcPr>
                <w:p w14:paraId="03783C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default" w:cs="Times New Roman"/>
                      <w:color w:val="auto"/>
                      <w:sz w:val="21"/>
                      <w:szCs w:val="21"/>
                      <w:lang w:val="en-US" w:eastAsia="zh-CN"/>
                    </w:rPr>
                    <w:t>水柠檬酸</w:t>
                  </w:r>
                </w:p>
              </w:tc>
              <w:tc>
                <w:tcPr>
                  <w:tcW w:w="675" w:type="pct"/>
                  <w:vAlign w:val="center"/>
                </w:tcPr>
                <w:p w14:paraId="1DDC55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0"/>
                      <w:rFonts w:hint="default" w:ascii="Times New Roman" w:hAnsi="Times New Roman" w:cs="Times New Roman"/>
                      <w:color w:val="auto"/>
                      <w:sz w:val="21"/>
                      <w:szCs w:val="21"/>
                      <w:lang w:val="en-US" w:eastAsia="zh-CN" w:bidi="ar"/>
                    </w:rPr>
                  </w:pPr>
                  <w:r>
                    <w:rPr>
                      <w:rFonts w:hint="eastAsia" w:ascii="宋体" w:hAnsi="宋体" w:cs="宋体"/>
                      <w:i w:val="0"/>
                      <w:iCs w:val="0"/>
                      <w:color w:val="auto"/>
                      <w:kern w:val="0"/>
                      <w:sz w:val="21"/>
                      <w:szCs w:val="21"/>
                      <w:u w:val="none"/>
                      <w:lang w:val="en-US" w:eastAsia="zh-CN" w:bidi="ar"/>
                    </w:rPr>
                    <w:t>粉</w:t>
                  </w:r>
                  <w:r>
                    <w:rPr>
                      <w:rFonts w:hint="eastAsia" w:cs="Times New Roman"/>
                      <w:i w:val="0"/>
                      <w:iCs w:val="0"/>
                      <w:color w:val="auto"/>
                      <w:kern w:val="0"/>
                      <w:sz w:val="21"/>
                      <w:szCs w:val="21"/>
                      <w:u w:val="none"/>
                      <w:lang w:val="en-US" w:eastAsia="zh-CN" w:bidi="ar"/>
                    </w:rPr>
                    <w:t>状</w:t>
                  </w:r>
                </w:p>
              </w:tc>
              <w:tc>
                <w:tcPr>
                  <w:tcW w:w="876" w:type="pct"/>
                  <w:vAlign w:val="center"/>
                </w:tcPr>
                <w:p w14:paraId="6F02C6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0"/>
                      <w:rFonts w:hint="default" w:ascii="Times New Roman" w:hAnsi="Times New Roman" w:cs="Times New Roman"/>
                      <w:color w:val="auto"/>
                      <w:sz w:val="21"/>
                      <w:szCs w:val="21"/>
                      <w:lang w:val="en-US" w:eastAsia="zh-CN" w:bidi="ar"/>
                    </w:rPr>
                  </w:pPr>
                  <w:r>
                    <w:rPr>
                      <w:rFonts w:hint="eastAsia" w:cs="Times New Roman"/>
                      <w:i w:val="0"/>
                      <w:iCs w:val="0"/>
                      <w:color w:val="auto"/>
                      <w:kern w:val="0"/>
                      <w:sz w:val="21"/>
                      <w:szCs w:val="21"/>
                      <w:u w:val="none"/>
                      <w:lang w:val="en-US" w:eastAsia="zh-CN" w:bidi="ar"/>
                    </w:rPr>
                    <w:t>25kg</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袋</w:t>
                  </w:r>
                </w:p>
              </w:tc>
              <w:tc>
                <w:tcPr>
                  <w:tcW w:w="702" w:type="pct"/>
                  <w:vAlign w:val="center"/>
                </w:tcPr>
                <w:p w14:paraId="4EA6DD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5.0</w:t>
                  </w:r>
                </w:p>
              </w:tc>
              <w:tc>
                <w:tcPr>
                  <w:tcW w:w="627" w:type="pct"/>
                  <w:vAlign w:val="center"/>
                </w:tcPr>
                <w:p w14:paraId="6EB87C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0.25</w:t>
                  </w:r>
                </w:p>
              </w:tc>
              <w:tc>
                <w:tcPr>
                  <w:tcW w:w="951" w:type="pct"/>
                  <w:shd w:val="clear" w:color="auto" w:fill="auto"/>
                  <w:vAlign w:val="center"/>
                </w:tcPr>
                <w:p w14:paraId="2F1D37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5409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418" w:type="pct"/>
                  <w:shd w:val="clear" w:color="auto" w:fill="auto"/>
                  <w:vAlign w:val="center"/>
                </w:tcPr>
                <w:p w14:paraId="7EF367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w:t>
                  </w:r>
                </w:p>
              </w:tc>
              <w:tc>
                <w:tcPr>
                  <w:tcW w:w="747" w:type="pct"/>
                  <w:vAlign w:val="center"/>
                </w:tcPr>
                <w:p w14:paraId="52A6DE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导热油</w:t>
                  </w:r>
                </w:p>
              </w:tc>
              <w:tc>
                <w:tcPr>
                  <w:tcW w:w="675" w:type="pct"/>
                  <w:vAlign w:val="center"/>
                </w:tcPr>
                <w:p w14:paraId="3D8EF1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0"/>
                      <w:rFonts w:hint="default" w:ascii="Times New Roman" w:hAnsi="Times New Roman" w:cs="Times New Roman"/>
                      <w:color w:val="auto"/>
                      <w:sz w:val="21"/>
                      <w:szCs w:val="21"/>
                      <w:lang w:val="en-US" w:eastAsia="zh-CN" w:bidi="ar"/>
                    </w:rPr>
                  </w:pPr>
                  <w:r>
                    <w:rPr>
                      <w:rFonts w:hint="eastAsia" w:ascii="宋体" w:hAnsi="宋体" w:eastAsia="宋体" w:cs="宋体"/>
                      <w:i w:val="0"/>
                      <w:iCs w:val="0"/>
                      <w:color w:val="auto"/>
                      <w:kern w:val="0"/>
                      <w:sz w:val="21"/>
                      <w:szCs w:val="21"/>
                      <w:u w:val="none"/>
                      <w:lang w:val="en-US" w:eastAsia="zh-CN" w:bidi="ar"/>
                    </w:rPr>
                    <w:t>液体</w:t>
                  </w:r>
                </w:p>
              </w:tc>
              <w:tc>
                <w:tcPr>
                  <w:tcW w:w="876" w:type="pct"/>
                  <w:vAlign w:val="center"/>
                </w:tcPr>
                <w:p w14:paraId="1EA49B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Style w:val="40"/>
                      <w:rFonts w:hint="default" w:ascii="Times New Roman" w:hAnsi="Times New Roman" w:cs="Times New Roman"/>
                      <w:color w:val="auto"/>
                      <w:sz w:val="21"/>
                      <w:szCs w:val="21"/>
                      <w:lang w:val="en-US" w:eastAsia="zh-CN" w:bidi="ar"/>
                    </w:rPr>
                  </w:pPr>
                  <w:r>
                    <w:rPr>
                      <w:rFonts w:hint="eastAsia" w:cs="Times New Roman"/>
                      <w:i w:val="0"/>
                      <w:iCs w:val="0"/>
                      <w:color w:val="auto"/>
                      <w:kern w:val="0"/>
                      <w:sz w:val="21"/>
                      <w:szCs w:val="21"/>
                      <w:u w:val="none"/>
                      <w:lang w:val="en-US" w:eastAsia="zh-CN" w:bidi="ar"/>
                    </w:rPr>
                    <w:t>/</w:t>
                  </w:r>
                </w:p>
              </w:tc>
              <w:tc>
                <w:tcPr>
                  <w:tcW w:w="702" w:type="pct"/>
                  <w:vAlign w:val="center"/>
                </w:tcPr>
                <w:p w14:paraId="22FB39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2.0t/5a</w:t>
                  </w:r>
                </w:p>
              </w:tc>
              <w:tc>
                <w:tcPr>
                  <w:tcW w:w="627" w:type="pct"/>
                  <w:vAlign w:val="center"/>
                </w:tcPr>
                <w:p w14:paraId="2B8FE5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951" w:type="pct"/>
                  <w:shd w:val="clear" w:color="auto" w:fill="auto"/>
                  <w:vAlign w:val="center"/>
                </w:tcPr>
                <w:p w14:paraId="10F1EE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5年更换一次</w:t>
                  </w:r>
                </w:p>
              </w:tc>
            </w:tr>
            <w:tr w14:paraId="5903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shd w:val="clear" w:color="auto" w:fill="auto"/>
                  <w:vAlign w:val="center"/>
                </w:tcPr>
                <w:p w14:paraId="56E80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747" w:type="pct"/>
                  <w:vAlign w:val="center"/>
                </w:tcPr>
                <w:p w14:paraId="7F0A8D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水</w:t>
                  </w:r>
                </w:p>
              </w:tc>
              <w:tc>
                <w:tcPr>
                  <w:tcW w:w="675" w:type="pct"/>
                  <w:vAlign w:val="center"/>
                </w:tcPr>
                <w:p w14:paraId="3B7DC4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Style w:val="40"/>
                      <w:rFonts w:hint="eastAsia" w:cs="Times New Roman"/>
                      <w:color w:val="auto"/>
                      <w:sz w:val="21"/>
                      <w:szCs w:val="21"/>
                      <w:lang w:val="en-US" w:eastAsia="zh-CN" w:bidi="ar"/>
                    </w:rPr>
                    <w:t>/</w:t>
                  </w:r>
                </w:p>
              </w:tc>
              <w:tc>
                <w:tcPr>
                  <w:tcW w:w="876" w:type="pct"/>
                  <w:vAlign w:val="center"/>
                </w:tcPr>
                <w:p w14:paraId="61EF5B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i w:val="0"/>
                      <w:iCs w:val="0"/>
                      <w:color w:val="auto"/>
                      <w:kern w:val="0"/>
                      <w:sz w:val="21"/>
                      <w:szCs w:val="21"/>
                      <w:u w:val="none"/>
                      <w:lang w:val="en-US" w:eastAsia="zh-CN" w:bidi="ar"/>
                    </w:rPr>
                  </w:pPr>
                  <w:r>
                    <w:rPr>
                      <w:rStyle w:val="40"/>
                      <w:rFonts w:hint="eastAsia" w:cs="Times New Roman"/>
                      <w:color w:val="auto"/>
                      <w:sz w:val="21"/>
                      <w:szCs w:val="21"/>
                      <w:lang w:val="en-US" w:eastAsia="zh-CN" w:bidi="ar"/>
                    </w:rPr>
                    <w:t>/</w:t>
                  </w:r>
                </w:p>
              </w:tc>
              <w:tc>
                <w:tcPr>
                  <w:tcW w:w="702" w:type="pct"/>
                  <w:vAlign w:val="center"/>
                </w:tcPr>
                <w:p w14:paraId="07A144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default" w:cs="Times New Roman"/>
                      <w:color w:val="auto"/>
                      <w:sz w:val="21"/>
                      <w:szCs w:val="21"/>
                      <w:lang w:val="en-US" w:eastAsia="zh-CN"/>
                    </w:rPr>
                    <w:t>5</w:t>
                  </w:r>
                  <w:r>
                    <w:rPr>
                      <w:rFonts w:hint="eastAsia" w:cs="Times New Roman"/>
                      <w:color w:val="auto"/>
                      <w:sz w:val="21"/>
                      <w:szCs w:val="21"/>
                      <w:lang w:val="en-US" w:eastAsia="zh-CN"/>
                    </w:rPr>
                    <w:t>26</w:t>
                  </w:r>
                  <w:r>
                    <w:rPr>
                      <w:rFonts w:hint="default" w:cs="Times New Roman"/>
                      <w:color w:val="auto"/>
                      <w:sz w:val="21"/>
                      <w:szCs w:val="21"/>
                      <w:lang w:val="en-US" w:eastAsia="zh-CN"/>
                    </w:rPr>
                    <w:t>5.3m</w:t>
                  </w:r>
                  <w:r>
                    <w:rPr>
                      <w:rFonts w:hint="default" w:cs="Times New Roman"/>
                      <w:color w:val="auto"/>
                      <w:sz w:val="21"/>
                      <w:szCs w:val="21"/>
                      <w:vertAlign w:val="superscript"/>
                      <w:lang w:val="en-US" w:eastAsia="zh-CN"/>
                    </w:rPr>
                    <w:t>3</w:t>
                  </w:r>
                  <w:r>
                    <w:rPr>
                      <w:rFonts w:hint="default" w:cs="Times New Roman"/>
                      <w:color w:val="auto"/>
                      <w:sz w:val="21"/>
                      <w:szCs w:val="21"/>
                      <w:lang w:val="en-US" w:eastAsia="zh-CN"/>
                    </w:rPr>
                    <w:t>/a</w:t>
                  </w:r>
                </w:p>
              </w:tc>
              <w:tc>
                <w:tcPr>
                  <w:tcW w:w="627" w:type="pct"/>
                  <w:vAlign w:val="center"/>
                </w:tcPr>
                <w:p w14:paraId="2A7697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951" w:type="pct"/>
                  <w:shd w:val="clear" w:color="auto" w:fill="auto"/>
                  <w:vAlign w:val="center"/>
                </w:tcPr>
                <w:p w14:paraId="6B3931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市政供水管网</w:t>
                  </w:r>
                </w:p>
              </w:tc>
            </w:tr>
            <w:tr w14:paraId="15F6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shd w:val="clear" w:color="auto" w:fill="auto"/>
                  <w:vAlign w:val="center"/>
                </w:tcPr>
                <w:p w14:paraId="0FE28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9</w:t>
                  </w:r>
                </w:p>
              </w:tc>
              <w:tc>
                <w:tcPr>
                  <w:tcW w:w="747" w:type="pct"/>
                  <w:vAlign w:val="center"/>
                </w:tcPr>
                <w:p w14:paraId="1D8C76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电</w:t>
                  </w:r>
                </w:p>
              </w:tc>
              <w:tc>
                <w:tcPr>
                  <w:tcW w:w="675" w:type="pct"/>
                  <w:vAlign w:val="center"/>
                </w:tcPr>
                <w:p w14:paraId="19B9A2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Style w:val="40"/>
                      <w:rFonts w:hint="eastAsia" w:cs="Times New Roman"/>
                      <w:color w:val="auto"/>
                      <w:sz w:val="21"/>
                      <w:szCs w:val="21"/>
                      <w:lang w:val="en-US" w:eastAsia="zh-CN" w:bidi="ar"/>
                    </w:rPr>
                    <w:t>/</w:t>
                  </w:r>
                </w:p>
              </w:tc>
              <w:tc>
                <w:tcPr>
                  <w:tcW w:w="876" w:type="pct"/>
                  <w:vAlign w:val="center"/>
                </w:tcPr>
                <w:p w14:paraId="55EB16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i w:val="0"/>
                      <w:iCs w:val="0"/>
                      <w:color w:val="auto"/>
                      <w:kern w:val="0"/>
                      <w:sz w:val="21"/>
                      <w:szCs w:val="21"/>
                      <w:u w:val="none"/>
                      <w:lang w:val="en-US" w:eastAsia="zh-CN" w:bidi="ar"/>
                    </w:rPr>
                  </w:pPr>
                  <w:r>
                    <w:rPr>
                      <w:rStyle w:val="40"/>
                      <w:rFonts w:hint="eastAsia" w:cs="Times New Roman"/>
                      <w:color w:val="auto"/>
                      <w:sz w:val="21"/>
                      <w:szCs w:val="21"/>
                      <w:lang w:val="en-US" w:eastAsia="zh-CN" w:bidi="ar"/>
                    </w:rPr>
                    <w:t>/</w:t>
                  </w:r>
                </w:p>
              </w:tc>
              <w:tc>
                <w:tcPr>
                  <w:tcW w:w="702" w:type="pct"/>
                  <w:vAlign w:val="center"/>
                </w:tcPr>
                <w:p w14:paraId="029532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i w:val="0"/>
                      <w:iCs w:val="0"/>
                      <w:color w:val="auto"/>
                      <w:kern w:val="0"/>
                      <w:sz w:val="21"/>
                      <w:szCs w:val="21"/>
                      <w:u w:val="none"/>
                      <w:lang w:val="en-US" w:eastAsia="zh-CN" w:bidi="ar"/>
                    </w:rPr>
                    <w:t>2万kW</w:t>
                  </w:r>
                  <w:r>
                    <w:rPr>
                      <w:rFonts w:hint="default" w:ascii="Times New Roman" w:hAnsi="Times New Roman"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h/a</w:t>
                  </w:r>
                </w:p>
              </w:tc>
              <w:tc>
                <w:tcPr>
                  <w:tcW w:w="627" w:type="pct"/>
                  <w:vAlign w:val="center"/>
                </w:tcPr>
                <w:p w14:paraId="705735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951" w:type="pct"/>
                  <w:shd w:val="clear" w:color="auto" w:fill="auto"/>
                  <w:vAlign w:val="center"/>
                </w:tcPr>
                <w:p w14:paraId="038943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市政供电管网</w:t>
                  </w:r>
                </w:p>
              </w:tc>
            </w:tr>
            <w:tr w14:paraId="2595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shd w:val="clear" w:color="auto" w:fill="auto"/>
                  <w:vAlign w:val="center"/>
                </w:tcPr>
                <w:p w14:paraId="700EAA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color w:val="auto"/>
                      <w:sz w:val="21"/>
                      <w:szCs w:val="21"/>
                      <w:lang w:val="en-US" w:eastAsia="zh-CN"/>
                    </w:rPr>
                    <w:t>10</w:t>
                  </w:r>
                </w:p>
              </w:tc>
              <w:tc>
                <w:tcPr>
                  <w:tcW w:w="747" w:type="pct"/>
                  <w:vAlign w:val="center"/>
                </w:tcPr>
                <w:p w14:paraId="50E8C9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天然气</w:t>
                  </w:r>
                </w:p>
              </w:tc>
              <w:tc>
                <w:tcPr>
                  <w:tcW w:w="675" w:type="pct"/>
                  <w:vAlign w:val="center"/>
                </w:tcPr>
                <w:p w14:paraId="6E4AC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w:t>
                  </w:r>
                </w:p>
              </w:tc>
              <w:tc>
                <w:tcPr>
                  <w:tcW w:w="876" w:type="pct"/>
                  <w:vAlign w:val="center"/>
                </w:tcPr>
                <w:p w14:paraId="41F76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702" w:type="pct"/>
                  <w:vAlign w:val="center"/>
                </w:tcPr>
                <w:p w14:paraId="13B657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i w:val="0"/>
                      <w:iCs w:val="0"/>
                      <w:color w:val="auto"/>
                      <w:kern w:val="0"/>
                      <w:sz w:val="21"/>
                      <w:szCs w:val="21"/>
                      <w:u w:val="none"/>
                      <w:lang w:val="en-US" w:eastAsia="zh-CN" w:bidi="ar"/>
                    </w:rPr>
                    <w:t>1.92万m</w:t>
                  </w:r>
                  <w:r>
                    <w:rPr>
                      <w:rFonts w:hint="eastAsia" w:cs="Times New Roman"/>
                      <w:i w:val="0"/>
                      <w:iCs w:val="0"/>
                      <w:color w:val="auto"/>
                      <w:kern w:val="0"/>
                      <w:sz w:val="21"/>
                      <w:szCs w:val="21"/>
                      <w:u w:val="none"/>
                      <w:vertAlign w:val="superscript"/>
                      <w:lang w:val="en-US" w:eastAsia="zh-CN" w:bidi="ar"/>
                    </w:rPr>
                    <w:t>3</w:t>
                  </w:r>
                  <w:r>
                    <w:rPr>
                      <w:rFonts w:hint="eastAsia" w:cs="Times New Roman"/>
                      <w:i w:val="0"/>
                      <w:iCs w:val="0"/>
                      <w:color w:val="auto"/>
                      <w:kern w:val="0"/>
                      <w:sz w:val="21"/>
                      <w:szCs w:val="21"/>
                      <w:u w:val="none"/>
                      <w:lang w:val="en-US" w:eastAsia="zh-CN" w:bidi="ar"/>
                    </w:rPr>
                    <w:t>/a</w:t>
                  </w:r>
                </w:p>
              </w:tc>
              <w:tc>
                <w:tcPr>
                  <w:tcW w:w="627" w:type="pct"/>
                  <w:vAlign w:val="center"/>
                </w:tcPr>
                <w:p w14:paraId="7FC4C6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951" w:type="pct"/>
                  <w:shd w:val="clear" w:color="auto" w:fill="auto"/>
                  <w:vAlign w:val="center"/>
                </w:tcPr>
                <w:p w14:paraId="18B06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市政供气管网</w:t>
                  </w:r>
                </w:p>
              </w:tc>
            </w:tr>
          </w:tbl>
          <w:p w14:paraId="11F80A1A">
            <w:pPr>
              <w:tabs>
                <w:tab w:val="left" w:pos="8607"/>
              </w:tabs>
              <w:spacing w:line="240" w:lineRule="auto"/>
              <w:ind w:firstLine="0" w:firstLineChars="0"/>
              <w:jc w:val="center"/>
              <w:rPr>
                <w:rFonts w:hint="default" w:ascii="Times New Roman" w:hAnsi="Times New Roman" w:cs="Times New Roman"/>
                <w:b/>
                <w:bCs/>
                <w:color w:val="auto"/>
                <w:sz w:val="21"/>
                <w:szCs w:val="21"/>
                <w:lang w:val="zh-CN"/>
              </w:rPr>
            </w:pPr>
            <w:r>
              <w:rPr>
                <w:rFonts w:hint="default" w:ascii="Times New Roman" w:hAnsi="Times New Roman" w:cs="Times New Roman"/>
                <w:b/>
                <w:bCs/>
                <w:color w:val="auto"/>
                <w:sz w:val="21"/>
                <w:szCs w:val="21"/>
              </w:rPr>
              <w:t>表2-</w:t>
            </w:r>
            <w:r>
              <w:rPr>
                <w:rFonts w:hint="eastAsia" w:cs="Times New Roman"/>
                <w:b/>
                <w:bCs/>
                <w:color w:val="auto"/>
                <w:sz w:val="21"/>
                <w:szCs w:val="21"/>
                <w:lang w:val="en-US" w:eastAsia="zh-CN"/>
              </w:rPr>
              <w:t>4</w:t>
            </w:r>
            <w:r>
              <w:rPr>
                <w:rFonts w:hint="default" w:ascii="Times New Roman" w:hAnsi="Times New Roman" w:cs="Times New Roman"/>
                <w:b/>
                <w:bCs/>
                <w:color w:val="auto"/>
                <w:sz w:val="21"/>
                <w:szCs w:val="21"/>
              </w:rPr>
              <w:t xml:space="preserve"> </w:t>
            </w:r>
            <w:r>
              <w:rPr>
                <w:rFonts w:hint="default" w:ascii="Times New Roman" w:hAnsi="Times New Roman" w:cs="Times New Roman"/>
                <w:b/>
                <w:bCs/>
                <w:color w:val="auto"/>
                <w:sz w:val="21"/>
                <w:szCs w:val="21"/>
                <w:lang w:eastAsia="zh-CN"/>
              </w:rPr>
              <w:t>主要</w:t>
            </w:r>
            <w:r>
              <w:rPr>
                <w:rFonts w:hint="default" w:ascii="Times New Roman" w:hAnsi="Times New Roman" w:cs="Times New Roman"/>
                <w:b/>
                <w:bCs/>
                <w:color w:val="auto"/>
                <w:sz w:val="21"/>
                <w:szCs w:val="21"/>
                <w:lang w:val="zh-CN"/>
              </w:rPr>
              <w:t>原辅材料</w:t>
            </w:r>
            <w:r>
              <w:rPr>
                <w:rFonts w:hint="eastAsia" w:cs="Times New Roman"/>
                <w:b/>
                <w:bCs/>
                <w:color w:val="auto"/>
                <w:sz w:val="21"/>
                <w:szCs w:val="21"/>
                <w:lang w:val="en-US" w:eastAsia="zh-CN"/>
              </w:rPr>
              <w:t>理化性质</w:t>
            </w:r>
            <w:r>
              <w:rPr>
                <w:rFonts w:hint="default" w:ascii="Times New Roman" w:hAnsi="Times New Roman" w:cs="Times New Roman"/>
                <w:b/>
                <w:bCs/>
                <w:color w:val="auto"/>
                <w:sz w:val="21"/>
                <w:szCs w:val="21"/>
                <w:lang w:val="zh-CN"/>
              </w:rPr>
              <w:t>一览表</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072"/>
              <w:gridCol w:w="6591"/>
            </w:tblGrid>
            <w:tr w14:paraId="2354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 w:type="pct"/>
                  <w:vAlign w:val="center"/>
                </w:tcPr>
                <w:p w14:paraId="3AC6E7F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640" w:type="pct"/>
                  <w:vAlign w:val="center"/>
                </w:tcPr>
                <w:p w14:paraId="1193146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名称</w:t>
                  </w:r>
                </w:p>
              </w:tc>
              <w:tc>
                <w:tcPr>
                  <w:tcW w:w="3934" w:type="pct"/>
                  <w:vAlign w:val="center"/>
                </w:tcPr>
                <w:p w14:paraId="2DA0F8C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理化性质</w:t>
                  </w:r>
                </w:p>
              </w:tc>
            </w:tr>
            <w:tr w14:paraId="6D00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 w:type="pct"/>
                  <w:vAlign w:val="center"/>
                </w:tcPr>
                <w:p w14:paraId="013FF37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40" w:type="pct"/>
                  <w:shd w:val="clear" w:color="auto" w:fill="auto"/>
                  <w:vAlign w:val="center"/>
                </w:tcPr>
                <w:p w14:paraId="02B58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rPr>
                  </w:pPr>
                  <w:r>
                    <w:rPr>
                      <w:rFonts w:hint="default" w:cs="Times New Roman"/>
                      <w:color w:val="auto"/>
                      <w:sz w:val="21"/>
                      <w:szCs w:val="21"/>
                      <w:lang w:val="en-US" w:eastAsia="zh-CN"/>
                    </w:rPr>
                    <w:t>水柠檬酸</w:t>
                  </w:r>
                </w:p>
              </w:tc>
              <w:tc>
                <w:tcPr>
                  <w:tcW w:w="3934" w:type="pct"/>
                  <w:shd w:val="clear" w:color="auto" w:fill="auto"/>
                  <w:vAlign w:val="center"/>
                </w:tcPr>
                <w:p w14:paraId="7CC3E5C8">
                  <w:pPr>
                    <w:keepNext w:val="0"/>
                    <w:keepLines w:val="0"/>
                    <w:pageBreakBefore w:val="0"/>
                    <w:kinsoku/>
                    <w:wordWrap/>
                    <w:overflowPunct/>
                    <w:topLinePunct w:val="0"/>
                    <w:autoSpaceDE/>
                    <w:autoSpaceDN/>
                    <w:bidi w:val="0"/>
                    <w:adjustRightInd/>
                    <w:snapToGrid/>
                    <w:spacing w:line="240" w:lineRule="auto"/>
                    <w:ind w:firstLine="0" w:firstLineChars="0"/>
                    <w:jc w:val="both"/>
                    <w:rPr>
                      <w:rFonts w:hint="default" w:ascii="Times New Roman" w:hAnsi="Times New Roman" w:cs="Times New Roman"/>
                      <w:color w:val="auto"/>
                      <w:sz w:val="21"/>
                      <w:szCs w:val="21"/>
                    </w:rPr>
                  </w:pPr>
                  <w:r>
                    <w:rPr>
                      <w:rFonts w:hint="eastAsia" w:cs="Times New Roman"/>
                      <w:color w:val="auto"/>
                      <w:sz w:val="21"/>
                      <w:szCs w:val="21"/>
                      <w:lang w:val="en-US" w:eastAsia="zh-CN"/>
                    </w:rPr>
                    <w:t>是分子中含一个结晶水的柠檬酸</w:t>
                  </w:r>
                  <w:r>
                    <w:rPr>
                      <w:rFonts w:hint="eastAsia" w:cs="Times New Roman"/>
                      <w:color w:val="auto"/>
                      <w:sz w:val="21"/>
                      <w:szCs w:val="21"/>
                      <w:lang w:eastAsia="zh-CN"/>
                    </w:rPr>
                    <w:t>，</w:t>
                  </w:r>
                  <w:r>
                    <w:rPr>
                      <w:rFonts w:hint="default" w:ascii="Times New Roman" w:hAnsi="Times New Roman" w:cs="Times New Roman"/>
                      <w:color w:val="auto"/>
                      <w:sz w:val="21"/>
                      <w:szCs w:val="21"/>
                    </w:rPr>
                    <w:t>化学式为C</w:t>
                  </w:r>
                  <w:r>
                    <w:rPr>
                      <w:rFonts w:hint="default" w:ascii="Times New Roman" w:hAnsi="Times New Roman" w:cs="Times New Roman"/>
                      <w:color w:val="auto"/>
                      <w:sz w:val="21"/>
                      <w:szCs w:val="21"/>
                      <w:vertAlign w:val="subscript"/>
                    </w:rPr>
                    <w:t>6</w:t>
                  </w:r>
                  <w:r>
                    <w:rPr>
                      <w:rFonts w:hint="default" w:ascii="Times New Roman" w:hAnsi="Times New Roman" w:cs="Times New Roman"/>
                      <w:color w:val="auto"/>
                      <w:sz w:val="21"/>
                      <w:szCs w:val="21"/>
                    </w:rPr>
                    <w:t>H</w:t>
                  </w:r>
                  <w:r>
                    <w:rPr>
                      <w:rFonts w:hint="default" w:ascii="Times New Roman" w:hAnsi="Times New Roman" w:eastAsia="宋体" w:cs="Times New Roman"/>
                      <w:color w:val="auto"/>
                      <w:sz w:val="21"/>
                      <w:szCs w:val="21"/>
                      <w:vertAlign w:val="subscript"/>
                    </w:rPr>
                    <w:t>8</w:t>
                  </w:r>
                  <w:r>
                    <w:rPr>
                      <w:rFonts w:hint="default" w:ascii="Times New Roman" w:hAnsi="Times New Roman" w:cs="Times New Roman"/>
                      <w:color w:val="auto"/>
                      <w:sz w:val="21"/>
                      <w:szCs w:val="21"/>
                    </w:rPr>
                    <w:t>O</w:t>
                  </w:r>
                  <w:r>
                    <w:rPr>
                      <w:rFonts w:hint="default" w:ascii="Times New Roman" w:hAnsi="Times New Roman" w:eastAsia="宋体" w:cs="Times New Roman"/>
                      <w:color w:val="auto"/>
                      <w:sz w:val="21"/>
                      <w:szCs w:val="21"/>
                      <w:vertAlign w:val="subscript"/>
                    </w:rPr>
                    <w:t>7</w:t>
                  </w:r>
                  <w:r>
                    <w:rPr>
                      <w:rFonts w:hint="default" w:ascii="Times New Roman" w:hAnsi="Times New Roman" w:cs="Times New Roman"/>
                      <w:color w:val="auto"/>
                      <w:sz w:val="21"/>
                      <w:szCs w:val="21"/>
                    </w:rPr>
                    <w:t>·H</w:t>
                  </w:r>
                  <w:r>
                    <w:rPr>
                      <w:rFonts w:hint="default" w:ascii="Times New Roman" w:hAnsi="Times New Roman" w:eastAsia="宋体" w:cs="Times New Roman"/>
                      <w:color w:val="auto"/>
                      <w:sz w:val="21"/>
                      <w:szCs w:val="21"/>
                      <w:vertAlign w:val="subscript"/>
                    </w:rPr>
                    <w:t>2</w:t>
                  </w:r>
                  <w:r>
                    <w:rPr>
                      <w:rFonts w:hint="default" w:ascii="Times New Roman" w:hAnsi="Times New Roman" w:cs="Times New Roman"/>
                      <w:color w:val="auto"/>
                      <w:sz w:val="21"/>
                      <w:szCs w:val="21"/>
                    </w:rPr>
                    <w:t>O，分子量约210.14。通常为白色透明或半透明晶体，或粒状、微粒状粉末，无臭，有强烈酸味，稍后有涩味</w:t>
                  </w:r>
                  <w:r>
                    <w:rPr>
                      <w:rFonts w:hint="eastAsia" w:cs="Times New Roman"/>
                      <w:color w:val="auto"/>
                      <w:sz w:val="21"/>
                      <w:szCs w:val="21"/>
                      <w:lang w:eastAsia="zh-CN"/>
                    </w:rPr>
                    <w:t>，极易溶于水，可溶于乙醇，微溶于乙醚，不溶于苯、甲苯、二硫化碳、四氯化碳和脂肪酸。酸性较强，能与酸、碱、甘油、盐、金属离子等很多物质发生反应，加热可分解成多种产物。</w:t>
                  </w:r>
                </w:p>
              </w:tc>
            </w:tr>
          </w:tbl>
          <w:p w14:paraId="5E691773">
            <w:pPr>
              <w:tabs>
                <w:tab w:val="left" w:pos="615"/>
                <w:tab w:val="left" w:pos="3615"/>
              </w:tabs>
              <w:spacing w:line="360" w:lineRule="auto"/>
              <w:ind w:firstLine="482"/>
              <w:rPr>
                <w:rFonts w:hint="default" w:ascii="Times New Roman" w:hAnsi="Times New Roman" w:eastAsia="宋体" w:cs="Times New Roman"/>
                <w:b/>
                <w:bCs/>
                <w:color w:val="auto"/>
                <w:lang w:val="en-US" w:eastAsia="zh-CN"/>
              </w:rPr>
            </w:pPr>
            <w:r>
              <w:rPr>
                <w:rFonts w:hint="eastAsia" w:cs="Times New Roman"/>
                <w:b/>
                <w:bCs/>
                <w:color w:val="auto"/>
                <w:lang w:val="en-US" w:eastAsia="zh-CN"/>
              </w:rPr>
              <w:t>6.</w:t>
            </w:r>
            <w:r>
              <w:rPr>
                <w:rFonts w:hint="default" w:ascii="Times New Roman" w:hAnsi="Times New Roman" w:eastAsia="宋体" w:cs="Times New Roman"/>
                <w:b/>
                <w:bCs/>
                <w:color w:val="auto"/>
                <w:lang w:val="en-US" w:eastAsia="zh-CN"/>
              </w:rPr>
              <w:t>主要生产</w:t>
            </w:r>
            <w:r>
              <w:rPr>
                <w:rFonts w:hint="eastAsia" w:cs="Times New Roman"/>
                <w:b/>
                <w:bCs/>
                <w:color w:val="auto"/>
                <w:lang w:val="en-US" w:eastAsia="zh-CN"/>
              </w:rPr>
              <w:t>设备</w:t>
            </w:r>
          </w:p>
          <w:p w14:paraId="6C111BAF">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本项目</w:t>
            </w:r>
            <w:r>
              <w:rPr>
                <w:rFonts w:hint="eastAsia" w:cs="Times New Roman"/>
                <w:color w:val="auto"/>
                <w:lang w:val="en-US" w:eastAsia="zh-CN"/>
              </w:rPr>
              <w:t>的主要设备见</w:t>
            </w:r>
            <w:r>
              <w:rPr>
                <w:rFonts w:hint="default" w:ascii="Times New Roman" w:hAnsi="Times New Roman" w:cs="Times New Roman"/>
                <w:color w:val="auto"/>
              </w:rPr>
              <w:t>表2</w:t>
            </w:r>
            <w:r>
              <w:rPr>
                <w:rFonts w:hint="eastAsia" w:cs="Times New Roman"/>
                <w:color w:val="auto"/>
                <w:lang w:val="en-US" w:eastAsia="zh-CN"/>
              </w:rPr>
              <w:t>-5</w:t>
            </w:r>
            <w:r>
              <w:rPr>
                <w:rFonts w:hint="default" w:ascii="Times New Roman" w:hAnsi="Times New Roman" w:cs="Times New Roman"/>
                <w:color w:val="auto"/>
              </w:rPr>
              <w:t>。</w:t>
            </w:r>
          </w:p>
          <w:p w14:paraId="3536AC35">
            <w:pPr>
              <w:tabs>
                <w:tab w:val="left" w:pos="8607"/>
              </w:tabs>
              <w:spacing w:line="240" w:lineRule="auto"/>
              <w:ind w:firstLine="0" w:firstLineChars="0"/>
              <w:jc w:val="center"/>
              <w:rPr>
                <w:rFonts w:hint="default" w:ascii="Times New Roman" w:hAnsi="Times New Roman" w:cs="Times New Roman"/>
                <w:b/>
                <w:bCs/>
                <w:color w:val="auto"/>
                <w:sz w:val="21"/>
                <w:szCs w:val="21"/>
                <w:lang w:val="zh-CN"/>
              </w:rPr>
            </w:pPr>
            <w:r>
              <w:rPr>
                <w:rFonts w:hint="default" w:ascii="Times New Roman" w:hAnsi="Times New Roman" w:cs="Times New Roman"/>
                <w:b/>
                <w:bCs/>
                <w:color w:val="auto"/>
                <w:sz w:val="21"/>
                <w:szCs w:val="21"/>
                <w:lang w:val="zh-CN"/>
              </w:rPr>
              <w:t>表2-</w:t>
            </w:r>
            <w:r>
              <w:rPr>
                <w:rFonts w:hint="eastAsia" w:cs="Times New Roman"/>
                <w:b/>
                <w:bCs/>
                <w:color w:val="auto"/>
                <w:sz w:val="21"/>
                <w:szCs w:val="21"/>
                <w:lang w:val="en-US" w:eastAsia="zh-CN"/>
              </w:rPr>
              <w:t>5</w:t>
            </w:r>
            <w:r>
              <w:rPr>
                <w:rFonts w:hint="default" w:ascii="Times New Roman" w:hAnsi="Times New Roman" w:cs="Times New Roman"/>
                <w:b/>
                <w:bCs/>
                <w:color w:val="auto"/>
                <w:sz w:val="21"/>
                <w:szCs w:val="21"/>
                <w:lang w:val="zh-CN"/>
              </w:rPr>
              <w:t xml:space="preserve">  项目主要生产</w:t>
            </w:r>
            <w:r>
              <w:rPr>
                <w:rFonts w:hint="eastAsia" w:cs="Times New Roman"/>
                <w:b/>
                <w:bCs/>
                <w:color w:val="auto"/>
                <w:sz w:val="21"/>
                <w:szCs w:val="21"/>
                <w:lang w:val="en-US" w:eastAsia="zh-CN"/>
              </w:rPr>
              <w:t>设备</w:t>
            </w:r>
            <w:r>
              <w:rPr>
                <w:rFonts w:hint="default" w:ascii="Times New Roman" w:hAnsi="Times New Roman" w:cs="Times New Roman"/>
                <w:b/>
                <w:bCs/>
                <w:color w:val="auto"/>
                <w:sz w:val="21"/>
                <w:szCs w:val="21"/>
                <w:lang w:val="zh-CN"/>
              </w:rPr>
              <w:t>一览表</w:t>
            </w:r>
          </w:p>
          <w:tbl>
            <w:tblPr>
              <w:tblStyle w:val="21"/>
              <w:tblW w:w="83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2184"/>
              <w:gridCol w:w="2589"/>
              <w:gridCol w:w="1535"/>
              <w:gridCol w:w="1357"/>
            </w:tblGrid>
            <w:tr w14:paraId="2A27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9" w:type="pct"/>
                  <w:tcBorders>
                    <w:top w:val="single" w:color="000000" w:sz="4" w:space="0"/>
                    <w:left w:val="single" w:color="000000" w:sz="4" w:space="0"/>
                    <w:right w:val="single" w:color="000000" w:sz="4" w:space="0"/>
                  </w:tcBorders>
                  <w:shd w:val="clear" w:color="auto" w:fill="auto"/>
                  <w:noWrap/>
                  <w:vAlign w:val="center"/>
                </w:tcPr>
                <w:p w14:paraId="50EB35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302" w:type="pct"/>
                  <w:tcBorders>
                    <w:top w:val="single" w:color="000000" w:sz="4" w:space="0"/>
                    <w:left w:val="single" w:color="000000" w:sz="4" w:space="0"/>
                    <w:right w:val="single" w:color="000000" w:sz="4" w:space="0"/>
                  </w:tcBorders>
                  <w:shd w:val="clear" w:color="auto" w:fill="auto"/>
                  <w:noWrap/>
                  <w:vAlign w:val="center"/>
                </w:tcPr>
                <w:p w14:paraId="7EF90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名称</w:t>
                  </w:r>
                </w:p>
              </w:tc>
              <w:tc>
                <w:tcPr>
                  <w:tcW w:w="1543" w:type="pct"/>
                  <w:tcBorders>
                    <w:top w:val="single" w:color="000000" w:sz="4" w:space="0"/>
                    <w:left w:val="single" w:color="000000" w:sz="4" w:space="0"/>
                    <w:right w:val="single" w:color="000000" w:sz="4" w:space="0"/>
                  </w:tcBorders>
                  <w:shd w:val="clear" w:color="auto" w:fill="auto"/>
                  <w:noWrap/>
                  <w:vAlign w:val="center"/>
                </w:tcPr>
                <w:p w14:paraId="29D230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规格</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22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数量</w:t>
                  </w:r>
                  <w:r>
                    <w:rPr>
                      <w:rFonts w:hint="default" w:ascii="Times New Roman" w:hAnsi="Times New Roman" w:cs="Times New Roman"/>
                      <w:i w:val="0"/>
                      <w:iCs w:val="0"/>
                      <w:color w:val="auto"/>
                      <w:kern w:val="0"/>
                      <w:sz w:val="21"/>
                      <w:szCs w:val="21"/>
                      <w:u w:val="none"/>
                      <w:lang w:val="en-US" w:eastAsia="zh-CN" w:bidi="ar"/>
                    </w:rPr>
                    <w:t>（台/套）</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5E8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备注</w:t>
                  </w:r>
                </w:p>
              </w:tc>
            </w:tr>
            <w:tr w14:paraId="2B57C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6A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4AE0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燃气导热油炉</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81B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1"/>
                      <w:szCs w:val="21"/>
                    </w:rPr>
                    <w:t>YY(Q)W-99YQ</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3BD5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69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09853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D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B4DE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入筛提升机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8BD4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A27A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EA5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1331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D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B13C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直条筛</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B2A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0EBF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251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2E2E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3C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4A0A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挑选输送机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822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1"/>
                      <w:szCs w:val="21"/>
                    </w:rPr>
                    <w:t>ZE-5000*800B</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40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BDD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020CC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416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2A8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输送线</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84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7F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i w:val="0"/>
                      <w:iCs w:val="0"/>
                      <w:color w:val="auto"/>
                      <w:sz w:val="21"/>
                      <w:szCs w:val="21"/>
                      <w:u w:val="none"/>
                      <w:lang w:eastAsia="zh-CN"/>
                    </w:rPr>
                  </w:pPr>
                  <w:r>
                    <w:rPr>
                      <w:rFonts w:hint="eastAsia" w:cs="Times New Roman"/>
                      <w:color w:val="auto"/>
                      <w:sz w:val="21"/>
                      <w:szCs w:val="21"/>
                      <w:lang w:val="en-US" w:eastAsia="zh-CN"/>
                    </w:rPr>
                    <w:t>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EFA6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298E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E9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F5D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气泡储虾池</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6F5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4.0m</w:t>
                  </w:r>
                  <w:r>
                    <w:rPr>
                      <w:rFonts w:hint="default" w:ascii="Times New Roman" w:hAnsi="Times New Roman" w:cs="Times New Roman"/>
                      <w:color w:val="auto"/>
                      <w:sz w:val="21"/>
                      <w:szCs w:val="21"/>
                      <w:lang w:val="en-US" w:eastAsia="zh-CN"/>
                    </w:rPr>
                    <w:t>×</w:t>
                  </w:r>
                  <w:r>
                    <w:rPr>
                      <w:rFonts w:hint="eastAsia" w:cs="Times New Roman"/>
                      <w:i w:val="0"/>
                      <w:iCs w:val="0"/>
                      <w:color w:val="auto"/>
                      <w:sz w:val="21"/>
                      <w:szCs w:val="21"/>
                      <w:u w:val="none"/>
                      <w:lang w:val="en-US" w:eastAsia="zh-CN"/>
                    </w:rPr>
                    <w:t>1.6m</w:t>
                  </w:r>
                  <w:r>
                    <w:rPr>
                      <w:rFonts w:hint="default" w:ascii="Times New Roman" w:hAnsi="Times New Roman" w:cs="Times New Roman"/>
                      <w:color w:val="auto"/>
                      <w:sz w:val="21"/>
                      <w:szCs w:val="21"/>
                      <w:lang w:val="en-US" w:eastAsia="zh-CN"/>
                    </w:rPr>
                    <w:t>×</w:t>
                  </w:r>
                  <w:r>
                    <w:rPr>
                      <w:rFonts w:hint="eastAsia" w:cs="Times New Roman"/>
                      <w:color w:val="auto"/>
                      <w:sz w:val="21"/>
                      <w:szCs w:val="21"/>
                      <w:lang w:val="en-US" w:eastAsia="zh-CN"/>
                    </w:rPr>
                    <w:t>0.8m</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AD3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77BD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r>
            <w:tr w14:paraId="6AD56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F5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42F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清洗</w:t>
                  </w:r>
                  <w:r>
                    <w:rPr>
                      <w:rFonts w:hint="eastAsia" w:cs="Times New Roman"/>
                      <w:color w:val="auto"/>
                      <w:sz w:val="21"/>
                      <w:szCs w:val="21"/>
                      <w:lang w:val="en-US" w:eastAsia="zh-CN"/>
                    </w:rPr>
                    <w:t>池</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C8F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8.0m</w:t>
                  </w:r>
                  <w:r>
                    <w:rPr>
                      <w:rFonts w:hint="default" w:ascii="Times New Roman" w:hAnsi="Times New Roman" w:cs="Times New Roman"/>
                      <w:color w:val="auto"/>
                      <w:sz w:val="21"/>
                      <w:szCs w:val="21"/>
                      <w:lang w:val="en-US" w:eastAsia="zh-CN"/>
                    </w:rPr>
                    <w:t>×</w:t>
                  </w:r>
                  <w:r>
                    <w:rPr>
                      <w:rFonts w:hint="eastAsia" w:cs="Times New Roman"/>
                      <w:i w:val="0"/>
                      <w:iCs w:val="0"/>
                      <w:color w:val="auto"/>
                      <w:sz w:val="21"/>
                      <w:szCs w:val="21"/>
                      <w:u w:val="none"/>
                      <w:lang w:val="en-US" w:eastAsia="zh-CN"/>
                    </w:rPr>
                    <w:t>2.2m</w:t>
                  </w:r>
                  <w:r>
                    <w:rPr>
                      <w:rFonts w:hint="default" w:ascii="Times New Roman" w:hAnsi="Times New Roman" w:cs="Times New Roman"/>
                      <w:color w:val="auto"/>
                      <w:sz w:val="21"/>
                      <w:szCs w:val="21"/>
                      <w:lang w:val="en-US" w:eastAsia="zh-CN"/>
                    </w:rPr>
                    <w:t>×</w:t>
                  </w:r>
                  <w:r>
                    <w:rPr>
                      <w:rFonts w:hint="eastAsia" w:cs="Times New Roman"/>
                      <w:color w:val="auto"/>
                      <w:sz w:val="21"/>
                      <w:szCs w:val="21"/>
                      <w:lang w:val="en-US" w:eastAsia="zh-CN"/>
                    </w:rPr>
                    <w:t>0.8m</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9E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i w:val="0"/>
                      <w:iCs w:val="0"/>
                      <w:color w:val="auto"/>
                      <w:sz w:val="21"/>
                      <w:szCs w:val="21"/>
                      <w:u w:val="none"/>
                      <w:lang w:eastAsia="zh-CN"/>
                    </w:rPr>
                  </w:pPr>
                  <w:r>
                    <w:rPr>
                      <w:rFonts w:hint="eastAsia" w:cs="Times New Roman"/>
                      <w:color w:val="auto"/>
                      <w:sz w:val="21"/>
                      <w:szCs w:val="21"/>
                      <w:lang w:val="en-US" w:eastAsia="zh-CN"/>
                    </w:rPr>
                    <w:t>3</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A334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7FD5B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0F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2ADA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爬坡吐脏机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51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1"/>
                      <w:szCs w:val="21"/>
                    </w:rPr>
                    <w:t>ZE-5000*1200B</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4F1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D48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5A1A1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E7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1A5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分料输送带</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D3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788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6200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1A32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B7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DF1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风干机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BCA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1"/>
                      <w:szCs w:val="21"/>
                    </w:rPr>
                    <w:t>ZE-2500*1000B</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2E2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8E3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7CFD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EF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3A71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振动筛</w:t>
                  </w:r>
                </w:p>
              </w:tc>
              <w:tc>
                <w:tcPr>
                  <w:tcW w:w="1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880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2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3C27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447C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2F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A2F5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油炸机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E847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color w:val="auto"/>
                      <w:sz w:val="21"/>
                      <w:szCs w:val="21"/>
                    </w:rPr>
                    <w:t>ZE-6500*1400B</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E83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986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616E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0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13</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ADE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沥油机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17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D54E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F68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36D7D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D0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1CB4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浸泡机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B66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8.0m</w:t>
                  </w:r>
                  <w:r>
                    <w:rPr>
                      <w:rFonts w:hint="default" w:ascii="Times New Roman" w:hAnsi="Times New Roman" w:cs="Times New Roman"/>
                      <w:color w:val="auto"/>
                      <w:sz w:val="21"/>
                      <w:szCs w:val="21"/>
                      <w:lang w:val="en-US" w:eastAsia="zh-CN"/>
                    </w:rPr>
                    <w:t>×</w:t>
                  </w:r>
                  <w:r>
                    <w:rPr>
                      <w:rFonts w:hint="eastAsia" w:cs="Times New Roman"/>
                      <w:i w:val="0"/>
                      <w:iCs w:val="0"/>
                      <w:color w:val="auto"/>
                      <w:sz w:val="21"/>
                      <w:szCs w:val="21"/>
                      <w:u w:val="none"/>
                      <w:lang w:val="en-US" w:eastAsia="zh-CN"/>
                    </w:rPr>
                    <w:t>2.0m</w:t>
                  </w:r>
                  <w:r>
                    <w:rPr>
                      <w:rFonts w:hint="default" w:ascii="Times New Roman" w:hAnsi="Times New Roman" w:cs="Times New Roman"/>
                      <w:color w:val="auto"/>
                      <w:sz w:val="21"/>
                      <w:szCs w:val="21"/>
                      <w:lang w:val="en-US" w:eastAsia="zh-CN"/>
                    </w:rPr>
                    <w:t>×</w:t>
                  </w:r>
                  <w:r>
                    <w:rPr>
                      <w:rFonts w:hint="eastAsia" w:cs="Times New Roman"/>
                      <w:color w:val="auto"/>
                      <w:sz w:val="21"/>
                      <w:szCs w:val="21"/>
                      <w:lang w:val="en-US" w:eastAsia="zh-CN"/>
                    </w:rPr>
                    <w:t>0.8m</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D93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2</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373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21966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F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058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泡沫箱打包机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CE8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C966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0E62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02ED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21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F6C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eastAsiaTheme="minorEastAsia"/>
                      <w:i w:val="0"/>
                      <w:iCs w:val="0"/>
                      <w:color w:val="auto"/>
                      <w:kern w:val="0"/>
                      <w:sz w:val="21"/>
                      <w:szCs w:val="21"/>
                      <w:u w:val="none"/>
                      <w:lang w:val="en-US" w:eastAsia="zh-CN" w:bidi="ar"/>
                    </w:rPr>
                  </w:pPr>
                  <w:r>
                    <w:rPr>
                      <w:rFonts w:hint="default" w:ascii="Times New Roman" w:hAnsi="Times New Roman" w:cs="Times New Roman"/>
                      <w:color w:val="auto"/>
                      <w:sz w:val="21"/>
                      <w:szCs w:val="21"/>
                    </w:rPr>
                    <w:t>净水器</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896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RO，3m</w:t>
                  </w:r>
                  <w:r>
                    <w:rPr>
                      <w:rFonts w:hint="eastAsia" w:cs="Times New Roman"/>
                      <w:i w:val="0"/>
                      <w:iCs w:val="0"/>
                      <w:color w:val="auto"/>
                      <w:sz w:val="21"/>
                      <w:szCs w:val="21"/>
                      <w:u w:val="none"/>
                      <w:vertAlign w:val="superscript"/>
                      <w:lang w:val="en-US" w:eastAsia="zh-CN"/>
                    </w:rPr>
                    <w:t>3</w:t>
                  </w:r>
                  <w:r>
                    <w:rPr>
                      <w:rFonts w:hint="eastAsia" w:cs="Times New Roman"/>
                      <w:i w:val="0"/>
                      <w:iCs w:val="0"/>
                      <w:color w:val="auto"/>
                      <w:sz w:val="21"/>
                      <w:szCs w:val="21"/>
                      <w:u w:val="none"/>
                      <w:lang w:val="en-US" w:eastAsia="zh-CN"/>
                    </w:rPr>
                    <w:t>/h</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B1F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2D87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r w14:paraId="62D8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FC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17</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C1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包装机</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71B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0D3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1</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75C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i w:val="0"/>
                      <w:iCs w:val="0"/>
                      <w:color w:val="auto"/>
                      <w:kern w:val="0"/>
                      <w:sz w:val="21"/>
                      <w:szCs w:val="21"/>
                      <w:u w:val="none"/>
                      <w:lang w:val="en-US" w:eastAsia="zh-CN" w:bidi="ar"/>
                    </w:rPr>
                  </w:pPr>
                  <w:r>
                    <w:rPr>
                      <w:rFonts w:hint="eastAsia" w:cs="Times New Roman"/>
                      <w:i w:val="0"/>
                      <w:iCs w:val="0"/>
                      <w:color w:val="auto"/>
                      <w:sz w:val="21"/>
                      <w:szCs w:val="21"/>
                      <w:u w:val="none"/>
                      <w:lang w:val="en-US" w:eastAsia="zh-CN"/>
                    </w:rPr>
                    <w:t>/</w:t>
                  </w:r>
                </w:p>
              </w:tc>
            </w:tr>
          </w:tbl>
          <w:p w14:paraId="3F7238A4">
            <w:pPr>
              <w:spacing w:line="360" w:lineRule="auto"/>
              <w:ind w:firstLine="482"/>
              <w:rPr>
                <w:rFonts w:hint="default" w:ascii="Times New Roman" w:hAnsi="Times New Roman" w:cs="Times New Roman"/>
                <w:b/>
                <w:bCs/>
                <w:color w:val="auto"/>
              </w:rPr>
            </w:pPr>
            <w:r>
              <w:rPr>
                <w:rFonts w:hint="eastAsia" w:cs="Times New Roman"/>
                <w:b/>
                <w:bCs/>
                <w:color w:val="auto"/>
                <w:lang w:val="en-US" w:eastAsia="zh-CN"/>
              </w:rPr>
              <w:t>7.</w:t>
            </w:r>
            <w:r>
              <w:rPr>
                <w:rFonts w:hint="default" w:ascii="Times New Roman" w:hAnsi="Times New Roman" w:cs="Times New Roman"/>
                <w:b/>
                <w:bCs/>
                <w:color w:val="auto"/>
              </w:rPr>
              <w:t>劳动定员及工作制度</w:t>
            </w:r>
          </w:p>
          <w:p w14:paraId="64B50A44">
            <w:pPr>
              <w:spacing w:line="360" w:lineRule="auto"/>
              <w:ind w:firstLine="480"/>
              <w:rPr>
                <w:rFonts w:hint="default" w:ascii="Times New Roman" w:hAnsi="Times New Roman" w:cs="Times New Roman"/>
                <w:color w:val="auto"/>
                <w:lang w:val="en-US"/>
              </w:rPr>
            </w:pPr>
            <w:r>
              <w:rPr>
                <w:rFonts w:hint="default" w:ascii="Times New Roman" w:hAnsi="Times New Roman" w:cs="Times New Roman"/>
                <w:color w:val="auto"/>
              </w:rPr>
              <w:t>本项目劳动定员</w:t>
            </w:r>
            <w:r>
              <w:rPr>
                <w:rFonts w:hint="eastAsia" w:cs="Times New Roman"/>
                <w:color w:val="auto"/>
                <w:lang w:val="en-US" w:eastAsia="zh-CN"/>
              </w:rPr>
              <w:t>15</w:t>
            </w:r>
            <w:r>
              <w:rPr>
                <w:rFonts w:hint="default" w:ascii="Times New Roman" w:hAnsi="Times New Roman" w:cs="Times New Roman"/>
                <w:color w:val="auto"/>
              </w:rPr>
              <w:t>人。项目</w:t>
            </w:r>
            <w:r>
              <w:rPr>
                <w:rFonts w:hint="eastAsia" w:cs="Times New Roman"/>
                <w:color w:val="auto"/>
                <w:lang w:val="en-US" w:eastAsia="zh-CN"/>
              </w:rPr>
              <w:t>每年4月至8月生产，</w:t>
            </w:r>
            <w:r>
              <w:rPr>
                <w:rFonts w:hint="default" w:ascii="Times New Roman" w:hAnsi="Times New Roman" w:cs="Times New Roman"/>
                <w:color w:val="auto"/>
              </w:rPr>
              <w:t>年运行</w:t>
            </w:r>
            <w:r>
              <w:rPr>
                <w:rFonts w:hint="eastAsia" w:cs="Times New Roman"/>
                <w:color w:val="auto"/>
                <w:lang w:val="en-US" w:eastAsia="zh-CN"/>
              </w:rPr>
              <w:t>100</w:t>
            </w:r>
            <w:r>
              <w:rPr>
                <w:rFonts w:hint="default" w:ascii="Times New Roman" w:hAnsi="Times New Roman" w:cs="Times New Roman"/>
                <w:color w:val="auto"/>
              </w:rPr>
              <w:t>天，</w:t>
            </w:r>
            <w:r>
              <w:rPr>
                <w:rFonts w:hint="eastAsia" w:cs="Times New Roman"/>
                <w:color w:val="auto"/>
                <w:lang w:val="en-US" w:eastAsia="zh-CN"/>
              </w:rPr>
              <w:t>一</w:t>
            </w:r>
            <w:r>
              <w:rPr>
                <w:rFonts w:hint="default" w:ascii="Times New Roman" w:hAnsi="Times New Roman" w:cs="Times New Roman"/>
                <w:color w:val="auto"/>
              </w:rPr>
              <w:t>班制</w:t>
            </w:r>
            <w:r>
              <w:rPr>
                <w:rFonts w:hint="default" w:ascii="Times New Roman" w:hAnsi="Times New Roman" w:cs="Times New Roman"/>
                <w:color w:val="auto"/>
                <w:lang w:eastAsia="zh-CN"/>
              </w:rPr>
              <w:t>，每班</w:t>
            </w:r>
            <w:r>
              <w:rPr>
                <w:rFonts w:hint="eastAsia" w:cs="Times New Roman"/>
                <w:color w:val="auto"/>
                <w:lang w:val="en-US" w:eastAsia="zh-CN"/>
              </w:rPr>
              <w:t>8</w:t>
            </w:r>
            <w:r>
              <w:rPr>
                <w:rFonts w:hint="default" w:ascii="Times New Roman" w:hAnsi="Times New Roman" w:cs="Times New Roman"/>
                <w:color w:val="auto"/>
                <w:lang w:val="en-US" w:eastAsia="zh-CN"/>
              </w:rPr>
              <w:t>小时</w:t>
            </w:r>
            <w:r>
              <w:rPr>
                <w:rFonts w:hint="default" w:ascii="Times New Roman" w:hAnsi="Times New Roman" w:eastAsia="宋体" w:cs="Times New Roman"/>
                <w:color w:val="auto"/>
                <w:lang w:eastAsia="zh-CN"/>
              </w:rPr>
              <w:t>。</w:t>
            </w:r>
          </w:p>
          <w:p w14:paraId="63785732">
            <w:pPr>
              <w:spacing w:line="360" w:lineRule="auto"/>
              <w:ind w:firstLine="482"/>
              <w:rPr>
                <w:rFonts w:hint="default" w:ascii="Times New Roman" w:hAnsi="Times New Roman" w:cs="Times New Roman"/>
                <w:b/>
                <w:bCs/>
                <w:color w:val="auto"/>
              </w:rPr>
            </w:pPr>
            <w:r>
              <w:rPr>
                <w:rFonts w:hint="eastAsia" w:cs="Times New Roman"/>
                <w:b/>
                <w:bCs/>
                <w:color w:val="auto"/>
                <w:lang w:val="en-US" w:eastAsia="zh-CN"/>
              </w:rPr>
              <w:t>8.</w:t>
            </w:r>
            <w:r>
              <w:rPr>
                <w:rFonts w:hint="default" w:ascii="Times New Roman" w:hAnsi="Times New Roman" w:cs="Times New Roman"/>
                <w:b/>
                <w:bCs/>
                <w:color w:val="auto"/>
              </w:rPr>
              <w:t>项目水平衡</w:t>
            </w:r>
          </w:p>
          <w:p w14:paraId="36753A6D">
            <w:pPr>
              <w:spacing w:line="360" w:lineRule="auto"/>
              <w:ind w:firstLine="480"/>
              <w:rPr>
                <w:rFonts w:hint="default" w:cs="Times New Roman"/>
                <w:color w:val="auto"/>
                <w:spacing w:val="0"/>
                <w:kern w:val="0"/>
                <w:position w:val="0"/>
                <w:sz w:val="24"/>
                <w:szCs w:val="24"/>
                <w:highlight w:val="none"/>
                <w:lang w:val="en-US" w:eastAsia="zh-CN" w:bidi="ar-SA"/>
              </w:rPr>
            </w:pPr>
            <w:r>
              <w:rPr>
                <w:rFonts w:hint="eastAsia" w:cs="Times New Roman"/>
                <w:color w:val="auto"/>
                <w:spacing w:val="0"/>
                <w:kern w:val="0"/>
                <w:position w:val="0"/>
                <w:sz w:val="24"/>
                <w:szCs w:val="24"/>
                <w:highlight w:val="none"/>
                <w:lang w:val="en-US" w:eastAsia="zh-CN" w:bidi="ar-SA"/>
              </w:rPr>
              <w:t>本项目供水由市政供水管网提供。项目用水主要为吐沙、清洗、冷却等生产用水和员工生活用水。</w:t>
            </w:r>
          </w:p>
          <w:p w14:paraId="487B7BCB">
            <w:pPr>
              <w:spacing w:line="360" w:lineRule="auto"/>
              <w:ind w:firstLine="480"/>
              <w:rPr>
                <w:rFonts w:hint="default" w:ascii="Times New Roman" w:hAnsi="Times New Roman" w:eastAsia="宋体" w:cs="Times New Roman"/>
                <w:color w:val="auto"/>
                <w:spacing w:val="0"/>
                <w:kern w:val="0"/>
                <w:position w:val="0"/>
                <w:sz w:val="24"/>
                <w:szCs w:val="24"/>
                <w:highlight w:val="none"/>
                <w:lang w:val="en-US" w:eastAsia="zh-CN" w:bidi="ar-SA"/>
              </w:rPr>
            </w:pPr>
            <w:r>
              <w:rPr>
                <w:rFonts w:hint="eastAsia" w:cs="Times New Roman"/>
                <w:color w:val="auto"/>
                <w:spacing w:val="0"/>
                <w:kern w:val="0"/>
                <w:position w:val="0"/>
                <w:sz w:val="24"/>
                <w:szCs w:val="24"/>
                <w:highlight w:val="none"/>
                <w:lang w:val="en-US" w:eastAsia="zh-CN" w:bidi="ar-SA"/>
              </w:rPr>
              <w:t>（1）</w:t>
            </w:r>
            <w:r>
              <w:rPr>
                <w:rFonts w:hint="default" w:ascii="Times New Roman" w:hAnsi="Times New Roman" w:eastAsia="宋体" w:cs="Times New Roman"/>
                <w:color w:val="auto"/>
                <w:spacing w:val="0"/>
                <w:kern w:val="0"/>
                <w:position w:val="0"/>
                <w:sz w:val="24"/>
                <w:szCs w:val="24"/>
                <w:highlight w:val="none"/>
                <w:lang w:val="en-US" w:eastAsia="zh-CN" w:bidi="ar-SA"/>
              </w:rPr>
              <w:t>生活用、排水</w:t>
            </w:r>
          </w:p>
          <w:p w14:paraId="0F881D11">
            <w:pPr>
              <w:spacing w:line="360" w:lineRule="auto"/>
              <w:ind w:firstLine="480"/>
              <w:rPr>
                <w:rFonts w:hint="default" w:ascii="Times New Roman" w:hAnsi="Times New Roman" w:eastAsia="宋体" w:cs="Times New Roman"/>
                <w:color w:val="auto"/>
                <w:spacing w:val="0"/>
                <w:kern w:val="0"/>
                <w:position w:val="0"/>
                <w:sz w:val="24"/>
                <w:szCs w:val="24"/>
                <w:highlight w:val="none"/>
                <w:lang w:val="en-US" w:eastAsia="zh-CN" w:bidi="ar-SA"/>
              </w:rPr>
            </w:pPr>
            <w:r>
              <w:rPr>
                <w:rFonts w:hint="default" w:ascii="Times New Roman" w:hAnsi="Times New Roman" w:eastAsia="宋体" w:cs="Times New Roman"/>
                <w:color w:val="auto"/>
                <w:spacing w:val="0"/>
                <w:kern w:val="0"/>
                <w:position w:val="0"/>
                <w:sz w:val="24"/>
                <w:szCs w:val="24"/>
                <w:highlight w:val="none"/>
                <w:lang w:val="en-US" w:eastAsia="zh-CN" w:bidi="ar-SA"/>
              </w:rPr>
              <w:t>本项目</w:t>
            </w:r>
            <w:r>
              <w:rPr>
                <w:rFonts w:hint="default" w:ascii="Times New Roman" w:hAnsi="Times New Roman" w:cs="Times New Roman"/>
                <w:color w:val="auto"/>
              </w:rPr>
              <w:t>劳动定员</w:t>
            </w:r>
            <w:r>
              <w:rPr>
                <w:rFonts w:hint="eastAsia" w:cs="Times New Roman"/>
                <w:color w:val="auto"/>
                <w:lang w:val="en-US" w:eastAsia="zh-CN"/>
              </w:rPr>
              <w:t>15</w:t>
            </w:r>
            <w:r>
              <w:rPr>
                <w:rFonts w:hint="default" w:ascii="Times New Roman" w:hAnsi="Times New Roman" w:cs="Times New Roman"/>
                <w:color w:val="auto"/>
              </w:rPr>
              <w:t>人</w:t>
            </w:r>
            <w:r>
              <w:rPr>
                <w:rFonts w:hint="eastAsia" w:ascii="Times New Roman" w:hAnsi="Times New Roman" w:cs="Times New Roman"/>
                <w:color w:val="auto"/>
                <w:lang w:eastAsia="zh-CN"/>
              </w:rPr>
              <w:t>，</w:t>
            </w:r>
            <w:r>
              <w:rPr>
                <w:rFonts w:hint="eastAsia" w:cs="Times New Roman"/>
                <w:color w:val="auto"/>
                <w:lang w:val="en-US" w:eastAsia="zh-CN"/>
              </w:rPr>
              <w:t>不</w:t>
            </w:r>
            <w:r>
              <w:rPr>
                <w:rFonts w:hint="eastAsia" w:cs="Times New Roman"/>
                <w:color w:val="auto"/>
                <w:spacing w:val="0"/>
                <w:kern w:val="0"/>
                <w:position w:val="0"/>
                <w:sz w:val="24"/>
                <w:szCs w:val="24"/>
                <w:highlight w:val="none"/>
                <w:lang w:val="en-US" w:eastAsia="zh-CN" w:bidi="ar-SA"/>
              </w:rPr>
              <w:t>设宿舍、食堂，</w:t>
            </w:r>
            <w:r>
              <w:rPr>
                <w:rFonts w:hint="default" w:ascii="Times New Roman" w:hAnsi="Times New Roman" w:eastAsia="宋体" w:cs="Times New Roman"/>
                <w:color w:val="auto"/>
                <w:spacing w:val="0"/>
                <w:kern w:val="0"/>
                <w:position w:val="0"/>
                <w:sz w:val="24"/>
                <w:szCs w:val="24"/>
                <w:highlight w:val="none"/>
                <w:lang w:val="en-US" w:eastAsia="zh-CN" w:bidi="ar-SA"/>
              </w:rPr>
              <w:t>依据《陕西省行业用水定额》（DB61/T943-2020），</w:t>
            </w:r>
            <w:r>
              <w:rPr>
                <w:rFonts w:hint="eastAsia" w:cs="Times New Roman"/>
                <w:color w:val="auto"/>
                <w:spacing w:val="0"/>
                <w:kern w:val="0"/>
                <w:position w:val="0"/>
                <w:sz w:val="24"/>
                <w:szCs w:val="24"/>
                <w:highlight w:val="none"/>
                <w:lang w:val="en-US" w:eastAsia="zh-CN" w:bidi="ar-SA"/>
              </w:rPr>
              <w:t>行政办公</w:t>
            </w:r>
            <w:r>
              <w:rPr>
                <w:rFonts w:hint="default" w:ascii="Times New Roman" w:hAnsi="Times New Roman" w:eastAsia="宋体" w:cs="Times New Roman"/>
                <w:color w:val="auto"/>
                <w:spacing w:val="0"/>
                <w:kern w:val="0"/>
                <w:position w:val="0"/>
                <w:sz w:val="24"/>
                <w:szCs w:val="24"/>
                <w:highlight w:val="none"/>
                <w:lang w:val="en-US" w:eastAsia="zh-CN" w:bidi="ar-SA"/>
              </w:rPr>
              <w:t>用水</w:t>
            </w:r>
            <w:r>
              <w:rPr>
                <w:rFonts w:hint="eastAsia" w:cs="Times New Roman"/>
                <w:color w:val="auto"/>
                <w:spacing w:val="0"/>
                <w:kern w:val="0"/>
                <w:position w:val="0"/>
                <w:sz w:val="24"/>
                <w:szCs w:val="24"/>
                <w:highlight w:val="none"/>
                <w:lang w:val="en-US" w:eastAsia="zh-CN" w:bidi="ar-SA"/>
              </w:rPr>
              <w:t>定额按先进值10</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/（人·</w:t>
            </w:r>
            <w:r>
              <w:rPr>
                <w:rFonts w:hint="eastAsia" w:cs="Times New Roman"/>
                <w:color w:val="auto"/>
                <w:spacing w:val="0"/>
                <w:kern w:val="0"/>
                <w:position w:val="0"/>
                <w:sz w:val="24"/>
                <w:szCs w:val="24"/>
                <w:highlight w:val="none"/>
                <w:lang w:val="en-US" w:eastAsia="zh-CN" w:bidi="ar-SA"/>
              </w:rPr>
              <w:t>a</w:t>
            </w:r>
            <w:r>
              <w:rPr>
                <w:rFonts w:hint="default" w:ascii="Times New Roman" w:hAnsi="Times New Roman" w:eastAsia="宋体" w:cs="Times New Roman"/>
                <w:color w:val="auto"/>
                <w:spacing w:val="0"/>
                <w:kern w:val="0"/>
                <w:position w:val="0"/>
                <w:sz w:val="24"/>
                <w:szCs w:val="24"/>
                <w:highlight w:val="none"/>
                <w:lang w:val="en-US" w:eastAsia="zh-CN" w:bidi="ar-SA"/>
              </w:rPr>
              <w:t>）计，</w:t>
            </w:r>
            <w:r>
              <w:rPr>
                <w:rFonts w:hint="eastAsia" w:cs="Times New Roman"/>
                <w:color w:val="auto"/>
                <w:spacing w:val="0"/>
                <w:kern w:val="0"/>
                <w:position w:val="0"/>
                <w:sz w:val="24"/>
                <w:szCs w:val="24"/>
                <w:highlight w:val="none"/>
                <w:lang w:val="en-US" w:eastAsia="zh-CN" w:bidi="ar-SA"/>
              </w:rPr>
              <w:t>行政办公时间按250d/a，项目年工作</w:t>
            </w:r>
            <w:r>
              <w:rPr>
                <w:rFonts w:hint="eastAsia" w:cs="Times New Roman"/>
                <w:color w:val="auto"/>
                <w:lang w:val="en-US" w:eastAsia="zh-CN"/>
              </w:rPr>
              <w:t>10</w:t>
            </w:r>
            <w:r>
              <w:rPr>
                <w:rFonts w:hint="default" w:ascii="Times New Roman" w:hAnsi="Times New Roman" w:cs="Times New Roman"/>
                <w:color w:val="auto"/>
              </w:rPr>
              <w:t>0</w:t>
            </w:r>
            <w:r>
              <w:rPr>
                <w:rFonts w:hint="eastAsia" w:cs="Times New Roman"/>
                <w:color w:val="auto"/>
                <w:lang w:val="en-US" w:eastAsia="zh-CN"/>
              </w:rPr>
              <w:t>d</w:t>
            </w:r>
            <w:r>
              <w:rPr>
                <w:rFonts w:hint="default" w:ascii="Times New Roman" w:hAnsi="Times New Roman" w:cs="Times New Roman"/>
                <w:color w:val="auto"/>
              </w:rPr>
              <w:t>，</w:t>
            </w:r>
            <w:r>
              <w:rPr>
                <w:rFonts w:hint="default" w:ascii="Times New Roman" w:hAnsi="Times New Roman" w:eastAsia="宋体" w:cs="Times New Roman"/>
                <w:color w:val="auto"/>
                <w:spacing w:val="0"/>
                <w:kern w:val="0"/>
                <w:position w:val="0"/>
                <w:sz w:val="24"/>
                <w:szCs w:val="24"/>
                <w:highlight w:val="none"/>
                <w:lang w:val="en-US" w:eastAsia="zh-CN" w:bidi="ar-SA"/>
              </w:rPr>
              <w:t>则生活用水量为</w:t>
            </w:r>
            <w:r>
              <w:rPr>
                <w:rFonts w:hint="eastAsia" w:cs="Times New Roman"/>
                <w:color w:val="auto"/>
                <w:spacing w:val="0"/>
                <w:kern w:val="0"/>
                <w:position w:val="0"/>
                <w:sz w:val="24"/>
                <w:szCs w:val="24"/>
                <w:highlight w:val="none"/>
                <w:lang w:val="en-US" w:eastAsia="zh-CN" w:bidi="ar-SA"/>
              </w:rPr>
              <w:t>0.6</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/d、</w:t>
            </w:r>
            <w:r>
              <w:rPr>
                <w:rFonts w:hint="eastAsia" w:cs="Times New Roman"/>
                <w:color w:val="auto"/>
                <w:spacing w:val="0"/>
                <w:kern w:val="0"/>
                <w:position w:val="0"/>
                <w:sz w:val="24"/>
                <w:szCs w:val="24"/>
                <w:highlight w:val="none"/>
                <w:lang w:val="en-US" w:eastAsia="zh-CN" w:bidi="ar-SA"/>
              </w:rPr>
              <w:t>60</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pacing w:val="0"/>
                <w:kern w:val="0"/>
                <w:position w:val="0"/>
                <w:sz w:val="24"/>
                <w:szCs w:val="24"/>
                <w:highlight w:val="none"/>
                <w:lang w:val="en-US" w:eastAsia="zh-CN" w:bidi="ar-SA"/>
              </w:rPr>
              <w:t>。</w:t>
            </w:r>
          </w:p>
          <w:p w14:paraId="596F0223">
            <w:pPr>
              <w:spacing w:line="360" w:lineRule="auto"/>
              <w:ind w:firstLine="480"/>
              <w:rPr>
                <w:rFonts w:hint="default" w:ascii="Times New Roman" w:hAnsi="Times New Roman" w:cs="Times New Roman"/>
                <w:color w:val="auto"/>
                <w:kern w:val="0"/>
                <w:lang w:bidi="ar"/>
              </w:rPr>
            </w:pPr>
            <w:r>
              <w:rPr>
                <w:rFonts w:hint="default" w:ascii="Times New Roman" w:hAnsi="Times New Roman" w:eastAsia="宋体" w:cs="Times New Roman"/>
                <w:color w:val="auto"/>
                <w:spacing w:val="0"/>
                <w:kern w:val="0"/>
                <w:position w:val="0"/>
                <w:sz w:val="24"/>
                <w:szCs w:val="24"/>
                <w:highlight w:val="none"/>
                <w:lang w:val="en-US" w:eastAsia="zh-CN" w:bidi="ar-SA"/>
              </w:rPr>
              <w:t>生活污水产生量按用水量的80%计，生活污水量为</w:t>
            </w:r>
            <w:r>
              <w:rPr>
                <w:rFonts w:hint="eastAsia" w:cs="Times New Roman"/>
                <w:color w:val="auto"/>
                <w:spacing w:val="0"/>
                <w:kern w:val="0"/>
                <w:position w:val="0"/>
                <w:sz w:val="24"/>
                <w:szCs w:val="24"/>
                <w:highlight w:val="none"/>
                <w:lang w:val="en-US" w:eastAsia="zh-CN" w:bidi="ar-SA"/>
              </w:rPr>
              <w:t>0.48</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/d</w:t>
            </w:r>
            <w:r>
              <w:rPr>
                <w:rFonts w:hint="eastAsia" w:cs="Times New Roman"/>
                <w:color w:val="auto"/>
                <w:spacing w:val="0"/>
                <w:kern w:val="0"/>
                <w:position w:val="0"/>
                <w:sz w:val="24"/>
                <w:szCs w:val="24"/>
                <w:highlight w:val="none"/>
                <w:lang w:val="en-US" w:eastAsia="zh-CN" w:bidi="ar-SA"/>
              </w:rPr>
              <w:t>、48</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default" w:ascii="Times New Roman" w:hAnsi="Times New Roman" w:cs="Times New Roman"/>
                <w:color w:val="auto"/>
                <w:lang w:eastAsia="zh-CN"/>
              </w:rPr>
              <w:t>生活污</w:t>
            </w:r>
            <w:r>
              <w:rPr>
                <w:rFonts w:hint="default" w:ascii="Times New Roman" w:hAnsi="Times New Roman" w:cs="Times New Roman"/>
                <w:color w:val="auto"/>
              </w:rPr>
              <w:t>水</w:t>
            </w:r>
            <w:r>
              <w:rPr>
                <w:rFonts w:hint="eastAsia" w:cs="Times New Roman"/>
                <w:color w:val="auto"/>
                <w:lang w:val="en-US" w:eastAsia="zh-CN"/>
              </w:rPr>
              <w:t>依托租赁方</w:t>
            </w:r>
            <w:r>
              <w:rPr>
                <w:rFonts w:hint="default" w:ascii="Times New Roman" w:hAnsi="Times New Roman" w:cs="Times New Roman"/>
                <w:color w:val="auto"/>
                <w:lang w:eastAsia="zh-CN"/>
              </w:rPr>
              <w:t>化粪池</w:t>
            </w:r>
            <w:r>
              <w:rPr>
                <w:rFonts w:hint="eastAsia" w:cs="Times New Roman"/>
                <w:color w:val="auto"/>
                <w:lang w:val="en-US" w:eastAsia="zh-CN"/>
              </w:rPr>
              <w:t>处理后排入市政污水管网</w:t>
            </w:r>
            <w:r>
              <w:rPr>
                <w:rFonts w:hint="default" w:ascii="Times New Roman" w:hAnsi="Times New Roman" w:cs="Times New Roman"/>
                <w:color w:val="auto"/>
                <w:kern w:val="0"/>
                <w:lang w:bidi="ar"/>
              </w:rPr>
              <w:t>。</w:t>
            </w:r>
          </w:p>
          <w:p w14:paraId="1B23A4F1">
            <w:pPr>
              <w:widowControl/>
              <w:spacing w:line="360" w:lineRule="auto"/>
              <w:ind w:firstLine="480"/>
              <w:rPr>
                <w:rFonts w:hint="eastAsia" w:ascii="Times New Roman" w:hAnsi="Times New Roman" w:eastAsia="宋体" w:cs="Times New Roman"/>
                <w:color w:val="auto"/>
                <w:kern w:val="0"/>
                <w:lang w:eastAsia="zh-CN" w:bidi="ar"/>
              </w:rPr>
            </w:pPr>
            <w:r>
              <w:rPr>
                <w:rFonts w:hint="eastAsia" w:cs="Times New Roman"/>
                <w:color w:val="auto"/>
                <w:lang w:eastAsia="zh-CN"/>
              </w:rPr>
              <w:t>（</w:t>
            </w:r>
            <w:r>
              <w:rPr>
                <w:rFonts w:hint="eastAsia" w:cs="Times New Roman"/>
                <w:color w:val="auto"/>
                <w:lang w:val="en-US" w:eastAsia="zh-CN"/>
              </w:rPr>
              <w:t>2</w:t>
            </w:r>
            <w:r>
              <w:rPr>
                <w:rFonts w:hint="eastAsia" w:cs="Times New Roman"/>
                <w:color w:val="auto"/>
                <w:lang w:eastAsia="zh-CN"/>
              </w:rPr>
              <w:t>）</w:t>
            </w:r>
            <w:r>
              <w:rPr>
                <w:rFonts w:hint="eastAsia" w:cs="Times New Roman"/>
                <w:color w:val="auto"/>
                <w:kern w:val="0"/>
                <w:lang w:val="en-US" w:eastAsia="zh-CN" w:bidi="ar"/>
              </w:rPr>
              <w:t>生产</w:t>
            </w:r>
            <w:r>
              <w:rPr>
                <w:rFonts w:hint="eastAsia" w:cs="Times New Roman"/>
                <w:color w:val="auto"/>
                <w:kern w:val="0"/>
                <w:lang w:eastAsia="zh-CN" w:bidi="ar"/>
              </w:rPr>
              <w:t>用、排水</w:t>
            </w:r>
          </w:p>
          <w:p w14:paraId="1AAAAD11">
            <w:pPr>
              <w:widowControl/>
              <w:spacing w:line="360" w:lineRule="auto"/>
              <w:ind w:firstLine="480"/>
              <w:rPr>
                <w:rFonts w:hint="default" w:cs="Times New Roman"/>
                <w:color w:val="auto"/>
                <w:kern w:val="0"/>
                <w:lang w:val="en-US" w:eastAsia="zh-CN" w:bidi="ar"/>
              </w:rPr>
            </w:pPr>
            <w:r>
              <w:rPr>
                <w:rFonts w:hint="default" w:cs="Times New Roman"/>
                <w:color w:val="auto"/>
                <w:kern w:val="0"/>
                <w:lang w:val="en-US" w:eastAsia="zh-CN" w:bidi="ar"/>
              </w:rPr>
              <w:t>①</w:t>
            </w:r>
            <w:r>
              <w:rPr>
                <w:rFonts w:hint="eastAsia" w:cs="Times New Roman"/>
                <w:color w:val="auto"/>
                <w:kern w:val="0"/>
                <w:lang w:val="en-US" w:eastAsia="zh-CN" w:bidi="ar"/>
              </w:rPr>
              <w:t>吐沙用水</w:t>
            </w:r>
          </w:p>
          <w:p w14:paraId="33C5EAD4">
            <w:pPr>
              <w:widowControl/>
              <w:spacing w:line="360" w:lineRule="auto"/>
              <w:ind w:firstLine="480"/>
              <w:rPr>
                <w:rFonts w:hint="default" w:cs="Times New Roman"/>
                <w:color w:val="auto"/>
                <w:kern w:val="0"/>
                <w:lang w:val="en-US" w:eastAsia="zh-CN" w:bidi="ar"/>
              </w:rPr>
            </w:pPr>
            <w:r>
              <w:rPr>
                <w:rFonts w:hint="eastAsia" w:cs="Times New Roman"/>
                <w:color w:val="auto"/>
                <w:spacing w:val="0"/>
                <w:kern w:val="0"/>
                <w:position w:val="0"/>
                <w:sz w:val="24"/>
                <w:szCs w:val="24"/>
                <w:highlight w:val="none"/>
                <w:lang w:val="en-US" w:eastAsia="zh-CN" w:bidi="ar-SA"/>
              </w:rPr>
              <w:t>项目设3个</w:t>
            </w:r>
            <w:r>
              <w:rPr>
                <w:rFonts w:hint="eastAsia" w:cs="Times New Roman"/>
                <w:color w:val="auto"/>
                <w:szCs w:val="20"/>
                <w:lang w:val="en-US" w:eastAsia="zh-CN"/>
              </w:rPr>
              <w:t>气泡储虾池，小龙虾在池内进行吐沙和气泡冲洗，池内的水每天更换，单池有效容积为3.84</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eastAsia" w:ascii="Times New Roman" w:hAnsi="Times New Roman" w:eastAsia="宋体" w:cs="Times New Roman"/>
                <w:color w:val="auto"/>
                <w:spacing w:val="0"/>
                <w:kern w:val="0"/>
                <w:position w:val="0"/>
                <w:sz w:val="24"/>
                <w:szCs w:val="24"/>
                <w:highlight w:val="none"/>
                <w:lang w:val="en-US" w:eastAsia="zh-CN" w:bidi="ar-SA"/>
              </w:rPr>
              <w:t>，则吐沙总用水量为11.5</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w:t>
            </w:r>
            <w:r>
              <w:rPr>
                <w:rFonts w:hint="eastAsia" w:ascii="Times New Roman" w:hAnsi="Times New Roman" w:eastAsia="宋体" w:cs="Times New Roman"/>
                <w:color w:val="auto"/>
                <w:spacing w:val="0"/>
                <w:kern w:val="0"/>
                <w:position w:val="0"/>
                <w:sz w:val="24"/>
                <w:szCs w:val="24"/>
                <w:highlight w:val="none"/>
                <w:lang w:val="en-US" w:eastAsia="zh-CN" w:bidi="ar-SA"/>
              </w:rPr>
              <w:t>d、1152</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pacing w:val="0"/>
                <w:kern w:val="0"/>
                <w:position w:val="0"/>
                <w:sz w:val="24"/>
                <w:szCs w:val="24"/>
                <w:highlight w:val="none"/>
                <w:lang w:val="en-US" w:eastAsia="zh-CN" w:bidi="ar-SA"/>
              </w:rPr>
              <w:t>，考虑小龙虾捞出时带走的水量，损耗按10%计，则吐沙废水量为</w:t>
            </w:r>
            <w:r>
              <w:rPr>
                <w:rFonts w:hint="eastAsia" w:ascii="Times New Roman" w:hAnsi="Times New Roman" w:eastAsia="宋体" w:cs="Times New Roman"/>
                <w:color w:val="auto"/>
                <w:spacing w:val="0"/>
                <w:kern w:val="0"/>
                <w:position w:val="0"/>
                <w:sz w:val="24"/>
                <w:szCs w:val="24"/>
                <w:highlight w:val="none"/>
                <w:lang w:val="en-US" w:eastAsia="zh-CN" w:bidi="ar-SA"/>
              </w:rPr>
              <w:t>1036.8</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pacing w:val="0"/>
                <w:kern w:val="0"/>
                <w:position w:val="0"/>
                <w:sz w:val="24"/>
                <w:szCs w:val="24"/>
                <w:highlight w:val="none"/>
                <w:lang w:val="en-US" w:eastAsia="zh-CN" w:bidi="ar-SA"/>
              </w:rPr>
              <w:t>。</w:t>
            </w:r>
          </w:p>
          <w:p w14:paraId="3CA7FF8F">
            <w:pPr>
              <w:widowControl/>
              <w:spacing w:line="360" w:lineRule="auto"/>
              <w:ind w:firstLine="480"/>
              <w:rPr>
                <w:rFonts w:hint="default" w:cs="Times New Roman"/>
                <w:color w:val="auto"/>
                <w:kern w:val="0"/>
                <w:lang w:val="en-US" w:eastAsia="zh-CN" w:bidi="ar"/>
              </w:rPr>
            </w:pPr>
            <w:r>
              <w:rPr>
                <w:rFonts w:hint="default" w:ascii="Times New Roman" w:hAnsi="Times New Roman" w:eastAsia="宋体" w:cs="Times New Roman"/>
                <w:color w:val="auto"/>
                <w:kern w:val="0"/>
                <w:lang w:val="en-US" w:eastAsia="zh-CN" w:bidi="ar"/>
              </w:rPr>
              <w:t>②</w:t>
            </w:r>
            <w:r>
              <w:rPr>
                <w:rFonts w:hint="eastAsia" w:cs="Times New Roman"/>
                <w:color w:val="auto"/>
                <w:kern w:val="0"/>
                <w:lang w:val="en-US" w:eastAsia="zh-CN" w:bidi="ar"/>
              </w:rPr>
              <w:t>清洗用水</w:t>
            </w:r>
          </w:p>
          <w:p w14:paraId="19D6E88B">
            <w:pPr>
              <w:widowControl/>
              <w:spacing w:line="360" w:lineRule="auto"/>
              <w:ind w:firstLine="480"/>
              <w:rPr>
                <w:rFonts w:hint="eastAsia" w:cs="Times New Roman"/>
                <w:color w:val="auto"/>
                <w:spacing w:val="0"/>
                <w:kern w:val="0"/>
                <w:position w:val="0"/>
                <w:sz w:val="24"/>
                <w:szCs w:val="24"/>
                <w:highlight w:val="none"/>
                <w:lang w:val="en-US" w:eastAsia="zh-CN" w:bidi="ar-SA"/>
              </w:rPr>
            </w:pPr>
            <w:r>
              <w:rPr>
                <w:rFonts w:hint="eastAsia" w:cs="Times New Roman"/>
                <w:color w:val="auto"/>
                <w:spacing w:val="0"/>
                <w:kern w:val="0"/>
                <w:position w:val="0"/>
                <w:sz w:val="24"/>
                <w:szCs w:val="24"/>
                <w:highlight w:val="none"/>
                <w:lang w:val="en-US" w:eastAsia="zh-CN" w:bidi="ar-SA"/>
              </w:rPr>
              <w:t>项目清洗用水包含小龙虾清洗用水和设备、地面清洗用水。</w:t>
            </w:r>
          </w:p>
          <w:p w14:paraId="19A94F75">
            <w:pPr>
              <w:widowControl/>
              <w:spacing w:line="360" w:lineRule="auto"/>
              <w:ind w:firstLine="480"/>
              <w:rPr>
                <w:rFonts w:hint="default" w:cs="Times New Roman"/>
                <w:color w:val="auto"/>
                <w:spacing w:val="0"/>
                <w:kern w:val="0"/>
                <w:position w:val="0"/>
                <w:sz w:val="24"/>
                <w:szCs w:val="24"/>
                <w:highlight w:val="none"/>
                <w:lang w:val="en-US" w:eastAsia="zh-CN" w:bidi="ar-SA"/>
              </w:rPr>
            </w:pPr>
            <w:r>
              <w:rPr>
                <w:rFonts w:hint="eastAsia" w:cs="Times New Roman"/>
                <w:color w:val="auto"/>
                <w:spacing w:val="0"/>
                <w:kern w:val="0"/>
                <w:position w:val="0"/>
                <w:sz w:val="24"/>
                <w:szCs w:val="24"/>
                <w:highlight w:val="none"/>
                <w:lang w:val="en-US" w:eastAsia="zh-CN" w:bidi="ar-SA"/>
              </w:rPr>
              <w:t>小龙虾清洗用水：项目</w:t>
            </w:r>
            <w:r>
              <w:rPr>
                <w:rFonts w:hint="eastAsia" w:cs="Times New Roman"/>
                <w:color w:val="auto"/>
                <w:szCs w:val="20"/>
                <w:lang w:val="en-US" w:eastAsia="zh-CN"/>
              </w:rPr>
              <w:t>设3道清洗工艺，共3个清洗池，单池有效容积为10.56</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eastAsia" w:ascii="Times New Roman" w:hAnsi="Times New Roman" w:eastAsia="宋体" w:cs="Times New Roman"/>
                <w:color w:val="auto"/>
                <w:spacing w:val="0"/>
                <w:kern w:val="0"/>
                <w:position w:val="0"/>
                <w:sz w:val="24"/>
                <w:szCs w:val="24"/>
                <w:highlight w:val="none"/>
                <w:lang w:val="en-US" w:eastAsia="zh-CN" w:bidi="ar-SA"/>
              </w:rPr>
              <w:t>，</w:t>
            </w:r>
            <w:r>
              <w:rPr>
                <w:rFonts w:hint="eastAsia" w:cs="Times New Roman"/>
                <w:color w:val="auto"/>
                <w:szCs w:val="20"/>
                <w:lang w:val="en-US" w:eastAsia="zh-CN"/>
              </w:rPr>
              <w:t>池内的水每天更换，</w:t>
            </w:r>
            <w:r>
              <w:rPr>
                <w:rFonts w:hint="eastAsia" w:cs="Times New Roman"/>
                <w:color w:val="auto"/>
                <w:spacing w:val="0"/>
                <w:kern w:val="0"/>
                <w:position w:val="0"/>
                <w:sz w:val="24"/>
                <w:szCs w:val="24"/>
                <w:highlight w:val="none"/>
                <w:lang w:val="en-US" w:eastAsia="zh-CN" w:bidi="ar-SA"/>
              </w:rPr>
              <w:t>小龙虾清洗的</w:t>
            </w:r>
            <w:r>
              <w:rPr>
                <w:rFonts w:hint="eastAsia" w:ascii="Times New Roman" w:hAnsi="Times New Roman" w:eastAsia="宋体" w:cs="Times New Roman"/>
                <w:color w:val="auto"/>
                <w:spacing w:val="0"/>
                <w:kern w:val="0"/>
                <w:position w:val="0"/>
                <w:sz w:val="24"/>
                <w:szCs w:val="24"/>
                <w:highlight w:val="none"/>
                <w:lang w:val="en-US" w:eastAsia="zh-CN" w:bidi="ar-SA"/>
              </w:rPr>
              <w:t>总用水量为31.7</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w:t>
            </w:r>
            <w:r>
              <w:rPr>
                <w:rFonts w:hint="eastAsia" w:ascii="Times New Roman" w:hAnsi="Times New Roman" w:eastAsia="宋体" w:cs="Times New Roman"/>
                <w:color w:val="auto"/>
                <w:spacing w:val="0"/>
                <w:kern w:val="0"/>
                <w:position w:val="0"/>
                <w:sz w:val="24"/>
                <w:szCs w:val="24"/>
                <w:highlight w:val="none"/>
                <w:lang w:val="en-US" w:eastAsia="zh-CN" w:bidi="ar-SA"/>
              </w:rPr>
              <w:t>d、3168</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zCs w:val="20"/>
                <w:lang w:val="en-US" w:eastAsia="zh-CN"/>
              </w:rPr>
              <w:t>，不计损耗，废水量为</w:t>
            </w:r>
            <w:r>
              <w:rPr>
                <w:rFonts w:hint="eastAsia" w:ascii="Times New Roman" w:hAnsi="Times New Roman" w:eastAsia="宋体" w:cs="Times New Roman"/>
                <w:color w:val="auto"/>
                <w:spacing w:val="0"/>
                <w:kern w:val="0"/>
                <w:position w:val="0"/>
                <w:sz w:val="24"/>
                <w:szCs w:val="24"/>
                <w:highlight w:val="none"/>
                <w:lang w:val="en-US" w:eastAsia="zh-CN" w:bidi="ar-SA"/>
              </w:rPr>
              <w:t>3168</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zCs w:val="20"/>
                <w:lang w:val="en-US" w:eastAsia="zh-CN"/>
              </w:rPr>
              <w:t>。</w:t>
            </w:r>
          </w:p>
          <w:p w14:paraId="21D5B2E7">
            <w:pPr>
              <w:widowControl/>
              <w:spacing w:line="360" w:lineRule="auto"/>
              <w:ind w:firstLine="480"/>
              <w:rPr>
                <w:rFonts w:hint="default" w:cs="Times New Roman"/>
                <w:color w:val="auto"/>
                <w:kern w:val="0"/>
                <w:lang w:val="en-US" w:eastAsia="zh-CN" w:bidi="ar"/>
              </w:rPr>
            </w:pPr>
            <w:r>
              <w:rPr>
                <w:rFonts w:hint="eastAsia" w:cs="Times New Roman"/>
                <w:color w:val="auto"/>
                <w:spacing w:val="0"/>
                <w:kern w:val="0"/>
                <w:position w:val="0"/>
                <w:sz w:val="24"/>
                <w:szCs w:val="24"/>
                <w:highlight w:val="none"/>
                <w:lang w:val="en-US" w:eastAsia="zh-CN" w:bidi="ar-SA"/>
              </w:rPr>
              <w:t>设备、地面清洗用水：每日生产结束后，对设备和地面进行清洗，根据建设单位</w:t>
            </w:r>
            <w:r>
              <w:rPr>
                <w:rFonts w:hint="eastAsia" w:cs="Times New Roman"/>
                <w:color w:val="auto"/>
                <w:szCs w:val="20"/>
                <w:lang w:val="en-US" w:eastAsia="zh-CN"/>
              </w:rPr>
              <w:t>提供资料，</w:t>
            </w:r>
            <w:r>
              <w:rPr>
                <w:rFonts w:hint="eastAsia" w:cs="Times New Roman"/>
                <w:color w:val="auto"/>
                <w:spacing w:val="0"/>
                <w:kern w:val="0"/>
                <w:position w:val="0"/>
                <w:sz w:val="24"/>
                <w:szCs w:val="24"/>
                <w:highlight w:val="none"/>
                <w:lang w:val="en-US" w:eastAsia="zh-CN" w:bidi="ar-SA"/>
              </w:rPr>
              <w:t>清洗用水量约</w:t>
            </w:r>
            <w:r>
              <w:rPr>
                <w:rFonts w:hint="eastAsia" w:ascii="Times New Roman" w:hAnsi="Times New Roman" w:eastAsia="宋体" w:cs="Times New Roman"/>
                <w:color w:val="auto"/>
                <w:spacing w:val="0"/>
                <w:kern w:val="0"/>
                <w:position w:val="0"/>
                <w:sz w:val="24"/>
                <w:szCs w:val="24"/>
                <w:highlight w:val="none"/>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w:t>
            </w:r>
            <w:r>
              <w:rPr>
                <w:rFonts w:hint="eastAsia" w:ascii="Times New Roman" w:hAnsi="Times New Roman" w:eastAsia="宋体" w:cs="Times New Roman"/>
                <w:color w:val="auto"/>
                <w:spacing w:val="0"/>
                <w:kern w:val="0"/>
                <w:position w:val="0"/>
                <w:sz w:val="24"/>
                <w:szCs w:val="24"/>
                <w:highlight w:val="none"/>
                <w:lang w:val="en-US" w:eastAsia="zh-CN" w:bidi="ar-SA"/>
              </w:rPr>
              <w:t>d、300</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pacing w:val="0"/>
                <w:kern w:val="0"/>
                <w:position w:val="0"/>
                <w:sz w:val="24"/>
                <w:szCs w:val="24"/>
                <w:highlight w:val="none"/>
                <w:lang w:val="en-US" w:eastAsia="zh-CN" w:bidi="ar-SA"/>
              </w:rPr>
              <w:t>，废水</w:t>
            </w:r>
            <w:r>
              <w:rPr>
                <w:rFonts w:hint="default" w:ascii="Times New Roman" w:hAnsi="Times New Roman" w:eastAsia="宋体" w:cs="Times New Roman"/>
                <w:color w:val="auto"/>
                <w:spacing w:val="0"/>
                <w:kern w:val="0"/>
                <w:position w:val="0"/>
                <w:sz w:val="24"/>
                <w:szCs w:val="24"/>
                <w:highlight w:val="none"/>
                <w:lang w:val="en-US" w:eastAsia="zh-CN" w:bidi="ar-SA"/>
              </w:rPr>
              <w:t>产生量按用水量的</w:t>
            </w:r>
            <w:r>
              <w:rPr>
                <w:rFonts w:hint="eastAsia" w:ascii="Times New Roman" w:hAnsi="Times New Roman" w:eastAsia="宋体" w:cs="Times New Roman"/>
                <w:color w:val="auto"/>
                <w:spacing w:val="0"/>
                <w:kern w:val="0"/>
                <w:position w:val="0"/>
                <w:sz w:val="24"/>
                <w:szCs w:val="24"/>
                <w:highlight w:val="none"/>
                <w:lang w:val="en-US" w:eastAsia="zh-CN" w:bidi="ar-SA"/>
              </w:rPr>
              <w:t>9</w:t>
            </w:r>
            <w:r>
              <w:rPr>
                <w:rFonts w:hint="default" w:ascii="Times New Roman" w:hAnsi="Times New Roman" w:eastAsia="宋体" w:cs="Times New Roman"/>
                <w:color w:val="auto"/>
                <w:spacing w:val="0"/>
                <w:kern w:val="0"/>
                <w:position w:val="0"/>
                <w:sz w:val="24"/>
                <w:szCs w:val="24"/>
                <w:highlight w:val="none"/>
                <w:lang w:val="en-US" w:eastAsia="zh-CN" w:bidi="ar-SA"/>
              </w:rPr>
              <w:t>0%计，</w:t>
            </w:r>
            <w:r>
              <w:rPr>
                <w:rFonts w:hint="eastAsia" w:ascii="Times New Roman" w:hAnsi="Times New Roman" w:eastAsia="宋体" w:cs="Times New Roman"/>
                <w:color w:val="auto"/>
                <w:spacing w:val="0"/>
                <w:kern w:val="0"/>
                <w:position w:val="0"/>
                <w:sz w:val="24"/>
                <w:szCs w:val="24"/>
                <w:highlight w:val="none"/>
                <w:lang w:val="en-US" w:eastAsia="zh-CN" w:bidi="ar-SA"/>
              </w:rPr>
              <w:t>废水量为270</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cs="Times New Roman"/>
                <w:color w:val="auto"/>
                <w:szCs w:val="20"/>
                <w:lang w:val="en-US" w:eastAsia="zh-CN"/>
              </w:rPr>
              <w:t>。</w:t>
            </w:r>
          </w:p>
          <w:p w14:paraId="59265DCE">
            <w:pPr>
              <w:widowControl/>
              <w:spacing w:line="360" w:lineRule="auto"/>
              <w:ind w:firstLine="480"/>
              <w:rPr>
                <w:rFonts w:hint="eastAsia" w:cs="Times New Roman"/>
                <w:color w:val="auto"/>
                <w:szCs w:val="20"/>
                <w:lang w:val="en-US" w:eastAsia="zh-CN"/>
              </w:rPr>
            </w:pPr>
            <w:r>
              <w:rPr>
                <w:rFonts w:hint="default" w:ascii="Times New Roman" w:hAnsi="Times New Roman" w:eastAsia="宋体" w:cs="Times New Roman"/>
                <w:color w:val="auto"/>
                <w:kern w:val="0"/>
                <w:lang w:val="en-US" w:eastAsia="zh-CN" w:bidi="ar"/>
              </w:rPr>
              <w:t>③</w:t>
            </w:r>
            <w:r>
              <w:rPr>
                <w:rFonts w:hint="eastAsia" w:cs="Times New Roman"/>
                <w:color w:val="auto"/>
                <w:szCs w:val="20"/>
                <w:lang w:val="en-US" w:eastAsia="zh-CN"/>
              </w:rPr>
              <w:t>冷却用水</w:t>
            </w:r>
          </w:p>
          <w:p w14:paraId="05762F3F">
            <w:pPr>
              <w:widowControl/>
              <w:spacing w:line="360" w:lineRule="auto"/>
              <w:ind w:firstLine="480"/>
              <w:rPr>
                <w:rFonts w:hint="default" w:ascii="Times New Roman" w:hAnsi="Times New Roman" w:eastAsia="宋体" w:cs="Times New Roman"/>
                <w:color w:val="auto"/>
                <w:spacing w:val="0"/>
                <w:kern w:val="0"/>
                <w:position w:val="0"/>
                <w:sz w:val="24"/>
                <w:szCs w:val="24"/>
                <w:highlight w:val="none"/>
                <w:lang w:val="en-US" w:eastAsia="zh-CN" w:bidi="ar-SA"/>
              </w:rPr>
            </w:pPr>
            <w:r>
              <w:rPr>
                <w:rFonts w:hint="eastAsia" w:cs="Times New Roman"/>
                <w:color w:val="auto"/>
                <w:szCs w:val="20"/>
                <w:lang w:val="en-US" w:eastAsia="zh-CN"/>
              </w:rPr>
              <w:t>锁鲜小龙虾使用0℃</w:t>
            </w:r>
            <w:r>
              <w:rPr>
                <w:rFonts w:hint="default" w:ascii="Times New Roman" w:hAnsi="Times New Roman" w:cs="Times New Roman"/>
                <w:color w:val="auto"/>
                <w:sz w:val="21"/>
                <w:szCs w:val="21"/>
                <w:lang w:val="en-US" w:eastAsia="zh-CN"/>
              </w:rPr>
              <w:t>～</w:t>
            </w:r>
            <w:r>
              <w:rPr>
                <w:rFonts w:hint="eastAsia" w:cs="Times New Roman"/>
                <w:color w:val="auto"/>
                <w:szCs w:val="20"/>
                <w:lang w:val="en-US" w:eastAsia="zh-CN"/>
              </w:rPr>
              <w:t>8℃冰水进行冷却，共设2台浸泡机，单台浸泡机内冰水的有效容积为9.6</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eastAsia" w:ascii="Times New Roman" w:hAnsi="Times New Roman" w:eastAsia="宋体" w:cs="Times New Roman"/>
                <w:color w:val="auto"/>
                <w:spacing w:val="0"/>
                <w:kern w:val="0"/>
                <w:position w:val="0"/>
                <w:sz w:val="24"/>
                <w:szCs w:val="24"/>
                <w:highlight w:val="none"/>
                <w:lang w:val="en-US" w:eastAsia="zh-CN" w:bidi="ar-SA"/>
              </w:rPr>
              <w:t>，5天更换一次，年更换20次，由于生产过程中食物带走一部分水，故每天需对</w:t>
            </w:r>
            <w:r>
              <w:rPr>
                <w:rFonts w:hint="eastAsia" w:cs="Times New Roman"/>
                <w:color w:val="auto"/>
                <w:szCs w:val="20"/>
                <w:lang w:val="en-US" w:eastAsia="zh-CN"/>
              </w:rPr>
              <w:t>浸泡机内添加水，根据建设单位提供资料，每日添加量为0.55</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eastAsia" w:ascii="Times New Roman" w:hAnsi="Times New Roman" w:eastAsia="宋体" w:cs="Times New Roman"/>
                <w:color w:val="auto"/>
                <w:spacing w:val="0"/>
                <w:kern w:val="0"/>
                <w:position w:val="0"/>
                <w:sz w:val="24"/>
                <w:szCs w:val="24"/>
                <w:highlight w:val="none"/>
                <w:lang w:val="en-US" w:eastAsia="zh-CN" w:bidi="ar-SA"/>
              </w:rPr>
              <w:t>，</w:t>
            </w:r>
            <w:r>
              <w:rPr>
                <w:rFonts w:hint="eastAsia" w:cs="Times New Roman"/>
                <w:color w:val="auto"/>
                <w:szCs w:val="20"/>
                <w:lang w:val="en-US" w:eastAsia="zh-CN"/>
              </w:rPr>
              <w:t>冰水采用净化后的纯水，则纯水的用量为</w:t>
            </w:r>
            <w:r>
              <w:rPr>
                <w:rFonts w:hint="eastAsia" w:cs="Times New Roman"/>
                <w:color w:val="auto"/>
                <w:spacing w:val="0"/>
                <w:kern w:val="0"/>
                <w:position w:val="0"/>
                <w:sz w:val="24"/>
                <w:szCs w:val="24"/>
                <w:highlight w:val="none"/>
                <w:lang w:val="en-US" w:eastAsia="zh-CN" w:bidi="ar-SA"/>
              </w:rPr>
              <w:t>439</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p>
          <w:p w14:paraId="1C9A742A">
            <w:pPr>
              <w:widowControl/>
              <w:spacing w:line="360" w:lineRule="auto"/>
              <w:ind w:firstLine="480"/>
              <w:rPr>
                <w:rFonts w:hint="default" w:cs="Times New Roman"/>
                <w:color w:val="auto"/>
                <w:sz w:val="24"/>
                <w:lang w:val="en-US" w:eastAsia="zh-CN"/>
              </w:rPr>
            </w:pPr>
            <w:r>
              <w:rPr>
                <w:rFonts w:hint="eastAsia" w:ascii="Times New Roman" w:hAnsi="Times New Roman" w:eastAsia="宋体" w:cs="Times New Roman"/>
                <w:color w:val="auto"/>
                <w:spacing w:val="0"/>
                <w:kern w:val="0"/>
                <w:position w:val="0"/>
                <w:sz w:val="24"/>
                <w:szCs w:val="24"/>
                <w:highlight w:val="none"/>
                <w:lang w:val="en-US" w:eastAsia="zh-CN" w:bidi="ar-SA"/>
              </w:rPr>
              <w:t>项目</w:t>
            </w:r>
            <w:r>
              <w:rPr>
                <w:rFonts w:hint="eastAsia" w:cs="Times New Roman"/>
                <w:color w:val="auto"/>
                <w:szCs w:val="20"/>
                <w:lang w:val="en-US" w:eastAsia="zh-CN"/>
              </w:rPr>
              <w:t>净水器采用RO反渗透工艺制备纯水，产率为75%，则新鲜水用量为</w:t>
            </w:r>
            <w:r>
              <w:rPr>
                <w:rFonts w:hint="eastAsia" w:cs="Times New Roman"/>
                <w:color w:val="auto"/>
                <w:spacing w:val="0"/>
                <w:kern w:val="0"/>
                <w:position w:val="0"/>
                <w:sz w:val="24"/>
                <w:szCs w:val="24"/>
                <w:highlight w:val="none"/>
                <w:lang w:val="en-US" w:eastAsia="zh-CN" w:bidi="ar-SA"/>
              </w:rPr>
              <w:t>585.3</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ascii="Times New Roman" w:hAnsi="Times New Roman" w:eastAsia="宋体" w:cs="Times New Roman"/>
                <w:color w:val="auto"/>
                <w:spacing w:val="0"/>
                <w:kern w:val="0"/>
                <w:position w:val="0"/>
                <w:sz w:val="24"/>
                <w:szCs w:val="24"/>
                <w:highlight w:val="none"/>
                <w:lang w:val="en-US" w:eastAsia="zh-CN" w:bidi="ar-SA"/>
              </w:rPr>
              <w:t>，浓水产生量为146</w:t>
            </w:r>
            <w:r>
              <w:rPr>
                <w:rFonts w:hint="eastAsia" w:cs="Times New Roman"/>
                <w:color w:val="auto"/>
                <w:spacing w:val="0"/>
                <w:kern w:val="0"/>
                <w:position w:val="0"/>
                <w:sz w:val="24"/>
                <w:szCs w:val="24"/>
                <w:highlight w:val="none"/>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r>
              <w:rPr>
                <w:rFonts w:hint="eastAsia" w:ascii="Times New Roman" w:hAnsi="Times New Roman" w:eastAsia="宋体" w:cs="Times New Roman"/>
                <w:color w:val="auto"/>
                <w:spacing w:val="0"/>
                <w:kern w:val="0"/>
                <w:position w:val="0"/>
                <w:sz w:val="24"/>
                <w:szCs w:val="24"/>
                <w:highlight w:val="none"/>
                <w:lang w:val="en-US" w:eastAsia="zh-CN" w:bidi="ar-SA"/>
              </w:rPr>
              <w:t>，冷却废水量为</w:t>
            </w:r>
            <w:r>
              <w:rPr>
                <w:rFonts w:hint="eastAsia" w:cs="Times New Roman"/>
                <w:color w:val="auto"/>
                <w:spacing w:val="0"/>
                <w:kern w:val="0"/>
                <w:position w:val="0"/>
                <w:sz w:val="24"/>
                <w:szCs w:val="24"/>
                <w:highlight w:val="none"/>
                <w:lang w:val="en-US" w:eastAsia="zh-CN" w:bidi="ar-SA"/>
              </w:rPr>
              <w:t>384</w:t>
            </w:r>
            <w:r>
              <w:rPr>
                <w:rFonts w:hint="default" w:ascii="Times New Roman" w:hAnsi="Times New Roman" w:eastAsia="宋体" w:cs="Times New Roman"/>
                <w:color w:val="auto"/>
                <w:spacing w:val="0"/>
                <w:kern w:val="0"/>
                <w:position w:val="0"/>
                <w:sz w:val="24"/>
                <w:szCs w:val="24"/>
                <w:highlight w:val="none"/>
                <w:lang w:val="en-US" w:eastAsia="zh-CN" w:bidi="ar-SA"/>
              </w:rPr>
              <w:t>m</w:t>
            </w:r>
            <w:r>
              <w:rPr>
                <w:rFonts w:hint="default" w:ascii="Times New Roman" w:hAnsi="Times New Roman" w:eastAsia="宋体" w:cs="Times New Roman"/>
                <w:color w:val="auto"/>
                <w:spacing w:val="0"/>
                <w:kern w:val="0"/>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0"/>
                <w:position w:val="0"/>
                <w:sz w:val="24"/>
                <w:szCs w:val="24"/>
                <w:highlight w:val="none"/>
                <w:lang w:val="en-US" w:eastAsia="zh-CN" w:bidi="ar-SA"/>
              </w:rPr>
              <w:t>/a。</w:t>
            </w:r>
          </w:p>
          <w:p w14:paraId="78FF4C17">
            <w:pPr>
              <w:widowControl/>
              <w:spacing w:line="360" w:lineRule="auto"/>
              <w:ind w:firstLine="480"/>
              <w:rPr>
                <w:rFonts w:hint="eastAsia" w:cs="Times New Roman"/>
                <w:color w:val="auto"/>
                <w:kern w:val="0"/>
                <w:lang w:val="en-US" w:eastAsia="zh-CN" w:bidi="ar"/>
              </w:rPr>
            </w:pPr>
            <w:r>
              <w:rPr>
                <w:rFonts w:hint="eastAsia" w:cs="Times New Roman"/>
                <w:color w:val="auto"/>
                <w:kern w:val="0"/>
                <w:lang w:val="en-US" w:eastAsia="zh-CN" w:bidi="ar"/>
              </w:rPr>
              <w:t>综上，项目总新鲜水用量为</w:t>
            </w:r>
            <w:r>
              <w:rPr>
                <w:rFonts w:hint="eastAsia" w:cs="Times New Roman"/>
                <w:color w:val="auto"/>
                <w:sz w:val="24"/>
                <w:lang w:val="en-US" w:eastAsia="zh-CN"/>
              </w:rPr>
              <w:t>5265.3</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val="en-US" w:eastAsia="zh-CN"/>
              </w:rPr>
              <w:t>/a</w:t>
            </w:r>
            <w:r>
              <w:rPr>
                <w:rFonts w:hint="eastAsia" w:cs="Times New Roman"/>
                <w:color w:val="auto"/>
                <w:kern w:val="0"/>
                <w:lang w:val="en-US" w:eastAsia="zh-CN" w:bidi="ar"/>
              </w:rPr>
              <w:t>。</w:t>
            </w:r>
          </w:p>
          <w:p w14:paraId="162BFD03">
            <w:pPr>
              <w:widowControl/>
              <w:spacing w:line="360" w:lineRule="auto"/>
              <w:ind w:firstLine="480"/>
              <w:rPr>
                <w:rFonts w:hint="default" w:ascii="Times New Roman" w:hAnsi="Times New Roman" w:cs="Times New Roman"/>
                <w:color w:val="auto"/>
                <w:kern w:val="0"/>
                <w:lang w:bidi="ar"/>
              </w:rPr>
            </w:pPr>
            <w:r>
              <w:rPr>
                <w:rFonts w:hint="default" w:ascii="Times New Roman" w:hAnsi="Times New Roman" w:cs="Times New Roman"/>
                <w:color w:val="auto"/>
                <w:kern w:val="0"/>
                <w:lang w:bidi="ar"/>
              </w:rPr>
              <w:t>本项目用水平衡表见表2-</w:t>
            </w:r>
            <w:r>
              <w:rPr>
                <w:rFonts w:hint="eastAsia" w:cs="Times New Roman"/>
                <w:color w:val="auto"/>
                <w:kern w:val="0"/>
                <w:lang w:val="en-US" w:eastAsia="zh-CN" w:bidi="ar"/>
              </w:rPr>
              <w:t>10</w:t>
            </w:r>
            <w:r>
              <w:rPr>
                <w:rFonts w:hint="default" w:ascii="Times New Roman" w:hAnsi="Times New Roman" w:cs="Times New Roman"/>
                <w:color w:val="auto"/>
                <w:kern w:val="0"/>
                <w:lang w:bidi="ar"/>
              </w:rPr>
              <w:t>，水平衡图见图</w:t>
            </w:r>
            <w:r>
              <w:rPr>
                <w:rFonts w:hint="eastAsia" w:cs="Times New Roman"/>
                <w:color w:val="auto"/>
                <w:kern w:val="0"/>
                <w:lang w:val="en-US" w:eastAsia="zh-CN" w:bidi="ar"/>
              </w:rPr>
              <w:t>1</w:t>
            </w:r>
            <w:r>
              <w:rPr>
                <w:rFonts w:hint="default" w:ascii="Times New Roman" w:hAnsi="Times New Roman" w:cs="Times New Roman"/>
                <w:color w:val="auto"/>
                <w:kern w:val="0"/>
                <w:lang w:bidi="ar"/>
              </w:rPr>
              <w:t>。</w:t>
            </w:r>
          </w:p>
          <w:p w14:paraId="4CE83B20">
            <w:pPr>
              <w:widowControl/>
              <w:spacing w:line="360" w:lineRule="auto"/>
              <w:ind w:firstLine="0" w:firstLineChars="0"/>
              <w:jc w:val="center"/>
              <w:rPr>
                <w:rFonts w:hint="eastAsia" w:ascii="Times New Roman" w:hAnsi="Times New Roman" w:eastAsia="宋体" w:cs="Times New Roman"/>
                <w:b/>
                <w:bCs/>
                <w:color w:val="auto"/>
                <w:kern w:val="0"/>
                <w:sz w:val="21"/>
                <w:szCs w:val="21"/>
                <w:lang w:eastAsia="zh-CN" w:bidi="ar"/>
              </w:rPr>
            </w:pPr>
            <w:r>
              <w:rPr>
                <w:rFonts w:hint="default" w:ascii="Times New Roman" w:hAnsi="Times New Roman" w:cs="Times New Roman"/>
                <w:b/>
                <w:bCs/>
                <w:color w:val="auto"/>
                <w:kern w:val="0"/>
                <w:sz w:val="21"/>
                <w:szCs w:val="21"/>
                <w:lang w:bidi="ar"/>
              </w:rPr>
              <w:t>表2-</w:t>
            </w:r>
            <w:r>
              <w:rPr>
                <w:rFonts w:hint="eastAsia" w:cs="Times New Roman"/>
                <w:b/>
                <w:bCs/>
                <w:color w:val="auto"/>
                <w:kern w:val="0"/>
                <w:sz w:val="21"/>
                <w:szCs w:val="21"/>
                <w:lang w:val="en-US" w:eastAsia="zh-CN" w:bidi="ar"/>
              </w:rPr>
              <w:t xml:space="preserve">10  </w:t>
            </w:r>
            <w:r>
              <w:rPr>
                <w:rFonts w:hint="default" w:ascii="Times New Roman" w:hAnsi="Times New Roman" w:cs="Times New Roman"/>
                <w:b/>
                <w:bCs/>
                <w:color w:val="auto"/>
                <w:kern w:val="0"/>
                <w:sz w:val="21"/>
                <w:szCs w:val="21"/>
                <w:lang w:bidi="ar"/>
              </w:rPr>
              <w:t>本项目水平衡表   单位：m</w:t>
            </w:r>
            <w:r>
              <w:rPr>
                <w:rFonts w:hint="default" w:ascii="Times New Roman" w:hAnsi="Times New Roman" w:cs="Times New Roman"/>
                <w:b/>
                <w:bCs/>
                <w:color w:val="auto"/>
                <w:kern w:val="0"/>
                <w:sz w:val="21"/>
                <w:szCs w:val="21"/>
                <w:vertAlign w:val="superscript"/>
                <w:lang w:bidi="ar"/>
              </w:rPr>
              <w:t>3</w:t>
            </w:r>
            <w:r>
              <w:rPr>
                <w:rFonts w:hint="default" w:ascii="Times New Roman" w:hAnsi="Times New Roman" w:cs="Times New Roman"/>
                <w:b/>
                <w:bCs/>
                <w:color w:val="auto"/>
                <w:kern w:val="0"/>
                <w:sz w:val="21"/>
                <w:szCs w:val="21"/>
                <w:lang w:bidi="ar"/>
              </w:rPr>
              <w:t>/</w:t>
            </w:r>
            <w:r>
              <w:rPr>
                <w:rFonts w:hint="eastAsia" w:cs="Times New Roman"/>
                <w:b/>
                <w:bCs/>
                <w:color w:val="auto"/>
                <w:kern w:val="0"/>
                <w:sz w:val="21"/>
                <w:szCs w:val="21"/>
                <w:lang w:val="en-US" w:eastAsia="zh-CN" w:bidi="ar"/>
              </w:rPr>
              <w:t>a</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6"/>
              <w:gridCol w:w="1190"/>
              <w:gridCol w:w="1039"/>
              <w:gridCol w:w="1397"/>
              <w:gridCol w:w="3003"/>
            </w:tblGrid>
            <w:tr w14:paraId="2363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2" w:type="pct"/>
                  <w:vAlign w:val="center"/>
                </w:tcPr>
                <w:p w14:paraId="22F7D4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用水单元</w:t>
                  </w:r>
                </w:p>
              </w:tc>
              <w:tc>
                <w:tcPr>
                  <w:tcW w:w="710" w:type="pct"/>
                  <w:vAlign w:val="center"/>
                </w:tcPr>
                <w:p w14:paraId="798406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Cs/>
                      <w:color w:val="auto"/>
                      <w:sz w:val="21"/>
                      <w:szCs w:val="21"/>
                    </w:rPr>
                  </w:pPr>
                  <w:r>
                    <w:rPr>
                      <w:rFonts w:hint="eastAsia" w:cs="Times New Roman"/>
                      <w:bCs/>
                      <w:color w:val="auto"/>
                      <w:sz w:val="21"/>
                      <w:szCs w:val="21"/>
                      <w:lang w:val="en-US" w:eastAsia="zh-CN"/>
                    </w:rPr>
                    <w:t>新鲜</w:t>
                  </w:r>
                  <w:r>
                    <w:rPr>
                      <w:rFonts w:hint="default" w:ascii="Times New Roman" w:hAnsi="Times New Roman" w:cs="Times New Roman"/>
                      <w:bCs/>
                      <w:color w:val="auto"/>
                      <w:sz w:val="21"/>
                      <w:szCs w:val="21"/>
                    </w:rPr>
                    <w:t>水量</w:t>
                  </w:r>
                </w:p>
              </w:tc>
              <w:tc>
                <w:tcPr>
                  <w:tcW w:w="620" w:type="pct"/>
                  <w:vAlign w:val="center"/>
                </w:tcPr>
                <w:p w14:paraId="0C9E70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损耗量</w:t>
                  </w:r>
                </w:p>
              </w:tc>
              <w:tc>
                <w:tcPr>
                  <w:tcW w:w="834" w:type="pct"/>
                  <w:vAlign w:val="center"/>
                </w:tcPr>
                <w:p w14:paraId="0999F2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Cs/>
                      <w:color w:val="auto"/>
                      <w:spacing w:val="-6"/>
                      <w:sz w:val="21"/>
                      <w:szCs w:val="21"/>
                    </w:rPr>
                  </w:pPr>
                  <w:r>
                    <w:rPr>
                      <w:rFonts w:hint="eastAsia" w:cs="Times New Roman"/>
                      <w:bCs/>
                      <w:color w:val="auto"/>
                      <w:spacing w:val="-6"/>
                      <w:sz w:val="21"/>
                      <w:szCs w:val="21"/>
                      <w:lang w:val="en-US" w:eastAsia="zh-CN"/>
                    </w:rPr>
                    <w:t>排放</w:t>
                  </w:r>
                  <w:r>
                    <w:rPr>
                      <w:rFonts w:hint="default" w:ascii="Times New Roman" w:hAnsi="Times New Roman" w:cs="Times New Roman"/>
                      <w:bCs/>
                      <w:color w:val="auto"/>
                      <w:spacing w:val="-6"/>
                      <w:sz w:val="21"/>
                      <w:szCs w:val="21"/>
                    </w:rPr>
                    <w:t>量</w:t>
                  </w:r>
                </w:p>
              </w:tc>
              <w:tc>
                <w:tcPr>
                  <w:tcW w:w="1792" w:type="pct"/>
                  <w:vAlign w:val="center"/>
                </w:tcPr>
                <w:p w14:paraId="6C6ACD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Cs/>
                      <w:color w:val="auto"/>
                      <w:spacing w:val="-6"/>
                      <w:sz w:val="21"/>
                      <w:szCs w:val="21"/>
                    </w:rPr>
                  </w:pPr>
                  <w:r>
                    <w:rPr>
                      <w:rFonts w:hint="default" w:ascii="Times New Roman" w:hAnsi="Times New Roman" w:cs="Times New Roman"/>
                      <w:bCs/>
                      <w:color w:val="auto"/>
                      <w:spacing w:val="-6"/>
                      <w:sz w:val="21"/>
                      <w:szCs w:val="21"/>
                    </w:rPr>
                    <w:t>去向</w:t>
                  </w:r>
                </w:p>
              </w:tc>
            </w:tr>
            <w:tr w14:paraId="515B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2" w:type="pct"/>
                  <w:vAlign w:val="center"/>
                </w:tcPr>
                <w:p w14:paraId="183C00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生</w:t>
                  </w:r>
                  <w:r>
                    <w:rPr>
                      <w:rFonts w:hint="default" w:ascii="Times New Roman" w:hAnsi="Times New Roman" w:cs="Times New Roman"/>
                      <w:color w:val="auto"/>
                      <w:sz w:val="21"/>
                      <w:szCs w:val="21"/>
                      <w:lang w:eastAsia="zh-CN"/>
                    </w:rPr>
                    <w:t>活</w:t>
                  </w:r>
                  <w:r>
                    <w:rPr>
                      <w:rFonts w:hint="default" w:ascii="Times New Roman" w:hAnsi="Times New Roman" w:cs="Times New Roman"/>
                      <w:color w:val="auto"/>
                      <w:sz w:val="21"/>
                      <w:szCs w:val="21"/>
                    </w:rPr>
                    <w:t>用水</w:t>
                  </w:r>
                </w:p>
              </w:tc>
              <w:tc>
                <w:tcPr>
                  <w:tcW w:w="710" w:type="pct"/>
                  <w:vAlign w:val="center"/>
                </w:tcPr>
                <w:p w14:paraId="3072B9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60</w:t>
                  </w:r>
                </w:p>
              </w:tc>
              <w:tc>
                <w:tcPr>
                  <w:tcW w:w="620" w:type="pct"/>
                  <w:vAlign w:val="center"/>
                </w:tcPr>
                <w:p w14:paraId="1A0C7D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12</w:t>
                  </w:r>
                </w:p>
              </w:tc>
              <w:tc>
                <w:tcPr>
                  <w:tcW w:w="834" w:type="pct"/>
                  <w:vAlign w:val="center"/>
                </w:tcPr>
                <w:p w14:paraId="238B90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48</w:t>
                  </w:r>
                </w:p>
              </w:tc>
              <w:tc>
                <w:tcPr>
                  <w:tcW w:w="1792" w:type="pct"/>
                  <w:vAlign w:val="center"/>
                </w:tcPr>
                <w:p w14:paraId="41EE27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Cs/>
                      <w:color w:val="auto"/>
                      <w:spacing w:val="-6"/>
                      <w:sz w:val="21"/>
                      <w:szCs w:val="21"/>
                      <w:lang w:eastAsia="zh-CN"/>
                    </w:rPr>
                  </w:pPr>
                  <w:r>
                    <w:rPr>
                      <w:rFonts w:hint="eastAsia" w:cs="Times New Roman"/>
                      <w:bCs/>
                      <w:color w:val="auto"/>
                      <w:spacing w:val="-6"/>
                      <w:sz w:val="21"/>
                      <w:szCs w:val="21"/>
                      <w:lang w:val="en-US" w:eastAsia="zh-CN"/>
                    </w:rPr>
                    <w:t>依托租赁方</w:t>
                  </w:r>
                  <w:r>
                    <w:rPr>
                      <w:rFonts w:hint="eastAsia" w:ascii="Times New Roman" w:hAnsi="Times New Roman" w:eastAsia="宋体" w:cs="Times New Roman"/>
                      <w:bCs/>
                      <w:color w:val="auto"/>
                      <w:spacing w:val="-6"/>
                      <w:sz w:val="21"/>
                      <w:szCs w:val="21"/>
                      <w:lang w:eastAsia="zh-CN"/>
                    </w:rPr>
                    <w:t>化粪池</w:t>
                  </w:r>
                  <w:r>
                    <w:rPr>
                      <w:rFonts w:hint="eastAsia" w:ascii="Times New Roman" w:hAnsi="Times New Roman" w:eastAsia="宋体" w:cs="Times New Roman"/>
                      <w:bCs/>
                      <w:color w:val="auto"/>
                      <w:spacing w:val="-6"/>
                      <w:sz w:val="21"/>
                      <w:szCs w:val="21"/>
                      <w:lang w:val="en-US" w:eastAsia="zh-CN"/>
                    </w:rPr>
                    <w:t>处理后排入市政污水管网</w:t>
                  </w:r>
                </w:p>
              </w:tc>
            </w:tr>
            <w:tr w14:paraId="2D36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042" w:type="pct"/>
                  <w:vAlign w:val="center"/>
                </w:tcPr>
                <w:p w14:paraId="66668DC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eastAsia="zh-CN"/>
                    </w:rPr>
                  </w:pPr>
                  <w:r>
                    <w:rPr>
                      <w:rFonts w:hint="eastAsia" w:cs="Times New Roman"/>
                      <w:color w:val="auto"/>
                      <w:sz w:val="21"/>
                      <w:szCs w:val="21"/>
                      <w:lang w:val="en-US" w:eastAsia="zh-CN"/>
                    </w:rPr>
                    <w:t>吐沙</w:t>
                  </w:r>
                  <w:r>
                    <w:rPr>
                      <w:rFonts w:hint="eastAsia" w:cs="Times New Roman"/>
                      <w:color w:val="auto"/>
                      <w:sz w:val="21"/>
                      <w:szCs w:val="21"/>
                      <w:lang w:eastAsia="zh-CN"/>
                    </w:rPr>
                    <w:t>用水</w:t>
                  </w:r>
                </w:p>
              </w:tc>
              <w:tc>
                <w:tcPr>
                  <w:tcW w:w="710" w:type="pct"/>
                  <w:vAlign w:val="center"/>
                </w:tcPr>
                <w:p w14:paraId="2B23135C">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1152</w:t>
                  </w:r>
                </w:p>
              </w:tc>
              <w:tc>
                <w:tcPr>
                  <w:tcW w:w="620" w:type="pct"/>
                  <w:vAlign w:val="center"/>
                </w:tcPr>
                <w:p w14:paraId="541DF5D3">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115.2</w:t>
                  </w:r>
                </w:p>
              </w:tc>
              <w:tc>
                <w:tcPr>
                  <w:tcW w:w="834" w:type="pct"/>
                  <w:vAlign w:val="center"/>
                </w:tcPr>
                <w:p w14:paraId="3E85009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1036.8</w:t>
                  </w:r>
                </w:p>
              </w:tc>
              <w:tc>
                <w:tcPr>
                  <w:tcW w:w="1792" w:type="pct"/>
                  <w:vMerge w:val="restart"/>
                  <w:vAlign w:val="center"/>
                </w:tcPr>
                <w:p w14:paraId="0F1E6E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pacing w:val="-6"/>
                      <w:sz w:val="21"/>
                      <w:szCs w:val="21"/>
                      <w:lang w:val="en-US" w:eastAsia="zh-CN"/>
                    </w:rPr>
                  </w:pPr>
                  <w:r>
                    <w:rPr>
                      <w:rFonts w:hint="eastAsia" w:cs="Times New Roman"/>
                      <w:bCs/>
                      <w:color w:val="auto"/>
                      <w:spacing w:val="-6"/>
                      <w:sz w:val="21"/>
                      <w:szCs w:val="21"/>
                      <w:lang w:val="en-US" w:eastAsia="zh-CN"/>
                    </w:rPr>
                    <w:t>先经企业自建的隔油沉淀池预处理，然后依托租赁方废水处理站</w:t>
                  </w:r>
                  <w:r>
                    <w:rPr>
                      <w:rFonts w:hint="eastAsia" w:ascii="Times New Roman" w:hAnsi="Times New Roman" w:eastAsia="宋体" w:cs="Times New Roman"/>
                      <w:bCs/>
                      <w:color w:val="auto"/>
                      <w:spacing w:val="-6"/>
                      <w:sz w:val="21"/>
                      <w:szCs w:val="21"/>
                      <w:lang w:val="en-US" w:eastAsia="zh-CN"/>
                    </w:rPr>
                    <w:t>处理后排入市政污水管网</w:t>
                  </w:r>
                </w:p>
              </w:tc>
            </w:tr>
            <w:tr w14:paraId="3908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2" w:type="pct"/>
                  <w:vAlign w:val="center"/>
                </w:tcPr>
                <w:p w14:paraId="2D02F26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eastAsia="zh-CN"/>
                    </w:rPr>
                  </w:pPr>
                  <w:r>
                    <w:rPr>
                      <w:rFonts w:hint="eastAsia" w:cs="Times New Roman"/>
                      <w:color w:val="auto"/>
                      <w:sz w:val="21"/>
                      <w:szCs w:val="21"/>
                      <w:lang w:val="en-US" w:eastAsia="zh-CN"/>
                    </w:rPr>
                    <w:t>小龙虾清洗用水</w:t>
                  </w:r>
                </w:p>
              </w:tc>
              <w:tc>
                <w:tcPr>
                  <w:tcW w:w="710" w:type="pct"/>
                  <w:vAlign w:val="center"/>
                </w:tcPr>
                <w:p w14:paraId="59362037">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3168</w:t>
                  </w:r>
                </w:p>
              </w:tc>
              <w:tc>
                <w:tcPr>
                  <w:tcW w:w="620" w:type="pct"/>
                  <w:vAlign w:val="center"/>
                </w:tcPr>
                <w:p w14:paraId="0885B69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w:t>
                  </w:r>
                </w:p>
              </w:tc>
              <w:tc>
                <w:tcPr>
                  <w:tcW w:w="834" w:type="pct"/>
                  <w:vAlign w:val="center"/>
                </w:tcPr>
                <w:p w14:paraId="17B1C91A">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3168</w:t>
                  </w:r>
                </w:p>
              </w:tc>
              <w:tc>
                <w:tcPr>
                  <w:tcW w:w="1792" w:type="pct"/>
                  <w:vMerge w:val="continue"/>
                  <w:vAlign w:val="center"/>
                </w:tcPr>
                <w:p w14:paraId="235540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pacing w:val="-6"/>
                      <w:sz w:val="21"/>
                      <w:szCs w:val="21"/>
                      <w:lang w:val="en-US" w:eastAsia="zh-CN"/>
                    </w:rPr>
                  </w:pPr>
                </w:p>
              </w:tc>
            </w:tr>
            <w:tr w14:paraId="4A76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2" w:type="pct"/>
                  <w:vAlign w:val="center"/>
                </w:tcPr>
                <w:p w14:paraId="00C40D3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设备、地面清洗用水</w:t>
                  </w:r>
                </w:p>
              </w:tc>
              <w:tc>
                <w:tcPr>
                  <w:tcW w:w="710" w:type="pct"/>
                  <w:vAlign w:val="center"/>
                </w:tcPr>
                <w:p w14:paraId="4204AF1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300</w:t>
                  </w:r>
                </w:p>
              </w:tc>
              <w:tc>
                <w:tcPr>
                  <w:tcW w:w="620" w:type="pct"/>
                  <w:vAlign w:val="center"/>
                </w:tcPr>
                <w:p w14:paraId="565A2F1A">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30</w:t>
                  </w:r>
                </w:p>
              </w:tc>
              <w:tc>
                <w:tcPr>
                  <w:tcW w:w="834" w:type="pct"/>
                  <w:vAlign w:val="center"/>
                </w:tcPr>
                <w:p w14:paraId="4BFDDEE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270</w:t>
                  </w:r>
                </w:p>
              </w:tc>
              <w:tc>
                <w:tcPr>
                  <w:tcW w:w="1792" w:type="pct"/>
                  <w:vMerge w:val="continue"/>
                  <w:vAlign w:val="center"/>
                </w:tcPr>
                <w:p w14:paraId="4A1DDA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pacing w:val="-6"/>
                      <w:sz w:val="21"/>
                      <w:szCs w:val="21"/>
                      <w:lang w:val="en-US" w:eastAsia="zh-CN"/>
                    </w:rPr>
                  </w:pPr>
                </w:p>
              </w:tc>
            </w:tr>
            <w:tr w14:paraId="549D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042" w:type="pct"/>
                  <w:vAlign w:val="center"/>
                </w:tcPr>
                <w:p w14:paraId="347B28B5">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纯水制备用水</w:t>
                  </w:r>
                </w:p>
              </w:tc>
              <w:tc>
                <w:tcPr>
                  <w:tcW w:w="710" w:type="pct"/>
                  <w:vAlign w:val="center"/>
                </w:tcPr>
                <w:p w14:paraId="01246B0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585.3</w:t>
                  </w:r>
                </w:p>
              </w:tc>
              <w:tc>
                <w:tcPr>
                  <w:tcW w:w="620" w:type="pct"/>
                  <w:vAlign w:val="center"/>
                </w:tcPr>
                <w:p w14:paraId="591DBAC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439（纯水）</w:t>
                  </w:r>
                </w:p>
              </w:tc>
              <w:tc>
                <w:tcPr>
                  <w:tcW w:w="834" w:type="pct"/>
                  <w:vAlign w:val="center"/>
                </w:tcPr>
                <w:p w14:paraId="0364B9E5">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146.3</w:t>
                  </w:r>
                </w:p>
              </w:tc>
              <w:tc>
                <w:tcPr>
                  <w:tcW w:w="1792" w:type="pct"/>
                  <w:vMerge w:val="continue"/>
                  <w:vAlign w:val="center"/>
                </w:tcPr>
                <w:p w14:paraId="1215D8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pacing w:val="-6"/>
                      <w:sz w:val="21"/>
                      <w:szCs w:val="21"/>
                      <w:lang w:val="en-US" w:eastAsia="zh-CN"/>
                    </w:rPr>
                  </w:pPr>
                </w:p>
              </w:tc>
            </w:tr>
            <w:tr w14:paraId="79FA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1042" w:type="pct"/>
                  <w:vAlign w:val="center"/>
                </w:tcPr>
                <w:p w14:paraId="04289477">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eastAsia="zh-CN"/>
                    </w:rPr>
                  </w:pPr>
                  <w:r>
                    <w:rPr>
                      <w:rFonts w:hint="eastAsia" w:cs="Times New Roman"/>
                      <w:color w:val="auto"/>
                      <w:sz w:val="21"/>
                      <w:szCs w:val="21"/>
                      <w:lang w:val="en-US" w:eastAsia="zh-CN"/>
                    </w:rPr>
                    <w:t>冷却</w:t>
                  </w:r>
                  <w:r>
                    <w:rPr>
                      <w:rFonts w:hint="eastAsia" w:cs="Times New Roman"/>
                      <w:color w:val="auto"/>
                      <w:sz w:val="21"/>
                      <w:szCs w:val="21"/>
                      <w:lang w:eastAsia="zh-CN"/>
                    </w:rPr>
                    <w:t>用水</w:t>
                  </w:r>
                </w:p>
              </w:tc>
              <w:tc>
                <w:tcPr>
                  <w:tcW w:w="710" w:type="pct"/>
                  <w:vAlign w:val="center"/>
                </w:tcPr>
                <w:p w14:paraId="3A9FAB48">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439（纯水）</w:t>
                  </w:r>
                </w:p>
              </w:tc>
              <w:tc>
                <w:tcPr>
                  <w:tcW w:w="620" w:type="pct"/>
                  <w:vAlign w:val="center"/>
                </w:tcPr>
                <w:p w14:paraId="00BE820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55</w:t>
                  </w:r>
                </w:p>
              </w:tc>
              <w:tc>
                <w:tcPr>
                  <w:tcW w:w="834" w:type="pct"/>
                  <w:vAlign w:val="center"/>
                </w:tcPr>
                <w:p w14:paraId="3466629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384</w:t>
                  </w:r>
                </w:p>
              </w:tc>
              <w:tc>
                <w:tcPr>
                  <w:tcW w:w="1792" w:type="pct"/>
                  <w:vMerge w:val="continue"/>
                  <w:vAlign w:val="center"/>
                </w:tcPr>
                <w:p w14:paraId="54B466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pacing w:val="-6"/>
                      <w:sz w:val="21"/>
                      <w:szCs w:val="21"/>
                      <w:lang w:val="en-US" w:eastAsia="zh-CN"/>
                    </w:rPr>
                  </w:pPr>
                </w:p>
              </w:tc>
            </w:tr>
            <w:tr w14:paraId="0E04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42" w:type="pct"/>
                  <w:vAlign w:val="center"/>
                </w:tcPr>
                <w:p w14:paraId="466C69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总计</w:t>
                  </w:r>
                </w:p>
              </w:tc>
              <w:tc>
                <w:tcPr>
                  <w:tcW w:w="710" w:type="pct"/>
                  <w:vAlign w:val="center"/>
                </w:tcPr>
                <w:p w14:paraId="33BEA8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olor w:val="auto"/>
                      <w:sz w:val="21"/>
                      <w:szCs w:val="21"/>
                      <w:lang w:val="en-US" w:eastAsia="zh-CN"/>
                    </w:rPr>
                    <w:t>5265.3（</w:t>
                  </w:r>
                  <w:r>
                    <w:rPr>
                      <w:rFonts w:hint="eastAsia" w:cs="Times New Roman"/>
                      <w:color w:val="auto"/>
                      <w:sz w:val="21"/>
                      <w:szCs w:val="21"/>
                      <w:lang w:val="en-US" w:eastAsia="zh-CN"/>
                    </w:rPr>
                    <w:t>纯水不计入</w:t>
                  </w:r>
                  <w:r>
                    <w:rPr>
                      <w:rFonts w:hint="eastAsia"/>
                      <w:color w:val="auto"/>
                      <w:sz w:val="21"/>
                      <w:szCs w:val="21"/>
                      <w:lang w:val="en-US" w:eastAsia="zh-CN"/>
                    </w:rPr>
                    <w:t>）</w:t>
                  </w:r>
                </w:p>
              </w:tc>
              <w:tc>
                <w:tcPr>
                  <w:tcW w:w="620" w:type="pct"/>
                  <w:vAlign w:val="center"/>
                </w:tcPr>
                <w:p w14:paraId="320F4F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212.2</w:t>
                  </w:r>
                  <w:r>
                    <w:rPr>
                      <w:rFonts w:hint="eastAsia"/>
                      <w:color w:val="auto"/>
                      <w:sz w:val="21"/>
                      <w:szCs w:val="21"/>
                      <w:lang w:val="en-US" w:eastAsia="zh-CN"/>
                    </w:rPr>
                    <w:t>（</w:t>
                  </w:r>
                  <w:r>
                    <w:rPr>
                      <w:rFonts w:hint="eastAsia" w:cs="Times New Roman"/>
                      <w:color w:val="auto"/>
                      <w:sz w:val="21"/>
                      <w:szCs w:val="21"/>
                      <w:lang w:val="en-US" w:eastAsia="zh-CN"/>
                    </w:rPr>
                    <w:t>纯水不计入</w:t>
                  </w:r>
                  <w:r>
                    <w:rPr>
                      <w:rFonts w:hint="eastAsia"/>
                      <w:color w:val="auto"/>
                      <w:sz w:val="21"/>
                      <w:szCs w:val="21"/>
                      <w:lang w:val="en-US" w:eastAsia="zh-CN"/>
                    </w:rPr>
                    <w:t>）</w:t>
                  </w:r>
                </w:p>
              </w:tc>
              <w:tc>
                <w:tcPr>
                  <w:tcW w:w="834" w:type="pct"/>
                  <w:vAlign w:val="center"/>
                </w:tcPr>
                <w:p w14:paraId="6914FA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5053.1</w:t>
                  </w:r>
                </w:p>
              </w:tc>
              <w:tc>
                <w:tcPr>
                  <w:tcW w:w="1792" w:type="pct"/>
                  <w:vAlign w:val="center"/>
                </w:tcPr>
                <w:p w14:paraId="4D8C81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Cs/>
                      <w:color w:val="auto"/>
                      <w:spacing w:val="-6"/>
                      <w:sz w:val="21"/>
                      <w:szCs w:val="21"/>
                      <w:lang w:val="en-US" w:eastAsia="zh-CN"/>
                    </w:rPr>
                  </w:pPr>
                  <w:r>
                    <w:rPr>
                      <w:rFonts w:hint="eastAsia" w:cs="Times New Roman"/>
                      <w:bCs/>
                      <w:color w:val="auto"/>
                      <w:spacing w:val="-6"/>
                      <w:sz w:val="21"/>
                      <w:szCs w:val="21"/>
                      <w:lang w:val="en-US" w:eastAsia="zh-CN"/>
                    </w:rPr>
                    <w:t>/</w:t>
                  </w:r>
                </w:p>
              </w:tc>
            </w:tr>
          </w:tbl>
          <w:p w14:paraId="779D3F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color w:val="auto"/>
              </w:rPr>
            </w:pPr>
            <w:r>
              <w:rPr>
                <w:rFonts w:ascii="宋体" w:hAnsi="宋体" w:eastAsia="宋体" w:cs="宋体"/>
                <w:color w:val="auto"/>
                <w:kern w:val="0"/>
                <w:sz w:val="24"/>
                <w:szCs w:val="24"/>
                <w:lang w:val="en-US" w:eastAsia="zh-CN" w:bidi="ar"/>
              </w:rPr>
              <w:drawing>
                <wp:inline distT="0" distB="0" distL="114300" distR="114300">
                  <wp:extent cx="4886325" cy="3514725"/>
                  <wp:effectExtent l="0" t="0" r="9525" b="9525"/>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16"/>
                          <a:stretch>
                            <a:fillRect/>
                          </a:stretch>
                        </pic:blipFill>
                        <pic:spPr>
                          <a:xfrm>
                            <a:off x="0" y="0"/>
                            <a:ext cx="4886325" cy="3514725"/>
                          </a:xfrm>
                          <a:prstGeom prst="rect">
                            <a:avLst/>
                          </a:prstGeom>
                          <a:noFill/>
                          <a:ln w="9525">
                            <a:noFill/>
                          </a:ln>
                        </pic:spPr>
                      </pic:pic>
                    </a:graphicData>
                  </a:graphic>
                </wp:inline>
              </w:drawing>
            </w:r>
          </w:p>
          <w:p w14:paraId="7467145B">
            <w:pPr>
              <w:tabs>
                <w:tab w:val="left" w:pos="8607"/>
              </w:tabs>
              <w:spacing w:line="360" w:lineRule="auto"/>
              <w:ind w:firstLine="0" w:firstLineChars="0"/>
              <w:jc w:val="center"/>
              <w:rPr>
                <w:rFonts w:hint="default" w:ascii="Times New Roman" w:hAnsi="Times New Roman" w:cs="Times New Roman"/>
                <w:b/>
                <w:bCs/>
                <w:color w:val="auto"/>
                <w:sz w:val="21"/>
                <w:szCs w:val="21"/>
                <w:lang w:val="zh-CN"/>
              </w:rPr>
            </w:pPr>
            <w:r>
              <w:rPr>
                <w:rFonts w:hint="default" w:ascii="Times New Roman" w:hAnsi="Times New Roman" w:cs="Times New Roman"/>
                <w:b/>
                <w:bCs/>
                <w:color w:val="auto"/>
                <w:sz w:val="21"/>
                <w:szCs w:val="21"/>
                <w:lang w:val="zh-CN"/>
              </w:rPr>
              <w:t>图</w:t>
            </w:r>
            <w:r>
              <w:rPr>
                <w:rFonts w:hint="eastAsia" w:cs="Times New Roman"/>
                <w:b/>
                <w:bCs/>
                <w:color w:val="auto"/>
                <w:sz w:val="21"/>
                <w:szCs w:val="21"/>
                <w:lang w:val="en-US" w:eastAsia="zh-CN"/>
              </w:rPr>
              <w:t>1</w:t>
            </w:r>
            <w:r>
              <w:rPr>
                <w:rFonts w:hint="default" w:ascii="Times New Roman" w:hAnsi="Times New Roman" w:cs="Times New Roman"/>
                <w:b/>
                <w:bCs/>
                <w:color w:val="auto"/>
                <w:sz w:val="21"/>
                <w:szCs w:val="21"/>
                <w:lang w:val="zh-CN"/>
              </w:rPr>
              <w:t xml:space="preserve">  </w:t>
            </w:r>
            <w:r>
              <w:rPr>
                <w:rFonts w:hint="default" w:ascii="Times New Roman" w:hAnsi="Times New Roman" w:cs="Times New Roman"/>
                <w:b/>
                <w:bCs/>
                <w:color w:val="auto"/>
                <w:sz w:val="21"/>
                <w:szCs w:val="21"/>
              </w:rPr>
              <w:t>项目</w:t>
            </w:r>
            <w:r>
              <w:rPr>
                <w:rFonts w:hint="default" w:ascii="Times New Roman" w:hAnsi="Times New Roman" w:cs="Times New Roman"/>
                <w:b/>
                <w:bCs/>
                <w:color w:val="auto"/>
                <w:sz w:val="21"/>
                <w:szCs w:val="21"/>
                <w:lang w:val="zh-CN"/>
              </w:rPr>
              <w:t>水平衡图（m</w:t>
            </w:r>
            <w:r>
              <w:rPr>
                <w:rFonts w:hint="default" w:ascii="Times New Roman" w:hAnsi="Times New Roman" w:cs="Times New Roman"/>
                <w:b/>
                <w:bCs/>
                <w:color w:val="auto"/>
                <w:sz w:val="21"/>
                <w:szCs w:val="21"/>
                <w:vertAlign w:val="superscript"/>
                <w:lang w:val="zh-CN"/>
              </w:rPr>
              <w:t>3</w:t>
            </w:r>
            <w:r>
              <w:rPr>
                <w:rFonts w:hint="default" w:ascii="Times New Roman" w:hAnsi="Times New Roman" w:cs="Times New Roman"/>
                <w:b/>
                <w:bCs/>
                <w:color w:val="auto"/>
                <w:sz w:val="21"/>
                <w:szCs w:val="21"/>
                <w:lang w:val="zh-CN"/>
              </w:rPr>
              <w:t>/</w:t>
            </w:r>
            <w:r>
              <w:rPr>
                <w:rFonts w:hint="eastAsia" w:cs="Times New Roman"/>
                <w:b/>
                <w:bCs/>
                <w:color w:val="auto"/>
                <w:sz w:val="21"/>
                <w:szCs w:val="21"/>
                <w:lang w:val="en-US" w:eastAsia="zh-CN"/>
              </w:rPr>
              <w:t>a</w:t>
            </w:r>
            <w:r>
              <w:rPr>
                <w:rFonts w:hint="default" w:ascii="Times New Roman" w:hAnsi="Times New Roman" w:cs="Times New Roman"/>
                <w:b/>
                <w:bCs/>
                <w:color w:val="auto"/>
                <w:sz w:val="21"/>
                <w:szCs w:val="21"/>
                <w:lang w:val="zh-CN"/>
              </w:rPr>
              <w:t>）</w:t>
            </w:r>
          </w:p>
          <w:p w14:paraId="4A805714">
            <w:pPr>
              <w:spacing w:line="360" w:lineRule="auto"/>
              <w:ind w:firstLine="482"/>
              <w:rPr>
                <w:rFonts w:hint="default" w:ascii="Times New Roman" w:hAnsi="Times New Roman" w:cs="Times New Roman"/>
                <w:b/>
                <w:bCs/>
                <w:color w:val="auto"/>
              </w:rPr>
            </w:pPr>
            <w:r>
              <w:rPr>
                <w:rFonts w:hint="eastAsia" w:cs="Times New Roman"/>
                <w:b/>
                <w:bCs/>
                <w:color w:val="auto"/>
                <w:lang w:val="en-US" w:eastAsia="zh-CN"/>
              </w:rPr>
              <w:t>9.</w:t>
            </w:r>
            <w:r>
              <w:rPr>
                <w:rFonts w:hint="default" w:ascii="Times New Roman" w:hAnsi="Times New Roman" w:cs="Times New Roman"/>
                <w:b/>
                <w:bCs/>
                <w:color w:val="auto"/>
              </w:rPr>
              <w:t>项目总平面布置</w:t>
            </w:r>
          </w:p>
          <w:p w14:paraId="2B5110FB">
            <w:pPr>
              <w:ind w:firstLine="480"/>
              <w:rPr>
                <w:rFonts w:hint="default" w:ascii="Times New Roman" w:hAnsi="Times New Roman" w:cs="Times New Roman"/>
                <w:color w:val="auto"/>
              </w:rPr>
            </w:pPr>
            <w:r>
              <w:rPr>
                <w:rFonts w:hint="default" w:ascii="Times New Roman" w:hAnsi="Times New Roman" w:cs="Times New Roman"/>
                <w:color w:val="auto"/>
              </w:rPr>
              <w:t>本项目</w:t>
            </w:r>
            <w:r>
              <w:rPr>
                <w:rFonts w:hint="eastAsia" w:cs="Times New Roman"/>
                <w:color w:val="auto"/>
                <w:lang w:val="en-US" w:eastAsia="zh-CN"/>
              </w:rPr>
              <w:t>场地</w:t>
            </w:r>
            <w:r>
              <w:rPr>
                <w:rFonts w:hint="default" w:ascii="Times New Roman" w:hAnsi="Times New Roman" w:cs="Times New Roman"/>
                <w:color w:val="auto"/>
              </w:rPr>
              <w:t>整体呈矩形，</w:t>
            </w:r>
            <w:r>
              <w:rPr>
                <w:rFonts w:hint="eastAsia" w:cs="Times New Roman"/>
                <w:color w:val="auto"/>
                <w:lang w:val="en-US" w:eastAsia="zh-CN"/>
              </w:rPr>
              <w:t>北侧和东侧均设有出入口，车间西侧为办公区，东侧为生产区，车间东南角为原料卸货区，生产区从东至西依次为清洗间、操作间、挑选间、分拣间、包装间、检验室，分拣车间北侧为成品装车区，中间中部设有更衣室和洗消间，车间北部为冷藏室，清洗间南侧为导热油加热间</w:t>
            </w:r>
            <w:r>
              <w:rPr>
                <w:rFonts w:hint="default" w:ascii="Times New Roman" w:hAnsi="Times New Roman" w:cs="Times New Roman"/>
                <w:color w:val="auto"/>
              </w:rPr>
              <w:t>。本项目</w:t>
            </w:r>
            <w:r>
              <w:rPr>
                <w:rFonts w:hint="eastAsia" w:cs="Times New Roman"/>
                <w:color w:val="auto"/>
                <w:lang w:val="en-US" w:eastAsia="zh-CN"/>
              </w:rPr>
              <w:t>功能分区明确，</w:t>
            </w:r>
            <w:r>
              <w:rPr>
                <w:rFonts w:hint="default" w:ascii="Times New Roman" w:hAnsi="Times New Roman" w:cs="Times New Roman"/>
                <w:color w:val="auto"/>
                <w:szCs w:val="20"/>
              </w:rPr>
              <w:t>整体布局合理、</w:t>
            </w:r>
            <w:r>
              <w:rPr>
                <w:rFonts w:hint="default" w:ascii="Times New Roman" w:hAnsi="Times New Roman" w:cs="Times New Roman"/>
                <w:color w:val="auto"/>
              </w:rPr>
              <w:t>简单</w:t>
            </w:r>
            <w:r>
              <w:rPr>
                <w:rFonts w:hint="default" w:ascii="Times New Roman" w:hAnsi="Times New Roman" w:cs="Times New Roman"/>
                <w:color w:val="auto"/>
                <w:szCs w:val="20"/>
              </w:rPr>
              <w:t>，</w:t>
            </w:r>
            <w:r>
              <w:rPr>
                <w:rFonts w:hint="default" w:ascii="Times New Roman" w:hAnsi="Times New Roman" w:cs="Times New Roman"/>
                <w:color w:val="auto"/>
              </w:rPr>
              <w:t>能够满足项目的生产使用，平面布置合理。</w:t>
            </w:r>
          </w:p>
          <w:p w14:paraId="008EEC63">
            <w:pPr>
              <w:ind w:firstLine="480"/>
              <w:rPr>
                <w:rFonts w:hint="default" w:ascii="Times New Roman" w:hAnsi="Times New Roman" w:cs="Times New Roman"/>
                <w:color w:val="auto"/>
                <w:kern w:val="0"/>
                <w:lang w:bidi="ar"/>
              </w:rPr>
            </w:pPr>
            <w:r>
              <w:rPr>
                <w:rFonts w:hint="default" w:ascii="Times New Roman" w:hAnsi="Times New Roman" w:cs="Times New Roman"/>
                <w:color w:val="auto"/>
              </w:rPr>
              <w:t>平面布置图见附图</w:t>
            </w:r>
            <w:r>
              <w:rPr>
                <w:rFonts w:hint="eastAsia" w:cs="Times New Roman"/>
                <w:color w:val="auto"/>
                <w:lang w:val="en-US" w:eastAsia="zh-CN"/>
              </w:rPr>
              <w:t>4</w:t>
            </w:r>
            <w:r>
              <w:rPr>
                <w:rFonts w:hint="default" w:ascii="Times New Roman" w:hAnsi="Times New Roman" w:cs="Times New Roman"/>
                <w:color w:val="auto"/>
              </w:rPr>
              <w:t>。</w:t>
            </w:r>
          </w:p>
          <w:p w14:paraId="3F7481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color w:val="auto"/>
              </w:rPr>
            </w:pPr>
          </w:p>
          <w:p w14:paraId="0A0D6521">
            <w:pPr>
              <w:ind w:left="0" w:leftChars="0" w:firstLine="0" w:firstLineChars="0"/>
              <w:rPr>
                <w:rFonts w:hint="default" w:ascii="Times New Roman" w:hAnsi="Times New Roman" w:cs="Times New Roman"/>
                <w:color w:val="auto"/>
              </w:rPr>
            </w:pPr>
          </w:p>
        </w:tc>
      </w:tr>
      <w:tr w14:paraId="67CA99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62" w:hRule="atLeast"/>
          <w:jc w:val="center"/>
        </w:trPr>
        <w:tc>
          <w:tcPr>
            <w:tcW w:w="442" w:type="dxa"/>
            <w:vAlign w:val="center"/>
          </w:tcPr>
          <w:p w14:paraId="3ABA70A6">
            <w:pPr>
              <w:pStyle w:val="17"/>
              <w:adjustRightInd w:val="0"/>
              <w:snapToGrid w:val="0"/>
              <w:spacing w:before="0" w:beforeAutospacing="0" w:after="0" w:afterAutospacing="0"/>
              <w:ind w:firstLine="0" w:firstLineChars="0"/>
              <w:jc w:val="center"/>
              <w:rPr>
                <w:rFonts w:hint="default" w:ascii="Times New Roman" w:hAnsi="Times New Roman" w:cs="Times New Roman"/>
                <w:color w:val="auto"/>
                <w:szCs w:val="24"/>
              </w:rPr>
            </w:pPr>
            <w:r>
              <w:rPr>
                <w:rFonts w:hint="default" w:ascii="Times New Roman" w:hAnsi="Times New Roman" w:cs="Times New Roman"/>
                <w:color w:val="auto"/>
                <w:szCs w:val="24"/>
              </w:rPr>
              <w:t>工艺流程和产排污环节</w:t>
            </w:r>
          </w:p>
        </w:tc>
        <w:tc>
          <w:tcPr>
            <w:tcW w:w="8618" w:type="dxa"/>
          </w:tcPr>
          <w:p w14:paraId="25FB884C">
            <w:pPr>
              <w:ind w:firstLine="482"/>
              <w:rPr>
                <w:rFonts w:hint="default" w:ascii="Times New Roman" w:hAnsi="Times New Roman" w:cs="Times New Roman"/>
                <w:b/>
                <w:bCs/>
                <w:color w:val="auto"/>
              </w:rPr>
            </w:pPr>
            <w:r>
              <w:rPr>
                <w:rFonts w:hint="default" w:ascii="Times New Roman" w:hAnsi="Times New Roman" w:cs="Times New Roman"/>
                <w:b/>
                <w:bCs/>
                <w:color w:val="auto"/>
              </w:rPr>
              <w:t>一、施工期工艺流程</w:t>
            </w:r>
          </w:p>
          <w:p w14:paraId="0217D106">
            <w:pPr>
              <w:ind w:firstLine="480"/>
              <w:rPr>
                <w:rFonts w:hint="default" w:ascii="Times New Roman" w:hAnsi="Times New Roman" w:cs="Times New Roman"/>
                <w:color w:val="auto"/>
              </w:rPr>
            </w:pPr>
            <w:r>
              <w:rPr>
                <w:rFonts w:hint="default" w:ascii="Times New Roman" w:hAnsi="Times New Roman" w:cs="Times New Roman"/>
                <w:color w:val="auto"/>
              </w:rPr>
              <w:t>项目</w:t>
            </w:r>
            <w:r>
              <w:rPr>
                <w:rFonts w:hint="eastAsia" w:cs="Times New Roman"/>
                <w:color w:val="auto"/>
                <w:lang w:val="en-US" w:eastAsia="zh-CN"/>
              </w:rPr>
              <w:t>租赁已建厂房，施工期建设内容主要为设备安装</w:t>
            </w:r>
            <w:r>
              <w:rPr>
                <w:rFonts w:hint="default" w:ascii="Times New Roman" w:hAnsi="Times New Roman" w:cs="Times New Roman"/>
                <w:color w:val="auto"/>
              </w:rPr>
              <w:t>。施工期废气主要为</w:t>
            </w:r>
            <w:r>
              <w:rPr>
                <w:rFonts w:hint="eastAsia" w:cs="Times New Roman"/>
                <w:color w:val="auto"/>
                <w:lang w:val="en-US" w:eastAsia="zh-CN"/>
              </w:rPr>
              <w:t>扬尘</w:t>
            </w:r>
            <w:r>
              <w:rPr>
                <w:rFonts w:hint="default" w:ascii="Times New Roman" w:hAnsi="Times New Roman" w:cs="Times New Roman"/>
                <w:color w:val="auto"/>
                <w:lang w:eastAsia="zh-CN"/>
              </w:rPr>
              <w:t>、机械废气</w:t>
            </w:r>
            <w:r>
              <w:rPr>
                <w:rFonts w:hint="default" w:ascii="Times New Roman" w:hAnsi="Times New Roman" w:cs="Times New Roman"/>
                <w:color w:val="auto"/>
              </w:rPr>
              <w:t>等，为无组织排放；废水主要为施工人员生活污水；施工期噪声主要为施工机械产生的噪声；固体废物主要为</w:t>
            </w:r>
            <w:r>
              <w:rPr>
                <w:rFonts w:hint="eastAsia" w:cs="Times New Roman"/>
                <w:color w:val="auto"/>
                <w:lang w:val="en-US" w:eastAsia="zh-CN"/>
              </w:rPr>
              <w:t>设备废包装材料</w:t>
            </w:r>
            <w:r>
              <w:rPr>
                <w:rFonts w:hint="default" w:ascii="Times New Roman" w:hAnsi="Times New Roman" w:cs="Times New Roman"/>
                <w:color w:val="auto"/>
              </w:rPr>
              <w:t>和施工人员生活垃圾。</w:t>
            </w:r>
          </w:p>
          <w:p w14:paraId="6E9EFC3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二、运营期工艺流程</w:t>
            </w:r>
          </w:p>
          <w:p w14:paraId="5D129B0D">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val="0"/>
                <w:bCs w:val="0"/>
                <w:color w:val="auto"/>
                <w:kern w:val="0"/>
              </w:rPr>
            </w:pPr>
            <w:r>
              <w:rPr>
                <w:rFonts w:hint="default" w:ascii="Times New Roman" w:hAnsi="Times New Roman" w:cs="Times New Roman"/>
                <w:color w:val="auto"/>
                <w:szCs w:val="20"/>
              </w:rPr>
              <w:t>本项目</w:t>
            </w:r>
            <w:r>
              <w:rPr>
                <w:rFonts w:hint="eastAsia" w:cs="Times New Roman"/>
                <w:color w:val="auto"/>
                <w:szCs w:val="20"/>
                <w:lang w:val="en-US" w:eastAsia="zh-CN"/>
              </w:rPr>
              <w:t>设1条</w:t>
            </w:r>
            <w:r>
              <w:rPr>
                <w:rFonts w:hint="eastAsia" w:cs="Times New Roman"/>
                <w:color w:val="auto"/>
                <w:lang w:val="en-US" w:eastAsia="zh-CN"/>
              </w:rPr>
              <w:t>小龙虾加工生产线</w:t>
            </w:r>
            <w:r>
              <w:rPr>
                <w:rFonts w:hint="eastAsia" w:cs="Times New Roman"/>
                <w:color w:val="auto"/>
                <w:szCs w:val="20"/>
                <w:lang w:val="en-US" w:eastAsia="zh-CN"/>
              </w:rPr>
              <w:t>，产品为</w:t>
            </w:r>
            <w:r>
              <w:rPr>
                <w:rFonts w:hint="default" w:ascii="Times New Roman" w:hAnsi="Times New Roman" w:cs="Times New Roman"/>
                <w:color w:val="auto"/>
                <w:szCs w:val="20"/>
                <w:lang w:val="en-US" w:eastAsia="zh-CN"/>
              </w:rPr>
              <w:t>油炸小龙虾</w:t>
            </w:r>
            <w:r>
              <w:rPr>
                <w:rFonts w:hint="eastAsia" w:cs="Times New Roman"/>
                <w:color w:val="auto"/>
                <w:szCs w:val="20"/>
                <w:lang w:val="en-US" w:eastAsia="zh-CN"/>
              </w:rPr>
              <w:t>和</w:t>
            </w:r>
            <w:r>
              <w:rPr>
                <w:rFonts w:hint="default" w:ascii="Times New Roman" w:hAnsi="Times New Roman" w:cs="Times New Roman"/>
                <w:color w:val="auto"/>
                <w:szCs w:val="20"/>
                <w:lang w:val="en-US" w:eastAsia="zh-CN"/>
              </w:rPr>
              <w:t>锁鲜小龙虾</w:t>
            </w:r>
            <w:r>
              <w:rPr>
                <w:rFonts w:hint="eastAsia" w:cs="Times New Roman"/>
                <w:color w:val="auto"/>
                <w:szCs w:val="20"/>
                <w:lang w:val="en-US" w:eastAsia="zh-CN"/>
              </w:rPr>
              <w:t>，</w:t>
            </w:r>
            <w:r>
              <w:rPr>
                <w:rFonts w:hint="default" w:ascii="Times New Roman" w:hAnsi="Times New Roman" w:cs="Times New Roman"/>
                <w:color w:val="auto"/>
                <w:szCs w:val="20"/>
                <w:lang w:val="en-US" w:eastAsia="zh-CN"/>
              </w:rPr>
              <w:t>锁鲜小龙虾</w:t>
            </w:r>
            <w:r>
              <w:rPr>
                <w:rFonts w:hint="eastAsia" w:cs="Times New Roman"/>
                <w:color w:val="auto"/>
                <w:szCs w:val="20"/>
                <w:lang w:val="en-US" w:eastAsia="zh-CN"/>
              </w:rPr>
              <w:t>有冰水冷却工艺，其余工艺流程均一致，具体</w:t>
            </w:r>
            <w:r>
              <w:rPr>
                <w:rFonts w:hint="default" w:ascii="Times New Roman" w:hAnsi="Times New Roman" w:cs="Times New Roman"/>
                <w:b w:val="0"/>
                <w:bCs w:val="0"/>
                <w:color w:val="auto"/>
                <w:kern w:val="0"/>
              </w:rPr>
              <w:t>工艺流程</w:t>
            </w:r>
            <w:r>
              <w:rPr>
                <w:rFonts w:hint="eastAsia" w:cs="Times New Roman"/>
                <w:b w:val="0"/>
                <w:bCs w:val="0"/>
                <w:color w:val="auto"/>
                <w:kern w:val="0"/>
                <w:lang w:val="en-US" w:eastAsia="zh-CN"/>
              </w:rPr>
              <w:t>如下</w:t>
            </w:r>
            <w:r>
              <w:rPr>
                <w:rFonts w:hint="default" w:ascii="Times New Roman" w:hAnsi="Times New Roman" w:cs="Times New Roman"/>
                <w:b w:val="0"/>
                <w:bCs w:val="0"/>
                <w:color w:val="auto"/>
                <w:kern w:val="0"/>
              </w:rPr>
              <w:t>：</w:t>
            </w:r>
          </w:p>
          <w:p w14:paraId="1E7475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color w:val="auto"/>
              </w:rPr>
            </w:pPr>
            <w:r>
              <w:rPr>
                <w:rFonts w:ascii="宋体" w:hAnsi="宋体" w:eastAsia="宋体" w:cs="宋体"/>
                <w:color w:val="auto"/>
                <w:kern w:val="0"/>
                <w:sz w:val="24"/>
                <w:szCs w:val="24"/>
                <w:lang w:val="en-US" w:eastAsia="zh-CN" w:bidi="ar"/>
              </w:rPr>
              <w:drawing>
                <wp:inline distT="0" distB="0" distL="114300" distR="114300">
                  <wp:extent cx="2419350" cy="3857625"/>
                  <wp:effectExtent l="0" t="0" r="0" b="9525"/>
                  <wp:docPr id="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56"/>
                          <pic:cNvPicPr>
                            <a:picLocks noChangeAspect="1"/>
                          </pic:cNvPicPr>
                        </pic:nvPicPr>
                        <pic:blipFill>
                          <a:blip r:embed="rId17"/>
                          <a:stretch>
                            <a:fillRect/>
                          </a:stretch>
                        </pic:blipFill>
                        <pic:spPr>
                          <a:xfrm>
                            <a:off x="0" y="0"/>
                            <a:ext cx="2419350" cy="3857625"/>
                          </a:xfrm>
                          <a:prstGeom prst="rect">
                            <a:avLst/>
                          </a:prstGeom>
                          <a:noFill/>
                          <a:ln w="9525">
                            <a:noFill/>
                          </a:ln>
                        </pic:spPr>
                      </pic:pic>
                    </a:graphicData>
                  </a:graphic>
                </wp:inline>
              </w:drawing>
            </w:r>
          </w:p>
          <w:p w14:paraId="28597E92">
            <w:pPr>
              <w:spacing w:line="36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图</w:t>
            </w:r>
            <w:r>
              <w:rPr>
                <w:rFonts w:hint="eastAsia" w:cs="Times New Roman"/>
                <w:b/>
                <w:bCs/>
                <w:color w:val="auto"/>
                <w:sz w:val="21"/>
                <w:szCs w:val="21"/>
                <w:lang w:val="en-US" w:eastAsia="zh-CN"/>
              </w:rPr>
              <w:t xml:space="preserve">2 </w:t>
            </w:r>
            <w:r>
              <w:rPr>
                <w:rFonts w:hint="default" w:ascii="Times New Roman" w:hAnsi="Times New Roman" w:cs="Times New Roman"/>
                <w:b/>
                <w:bCs/>
                <w:color w:val="auto"/>
                <w:sz w:val="21"/>
                <w:szCs w:val="21"/>
              </w:rPr>
              <w:t xml:space="preserve"> </w:t>
            </w:r>
            <w:r>
              <w:rPr>
                <w:rFonts w:hint="eastAsia" w:cs="Times New Roman"/>
                <w:b/>
                <w:bCs/>
                <w:color w:val="auto"/>
                <w:sz w:val="21"/>
                <w:szCs w:val="21"/>
                <w:lang w:val="en-US" w:eastAsia="zh-CN"/>
              </w:rPr>
              <w:t>项目</w:t>
            </w:r>
            <w:r>
              <w:rPr>
                <w:rFonts w:hint="default" w:ascii="Times New Roman" w:hAnsi="Times New Roman" w:cs="Times New Roman"/>
                <w:b/>
                <w:bCs/>
                <w:color w:val="auto"/>
                <w:sz w:val="21"/>
                <w:szCs w:val="21"/>
              </w:rPr>
              <w:t>生产工艺流程及产污环节图</w:t>
            </w:r>
          </w:p>
          <w:p w14:paraId="73BD5F41">
            <w:pPr>
              <w:numPr>
                <w:ilvl w:val="0"/>
                <w:numId w:val="0"/>
              </w:numPr>
              <w:spacing w:line="360" w:lineRule="auto"/>
              <w:ind w:firstLine="480" w:firstLineChars="200"/>
              <w:rPr>
                <w:rFonts w:hint="eastAsia" w:cs="Times New Roman"/>
                <w:color w:val="auto"/>
                <w:szCs w:val="20"/>
                <w:lang w:val="en-US" w:eastAsia="zh-CN"/>
              </w:rPr>
            </w:pPr>
            <w:r>
              <w:rPr>
                <w:rFonts w:hint="eastAsia" w:ascii="Times New Roman" w:hAnsi="Times New Roman" w:eastAsia="宋体" w:cs="Times New Roman"/>
                <w:color w:val="auto"/>
                <w:kern w:val="2"/>
                <w:sz w:val="24"/>
                <w:szCs w:val="20"/>
                <w:lang w:val="en-US" w:eastAsia="zh-CN" w:bidi="ar-SA"/>
              </w:rPr>
              <w:t>1.</w:t>
            </w:r>
            <w:r>
              <w:rPr>
                <w:rFonts w:hint="eastAsia" w:cs="Times New Roman"/>
                <w:color w:val="auto"/>
                <w:szCs w:val="20"/>
                <w:lang w:val="en-US" w:eastAsia="zh-CN"/>
              </w:rPr>
              <w:t>筛选：原料小龙虾经提升机进入直条筛，筛出尺寸较小的小龙虾废弃。</w:t>
            </w:r>
          </w:p>
          <w:p w14:paraId="25A70E5C">
            <w:pPr>
              <w:spacing w:line="360" w:lineRule="auto"/>
              <w:ind w:firstLine="480"/>
              <w:rPr>
                <w:rFonts w:hint="eastAsia" w:cs="Times New Roman"/>
                <w:color w:val="auto"/>
                <w:szCs w:val="20"/>
                <w:lang w:val="en-US" w:eastAsia="zh-CN"/>
              </w:rPr>
            </w:pPr>
            <w:r>
              <w:rPr>
                <w:rFonts w:hint="eastAsia" w:cs="Times New Roman"/>
                <w:color w:val="auto"/>
                <w:szCs w:val="20"/>
                <w:lang w:val="en-US" w:eastAsia="zh-CN"/>
              </w:rPr>
              <w:t>2.吐沙：筛选后的小龙虾进入气泡储虾池，池内添加水柠檬酸，小龙虾在里面吐尽体内泥沙等污物，时间约30分钟，然后以冲击气泡的方式初步冲洗掉小龙虾体表的泥沙与杂质。</w:t>
            </w:r>
          </w:p>
          <w:p w14:paraId="28A698AA">
            <w:pPr>
              <w:spacing w:line="360" w:lineRule="auto"/>
              <w:ind w:firstLine="480"/>
              <w:rPr>
                <w:rFonts w:hint="eastAsia" w:cs="Times New Roman"/>
                <w:color w:val="auto"/>
                <w:szCs w:val="20"/>
                <w:lang w:val="en-US" w:eastAsia="zh-CN"/>
              </w:rPr>
            </w:pPr>
            <w:r>
              <w:rPr>
                <w:rFonts w:hint="eastAsia" w:cs="Times New Roman"/>
                <w:color w:val="auto"/>
                <w:szCs w:val="20"/>
                <w:lang w:val="en-US" w:eastAsia="zh-CN"/>
              </w:rPr>
              <w:t>3.清洗：设3道清洗工艺，均使用清水，第一次清洗去除小龙虾体表的污物；第二次以气泡翻滚的方式进一步去除小龙虾体表的污垢；最后再用清水清洗，确保清洗彻底，小龙虾体表无污物。</w:t>
            </w:r>
          </w:p>
          <w:p w14:paraId="1728492D">
            <w:pPr>
              <w:spacing w:line="360" w:lineRule="auto"/>
              <w:ind w:firstLine="480"/>
              <w:rPr>
                <w:rFonts w:hint="eastAsia" w:cs="Times New Roman"/>
                <w:color w:val="auto"/>
                <w:szCs w:val="20"/>
                <w:lang w:val="en-US" w:eastAsia="zh-CN"/>
              </w:rPr>
            </w:pPr>
            <w:r>
              <w:rPr>
                <w:rFonts w:hint="eastAsia" w:cs="Times New Roman"/>
                <w:color w:val="auto"/>
                <w:szCs w:val="20"/>
                <w:lang w:val="en-US" w:eastAsia="zh-CN"/>
              </w:rPr>
              <w:t>4.风干：洗净的小龙虾置于有强风循环的风干通道，利用大风力快速去除表面水分，使小龙虾表面干爽，利于油炸时均匀受热且减少炸锅溅油现象。</w:t>
            </w:r>
          </w:p>
          <w:p w14:paraId="477AF0AC">
            <w:pPr>
              <w:spacing w:line="360" w:lineRule="auto"/>
              <w:ind w:firstLine="480"/>
              <w:rPr>
                <w:rFonts w:hint="default" w:cs="Times New Roman"/>
                <w:color w:val="auto"/>
                <w:szCs w:val="20"/>
                <w:lang w:val="en-US" w:eastAsia="zh-CN"/>
              </w:rPr>
            </w:pPr>
            <w:r>
              <w:rPr>
                <w:rFonts w:hint="eastAsia" w:cs="Times New Roman"/>
                <w:color w:val="auto"/>
                <w:szCs w:val="20"/>
                <w:lang w:val="en-US" w:eastAsia="zh-CN"/>
              </w:rPr>
              <w:t>5.油炸：把风干后的小龙虾投入温度达170℃</w:t>
            </w:r>
            <w:r>
              <w:rPr>
                <w:rFonts w:hint="default" w:ascii="Times New Roman" w:hAnsi="Times New Roman" w:cs="Times New Roman"/>
                <w:color w:val="auto"/>
                <w:sz w:val="21"/>
                <w:szCs w:val="21"/>
                <w:lang w:val="en-US" w:eastAsia="zh-CN"/>
              </w:rPr>
              <w:t>～</w:t>
            </w:r>
            <w:r>
              <w:rPr>
                <w:rFonts w:hint="eastAsia" w:cs="Times New Roman"/>
                <w:color w:val="auto"/>
                <w:szCs w:val="20"/>
                <w:lang w:val="en-US" w:eastAsia="zh-CN"/>
              </w:rPr>
              <w:t>180℃的优质食用油锅中，快速油炸18</w:t>
            </w:r>
            <w:r>
              <w:rPr>
                <w:rFonts w:hint="default" w:ascii="Times New Roman" w:hAnsi="Times New Roman" w:cs="Times New Roman"/>
                <w:color w:val="auto"/>
                <w:sz w:val="21"/>
                <w:szCs w:val="21"/>
                <w:lang w:val="en-US" w:eastAsia="zh-CN"/>
              </w:rPr>
              <w:t>～</w:t>
            </w:r>
            <w:r>
              <w:rPr>
                <w:rFonts w:hint="eastAsia" w:cs="Times New Roman"/>
                <w:color w:val="auto"/>
                <w:szCs w:val="20"/>
                <w:lang w:val="en-US" w:eastAsia="zh-CN"/>
              </w:rPr>
              <w:t>35秒，期间持续搅拌，让小龙虾外壳炸至金黄酥脆，虾肉熟透。项目设2台导热油炉，食用油通过导热油间接加热。项目定期对食用油进行检验，检验指标为酸价和过氧化值，采用试纸法检验，对不满足要求的食用油进行更换。</w:t>
            </w:r>
          </w:p>
          <w:p w14:paraId="666506BE">
            <w:pPr>
              <w:spacing w:line="360" w:lineRule="auto"/>
              <w:ind w:firstLine="480"/>
              <w:rPr>
                <w:rFonts w:hint="eastAsia" w:cs="Times New Roman"/>
                <w:color w:val="auto"/>
                <w:szCs w:val="20"/>
                <w:lang w:val="en-US" w:eastAsia="zh-CN"/>
              </w:rPr>
            </w:pPr>
            <w:r>
              <w:rPr>
                <w:rFonts w:hint="eastAsia" w:cs="Times New Roman"/>
                <w:color w:val="auto"/>
                <w:szCs w:val="20"/>
                <w:lang w:val="en-US" w:eastAsia="zh-CN"/>
              </w:rPr>
              <w:t>6.沥油：炸好的小龙虾捞出后放置在沥油架上，自然沥油，减少表面油脂附着，使其口感更清爽，沥下来的油进入沥油架下的收集槽内，回用于油炸工序。</w:t>
            </w:r>
          </w:p>
          <w:p w14:paraId="5DA678CE">
            <w:pPr>
              <w:spacing w:line="360" w:lineRule="auto"/>
              <w:ind w:firstLine="480"/>
              <w:rPr>
                <w:rFonts w:hint="default" w:cs="Times New Roman"/>
                <w:color w:val="auto"/>
                <w:szCs w:val="20"/>
                <w:lang w:val="en-US" w:eastAsia="zh-CN"/>
              </w:rPr>
            </w:pPr>
            <w:r>
              <w:rPr>
                <w:rFonts w:hint="eastAsia" w:cs="Times New Roman"/>
                <w:color w:val="auto"/>
                <w:szCs w:val="20"/>
                <w:lang w:val="en-US" w:eastAsia="zh-CN"/>
              </w:rPr>
              <w:t>7.冰水冷却：仅锁鲜小龙虾使用此工艺，冰水中加入</w:t>
            </w:r>
            <w:r>
              <w:rPr>
                <w:rFonts w:hint="default" w:ascii="Times New Roman" w:hAnsi="Times New Roman" w:cs="Times New Roman"/>
                <w:color w:val="auto"/>
                <w:sz w:val="24"/>
                <w:szCs w:val="24"/>
                <w:lang w:eastAsia="zh-CN"/>
              </w:rPr>
              <w:t>食用盐</w:t>
            </w:r>
            <w:r>
              <w:rPr>
                <w:rFonts w:hint="eastAsia" w:cs="Times New Roman"/>
                <w:color w:val="auto"/>
                <w:sz w:val="24"/>
                <w:szCs w:val="24"/>
                <w:lang w:val="en-US" w:eastAsia="zh-CN"/>
              </w:rPr>
              <w:t>和姜黄粉，</w:t>
            </w:r>
            <w:r>
              <w:rPr>
                <w:rFonts w:hint="eastAsia" w:cs="Times New Roman"/>
                <w:color w:val="auto"/>
                <w:szCs w:val="20"/>
                <w:lang w:val="en-US" w:eastAsia="zh-CN"/>
              </w:rPr>
              <w:t>沥油后的小龙虾迅速浸入0℃</w:t>
            </w:r>
            <w:r>
              <w:rPr>
                <w:rFonts w:hint="default" w:ascii="Times New Roman" w:hAnsi="Times New Roman" w:cs="Times New Roman"/>
                <w:color w:val="auto"/>
                <w:sz w:val="21"/>
                <w:szCs w:val="21"/>
                <w:lang w:val="en-US" w:eastAsia="zh-CN"/>
              </w:rPr>
              <w:t>～</w:t>
            </w:r>
            <w:r>
              <w:rPr>
                <w:rFonts w:hint="eastAsia" w:cs="Times New Roman"/>
                <w:color w:val="auto"/>
                <w:szCs w:val="20"/>
                <w:lang w:val="en-US" w:eastAsia="zh-CN"/>
              </w:rPr>
              <w:t>8℃的冰水中浸泡9</w:t>
            </w:r>
            <w:r>
              <w:rPr>
                <w:rFonts w:hint="default" w:ascii="Times New Roman" w:hAnsi="Times New Roman" w:cs="Times New Roman"/>
                <w:color w:val="auto"/>
                <w:sz w:val="21"/>
                <w:szCs w:val="21"/>
                <w:lang w:val="en-US" w:eastAsia="zh-CN"/>
              </w:rPr>
              <w:t>～</w:t>
            </w:r>
            <w:r>
              <w:rPr>
                <w:rFonts w:hint="eastAsia" w:cs="Times New Roman"/>
                <w:color w:val="auto"/>
                <w:szCs w:val="20"/>
                <w:lang w:val="en-US" w:eastAsia="zh-CN"/>
              </w:rPr>
              <w:t>15分钟，快速冷却虾肉，锁住水分与鲜味，还能使小龙虾肉质更紧实有弹性。冰水使用净化后的纯水，5天更换一次，净水器采用RO反渗透工艺。</w:t>
            </w:r>
          </w:p>
          <w:p w14:paraId="4B15EA2D">
            <w:pPr>
              <w:spacing w:line="360" w:lineRule="auto"/>
              <w:ind w:firstLine="480"/>
              <w:rPr>
                <w:rFonts w:hint="eastAsia" w:cs="Times New Roman"/>
                <w:color w:val="auto"/>
                <w:szCs w:val="20"/>
                <w:lang w:val="en-US" w:eastAsia="zh-CN"/>
              </w:rPr>
            </w:pPr>
            <w:r>
              <w:rPr>
                <w:rFonts w:hint="eastAsia" w:cs="Times New Roman"/>
                <w:color w:val="auto"/>
                <w:szCs w:val="20"/>
                <w:lang w:val="en-US" w:eastAsia="zh-CN"/>
              </w:rPr>
              <w:t>8.包装入库：加工后的小龙虾按订单规格装入食品级包装袋或包装盒内，放入冷藏室。</w:t>
            </w:r>
          </w:p>
          <w:p w14:paraId="3F292F8E">
            <w:pPr>
              <w:spacing w:line="360" w:lineRule="auto"/>
              <w:ind w:firstLine="482"/>
              <w:rPr>
                <w:rFonts w:hint="default" w:ascii="Times New Roman" w:hAnsi="Times New Roman" w:cs="Times New Roman"/>
                <w:b/>
                <w:bCs/>
                <w:color w:val="auto"/>
              </w:rPr>
            </w:pPr>
            <w:r>
              <w:rPr>
                <w:rFonts w:hint="default" w:ascii="Times New Roman" w:hAnsi="Times New Roman" w:cs="Times New Roman"/>
                <w:b/>
                <w:bCs/>
                <w:color w:val="auto"/>
              </w:rPr>
              <w:t>产污环节说明：</w:t>
            </w:r>
          </w:p>
          <w:p w14:paraId="678D22D0">
            <w:pPr>
              <w:numPr>
                <w:ilvl w:val="0"/>
                <w:numId w:val="0"/>
              </w:numPr>
              <w:spacing w:line="360" w:lineRule="auto"/>
              <w:ind w:firstLine="480" w:firstLineChars="200"/>
              <w:rPr>
                <w:rFonts w:hint="default" w:cs="Times New Roman"/>
                <w:color w:val="auto"/>
                <w:lang w:val="en-US" w:eastAsia="zh-CN"/>
              </w:rPr>
            </w:pPr>
            <w:r>
              <w:rPr>
                <w:rFonts w:hint="eastAsia" w:cs="Times New Roman"/>
                <w:color w:val="auto"/>
                <w:lang w:val="en-US" w:eastAsia="zh-CN"/>
              </w:rPr>
              <w:t>根据</w:t>
            </w:r>
            <w:r>
              <w:rPr>
                <w:rFonts w:hint="eastAsia" w:ascii="Times New Roman" w:hAnsi="Times New Roman" w:cs="Times New Roman"/>
                <w:color w:val="auto"/>
                <w:lang w:val="en-US" w:eastAsia="zh-CN"/>
              </w:rPr>
              <w:t xml:space="preserve">《排污许可证申请与核发技术规范 </w:t>
            </w:r>
            <w:r>
              <w:rPr>
                <w:rFonts w:hint="eastAsia" w:cs="Times New Roman"/>
                <w:color w:val="auto"/>
                <w:lang w:val="en-US" w:eastAsia="zh-CN"/>
              </w:rPr>
              <w:t>农副食品加工业-水产品加工工业</w:t>
            </w:r>
            <w:r>
              <w:rPr>
                <w:rFonts w:hint="eastAsia" w:ascii="Times New Roman" w:hAnsi="Times New Roman" w:cs="Times New Roman"/>
                <w:color w:val="auto"/>
                <w:lang w:val="en-US" w:eastAsia="zh-CN"/>
              </w:rPr>
              <w:t>》（HJ1</w:t>
            </w:r>
            <w:r>
              <w:rPr>
                <w:rFonts w:hint="eastAsia" w:cs="Times New Roman"/>
                <w:color w:val="auto"/>
                <w:lang w:val="en-US" w:eastAsia="zh-CN"/>
              </w:rPr>
              <w:t>109</w:t>
            </w:r>
            <w:r>
              <w:rPr>
                <w:rFonts w:hint="eastAsia" w:ascii="Times New Roman" w:hAnsi="Times New Roman" w:cs="Times New Roman"/>
                <w:color w:val="auto"/>
                <w:lang w:val="en-US" w:eastAsia="zh-CN"/>
              </w:rPr>
              <w:t>-20</w:t>
            </w:r>
            <w:r>
              <w:rPr>
                <w:rFonts w:hint="eastAsia" w:cs="Times New Roman"/>
                <w:color w:val="auto"/>
                <w:lang w:val="en-US" w:eastAsia="zh-CN"/>
              </w:rPr>
              <w:t>20</w:t>
            </w:r>
            <w:r>
              <w:rPr>
                <w:rFonts w:hint="eastAsia" w:ascii="Times New Roman" w:hAnsi="Times New Roman" w:cs="Times New Roman"/>
                <w:color w:val="auto"/>
                <w:lang w:val="en-US" w:eastAsia="zh-CN"/>
              </w:rPr>
              <w:t>）</w:t>
            </w:r>
            <w:r>
              <w:rPr>
                <w:rFonts w:hint="eastAsia" w:cs="Times New Roman"/>
                <w:color w:val="auto"/>
                <w:lang w:val="en-US" w:eastAsia="zh-CN"/>
              </w:rPr>
              <w:t>和</w:t>
            </w:r>
            <w:r>
              <w:rPr>
                <w:rFonts w:hint="eastAsia" w:ascii="Times New Roman" w:hAnsi="Times New Roman" w:cs="Times New Roman"/>
                <w:color w:val="auto"/>
                <w:lang w:val="en-US" w:eastAsia="zh-CN"/>
              </w:rPr>
              <w:t xml:space="preserve">《排污许可证申请与核发技术规范 </w:t>
            </w:r>
            <w:r>
              <w:rPr>
                <w:rFonts w:hint="eastAsia" w:cs="Times New Roman"/>
                <w:color w:val="auto"/>
                <w:lang w:val="en-US" w:eastAsia="zh-CN"/>
              </w:rPr>
              <w:t>锅炉</w:t>
            </w:r>
            <w:r>
              <w:rPr>
                <w:rFonts w:hint="eastAsia" w:ascii="Times New Roman" w:hAnsi="Times New Roman" w:cs="Times New Roman"/>
                <w:color w:val="auto"/>
                <w:lang w:val="en-US" w:eastAsia="zh-CN"/>
              </w:rPr>
              <w:t>》（HJ</w:t>
            </w:r>
            <w:r>
              <w:rPr>
                <w:rFonts w:hint="eastAsia" w:cs="Times New Roman"/>
                <w:color w:val="auto"/>
                <w:lang w:val="en-US" w:eastAsia="zh-CN"/>
              </w:rPr>
              <w:t>953</w:t>
            </w:r>
            <w:r>
              <w:rPr>
                <w:rFonts w:hint="eastAsia" w:ascii="Times New Roman" w:hAnsi="Times New Roman" w:cs="Times New Roman"/>
                <w:color w:val="auto"/>
                <w:lang w:val="en-US" w:eastAsia="zh-CN"/>
              </w:rPr>
              <w:t>-20</w:t>
            </w:r>
            <w:r>
              <w:rPr>
                <w:rFonts w:hint="eastAsia" w:cs="Times New Roman"/>
                <w:color w:val="auto"/>
                <w:lang w:val="en-US" w:eastAsia="zh-CN"/>
              </w:rPr>
              <w:t>18</w:t>
            </w:r>
            <w:r>
              <w:rPr>
                <w:rFonts w:hint="eastAsia" w:ascii="Times New Roman" w:hAnsi="Times New Roman" w:cs="Times New Roman"/>
                <w:color w:val="auto"/>
                <w:lang w:val="en-US" w:eastAsia="zh-CN"/>
              </w:rPr>
              <w:t>）</w:t>
            </w:r>
            <w:r>
              <w:rPr>
                <w:rFonts w:hint="eastAsia" w:cs="Times New Roman"/>
                <w:color w:val="auto"/>
                <w:lang w:val="en-US" w:eastAsia="zh-CN"/>
              </w:rPr>
              <w:t>，项目产污环节见下表。</w:t>
            </w:r>
          </w:p>
          <w:p w14:paraId="2BB82117">
            <w:pPr>
              <w:spacing w:line="36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表2-</w:t>
            </w:r>
            <w:r>
              <w:rPr>
                <w:rFonts w:hint="eastAsia" w:cs="Times New Roman"/>
                <w:b/>
                <w:bCs/>
                <w:color w:val="auto"/>
                <w:sz w:val="21"/>
                <w:szCs w:val="21"/>
                <w:lang w:val="en-US" w:eastAsia="zh-CN"/>
              </w:rPr>
              <w:t>11</w:t>
            </w:r>
            <w:r>
              <w:rPr>
                <w:rFonts w:hint="default" w:ascii="Times New Roman" w:hAnsi="Times New Roman" w:eastAsia="宋体" w:cs="Times New Roman"/>
                <w:b/>
                <w:bCs/>
                <w:color w:val="auto"/>
                <w:sz w:val="21"/>
                <w:szCs w:val="21"/>
              </w:rPr>
              <w:t xml:space="preserve">  项目产污环节一览表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875"/>
              <w:gridCol w:w="2073"/>
              <w:gridCol w:w="4792"/>
            </w:tblGrid>
            <w:tr w14:paraId="1070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901" w:type="pct"/>
                  <w:gridSpan w:val="2"/>
                  <w:vAlign w:val="center"/>
                </w:tcPr>
                <w:p w14:paraId="10832451">
                  <w:pPr>
                    <w:pStyle w:val="49"/>
                    <w:jc w:val="center"/>
                    <w:rPr>
                      <w:rFonts w:hint="default" w:ascii="Times New Roman" w:hAnsi="Times New Roman" w:cs="Times New Roman"/>
                      <w:color w:val="auto"/>
                    </w:rPr>
                  </w:pPr>
                  <w:r>
                    <w:rPr>
                      <w:rFonts w:hint="default" w:ascii="Times New Roman" w:hAnsi="Times New Roman" w:cs="Times New Roman"/>
                      <w:color w:val="auto"/>
                    </w:rPr>
                    <w:t>项目</w:t>
                  </w:r>
                </w:p>
              </w:tc>
              <w:tc>
                <w:tcPr>
                  <w:tcW w:w="1237" w:type="pct"/>
                  <w:vAlign w:val="center"/>
                </w:tcPr>
                <w:p w14:paraId="35A01F67">
                  <w:pPr>
                    <w:pStyle w:val="49"/>
                    <w:jc w:val="center"/>
                    <w:rPr>
                      <w:rFonts w:hint="default" w:ascii="Times New Roman" w:hAnsi="Times New Roman" w:cs="Times New Roman"/>
                      <w:color w:val="auto"/>
                    </w:rPr>
                  </w:pPr>
                  <w:r>
                    <w:rPr>
                      <w:rFonts w:hint="default" w:ascii="Times New Roman" w:hAnsi="Times New Roman" w:cs="Times New Roman"/>
                      <w:color w:val="auto"/>
                    </w:rPr>
                    <w:t>污染源/物</w:t>
                  </w:r>
                </w:p>
              </w:tc>
              <w:tc>
                <w:tcPr>
                  <w:tcW w:w="2860" w:type="pct"/>
                  <w:vAlign w:val="center"/>
                </w:tcPr>
                <w:p w14:paraId="675078BB">
                  <w:pPr>
                    <w:pStyle w:val="49"/>
                    <w:jc w:val="center"/>
                    <w:rPr>
                      <w:rFonts w:hint="default" w:ascii="Times New Roman" w:hAnsi="Times New Roman" w:cs="Times New Roman"/>
                      <w:color w:val="auto"/>
                    </w:rPr>
                  </w:pPr>
                  <w:r>
                    <w:rPr>
                      <w:rFonts w:hint="default" w:ascii="Times New Roman" w:hAnsi="Times New Roman" w:cs="Times New Roman"/>
                      <w:color w:val="auto"/>
                    </w:rPr>
                    <w:t>主要污染因子</w:t>
                  </w:r>
                </w:p>
              </w:tc>
            </w:tr>
            <w:tr w14:paraId="543E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9" w:type="pct"/>
                  <w:vMerge w:val="restart"/>
                  <w:vAlign w:val="center"/>
                </w:tcPr>
                <w:p w14:paraId="7B91B3AE">
                  <w:pPr>
                    <w:pStyle w:val="49"/>
                    <w:jc w:val="center"/>
                    <w:rPr>
                      <w:rFonts w:hint="default" w:ascii="Times New Roman" w:hAnsi="Times New Roman" w:cs="Times New Roman"/>
                      <w:color w:val="auto"/>
                    </w:rPr>
                  </w:pPr>
                  <w:r>
                    <w:rPr>
                      <w:rFonts w:hint="default" w:ascii="Times New Roman" w:hAnsi="Times New Roman" w:cs="Times New Roman"/>
                      <w:color w:val="auto"/>
                    </w:rPr>
                    <w:t>运营期</w:t>
                  </w:r>
                </w:p>
              </w:tc>
              <w:tc>
                <w:tcPr>
                  <w:tcW w:w="522" w:type="pct"/>
                  <w:vMerge w:val="restart"/>
                  <w:vAlign w:val="center"/>
                </w:tcPr>
                <w:p w14:paraId="489E19DD">
                  <w:pPr>
                    <w:pStyle w:val="49"/>
                    <w:jc w:val="center"/>
                    <w:rPr>
                      <w:rFonts w:hint="default" w:ascii="Times New Roman" w:hAnsi="Times New Roman" w:cs="Times New Roman"/>
                      <w:color w:val="auto"/>
                    </w:rPr>
                  </w:pPr>
                  <w:r>
                    <w:rPr>
                      <w:rFonts w:hint="default" w:ascii="Times New Roman" w:hAnsi="Times New Roman" w:cs="Times New Roman"/>
                      <w:color w:val="auto"/>
                    </w:rPr>
                    <w:t>废气</w:t>
                  </w:r>
                </w:p>
              </w:tc>
              <w:tc>
                <w:tcPr>
                  <w:tcW w:w="1237" w:type="pct"/>
                  <w:vAlign w:val="center"/>
                </w:tcPr>
                <w:p w14:paraId="1EAB9A1E">
                  <w:pPr>
                    <w:pStyle w:val="49"/>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吐沙、清洗</w:t>
                  </w:r>
                </w:p>
              </w:tc>
              <w:tc>
                <w:tcPr>
                  <w:tcW w:w="2860" w:type="pct"/>
                  <w:vAlign w:val="center"/>
                </w:tcPr>
                <w:p w14:paraId="0E8600D9">
                  <w:pPr>
                    <w:pStyle w:val="49"/>
                    <w:ind w:firstLine="0" w:firstLineChars="0"/>
                    <w:jc w:val="center"/>
                    <w:rPr>
                      <w:rFonts w:hint="default" w:ascii="Times New Roman" w:hAnsi="Times New Roman" w:eastAsia="宋体" w:cs="Times New Roman"/>
                      <w:color w:val="auto"/>
                      <w:lang w:eastAsia="zh-CN"/>
                    </w:rPr>
                  </w:pPr>
                  <w:r>
                    <w:rPr>
                      <w:rFonts w:hint="eastAsia" w:ascii="Times New Roman" w:hAnsi="Times New Roman" w:cs="Times New Roman"/>
                      <w:color w:val="auto"/>
                      <w:lang w:val="en-US" w:eastAsia="zh-CN"/>
                    </w:rPr>
                    <w:t>臭气浓度</w:t>
                  </w:r>
                </w:p>
              </w:tc>
            </w:tr>
            <w:tr w14:paraId="1014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9" w:type="pct"/>
                  <w:vMerge w:val="continue"/>
                  <w:vAlign w:val="center"/>
                </w:tcPr>
                <w:p w14:paraId="292CDA03">
                  <w:pPr>
                    <w:pStyle w:val="49"/>
                    <w:jc w:val="center"/>
                    <w:rPr>
                      <w:rFonts w:hint="default" w:ascii="Times New Roman" w:hAnsi="Times New Roman" w:cs="Times New Roman"/>
                      <w:color w:val="auto"/>
                    </w:rPr>
                  </w:pPr>
                </w:p>
              </w:tc>
              <w:tc>
                <w:tcPr>
                  <w:tcW w:w="522" w:type="pct"/>
                  <w:vMerge w:val="continue"/>
                  <w:vAlign w:val="center"/>
                </w:tcPr>
                <w:p w14:paraId="38228F4C">
                  <w:pPr>
                    <w:pStyle w:val="49"/>
                    <w:jc w:val="center"/>
                    <w:rPr>
                      <w:rFonts w:hint="default" w:ascii="Times New Roman" w:hAnsi="Times New Roman" w:cs="Times New Roman"/>
                      <w:color w:val="auto"/>
                    </w:rPr>
                  </w:pPr>
                </w:p>
              </w:tc>
              <w:tc>
                <w:tcPr>
                  <w:tcW w:w="1237" w:type="pct"/>
                  <w:vAlign w:val="center"/>
                </w:tcPr>
                <w:p w14:paraId="0C4CBB87">
                  <w:pPr>
                    <w:pStyle w:val="49"/>
                    <w:ind w:firstLine="0" w:firstLineChars="0"/>
                    <w:jc w:val="center"/>
                    <w:rPr>
                      <w:rFonts w:hint="default" w:cs="Times New Roman"/>
                      <w:color w:val="auto"/>
                      <w:lang w:val="en-US" w:eastAsia="zh-CN"/>
                    </w:rPr>
                  </w:pPr>
                  <w:r>
                    <w:rPr>
                      <w:rFonts w:hint="eastAsia" w:cs="Times New Roman"/>
                      <w:color w:val="auto"/>
                      <w:lang w:val="en-US" w:eastAsia="zh-CN"/>
                    </w:rPr>
                    <w:t>油炸</w:t>
                  </w:r>
                </w:p>
              </w:tc>
              <w:tc>
                <w:tcPr>
                  <w:tcW w:w="2860" w:type="pct"/>
                  <w:vAlign w:val="center"/>
                </w:tcPr>
                <w:p w14:paraId="5C5CF19B">
                  <w:pPr>
                    <w:pStyle w:val="49"/>
                    <w:ind w:firstLine="0" w:firstLineChars="0"/>
                    <w:jc w:val="center"/>
                    <w:rPr>
                      <w:rFonts w:hint="default" w:ascii="Times New Roman" w:hAnsi="Times New Roman" w:cs="Times New Roman"/>
                      <w:color w:val="auto"/>
                      <w:lang w:val="en-US" w:eastAsia="zh-CN"/>
                    </w:rPr>
                  </w:pPr>
                  <w:r>
                    <w:rPr>
                      <w:rFonts w:hint="eastAsia" w:cs="Times New Roman"/>
                      <w:color w:val="auto"/>
                      <w:lang w:val="en-US" w:eastAsia="zh-CN"/>
                    </w:rPr>
                    <w:t>油烟</w:t>
                  </w:r>
                </w:p>
              </w:tc>
            </w:tr>
            <w:tr w14:paraId="4ED1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9" w:type="pct"/>
                  <w:vMerge w:val="continue"/>
                  <w:vAlign w:val="center"/>
                </w:tcPr>
                <w:p w14:paraId="625DA2AA">
                  <w:pPr>
                    <w:pStyle w:val="49"/>
                    <w:jc w:val="center"/>
                    <w:rPr>
                      <w:rFonts w:hint="default" w:ascii="Times New Roman" w:hAnsi="Times New Roman" w:cs="Times New Roman"/>
                      <w:color w:val="auto"/>
                    </w:rPr>
                  </w:pPr>
                </w:p>
              </w:tc>
              <w:tc>
                <w:tcPr>
                  <w:tcW w:w="522" w:type="pct"/>
                  <w:vMerge w:val="continue"/>
                  <w:vAlign w:val="center"/>
                </w:tcPr>
                <w:p w14:paraId="4941F011">
                  <w:pPr>
                    <w:pStyle w:val="49"/>
                    <w:jc w:val="center"/>
                    <w:rPr>
                      <w:rFonts w:hint="default" w:ascii="Times New Roman" w:hAnsi="Times New Roman" w:cs="Times New Roman"/>
                      <w:color w:val="auto"/>
                    </w:rPr>
                  </w:pPr>
                </w:p>
              </w:tc>
              <w:tc>
                <w:tcPr>
                  <w:tcW w:w="1237" w:type="pct"/>
                  <w:vAlign w:val="center"/>
                </w:tcPr>
                <w:p w14:paraId="0EE87DB9">
                  <w:pPr>
                    <w:pStyle w:val="49"/>
                    <w:ind w:firstLine="0" w:firstLineChars="0"/>
                    <w:jc w:val="center"/>
                    <w:rPr>
                      <w:rFonts w:hint="default" w:ascii="Times New Roman" w:hAnsi="Times New Roman" w:eastAsia="宋体" w:cs="Times New Roman"/>
                      <w:color w:val="auto"/>
                      <w:lang w:val="en-US" w:eastAsia="zh-CN"/>
                    </w:rPr>
                  </w:pPr>
                  <w:r>
                    <w:rPr>
                      <w:rFonts w:hint="eastAsia" w:cs="Times New Roman"/>
                      <w:color w:val="auto"/>
                      <w:lang w:val="en-US" w:eastAsia="zh-CN"/>
                    </w:rPr>
                    <w:t>导热油炉</w:t>
                  </w:r>
                </w:p>
              </w:tc>
              <w:tc>
                <w:tcPr>
                  <w:tcW w:w="2860" w:type="pct"/>
                  <w:vAlign w:val="center"/>
                </w:tcPr>
                <w:p w14:paraId="2EAECBF6">
                  <w:pPr>
                    <w:pStyle w:val="49"/>
                    <w:ind w:firstLine="0" w:firstLineChars="0"/>
                    <w:jc w:val="center"/>
                    <w:rPr>
                      <w:rFonts w:hint="eastAsia" w:eastAsia="宋体" w:cs="Times New Roman"/>
                      <w:color w:val="auto"/>
                      <w:lang w:val="en-US" w:eastAsia="zh-CN"/>
                    </w:rPr>
                  </w:pPr>
                  <w:r>
                    <w:rPr>
                      <w:color w:val="auto"/>
                      <w:spacing w:val="5"/>
                      <w:sz w:val="21"/>
                      <w:szCs w:val="21"/>
                    </w:rPr>
                    <w:t>颗粒物</w:t>
                  </w:r>
                  <w:r>
                    <w:rPr>
                      <w:rFonts w:hint="eastAsia"/>
                      <w:color w:val="auto"/>
                      <w:spacing w:val="5"/>
                      <w:sz w:val="21"/>
                      <w:szCs w:val="21"/>
                      <w:lang w:eastAsia="zh-CN"/>
                    </w:rPr>
                    <w:t>、</w:t>
                  </w:r>
                  <w:r>
                    <w:rPr>
                      <w:rFonts w:ascii="Times New Roman" w:hAnsi="Times New Roman" w:eastAsia="Times New Roman" w:cs="Times New Roman"/>
                      <w:color w:val="auto"/>
                      <w:spacing w:val="-1"/>
                      <w:position w:val="1"/>
                      <w:sz w:val="21"/>
                      <w:szCs w:val="21"/>
                    </w:rPr>
                    <w:t>SO</w:t>
                  </w:r>
                  <w:r>
                    <w:rPr>
                      <w:rFonts w:ascii="Times New Roman" w:hAnsi="Times New Roman" w:eastAsia="Times New Roman" w:cs="Times New Roman"/>
                      <w:color w:val="auto"/>
                      <w:spacing w:val="-1"/>
                      <w:position w:val="1"/>
                      <w:sz w:val="21"/>
                      <w:szCs w:val="21"/>
                      <w:vertAlign w:val="subscript"/>
                    </w:rPr>
                    <w:t>2</w:t>
                  </w:r>
                  <w:r>
                    <w:rPr>
                      <w:rFonts w:hint="eastAsia"/>
                      <w:color w:val="auto"/>
                      <w:spacing w:val="5"/>
                      <w:sz w:val="21"/>
                      <w:szCs w:val="21"/>
                      <w:lang w:eastAsia="zh-CN"/>
                    </w:rPr>
                    <w:t>、</w:t>
                  </w:r>
                  <w:r>
                    <w:rPr>
                      <w:rFonts w:ascii="Times New Roman" w:hAnsi="Times New Roman" w:eastAsia="Times New Roman" w:cs="Times New Roman"/>
                      <w:color w:val="auto"/>
                      <w:spacing w:val="7"/>
                      <w:sz w:val="21"/>
                      <w:szCs w:val="21"/>
                    </w:rPr>
                    <w:t>NO</w:t>
                  </w:r>
                  <w:r>
                    <w:rPr>
                      <w:rFonts w:ascii="Times New Roman" w:hAnsi="Times New Roman" w:eastAsia="Times New Roman" w:cs="Times New Roman"/>
                      <w:color w:val="auto"/>
                      <w:spacing w:val="7"/>
                      <w:position w:val="-1"/>
                      <w:sz w:val="21"/>
                      <w:szCs w:val="21"/>
                      <w:vertAlign w:val="subscript"/>
                    </w:rPr>
                    <w:t>X</w:t>
                  </w:r>
                  <w:r>
                    <w:rPr>
                      <w:rFonts w:hint="eastAsia"/>
                      <w:color w:val="auto"/>
                      <w:spacing w:val="5"/>
                      <w:sz w:val="21"/>
                      <w:szCs w:val="21"/>
                      <w:lang w:eastAsia="zh-CN"/>
                    </w:rPr>
                    <w:t>、</w:t>
                  </w:r>
                  <w:r>
                    <w:rPr>
                      <w:rFonts w:hint="eastAsia" w:cs="Times New Roman"/>
                      <w:color w:val="auto"/>
                      <w:sz w:val="21"/>
                      <w:szCs w:val="21"/>
                      <w:lang w:val="en-US" w:eastAsia="zh-CN"/>
                    </w:rPr>
                    <w:t>烟气黑度</w:t>
                  </w:r>
                </w:p>
              </w:tc>
            </w:tr>
            <w:tr w14:paraId="7F83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79" w:type="pct"/>
                  <w:vMerge w:val="continue"/>
                  <w:vAlign w:val="center"/>
                </w:tcPr>
                <w:p w14:paraId="7B260CF7">
                  <w:pPr>
                    <w:pStyle w:val="49"/>
                    <w:jc w:val="center"/>
                    <w:rPr>
                      <w:rFonts w:hint="default" w:ascii="Times New Roman" w:hAnsi="Times New Roman" w:cs="Times New Roman"/>
                      <w:color w:val="auto"/>
                    </w:rPr>
                  </w:pPr>
                </w:p>
              </w:tc>
              <w:tc>
                <w:tcPr>
                  <w:tcW w:w="522" w:type="pct"/>
                  <w:vMerge w:val="restart"/>
                  <w:vAlign w:val="center"/>
                </w:tcPr>
                <w:p w14:paraId="3ED4AF10">
                  <w:pPr>
                    <w:pStyle w:val="49"/>
                    <w:jc w:val="center"/>
                    <w:rPr>
                      <w:rFonts w:hint="default" w:ascii="Times New Roman" w:hAnsi="Times New Roman" w:cs="Times New Roman"/>
                      <w:color w:val="auto"/>
                    </w:rPr>
                  </w:pPr>
                  <w:r>
                    <w:rPr>
                      <w:rFonts w:hint="default" w:ascii="Times New Roman" w:hAnsi="Times New Roman" w:cs="Times New Roman"/>
                      <w:color w:val="auto"/>
                    </w:rPr>
                    <w:t>废水</w:t>
                  </w:r>
                </w:p>
              </w:tc>
              <w:tc>
                <w:tcPr>
                  <w:tcW w:w="1237" w:type="pct"/>
                  <w:vAlign w:val="center"/>
                </w:tcPr>
                <w:p w14:paraId="086A18CA">
                  <w:pPr>
                    <w:pStyle w:val="49"/>
                    <w:ind w:firstLine="0" w:firstLineChars="0"/>
                    <w:jc w:val="center"/>
                    <w:rPr>
                      <w:rFonts w:hint="eastAsia" w:ascii="Times New Roman" w:hAnsi="Times New Roman" w:eastAsia="宋体" w:cs="Times New Roman"/>
                      <w:color w:val="auto"/>
                      <w:lang w:eastAsia="zh-CN"/>
                    </w:rPr>
                  </w:pPr>
                  <w:r>
                    <w:rPr>
                      <w:rFonts w:hint="eastAsia" w:cs="Times New Roman"/>
                      <w:color w:val="auto"/>
                      <w:lang w:eastAsia="zh-CN"/>
                    </w:rPr>
                    <w:t>生活污水</w:t>
                  </w:r>
                </w:p>
              </w:tc>
              <w:tc>
                <w:tcPr>
                  <w:tcW w:w="2860" w:type="pct"/>
                  <w:vAlign w:val="center"/>
                </w:tcPr>
                <w:p w14:paraId="31A35778">
                  <w:pPr>
                    <w:pStyle w:val="49"/>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pH、COD、BOD</w:t>
                  </w:r>
                  <w:r>
                    <w:rPr>
                      <w:rFonts w:hint="default" w:ascii="Times New Roman" w:hAnsi="Times New Roman" w:cs="Times New Roman"/>
                      <w:color w:val="auto"/>
                      <w:vertAlign w:val="subscript"/>
                    </w:rPr>
                    <w:t>5</w:t>
                  </w:r>
                  <w:r>
                    <w:rPr>
                      <w:rFonts w:hint="default" w:ascii="Times New Roman" w:hAnsi="Times New Roman" w:cs="Times New Roman"/>
                      <w:color w:val="auto"/>
                    </w:rPr>
                    <w:t>、SS、NH</w:t>
                  </w:r>
                  <w:r>
                    <w:rPr>
                      <w:rFonts w:hint="default" w:ascii="Times New Roman" w:hAnsi="Times New Roman" w:cs="Times New Roman"/>
                      <w:color w:val="auto"/>
                      <w:vertAlign w:val="subscript"/>
                    </w:rPr>
                    <w:t>3</w:t>
                  </w:r>
                  <w:r>
                    <w:rPr>
                      <w:rFonts w:hint="default" w:ascii="Times New Roman" w:hAnsi="Times New Roman" w:cs="Times New Roman"/>
                      <w:color w:val="auto"/>
                    </w:rPr>
                    <w:t>-N</w:t>
                  </w:r>
                  <w:r>
                    <w:rPr>
                      <w:rFonts w:hint="eastAsia" w:cs="Times New Roman"/>
                      <w:color w:val="auto"/>
                      <w:lang w:eastAsia="zh-CN"/>
                    </w:rPr>
                    <w:t>、</w:t>
                  </w:r>
                  <w:r>
                    <w:rPr>
                      <w:rFonts w:hint="eastAsia" w:cs="Times New Roman"/>
                      <w:color w:val="auto"/>
                      <w:lang w:val="en-US" w:eastAsia="zh-CN"/>
                    </w:rPr>
                    <w:t>总磷、总氮</w:t>
                  </w:r>
                </w:p>
              </w:tc>
            </w:tr>
            <w:tr w14:paraId="3F1D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79" w:type="pct"/>
                  <w:vMerge w:val="continue"/>
                  <w:vAlign w:val="center"/>
                </w:tcPr>
                <w:p w14:paraId="08614466">
                  <w:pPr>
                    <w:pStyle w:val="49"/>
                    <w:jc w:val="center"/>
                    <w:rPr>
                      <w:rFonts w:hint="default" w:ascii="Times New Roman" w:hAnsi="Times New Roman" w:cs="Times New Roman"/>
                      <w:color w:val="auto"/>
                    </w:rPr>
                  </w:pPr>
                </w:p>
              </w:tc>
              <w:tc>
                <w:tcPr>
                  <w:tcW w:w="522" w:type="pct"/>
                  <w:vMerge w:val="continue"/>
                  <w:vAlign w:val="center"/>
                </w:tcPr>
                <w:p w14:paraId="4970B9ED">
                  <w:pPr>
                    <w:pStyle w:val="49"/>
                    <w:jc w:val="center"/>
                    <w:rPr>
                      <w:rFonts w:hint="default" w:ascii="Times New Roman" w:hAnsi="Times New Roman" w:cs="Times New Roman"/>
                      <w:color w:val="auto"/>
                    </w:rPr>
                  </w:pPr>
                </w:p>
              </w:tc>
              <w:tc>
                <w:tcPr>
                  <w:tcW w:w="1237" w:type="pct"/>
                  <w:vAlign w:val="center"/>
                </w:tcPr>
                <w:p w14:paraId="111A8609">
                  <w:pPr>
                    <w:pStyle w:val="49"/>
                    <w:ind w:firstLine="0" w:firstLineChars="0"/>
                    <w:jc w:val="center"/>
                    <w:rPr>
                      <w:rFonts w:hint="default" w:cs="Times New Roman"/>
                      <w:color w:val="auto"/>
                      <w:lang w:val="en-US" w:eastAsia="zh-CN"/>
                    </w:rPr>
                  </w:pPr>
                  <w:r>
                    <w:rPr>
                      <w:rFonts w:hint="eastAsia" w:cs="Times New Roman"/>
                      <w:color w:val="auto"/>
                      <w:lang w:val="en-US" w:eastAsia="zh-CN"/>
                    </w:rPr>
                    <w:t>生产废水</w:t>
                  </w:r>
                </w:p>
              </w:tc>
              <w:tc>
                <w:tcPr>
                  <w:tcW w:w="2860" w:type="pct"/>
                  <w:vAlign w:val="center"/>
                </w:tcPr>
                <w:p w14:paraId="04CFC84C">
                  <w:pPr>
                    <w:pStyle w:val="49"/>
                    <w:ind w:firstLine="0" w:firstLineChars="0"/>
                    <w:jc w:val="center"/>
                    <w:rPr>
                      <w:rFonts w:hint="default" w:ascii="Times New Roman" w:hAnsi="Times New Roman" w:cs="Times New Roman"/>
                      <w:color w:val="auto"/>
                    </w:rPr>
                  </w:pPr>
                  <w:r>
                    <w:rPr>
                      <w:rFonts w:hint="eastAsia"/>
                      <w:color w:val="auto"/>
                      <w:sz w:val="21"/>
                      <w:szCs w:val="21"/>
                      <w:lang w:val="en-US" w:eastAsia="zh-CN"/>
                    </w:rPr>
                    <w:t>pH</w:t>
                  </w:r>
                  <w:r>
                    <w:rPr>
                      <w:rFonts w:hint="eastAsia" w:cs="Times New Roman"/>
                      <w:color w:val="auto"/>
                      <w:sz w:val="21"/>
                      <w:szCs w:val="21"/>
                      <w:lang w:val="en-US" w:eastAsia="zh-CN"/>
                    </w:rPr>
                    <w:t>、</w:t>
                  </w:r>
                  <w:r>
                    <w:rPr>
                      <w:rFonts w:hint="default"/>
                      <w:color w:val="auto"/>
                      <w:sz w:val="21"/>
                      <w:szCs w:val="21"/>
                      <w:lang w:val="en-US" w:eastAsia="zh-CN"/>
                    </w:rPr>
                    <w:t>COD</w:t>
                  </w:r>
                  <w:r>
                    <w:rPr>
                      <w:rFonts w:hint="eastAsia"/>
                      <w:color w:val="auto"/>
                      <w:sz w:val="21"/>
                      <w:szCs w:val="21"/>
                      <w:lang w:val="en-US" w:eastAsia="zh-CN"/>
                    </w:rPr>
                    <w:t>、</w:t>
                  </w:r>
                  <w:r>
                    <w:rPr>
                      <w:rFonts w:hint="default"/>
                      <w:color w:val="auto"/>
                      <w:sz w:val="21"/>
                      <w:szCs w:val="21"/>
                      <w:lang w:val="en-US" w:eastAsia="zh-CN"/>
                    </w:rPr>
                    <w:t>BOD</w:t>
                  </w:r>
                  <w:r>
                    <w:rPr>
                      <w:color w:val="auto"/>
                      <w:sz w:val="21"/>
                      <w:szCs w:val="21"/>
                      <w:vertAlign w:val="subscript"/>
                      <w:lang w:val="en-US" w:eastAsia="zh-CN"/>
                    </w:rPr>
                    <w:t>5</w:t>
                  </w:r>
                  <w:r>
                    <w:rPr>
                      <w:rFonts w:hint="eastAsia"/>
                      <w:color w:val="auto"/>
                      <w:sz w:val="21"/>
                      <w:szCs w:val="21"/>
                      <w:lang w:val="en-US" w:eastAsia="zh-CN"/>
                    </w:rPr>
                    <w:t>、</w:t>
                  </w:r>
                  <w:r>
                    <w:rPr>
                      <w:rFonts w:hint="default" w:ascii="Times New Roman" w:hAnsi="Times New Roman" w:cs="Times New Roman"/>
                      <w:color w:val="auto"/>
                    </w:rPr>
                    <w:t>SS、</w:t>
                  </w:r>
                  <w:r>
                    <w:rPr>
                      <w:rFonts w:hint="default"/>
                      <w:color w:val="auto"/>
                      <w:sz w:val="21"/>
                      <w:szCs w:val="21"/>
                      <w:lang w:val="en-US" w:eastAsia="zh-CN"/>
                    </w:rPr>
                    <w:t>NH</w:t>
                  </w:r>
                  <w:r>
                    <w:rPr>
                      <w:color w:val="auto"/>
                      <w:sz w:val="21"/>
                      <w:szCs w:val="21"/>
                      <w:vertAlign w:val="subscript"/>
                      <w:lang w:val="en-US" w:eastAsia="zh-CN"/>
                    </w:rPr>
                    <w:t>3</w:t>
                  </w:r>
                  <w:r>
                    <w:rPr>
                      <w:rFonts w:hint="default"/>
                      <w:color w:val="auto"/>
                      <w:sz w:val="21"/>
                      <w:szCs w:val="21"/>
                      <w:lang w:val="en-US" w:eastAsia="zh-CN"/>
                    </w:rPr>
                    <w:t>-N</w:t>
                  </w:r>
                  <w:r>
                    <w:rPr>
                      <w:rFonts w:hint="eastAsia"/>
                      <w:color w:val="auto"/>
                      <w:sz w:val="21"/>
                      <w:szCs w:val="21"/>
                      <w:lang w:val="en-US" w:eastAsia="zh-CN"/>
                    </w:rPr>
                    <w:t>、</w:t>
                  </w:r>
                  <w:r>
                    <w:rPr>
                      <w:rFonts w:hint="eastAsia" w:cs="Times New Roman"/>
                      <w:color w:val="auto"/>
                      <w:lang w:val="en-US" w:eastAsia="zh-CN"/>
                    </w:rPr>
                    <w:t>总磷、</w:t>
                  </w:r>
                  <w:r>
                    <w:rPr>
                      <w:rFonts w:hint="eastAsia"/>
                      <w:color w:val="auto"/>
                      <w:sz w:val="21"/>
                      <w:szCs w:val="21"/>
                      <w:lang w:val="en-US" w:eastAsia="zh-CN"/>
                    </w:rPr>
                    <w:t>动植物油</w:t>
                  </w:r>
                </w:p>
              </w:tc>
            </w:tr>
            <w:tr w14:paraId="0433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vMerge w:val="continue"/>
                  <w:vAlign w:val="center"/>
                </w:tcPr>
                <w:p w14:paraId="06497F1D">
                  <w:pPr>
                    <w:pStyle w:val="49"/>
                    <w:jc w:val="center"/>
                    <w:rPr>
                      <w:rFonts w:hint="default" w:ascii="Times New Roman" w:hAnsi="Times New Roman" w:cs="Times New Roman"/>
                      <w:color w:val="auto"/>
                    </w:rPr>
                  </w:pPr>
                </w:p>
              </w:tc>
              <w:tc>
                <w:tcPr>
                  <w:tcW w:w="522" w:type="pct"/>
                  <w:vMerge w:val="restart"/>
                  <w:vAlign w:val="center"/>
                </w:tcPr>
                <w:p w14:paraId="7574B855">
                  <w:pPr>
                    <w:pStyle w:val="49"/>
                    <w:jc w:val="center"/>
                    <w:rPr>
                      <w:rFonts w:hint="default" w:ascii="Times New Roman" w:hAnsi="Times New Roman" w:cs="Times New Roman"/>
                      <w:color w:val="auto"/>
                    </w:rPr>
                  </w:pPr>
                  <w:r>
                    <w:rPr>
                      <w:rFonts w:hint="default" w:ascii="Times New Roman" w:hAnsi="Times New Roman" w:cs="Times New Roman"/>
                      <w:color w:val="auto"/>
                    </w:rPr>
                    <w:t>固体废物</w:t>
                  </w:r>
                </w:p>
              </w:tc>
              <w:tc>
                <w:tcPr>
                  <w:tcW w:w="1237" w:type="pct"/>
                  <w:vAlign w:val="center"/>
                </w:tcPr>
                <w:p w14:paraId="242AA75F">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筛选废料</w:t>
                  </w:r>
                </w:p>
              </w:tc>
              <w:tc>
                <w:tcPr>
                  <w:tcW w:w="2860" w:type="pct"/>
                  <w:vAlign w:val="center"/>
                </w:tcPr>
                <w:p w14:paraId="5D8FF6AD">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p>
              </w:tc>
            </w:tr>
            <w:tr w14:paraId="2C45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79" w:type="pct"/>
                  <w:vMerge w:val="continue"/>
                  <w:vAlign w:val="center"/>
                </w:tcPr>
                <w:p w14:paraId="59FE1EB8">
                  <w:pPr>
                    <w:pStyle w:val="49"/>
                    <w:jc w:val="center"/>
                    <w:rPr>
                      <w:rFonts w:hint="default" w:ascii="Times New Roman" w:hAnsi="Times New Roman" w:cs="Times New Roman"/>
                      <w:color w:val="auto"/>
                    </w:rPr>
                  </w:pPr>
                </w:p>
              </w:tc>
              <w:tc>
                <w:tcPr>
                  <w:tcW w:w="522" w:type="pct"/>
                  <w:vMerge w:val="continue"/>
                  <w:vAlign w:val="center"/>
                </w:tcPr>
                <w:p w14:paraId="354C1E37">
                  <w:pPr>
                    <w:pStyle w:val="49"/>
                    <w:jc w:val="center"/>
                    <w:rPr>
                      <w:rFonts w:hint="default" w:ascii="Times New Roman" w:hAnsi="Times New Roman" w:cs="Times New Roman"/>
                      <w:color w:val="auto"/>
                    </w:rPr>
                  </w:pPr>
                </w:p>
              </w:tc>
              <w:tc>
                <w:tcPr>
                  <w:tcW w:w="1237" w:type="pct"/>
                  <w:vAlign w:val="center"/>
                </w:tcPr>
                <w:p w14:paraId="51B7A0A6">
                  <w:pPr>
                    <w:pStyle w:val="49"/>
                    <w:jc w:val="center"/>
                    <w:rPr>
                      <w:rFonts w:hint="default" w:ascii="Times New Roman" w:hAnsi="Times New Roman" w:cs="Times New Roman"/>
                      <w:color w:val="auto"/>
                    </w:rPr>
                  </w:pPr>
                  <w:r>
                    <w:rPr>
                      <w:rFonts w:hint="default" w:ascii="Times New Roman" w:hAnsi="Times New Roman" w:cs="Times New Roman"/>
                      <w:color w:val="auto"/>
                    </w:rPr>
                    <w:t>废包装材料</w:t>
                  </w:r>
                </w:p>
              </w:tc>
              <w:tc>
                <w:tcPr>
                  <w:tcW w:w="2860" w:type="pct"/>
                  <w:vAlign w:val="center"/>
                </w:tcPr>
                <w:p w14:paraId="4CAE2D97">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废包装袋、盒等</w:t>
                  </w:r>
                </w:p>
              </w:tc>
            </w:tr>
            <w:tr w14:paraId="2EB9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79" w:type="pct"/>
                  <w:vMerge w:val="continue"/>
                  <w:vAlign w:val="center"/>
                </w:tcPr>
                <w:p w14:paraId="74575932">
                  <w:pPr>
                    <w:pStyle w:val="49"/>
                    <w:jc w:val="center"/>
                    <w:rPr>
                      <w:rFonts w:hint="default" w:ascii="Times New Roman" w:hAnsi="Times New Roman" w:cs="Times New Roman"/>
                      <w:color w:val="auto"/>
                    </w:rPr>
                  </w:pPr>
                </w:p>
              </w:tc>
              <w:tc>
                <w:tcPr>
                  <w:tcW w:w="522" w:type="pct"/>
                  <w:vMerge w:val="continue"/>
                  <w:vAlign w:val="center"/>
                </w:tcPr>
                <w:p w14:paraId="34D64ED0">
                  <w:pPr>
                    <w:pStyle w:val="49"/>
                    <w:jc w:val="center"/>
                    <w:rPr>
                      <w:rFonts w:hint="default" w:ascii="Times New Roman" w:hAnsi="Times New Roman" w:cs="Times New Roman"/>
                      <w:color w:val="auto"/>
                    </w:rPr>
                  </w:pPr>
                </w:p>
              </w:tc>
              <w:tc>
                <w:tcPr>
                  <w:tcW w:w="1237" w:type="pct"/>
                  <w:vAlign w:val="center"/>
                </w:tcPr>
                <w:p w14:paraId="472C33A4">
                  <w:pPr>
                    <w:pStyle w:val="49"/>
                    <w:jc w:val="center"/>
                    <w:rPr>
                      <w:rFonts w:hint="default" w:ascii="Times New Roman" w:hAnsi="Times New Roman" w:eastAsia="宋体" w:cs="Times New Roman"/>
                      <w:color w:val="auto"/>
                      <w:lang w:val="en-US" w:eastAsia="zh-CN"/>
                    </w:rPr>
                  </w:pPr>
                  <w:r>
                    <w:rPr>
                      <w:rFonts w:hint="eastAsia"/>
                      <w:color w:val="auto"/>
                      <w:lang w:val="en-US" w:eastAsia="zh-CN"/>
                    </w:rPr>
                    <w:t>废油脂</w:t>
                  </w:r>
                </w:p>
              </w:tc>
              <w:tc>
                <w:tcPr>
                  <w:tcW w:w="2860" w:type="pct"/>
                  <w:vAlign w:val="center"/>
                </w:tcPr>
                <w:p w14:paraId="0B055902">
                  <w:pPr>
                    <w:pStyle w:val="49"/>
                    <w:jc w:val="center"/>
                    <w:rPr>
                      <w:rFonts w:hint="default" w:ascii="Times New Roman" w:hAnsi="Times New Roman" w:cs="Times New Roman"/>
                      <w:color w:val="auto"/>
                    </w:rPr>
                  </w:pPr>
                  <w:r>
                    <w:rPr>
                      <w:rFonts w:hint="default" w:ascii="Times New Roman" w:hAnsi="Times New Roman" w:cs="Times New Roman"/>
                      <w:color w:val="auto"/>
                    </w:rPr>
                    <w:t>/</w:t>
                  </w:r>
                </w:p>
              </w:tc>
            </w:tr>
            <w:tr w14:paraId="6651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79" w:type="pct"/>
                  <w:vMerge w:val="continue"/>
                  <w:vAlign w:val="center"/>
                </w:tcPr>
                <w:p w14:paraId="013D9719">
                  <w:pPr>
                    <w:pStyle w:val="49"/>
                    <w:jc w:val="center"/>
                    <w:rPr>
                      <w:rFonts w:hint="default" w:ascii="Times New Roman" w:hAnsi="Times New Roman" w:cs="Times New Roman"/>
                      <w:color w:val="auto"/>
                    </w:rPr>
                  </w:pPr>
                </w:p>
              </w:tc>
              <w:tc>
                <w:tcPr>
                  <w:tcW w:w="522" w:type="pct"/>
                  <w:vMerge w:val="continue"/>
                  <w:vAlign w:val="center"/>
                </w:tcPr>
                <w:p w14:paraId="1AC2860A">
                  <w:pPr>
                    <w:pStyle w:val="49"/>
                    <w:jc w:val="center"/>
                    <w:rPr>
                      <w:rFonts w:hint="default" w:ascii="Times New Roman" w:hAnsi="Times New Roman" w:cs="Times New Roman"/>
                      <w:color w:val="auto"/>
                    </w:rPr>
                  </w:pPr>
                </w:p>
              </w:tc>
              <w:tc>
                <w:tcPr>
                  <w:tcW w:w="1237" w:type="pct"/>
                  <w:vAlign w:val="center"/>
                </w:tcPr>
                <w:p w14:paraId="6329235B">
                  <w:pPr>
                    <w:pStyle w:val="49"/>
                    <w:jc w:val="center"/>
                    <w:rPr>
                      <w:rFonts w:hint="default" w:ascii="Times New Roman" w:hAnsi="Times New Roman" w:eastAsia="宋体" w:cs="Times New Roman"/>
                      <w:color w:val="auto"/>
                      <w:lang w:val="en-US" w:eastAsia="zh-CN"/>
                    </w:rPr>
                  </w:pPr>
                  <w:r>
                    <w:rPr>
                      <w:rFonts w:hint="eastAsia"/>
                      <w:color w:val="auto"/>
                      <w:lang w:val="en-US" w:eastAsia="zh-CN"/>
                    </w:rPr>
                    <w:t>污泥</w:t>
                  </w:r>
                </w:p>
              </w:tc>
              <w:tc>
                <w:tcPr>
                  <w:tcW w:w="2860" w:type="pct"/>
                  <w:vAlign w:val="center"/>
                </w:tcPr>
                <w:p w14:paraId="01FDAC22">
                  <w:pPr>
                    <w:pStyle w:val="49"/>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p>
              </w:tc>
            </w:tr>
            <w:tr w14:paraId="2CA6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79" w:type="pct"/>
                  <w:vMerge w:val="continue"/>
                  <w:vAlign w:val="center"/>
                </w:tcPr>
                <w:p w14:paraId="450D7B70">
                  <w:pPr>
                    <w:pStyle w:val="49"/>
                    <w:jc w:val="center"/>
                    <w:rPr>
                      <w:rFonts w:hint="default" w:ascii="Times New Roman" w:hAnsi="Times New Roman" w:cs="Times New Roman"/>
                      <w:color w:val="auto"/>
                    </w:rPr>
                  </w:pPr>
                </w:p>
              </w:tc>
              <w:tc>
                <w:tcPr>
                  <w:tcW w:w="522" w:type="pct"/>
                  <w:vMerge w:val="continue"/>
                  <w:vAlign w:val="center"/>
                </w:tcPr>
                <w:p w14:paraId="57ECAC90">
                  <w:pPr>
                    <w:pStyle w:val="49"/>
                    <w:jc w:val="center"/>
                    <w:rPr>
                      <w:rFonts w:hint="default" w:ascii="Times New Roman" w:hAnsi="Times New Roman" w:cs="Times New Roman"/>
                      <w:color w:val="auto"/>
                    </w:rPr>
                  </w:pPr>
                </w:p>
              </w:tc>
              <w:tc>
                <w:tcPr>
                  <w:tcW w:w="1237" w:type="pct"/>
                  <w:vAlign w:val="center"/>
                </w:tcPr>
                <w:p w14:paraId="5D32B9A8">
                  <w:pPr>
                    <w:pStyle w:val="49"/>
                    <w:jc w:val="center"/>
                    <w:rPr>
                      <w:rFonts w:hint="default"/>
                      <w:color w:val="auto"/>
                      <w:lang w:val="en-US" w:eastAsia="zh-CN"/>
                    </w:rPr>
                  </w:pPr>
                  <w:r>
                    <w:rPr>
                      <w:rFonts w:hint="default" w:ascii="Times New Roman" w:hAnsi="Times New Roman" w:cs="Times New Roman"/>
                      <w:color w:val="auto"/>
                    </w:rPr>
                    <w:t>废</w:t>
                  </w:r>
                  <w:r>
                    <w:rPr>
                      <w:rFonts w:hint="eastAsia" w:cs="Times New Roman"/>
                      <w:color w:val="auto"/>
                      <w:lang w:val="en-US" w:eastAsia="zh-CN"/>
                    </w:rPr>
                    <w:t>导热油</w:t>
                  </w:r>
                </w:p>
              </w:tc>
              <w:tc>
                <w:tcPr>
                  <w:tcW w:w="2860" w:type="pct"/>
                  <w:vAlign w:val="center"/>
                </w:tcPr>
                <w:p w14:paraId="028A1BAB">
                  <w:pPr>
                    <w:pStyle w:val="49"/>
                    <w:jc w:val="center"/>
                    <w:rPr>
                      <w:rFonts w:hint="default" w:cs="Times New Roman"/>
                      <w:color w:val="auto"/>
                      <w:lang w:val="en-US" w:eastAsia="zh-CN"/>
                    </w:rPr>
                  </w:pPr>
                  <w:r>
                    <w:rPr>
                      <w:rFonts w:hint="eastAsia" w:cs="Times New Roman"/>
                      <w:color w:val="auto"/>
                      <w:lang w:val="en-US" w:eastAsia="zh-CN"/>
                    </w:rPr>
                    <w:t>/</w:t>
                  </w:r>
                </w:p>
              </w:tc>
            </w:tr>
            <w:tr w14:paraId="467D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379" w:type="pct"/>
                  <w:vMerge w:val="continue"/>
                  <w:vAlign w:val="center"/>
                </w:tcPr>
                <w:p w14:paraId="4DD44249">
                  <w:pPr>
                    <w:pStyle w:val="49"/>
                    <w:jc w:val="center"/>
                    <w:rPr>
                      <w:rFonts w:hint="default" w:ascii="Times New Roman" w:hAnsi="Times New Roman" w:cs="Times New Roman"/>
                      <w:color w:val="auto"/>
                    </w:rPr>
                  </w:pPr>
                </w:p>
              </w:tc>
              <w:tc>
                <w:tcPr>
                  <w:tcW w:w="522" w:type="pct"/>
                  <w:vMerge w:val="continue"/>
                  <w:vAlign w:val="center"/>
                </w:tcPr>
                <w:p w14:paraId="6486707C">
                  <w:pPr>
                    <w:pStyle w:val="49"/>
                    <w:jc w:val="center"/>
                    <w:rPr>
                      <w:rFonts w:hint="default" w:ascii="Times New Roman" w:hAnsi="Times New Roman" w:cs="Times New Roman"/>
                      <w:color w:val="auto"/>
                    </w:rPr>
                  </w:pPr>
                </w:p>
              </w:tc>
              <w:tc>
                <w:tcPr>
                  <w:tcW w:w="1237" w:type="pct"/>
                  <w:vAlign w:val="center"/>
                </w:tcPr>
                <w:p w14:paraId="32808BBA">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生活垃圾</w:t>
                  </w:r>
                </w:p>
              </w:tc>
              <w:tc>
                <w:tcPr>
                  <w:tcW w:w="2860" w:type="pct"/>
                  <w:vAlign w:val="center"/>
                </w:tcPr>
                <w:p w14:paraId="0B14BE22">
                  <w:pPr>
                    <w:pStyle w:val="49"/>
                    <w:jc w:val="center"/>
                    <w:rPr>
                      <w:rFonts w:hint="default" w:ascii="Times New Roman" w:hAnsi="Times New Roman" w:cs="Times New Roman"/>
                      <w:color w:val="auto"/>
                    </w:rPr>
                  </w:pPr>
                  <w:r>
                    <w:rPr>
                      <w:rFonts w:hint="default" w:ascii="Times New Roman" w:hAnsi="Times New Roman" w:cs="Times New Roman"/>
                      <w:color w:val="auto"/>
                    </w:rPr>
                    <w:t>/</w:t>
                  </w:r>
                </w:p>
              </w:tc>
            </w:tr>
            <w:tr w14:paraId="014C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9" w:type="pct"/>
                  <w:vMerge w:val="continue"/>
                  <w:vAlign w:val="center"/>
                </w:tcPr>
                <w:p w14:paraId="75CC5F80">
                  <w:pPr>
                    <w:pStyle w:val="49"/>
                    <w:jc w:val="center"/>
                    <w:rPr>
                      <w:rFonts w:hint="default" w:ascii="Times New Roman" w:hAnsi="Times New Roman" w:cs="Times New Roman"/>
                      <w:color w:val="auto"/>
                    </w:rPr>
                  </w:pPr>
                </w:p>
              </w:tc>
              <w:tc>
                <w:tcPr>
                  <w:tcW w:w="522" w:type="pct"/>
                  <w:vMerge w:val="restart"/>
                  <w:vAlign w:val="center"/>
                </w:tcPr>
                <w:p w14:paraId="5CD96A69">
                  <w:pPr>
                    <w:pStyle w:val="49"/>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1237" w:type="pct"/>
                  <w:vAlign w:val="center"/>
                </w:tcPr>
                <w:p w14:paraId="6342E44D">
                  <w:pPr>
                    <w:pStyle w:val="49"/>
                    <w:jc w:val="center"/>
                    <w:rPr>
                      <w:rFonts w:hint="default" w:ascii="Times New Roman" w:hAnsi="Times New Roman" w:cs="Times New Roman"/>
                      <w:color w:val="auto"/>
                    </w:rPr>
                  </w:pPr>
                  <w:r>
                    <w:rPr>
                      <w:rFonts w:hint="default" w:ascii="Times New Roman" w:hAnsi="Times New Roman" w:cs="Times New Roman"/>
                      <w:color w:val="auto"/>
                    </w:rPr>
                    <w:t>机械设备噪声</w:t>
                  </w:r>
                </w:p>
              </w:tc>
              <w:tc>
                <w:tcPr>
                  <w:tcW w:w="2860" w:type="pct"/>
                  <w:vAlign w:val="center"/>
                </w:tcPr>
                <w:p w14:paraId="3E4DC419">
                  <w:pPr>
                    <w:pStyle w:val="49"/>
                    <w:jc w:val="center"/>
                    <w:rPr>
                      <w:rFonts w:hint="default" w:ascii="Times New Roman" w:hAnsi="Times New Roman" w:cs="Times New Roman"/>
                      <w:color w:val="auto"/>
                    </w:rPr>
                  </w:pPr>
                  <w:r>
                    <w:rPr>
                      <w:rFonts w:hint="default" w:ascii="Times New Roman" w:hAnsi="Times New Roman" w:cs="Times New Roman"/>
                      <w:color w:val="auto"/>
                    </w:rPr>
                    <w:t>设备噪声</w:t>
                  </w:r>
                </w:p>
              </w:tc>
            </w:tr>
            <w:tr w14:paraId="1227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79" w:type="pct"/>
                  <w:vMerge w:val="continue"/>
                  <w:vAlign w:val="center"/>
                </w:tcPr>
                <w:p w14:paraId="20D339D5">
                  <w:pPr>
                    <w:pStyle w:val="49"/>
                    <w:jc w:val="center"/>
                    <w:rPr>
                      <w:rFonts w:hint="default" w:ascii="Times New Roman" w:hAnsi="Times New Roman" w:cs="Times New Roman"/>
                      <w:color w:val="auto"/>
                    </w:rPr>
                  </w:pPr>
                </w:p>
              </w:tc>
              <w:tc>
                <w:tcPr>
                  <w:tcW w:w="522" w:type="pct"/>
                  <w:vMerge w:val="continue"/>
                  <w:vAlign w:val="center"/>
                </w:tcPr>
                <w:p w14:paraId="392EBCD5">
                  <w:pPr>
                    <w:pStyle w:val="49"/>
                    <w:jc w:val="center"/>
                    <w:rPr>
                      <w:rFonts w:hint="default" w:ascii="Times New Roman" w:hAnsi="Times New Roman" w:cs="Times New Roman"/>
                      <w:color w:val="auto"/>
                    </w:rPr>
                  </w:pPr>
                </w:p>
              </w:tc>
              <w:tc>
                <w:tcPr>
                  <w:tcW w:w="1237" w:type="pct"/>
                  <w:vAlign w:val="center"/>
                </w:tcPr>
                <w:p w14:paraId="3E3A92C3">
                  <w:pPr>
                    <w:pStyle w:val="49"/>
                    <w:jc w:val="center"/>
                    <w:rPr>
                      <w:rFonts w:hint="default" w:ascii="Times New Roman" w:hAnsi="Times New Roman" w:cs="Times New Roman"/>
                      <w:color w:val="auto"/>
                    </w:rPr>
                  </w:pPr>
                  <w:r>
                    <w:rPr>
                      <w:rFonts w:hint="default" w:ascii="Times New Roman" w:hAnsi="Times New Roman" w:cs="Times New Roman"/>
                      <w:color w:val="auto"/>
                    </w:rPr>
                    <w:t>废气处理设施噪声</w:t>
                  </w:r>
                </w:p>
              </w:tc>
              <w:tc>
                <w:tcPr>
                  <w:tcW w:w="2860" w:type="pct"/>
                  <w:vAlign w:val="center"/>
                </w:tcPr>
                <w:p w14:paraId="4873F9E4">
                  <w:pPr>
                    <w:pStyle w:val="49"/>
                    <w:jc w:val="center"/>
                    <w:rPr>
                      <w:rFonts w:hint="default" w:ascii="Times New Roman" w:hAnsi="Times New Roman" w:cs="Times New Roman"/>
                      <w:color w:val="auto"/>
                    </w:rPr>
                  </w:pPr>
                  <w:r>
                    <w:rPr>
                      <w:rFonts w:hint="default" w:ascii="Times New Roman" w:hAnsi="Times New Roman" w:cs="Times New Roman"/>
                      <w:color w:val="auto"/>
                    </w:rPr>
                    <w:t>风机噪声</w:t>
                  </w:r>
                </w:p>
              </w:tc>
            </w:tr>
          </w:tbl>
          <w:p w14:paraId="1111FFE8">
            <w:pPr>
              <w:spacing w:line="360" w:lineRule="auto"/>
              <w:ind w:firstLine="480"/>
              <w:rPr>
                <w:rFonts w:hint="default" w:ascii="Times New Roman" w:hAnsi="Times New Roman" w:cs="Times New Roman"/>
                <w:color w:val="auto"/>
                <w:szCs w:val="20"/>
              </w:rPr>
            </w:pPr>
          </w:p>
        </w:tc>
      </w:tr>
      <w:tr w14:paraId="7A5A64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85" w:hRule="atLeast"/>
          <w:jc w:val="center"/>
        </w:trPr>
        <w:tc>
          <w:tcPr>
            <w:tcW w:w="442" w:type="dxa"/>
            <w:vAlign w:val="center"/>
          </w:tcPr>
          <w:p w14:paraId="2ACA10A6">
            <w:pPr>
              <w:pStyle w:val="17"/>
              <w:adjustRightInd w:val="0"/>
              <w:snapToGrid w:val="0"/>
              <w:spacing w:before="0" w:beforeAutospacing="0" w:after="0" w:afterAutospacing="0"/>
              <w:ind w:firstLine="0" w:firstLineChars="0"/>
              <w:jc w:val="center"/>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与项目有关的原有环境污染问题</w:t>
            </w:r>
          </w:p>
        </w:tc>
        <w:tc>
          <w:tcPr>
            <w:tcW w:w="8618" w:type="dxa"/>
            <w:vAlign w:val="center"/>
          </w:tcPr>
          <w:p w14:paraId="36B1CB02">
            <w:pPr>
              <w:pStyle w:val="49"/>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auto"/>
                <w:kern w:val="2"/>
                <w:sz w:val="24"/>
                <w:szCs w:val="24"/>
                <w:lang w:val="en-US" w:eastAsia="zh-CN" w:bidi="ar-SA"/>
              </w:rPr>
            </w:pPr>
            <w:r>
              <w:rPr>
                <w:rFonts w:hint="eastAsia" w:cs="Times New Roman"/>
                <w:color w:val="auto"/>
                <w:kern w:val="2"/>
                <w:sz w:val="24"/>
                <w:szCs w:val="24"/>
                <w:lang w:val="en-US" w:eastAsia="zh-CN" w:bidi="ar-SA"/>
              </w:rPr>
              <w:t>陕西物流每一天供应链管理有限公司于2023年9月21日取得陕西省西咸新区行政审批服务局关于陕西物流每一天供应链管理有限公司工业园项目环境影响报告书的批复，项目已建成，并于2026年5月11日取得排污许可证，证书编号：91611104MA6TJPRR9U001V，目前正在进行环保竣工验收。</w:t>
            </w:r>
          </w:p>
          <w:p w14:paraId="5CD7696C">
            <w:pPr>
              <w:pStyle w:val="49"/>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kern w:val="2"/>
                <w:sz w:val="24"/>
                <w:szCs w:val="24"/>
                <w:lang w:val="en-US" w:eastAsia="zh-CN" w:bidi="ar-SA"/>
              </w:rPr>
              <w:t>本项目</w:t>
            </w:r>
            <w:r>
              <w:rPr>
                <w:rFonts w:hint="eastAsia" w:cs="Times New Roman"/>
                <w:color w:val="auto"/>
                <w:kern w:val="2"/>
                <w:sz w:val="24"/>
                <w:szCs w:val="24"/>
                <w:lang w:val="en-US" w:eastAsia="zh-CN" w:bidi="ar-SA"/>
              </w:rPr>
              <w:t>为新建项目，租赁陕西物流每一天供应链管理有限公司的空</w:t>
            </w:r>
            <w:r>
              <w:rPr>
                <w:rFonts w:hint="eastAsia" w:ascii="Times New Roman" w:hAnsi="Times New Roman" w:eastAsia="宋体" w:cs="Times New Roman"/>
                <w:color w:val="auto"/>
                <w:kern w:val="2"/>
                <w:sz w:val="24"/>
                <w:szCs w:val="24"/>
                <w:lang w:val="en-US" w:eastAsia="zh-CN" w:bidi="ar-SA"/>
              </w:rPr>
              <w:t>厂房，</w:t>
            </w:r>
            <w:r>
              <w:rPr>
                <w:rFonts w:hint="eastAsia" w:cs="Times New Roman"/>
                <w:color w:val="auto"/>
                <w:kern w:val="2"/>
                <w:sz w:val="24"/>
                <w:szCs w:val="24"/>
                <w:lang w:val="en-US" w:eastAsia="zh-CN" w:bidi="ar-SA"/>
              </w:rPr>
              <w:t>故</w:t>
            </w:r>
            <w:r>
              <w:rPr>
                <w:rFonts w:hint="default" w:ascii="Times New Roman" w:hAnsi="Times New Roman" w:eastAsia="宋体" w:cs="Times New Roman"/>
                <w:color w:val="auto"/>
                <w:kern w:val="2"/>
                <w:sz w:val="24"/>
                <w:szCs w:val="24"/>
                <w:lang w:val="en-US" w:eastAsia="zh-CN" w:bidi="ar-SA"/>
              </w:rPr>
              <w:t>不存在</w:t>
            </w:r>
            <w:r>
              <w:rPr>
                <w:rFonts w:hint="eastAsia" w:cs="Times New Roman"/>
                <w:color w:val="auto"/>
                <w:kern w:val="2"/>
                <w:sz w:val="24"/>
                <w:szCs w:val="24"/>
                <w:lang w:val="en-US" w:eastAsia="zh-CN" w:bidi="ar-SA"/>
              </w:rPr>
              <w:t>原有</w:t>
            </w:r>
            <w:r>
              <w:rPr>
                <w:rFonts w:hint="default" w:ascii="Times New Roman" w:hAnsi="Times New Roman" w:eastAsia="宋体" w:cs="Times New Roman"/>
                <w:color w:val="auto"/>
                <w:kern w:val="2"/>
                <w:sz w:val="24"/>
                <w:szCs w:val="24"/>
                <w:lang w:val="en-US" w:eastAsia="zh-CN" w:bidi="ar-SA"/>
              </w:rPr>
              <w:t>环境污染问题。</w:t>
            </w:r>
          </w:p>
        </w:tc>
      </w:tr>
    </w:tbl>
    <w:p w14:paraId="4E9D0A37">
      <w:pPr>
        <w:pStyle w:val="17"/>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53E710ED">
      <w:pPr>
        <w:pStyle w:val="17"/>
        <w:spacing w:before="0" w:beforeAutospacing="0" w:after="0" w:afterAutospacing="0" w:line="360" w:lineRule="auto"/>
        <w:ind w:firstLine="560"/>
        <w:jc w:val="center"/>
        <w:outlineLvl w:val="0"/>
        <w:rPr>
          <w:rFonts w:hint="default" w:ascii="Times New Roman" w:hAnsi="Times New Roman" w:eastAsia="黑体" w:cs="Times New Roman"/>
          <w:snapToGrid w:val="0"/>
          <w:color w:val="auto"/>
          <w:sz w:val="28"/>
          <w:szCs w:val="28"/>
        </w:rPr>
      </w:pPr>
      <w:r>
        <w:rPr>
          <w:rFonts w:hint="default" w:ascii="Times New Roman" w:hAnsi="Times New Roman" w:eastAsia="黑体" w:cs="Times New Roman"/>
          <w:snapToGrid w:val="0"/>
          <w:color w:val="auto"/>
          <w:sz w:val="28"/>
          <w:szCs w:val="28"/>
        </w:rPr>
        <w:t>三、区域环境质量现状、环境保护目标及评价标准</w:t>
      </w: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8340"/>
      </w:tblGrid>
      <w:tr w14:paraId="0A848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Align w:val="center"/>
          </w:tcPr>
          <w:p w14:paraId="194A0316">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区域</w:t>
            </w:r>
          </w:p>
          <w:p w14:paraId="59104EA9">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环境</w:t>
            </w:r>
          </w:p>
          <w:p w14:paraId="4CFD789C">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质量</w:t>
            </w:r>
          </w:p>
          <w:p w14:paraId="6FAE9A8E">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现状</w:t>
            </w:r>
          </w:p>
        </w:tc>
        <w:tc>
          <w:tcPr>
            <w:tcW w:w="4601" w:type="pct"/>
            <w:vAlign w:val="center"/>
          </w:tcPr>
          <w:p w14:paraId="6C877899">
            <w:pPr>
              <w:spacing w:line="360" w:lineRule="auto"/>
              <w:ind w:firstLine="482"/>
              <w:rPr>
                <w:rFonts w:hint="default" w:ascii="Times New Roman" w:hAnsi="Times New Roman" w:cs="Times New Roman"/>
                <w:b/>
                <w:bCs/>
                <w:color w:val="auto"/>
                <w:shd w:val="clear" w:color="auto" w:fill="FFFFFF"/>
              </w:rPr>
            </w:pPr>
            <w:r>
              <w:rPr>
                <w:rFonts w:hint="default" w:ascii="Times New Roman" w:hAnsi="Times New Roman" w:cs="Times New Roman"/>
                <w:b/>
                <w:bCs/>
                <w:color w:val="auto"/>
              </w:rPr>
              <w:t>一、环境空气质量现状</w:t>
            </w:r>
          </w:p>
          <w:p w14:paraId="46BF9989">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本项目位于陕西省西咸新区沣西新城</w:t>
            </w:r>
            <w:r>
              <w:rPr>
                <w:rFonts w:hint="eastAsia"/>
                <w:bCs/>
                <w:color w:val="auto"/>
                <w:sz w:val="24"/>
                <w:lang w:eastAsia="zh-CN"/>
              </w:rPr>
              <w:t>。</w:t>
            </w:r>
            <w:r>
              <w:rPr>
                <w:rFonts w:hint="default" w:ascii="Times New Roman" w:hAnsi="Times New Roman" w:cs="Times New Roman"/>
                <w:color w:val="auto"/>
                <w:szCs w:val="22"/>
              </w:rPr>
              <w:t>本次评价基本污染物环境质量现状采用陕西省生态环境厅办公室202</w:t>
            </w:r>
            <w:r>
              <w:rPr>
                <w:rFonts w:hint="eastAsia" w:cs="Times New Roman"/>
                <w:color w:val="auto"/>
                <w:szCs w:val="22"/>
                <w:lang w:val="en-US" w:eastAsia="zh-CN"/>
              </w:rPr>
              <w:t>6</w:t>
            </w:r>
            <w:r>
              <w:rPr>
                <w:rFonts w:hint="default" w:ascii="Times New Roman" w:hAnsi="Times New Roman" w:cs="Times New Roman"/>
                <w:color w:val="auto"/>
                <w:szCs w:val="22"/>
              </w:rPr>
              <w:t>年</w:t>
            </w:r>
            <w:r>
              <w:rPr>
                <w:rFonts w:hint="eastAsia" w:cs="Times New Roman"/>
                <w:color w:val="auto"/>
                <w:szCs w:val="22"/>
                <w:lang w:val="en-US" w:eastAsia="zh-CN"/>
              </w:rPr>
              <w:t>2</w:t>
            </w:r>
            <w:r>
              <w:rPr>
                <w:rFonts w:hint="default" w:ascii="Times New Roman" w:hAnsi="Times New Roman" w:cs="Times New Roman"/>
                <w:color w:val="auto"/>
                <w:szCs w:val="22"/>
              </w:rPr>
              <w:t>月</w:t>
            </w:r>
            <w:r>
              <w:rPr>
                <w:rFonts w:hint="eastAsia" w:cs="Times New Roman"/>
                <w:color w:val="auto"/>
                <w:szCs w:val="22"/>
                <w:lang w:val="en-US" w:eastAsia="zh-CN"/>
              </w:rPr>
              <w:t>3</w:t>
            </w:r>
            <w:r>
              <w:rPr>
                <w:rFonts w:hint="default" w:ascii="Times New Roman" w:hAnsi="Times New Roman" w:cs="Times New Roman"/>
                <w:color w:val="auto"/>
                <w:szCs w:val="22"/>
              </w:rPr>
              <w:t>日发布的</w:t>
            </w:r>
            <w:r>
              <w:rPr>
                <w:rFonts w:hint="default" w:ascii="Times New Roman" w:hAnsi="Times New Roman" w:cs="Times New Roman"/>
                <w:color w:val="auto"/>
              </w:rPr>
              <w:t>《202</w:t>
            </w:r>
            <w:r>
              <w:rPr>
                <w:rFonts w:hint="eastAsia" w:cs="Times New Roman"/>
                <w:color w:val="auto"/>
                <w:lang w:val="en-US" w:eastAsia="zh-CN"/>
              </w:rPr>
              <w:t>5</w:t>
            </w:r>
            <w:r>
              <w:rPr>
                <w:rFonts w:hint="default" w:ascii="Times New Roman" w:hAnsi="Times New Roman" w:cs="Times New Roman"/>
                <w:color w:val="auto"/>
              </w:rPr>
              <w:t>年12月及1~12月全省环境质量状况》</w:t>
            </w:r>
            <w:r>
              <w:rPr>
                <w:rFonts w:hint="default" w:ascii="Times New Roman" w:hAnsi="Times New Roman" w:cs="Times New Roman"/>
                <w:color w:val="auto"/>
                <w:szCs w:val="22"/>
              </w:rPr>
              <w:t>中</w:t>
            </w:r>
            <w:r>
              <w:rPr>
                <w:rFonts w:hint="default" w:ascii="Times New Roman" w:hAnsi="Times New Roman" w:cs="Times New Roman"/>
                <w:color w:val="auto"/>
              </w:rPr>
              <w:t>西咸新区</w:t>
            </w:r>
            <w:r>
              <w:rPr>
                <w:bCs/>
                <w:color w:val="auto"/>
                <w:sz w:val="24"/>
              </w:rPr>
              <w:t>空气常规六项污染物监测结果</w:t>
            </w:r>
            <w:r>
              <w:rPr>
                <w:rFonts w:hint="eastAsia"/>
                <w:bCs/>
                <w:color w:val="auto"/>
                <w:sz w:val="24"/>
                <w:lang w:eastAsia="zh-CN"/>
              </w:rPr>
              <w:t>，</w:t>
            </w:r>
            <w:r>
              <w:rPr>
                <w:rFonts w:hint="default" w:ascii="Times New Roman" w:hAnsi="Times New Roman" w:cs="Times New Roman"/>
                <w:color w:val="auto"/>
                <w:szCs w:val="22"/>
              </w:rPr>
              <w:t>具体指标详见下表</w:t>
            </w:r>
            <w:r>
              <w:rPr>
                <w:rFonts w:hint="default" w:ascii="Times New Roman" w:hAnsi="Times New Roman" w:cs="Times New Roman"/>
                <w:color w:val="auto"/>
              </w:rPr>
              <w:t>。</w:t>
            </w:r>
          </w:p>
          <w:p w14:paraId="00B24DB2">
            <w:pPr>
              <w:adjustRightInd w:val="0"/>
              <w:snapToGrid w:val="0"/>
              <w:spacing w:before="120" w:beforeLines="50"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表3-1  区域环境质量现状评价一览表</w:t>
            </w:r>
          </w:p>
          <w:tbl>
            <w:tblPr>
              <w:tblStyle w:val="2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28" w:type="dxa"/>
                <w:left w:w="28" w:type="dxa"/>
                <w:bottom w:w="28" w:type="dxa"/>
                <w:right w:w="28" w:type="dxa"/>
              </w:tblCellMar>
            </w:tblPr>
            <w:tblGrid>
              <w:gridCol w:w="626"/>
              <w:gridCol w:w="1582"/>
              <w:gridCol w:w="1003"/>
              <w:gridCol w:w="1066"/>
              <w:gridCol w:w="1059"/>
              <w:gridCol w:w="1089"/>
              <w:gridCol w:w="1679"/>
            </w:tblGrid>
            <w:tr w14:paraId="764D02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vMerge w:val="restart"/>
                  <w:tcBorders>
                    <w:tl2br w:val="nil"/>
                    <w:tr2bl w:val="nil"/>
                  </w:tcBorders>
                  <w:vAlign w:val="center"/>
                </w:tcPr>
                <w:p w14:paraId="5CBAE9E7">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污染物</w:t>
                  </w:r>
                </w:p>
              </w:tc>
              <w:tc>
                <w:tcPr>
                  <w:tcW w:w="1009" w:type="pct"/>
                  <w:vMerge w:val="restart"/>
                  <w:tcBorders>
                    <w:tl2br w:val="nil"/>
                    <w:tr2bl w:val="nil"/>
                  </w:tcBorders>
                  <w:vAlign w:val="center"/>
                </w:tcPr>
                <w:p w14:paraId="7A87AC74">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年评价指标</w:t>
                  </w:r>
                </w:p>
              </w:tc>
              <w:tc>
                <w:tcPr>
                  <w:tcW w:w="633" w:type="pct"/>
                  <w:vMerge w:val="restart"/>
                  <w:tcBorders>
                    <w:tl2br w:val="nil"/>
                    <w:tr2bl w:val="nil"/>
                  </w:tcBorders>
                  <w:vAlign w:val="center"/>
                </w:tcPr>
                <w:p w14:paraId="068BB751">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现状浓度</w:t>
                  </w:r>
                </w:p>
                <w:p w14:paraId="6A4A9E1E">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（μg/m</w:t>
                  </w:r>
                  <w:r>
                    <w:rPr>
                      <w:rFonts w:hint="default" w:ascii="Times New Roman" w:hAnsi="Times New Roman" w:cs="Times New Roman"/>
                      <w:color w:val="auto"/>
                      <w:kern w:val="0"/>
                      <w:sz w:val="21"/>
                      <w:vertAlign w:val="superscript"/>
                    </w:rPr>
                    <w:t>3</w:t>
                  </w:r>
                  <w:r>
                    <w:rPr>
                      <w:rFonts w:hint="default" w:ascii="Times New Roman" w:hAnsi="Times New Roman" w:cs="Times New Roman"/>
                      <w:color w:val="auto"/>
                      <w:kern w:val="0"/>
                      <w:sz w:val="21"/>
                    </w:rPr>
                    <w:t>）</w:t>
                  </w:r>
                </w:p>
              </w:tc>
              <w:tc>
                <w:tcPr>
                  <w:tcW w:w="710" w:type="pct"/>
                  <w:vMerge w:val="restart"/>
                  <w:tcBorders>
                    <w:tl2br w:val="nil"/>
                    <w:tr2bl w:val="nil"/>
                  </w:tcBorders>
                  <w:vAlign w:val="center"/>
                </w:tcPr>
                <w:p w14:paraId="30F8967E">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标准值</w:t>
                  </w:r>
                </w:p>
                <w:p w14:paraId="407879B4">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（μg/m</w:t>
                  </w:r>
                  <w:r>
                    <w:rPr>
                      <w:rFonts w:hint="default" w:ascii="Times New Roman" w:hAnsi="Times New Roman" w:cs="Times New Roman"/>
                      <w:color w:val="auto"/>
                      <w:kern w:val="0"/>
                      <w:sz w:val="21"/>
                      <w:vertAlign w:val="superscript"/>
                    </w:rPr>
                    <w:t>3</w:t>
                  </w:r>
                  <w:r>
                    <w:rPr>
                      <w:rFonts w:hint="default" w:ascii="Times New Roman" w:hAnsi="Times New Roman" w:cs="Times New Roman"/>
                      <w:color w:val="auto"/>
                      <w:kern w:val="0"/>
                      <w:sz w:val="21"/>
                    </w:rPr>
                    <w:t>）</w:t>
                  </w:r>
                </w:p>
              </w:tc>
              <w:tc>
                <w:tcPr>
                  <w:tcW w:w="687" w:type="pct"/>
                  <w:vMerge w:val="restart"/>
                  <w:tcBorders>
                    <w:tl2br w:val="nil"/>
                    <w:tr2bl w:val="nil"/>
                  </w:tcBorders>
                  <w:vAlign w:val="center"/>
                </w:tcPr>
                <w:p w14:paraId="01C98FDC">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占标率（%）</w:t>
                  </w:r>
                </w:p>
              </w:tc>
              <w:tc>
                <w:tcPr>
                  <w:tcW w:w="705" w:type="pct"/>
                  <w:vMerge w:val="restart"/>
                  <w:tcBorders>
                    <w:tl2br w:val="nil"/>
                    <w:tr2bl w:val="nil"/>
                  </w:tcBorders>
                  <w:vAlign w:val="center"/>
                </w:tcPr>
                <w:p w14:paraId="2216916A">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达标情况</w:t>
                  </w:r>
                </w:p>
              </w:tc>
              <w:tc>
                <w:tcPr>
                  <w:tcW w:w="832" w:type="pct"/>
                  <w:vMerge w:val="restart"/>
                  <w:tcBorders>
                    <w:tl2br w:val="nil"/>
                    <w:tr2bl w:val="nil"/>
                  </w:tcBorders>
                  <w:vAlign w:val="center"/>
                </w:tcPr>
                <w:p w14:paraId="553CFF42">
                  <w:pPr>
                    <w:pStyle w:val="46"/>
                    <w:spacing w:beforeLines="0" w:afterLines="0"/>
                    <w:ind w:firstLine="0" w:firstLineChars="0"/>
                    <w:rPr>
                      <w:rFonts w:hint="default" w:ascii="Times New Roman" w:hAnsi="Times New Roman" w:cs="Times New Roman"/>
                      <w:color w:val="auto"/>
                      <w:kern w:val="0"/>
                      <w:sz w:val="21"/>
                    </w:rPr>
                  </w:pPr>
                  <w:r>
                    <w:rPr>
                      <w:rFonts w:hint="default" w:ascii="Times New Roman" w:hAnsi="Times New Roman" w:cs="Times New Roman"/>
                      <w:color w:val="auto"/>
                      <w:kern w:val="0"/>
                      <w:sz w:val="21"/>
                    </w:rPr>
                    <w:t>标准来源</w:t>
                  </w:r>
                </w:p>
              </w:tc>
            </w:tr>
            <w:tr w14:paraId="0D27BF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vMerge w:val="continue"/>
                  <w:tcBorders>
                    <w:tl2br w:val="nil"/>
                    <w:tr2bl w:val="nil"/>
                  </w:tcBorders>
                  <w:vAlign w:val="center"/>
                </w:tcPr>
                <w:p w14:paraId="73AAFA40">
                  <w:pPr>
                    <w:pStyle w:val="9"/>
                    <w:snapToGrid w:val="0"/>
                    <w:spacing w:line="240" w:lineRule="auto"/>
                    <w:ind w:firstLine="0" w:firstLineChars="0"/>
                    <w:jc w:val="center"/>
                    <w:rPr>
                      <w:rFonts w:hint="default" w:ascii="Times New Roman" w:hAnsi="Times New Roman" w:cs="Times New Roman"/>
                      <w:b/>
                      <w:color w:val="auto"/>
                      <w:sz w:val="21"/>
                      <w:szCs w:val="21"/>
                    </w:rPr>
                  </w:pPr>
                </w:p>
              </w:tc>
              <w:tc>
                <w:tcPr>
                  <w:tcW w:w="1009" w:type="pct"/>
                  <w:vMerge w:val="continue"/>
                  <w:tcBorders>
                    <w:tl2br w:val="nil"/>
                    <w:tr2bl w:val="nil"/>
                  </w:tcBorders>
                  <w:vAlign w:val="center"/>
                </w:tcPr>
                <w:p w14:paraId="1BC5E904">
                  <w:pPr>
                    <w:pStyle w:val="9"/>
                    <w:snapToGrid w:val="0"/>
                    <w:spacing w:line="240" w:lineRule="auto"/>
                    <w:ind w:firstLine="0" w:firstLineChars="0"/>
                    <w:jc w:val="center"/>
                    <w:rPr>
                      <w:rFonts w:hint="default" w:ascii="Times New Roman" w:hAnsi="Times New Roman" w:cs="Times New Roman"/>
                      <w:b/>
                      <w:color w:val="auto"/>
                      <w:sz w:val="21"/>
                      <w:szCs w:val="21"/>
                    </w:rPr>
                  </w:pPr>
                </w:p>
              </w:tc>
              <w:tc>
                <w:tcPr>
                  <w:tcW w:w="633" w:type="pct"/>
                  <w:vMerge w:val="continue"/>
                  <w:tcBorders>
                    <w:tl2br w:val="nil"/>
                    <w:tr2bl w:val="nil"/>
                  </w:tcBorders>
                  <w:vAlign w:val="center"/>
                </w:tcPr>
                <w:p w14:paraId="6F219FD7">
                  <w:pPr>
                    <w:pStyle w:val="9"/>
                    <w:snapToGrid w:val="0"/>
                    <w:spacing w:line="240" w:lineRule="auto"/>
                    <w:ind w:firstLine="0" w:firstLineChars="0"/>
                    <w:jc w:val="center"/>
                    <w:rPr>
                      <w:rFonts w:hint="default" w:ascii="Times New Roman" w:hAnsi="Times New Roman" w:cs="Times New Roman"/>
                      <w:b/>
                      <w:color w:val="auto"/>
                      <w:sz w:val="21"/>
                      <w:szCs w:val="21"/>
                    </w:rPr>
                  </w:pPr>
                </w:p>
              </w:tc>
              <w:tc>
                <w:tcPr>
                  <w:tcW w:w="710" w:type="pct"/>
                  <w:vMerge w:val="continue"/>
                  <w:tcBorders>
                    <w:tl2br w:val="nil"/>
                    <w:tr2bl w:val="nil"/>
                  </w:tcBorders>
                  <w:vAlign w:val="center"/>
                </w:tcPr>
                <w:p w14:paraId="61914A46">
                  <w:pPr>
                    <w:pStyle w:val="9"/>
                    <w:snapToGrid w:val="0"/>
                    <w:spacing w:line="240" w:lineRule="auto"/>
                    <w:ind w:firstLine="0" w:firstLineChars="0"/>
                    <w:jc w:val="center"/>
                    <w:rPr>
                      <w:rFonts w:hint="default" w:ascii="Times New Roman" w:hAnsi="Times New Roman" w:cs="Times New Roman"/>
                      <w:b/>
                      <w:color w:val="auto"/>
                      <w:sz w:val="21"/>
                      <w:szCs w:val="21"/>
                    </w:rPr>
                  </w:pPr>
                </w:p>
              </w:tc>
              <w:tc>
                <w:tcPr>
                  <w:tcW w:w="687" w:type="pct"/>
                  <w:vMerge w:val="continue"/>
                  <w:tcBorders>
                    <w:tl2br w:val="nil"/>
                    <w:tr2bl w:val="nil"/>
                  </w:tcBorders>
                  <w:vAlign w:val="center"/>
                </w:tcPr>
                <w:p w14:paraId="2849F804">
                  <w:pPr>
                    <w:pStyle w:val="9"/>
                    <w:snapToGrid w:val="0"/>
                    <w:spacing w:line="240" w:lineRule="auto"/>
                    <w:ind w:firstLine="0" w:firstLineChars="0"/>
                    <w:jc w:val="center"/>
                    <w:rPr>
                      <w:rFonts w:hint="default" w:ascii="Times New Roman" w:hAnsi="Times New Roman" w:cs="Times New Roman"/>
                      <w:b/>
                      <w:color w:val="auto"/>
                      <w:sz w:val="21"/>
                      <w:szCs w:val="21"/>
                    </w:rPr>
                  </w:pPr>
                </w:p>
              </w:tc>
              <w:tc>
                <w:tcPr>
                  <w:tcW w:w="705" w:type="pct"/>
                  <w:vMerge w:val="continue"/>
                  <w:tcBorders>
                    <w:tl2br w:val="nil"/>
                    <w:tr2bl w:val="nil"/>
                  </w:tcBorders>
                  <w:vAlign w:val="center"/>
                </w:tcPr>
                <w:p w14:paraId="1A4B262E">
                  <w:pPr>
                    <w:pStyle w:val="9"/>
                    <w:snapToGrid w:val="0"/>
                    <w:spacing w:line="240" w:lineRule="auto"/>
                    <w:ind w:firstLine="0" w:firstLineChars="0"/>
                    <w:jc w:val="center"/>
                    <w:rPr>
                      <w:rFonts w:hint="default" w:ascii="Times New Roman" w:hAnsi="Times New Roman" w:cs="Times New Roman"/>
                      <w:b/>
                      <w:color w:val="auto"/>
                      <w:sz w:val="21"/>
                      <w:szCs w:val="21"/>
                    </w:rPr>
                  </w:pPr>
                </w:p>
              </w:tc>
              <w:tc>
                <w:tcPr>
                  <w:tcW w:w="832" w:type="pct"/>
                  <w:vMerge w:val="continue"/>
                  <w:tcBorders>
                    <w:tl2br w:val="nil"/>
                    <w:tr2bl w:val="nil"/>
                  </w:tcBorders>
                  <w:vAlign w:val="center"/>
                </w:tcPr>
                <w:p w14:paraId="0FB073C5">
                  <w:pPr>
                    <w:pStyle w:val="9"/>
                    <w:snapToGrid w:val="0"/>
                    <w:spacing w:line="240" w:lineRule="auto"/>
                    <w:ind w:firstLine="0" w:firstLineChars="0"/>
                    <w:jc w:val="center"/>
                    <w:rPr>
                      <w:rFonts w:hint="default" w:ascii="Times New Roman" w:hAnsi="Times New Roman" w:cs="Times New Roman"/>
                      <w:b/>
                      <w:color w:val="auto"/>
                      <w:sz w:val="21"/>
                      <w:szCs w:val="21"/>
                    </w:rPr>
                  </w:pPr>
                </w:p>
              </w:tc>
            </w:tr>
            <w:tr w14:paraId="4A52E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tcBorders>
                    <w:tl2br w:val="nil"/>
                    <w:tr2bl w:val="nil"/>
                  </w:tcBorders>
                  <w:vAlign w:val="center"/>
                </w:tcPr>
                <w:p w14:paraId="0F1168F2">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PM</w:t>
                  </w:r>
                  <w:r>
                    <w:rPr>
                      <w:rFonts w:hint="default" w:ascii="Times New Roman" w:hAnsi="Times New Roman" w:cs="Times New Roman"/>
                      <w:b w:val="0"/>
                      <w:bCs/>
                      <w:color w:val="auto"/>
                      <w:kern w:val="0"/>
                      <w:sz w:val="21"/>
                      <w:vertAlign w:val="subscript"/>
                    </w:rPr>
                    <w:t>10</w:t>
                  </w:r>
                </w:p>
              </w:tc>
              <w:tc>
                <w:tcPr>
                  <w:tcW w:w="1009" w:type="pct"/>
                  <w:tcBorders>
                    <w:tl2br w:val="nil"/>
                    <w:tr2bl w:val="nil"/>
                  </w:tcBorders>
                  <w:vAlign w:val="center"/>
                </w:tcPr>
                <w:p w14:paraId="04406360">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年平均质量浓度</w:t>
                  </w:r>
                </w:p>
              </w:tc>
              <w:tc>
                <w:tcPr>
                  <w:tcW w:w="633" w:type="pct"/>
                  <w:tcBorders>
                    <w:tl2br w:val="nil"/>
                    <w:tr2bl w:val="nil"/>
                  </w:tcBorders>
                  <w:vAlign w:val="center"/>
                </w:tcPr>
                <w:p w14:paraId="17DFA9C0">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65</w:t>
                  </w:r>
                </w:p>
              </w:tc>
              <w:tc>
                <w:tcPr>
                  <w:tcW w:w="710" w:type="pct"/>
                  <w:tcBorders>
                    <w:tl2br w:val="nil"/>
                    <w:tr2bl w:val="nil"/>
                  </w:tcBorders>
                  <w:vAlign w:val="center"/>
                </w:tcPr>
                <w:p w14:paraId="79FB187D">
                  <w:pPr>
                    <w:pStyle w:val="46"/>
                    <w:spacing w:beforeLines="0" w:afterLines="0"/>
                    <w:ind w:firstLine="0" w:firstLineChars="0"/>
                    <w:rPr>
                      <w:rFonts w:hint="default" w:ascii="Times New Roman" w:hAnsi="Times New Roman" w:cs="Times New Roman"/>
                      <w:b w:val="0"/>
                      <w:bCs/>
                      <w:color w:val="auto"/>
                      <w:sz w:val="21"/>
                    </w:rPr>
                  </w:pPr>
                  <w:r>
                    <w:rPr>
                      <w:rFonts w:hint="eastAsia" w:cs="Times New Roman"/>
                      <w:b w:val="0"/>
                      <w:bCs/>
                      <w:color w:val="auto"/>
                      <w:kern w:val="0"/>
                      <w:sz w:val="21"/>
                      <w:lang w:val="en-US" w:eastAsia="zh-CN"/>
                    </w:rPr>
                    <w:t>6</w:t>
                  </w:r>
                  <w:r>
                    <w:rPr>
                      <w:rFonts w:hint="default" w:ascii="Times New Roman" w:hAnsi="Times New Roman" w:cs="Times New Roman"/>
                      <w:b w:val="0"/>
                      <w:bCs/>
                      <w:color w:val="auto"/>
                      <w:kern w:val="0"/>
                      <w:sz w:val="21"/>
                    </w:rPr>
                    <w:t>0</w:t>
                  </w:r>
                </w:p>
              </w:tc>
              <w:tc>
                <w:tcPr>
                  <w:tcW w:w="687" w:type="pct"/>
                  <w:tcBorders>
                    <w:tl2br w:val="nil"/>
                    <w:tr2bl w:val="nil"/>
                  </w:tcBorders>
                  <w:vAlign w:val="center"/>
                </w:tcPr>
                <w:p w14:paraId="055B676C">
                  <w:pPr>
                    <w:widowControl/>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108.3</w:t>
                  </w:r>
                </w:p>
              </w:tc>
              <w:tc>
                <w:tcPr>
                  <w:tcW w:w="705" w:type="pct"/>
                  <w:tcBorders>
                    <w:tl2br w:val="nil"/>
                    <w:tr2bl w:val="nil"/>
                  </w:tcBorders>
                  <w:vAlign w:val="center"/>
                </w:tcPr>
                <w:p w14:paraId="591F4400">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不达标</w:t>
                  </w:r>
                </w:p>
              </w:tc>
              <w:tc>
                <w:tcPr>
                  <w:tcW w:w="832" w:type="pct"/>
                  <w:vMerge w:val="restart"/>
                  <w:tcBorders>
                    <w:tl2br w:val="nil"/>
                    <w:tr2bl w:val="nil"/>
                  </w:tcBorders>
                  <w:vAlign w:val="center"/>
                </w:tcPr>
                <w:p w14:paraId="30FA33CF">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《环境空气质量标准》（GB3095-20</w:t>
                  </w:r>
                  <w:r>
                    <w:rPr>
                      <w:rFonts w:hint="eastAsia" w:cs="Times New Roman"/>
                      <w:color w:val="auto"/>
                      <w:sz w:val="21"/>
                      <w:szCs w:val="21"/>
                      <w:lang w:val="en-US" w:eastAsia="zh-CN"/>
                    </w:rPr>
                    <w:t>26</w:t>
                  </w:r>
                  <w:r>
                    <w:rPr>
                      <w:rFonts w:hint="default" w:ascii="Times New Roman" w:hAnsi="Times New Roman" w:cs="Times New Roman"/>
                      <w:color w:val="auto"/>
                      <w:sz w:val="21"/>
                      <w:szCs w:val="21"/>
                    </w:rPr>
                    <w:t>）</w:t>
                  </w:r>
                </w:p>
              </w:tc>
            </w:tr>
            <w:tr w14:paraId="72A452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tcBorders>
                    <w:tl2br w:val="nil"/>
                    <w:tr2bl w:val="nil"/>
                  </w:tcBorders>
                  <w:vAlign w:val="center"/>
                </w:tcPr>
                <w:p w14:paraId="7320CFC9">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PM</w:t>
                  </w:r>
                  <w:r>
                    <w:rPr>
                      <w:rFonts w:hint="default" w:ascii="Times New Roman" w:hAnsi="Times New Roman" w:cs="Times New Roman"/>
                      <w:b w:val="0"/>
                      <w:bCs/>
                      <w:color w:val="auto"/>
                      <w:kern w:val="0"/>
                      <w:sz w:val="21"/>
                      <w:vertAlign w:val="subscript"/>
                    </w:rPr>
                    <w:t>2.5</w:t>
                  </w:r>
                </w:p>
              </w:tc>
              <w:tc>
                <w:tcPr>
                  <w:tcW w:w="1009" w:type="pct"/>
                  <w:tcBorders>
                    <w:tl2br w:val="nil"/>
                    <w:tr2bl w:val="nil"/>
                  </w:tcBorders>
                  <w:vAlign w:val="center"/>
                </w:tcPr>
                <w:p w14:paraId="0E78B808">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年平均质量浓度</w:t>
                  </w:r>
                </w:p>
              </w:tc>
              <w:tc>
                <w:tcPr>
                  <w:tcW w:w="633" w:type="pct"/>
                  <w:tcBorders>
                    <w:tl2br w:val="nil"/>
                    <w:tr2bl w:val="nil"/>
                  </w:tcBorders>
                  <w:vAlign w:val="center"/>
                </w:tcPr>
                <w:p w14:paraId="50ABE1BD">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38.8</w:t>
                  </w:r>
                </w:p>
              </w:tc>
              <w:tc>
                <w:tcPr>
                  <w:tcW w:w="710" w:type="pct"/>
                  <w:tcBorders>
                    <w:tl2br w:val="nil"/>
                    <w:tr2bl w:val="nil"/>
                  </w:tcBorders>
                  <w:vAlign w:val="center"/>
                </w:tcPr>
                <w:p w14:paraId="3343ECAA">
                  <w:pPr>
                    <w:pStyle w:val="46"/>
                    <w:spacing w:beforeLines="0" w:afterLines="0"/>
                    <w:ind w:firstLine="0" w:firstLineChars="0"/>
                    <w:rPr>
                      <w:rFonts w:hint="eastAsia" w:ascii="Times New Roman" w:hAnsi="Times New Roman" w:eastAsia="宋体" w:cs="Times New Roman"/>
                      <w:b w:val="0"/>
                      <w:bCs/>
                      <w:color w:val="auto"/>
                      <w:sz w:val="21"/>
                      <w:lang w:eastAsia="zh-CN"/>
                    </w:rPr>
                  </w:pPr>
                  <w:r>
                    <w:rPr>
                      <w:rFonts w:hint="default" w:ascii="Times New Roman" w:hAnsi="Times New Roman" w:cs="Times New Roman"/>
                      <w:b w:val="0"/>
                      <w:bCs/>
                      <w:color w:val="auto"/>
                      <w:kern w:val="0"/>
                      <w:sz w:val="21"/>
                    </w:rPr>
                    <w:t>3</w:t>
                  </w:r>
                  <w:r>
                    <w:rPr>
                      <w:rFonts w:hint="eastAsia" w:cs="Times New Roman"/>
                      <w:b w:val="0"/>
                      <w:bCs/>
                      <w:color w:val="auto"/>
                      <w:kern w:val="0"/>
                      <w:sz w:val="21"/>
                      <w:lang w:val="en-US" w:eastAsia="zh-CN"/>
                    </w:rPr>
                    <w:t>0</w:t>
                  </w:r>
                </w:p>
              </w:tc>
              <w:tc>
                <w:tcPr>
                  <w:tcW w:w="687" w:type="pct"/>
                  <w:tcBorders>
                    <w:tl2br w:val="nil"/>
                    <w:tr2bl w:val="nil"/>
                  </w:tcBorders>
                  <w:vAlign w:val="center"/>
                </w:tcPr>
                <w:p w14:paraId="6801E3BD">
                  <w:pPr>
                    <w:widowControl/>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129.3</w:t>
                  </w:r>
                </w:p>
              </w:tc>
              <w:tc>
                <w:tcPr>
                  <w:tcW w:w="705" w:type="pct"/>
                  <w:tcBorders>
                    <w:tl2br w:val="nil"/>
                    <w:tr2bl w:val="nil"/>
                  </w:tcBorders>
                  <w:vAlign w:val="center"/>
                </w:tcPr>
                <w:p w14:paraId="22BA35B5">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不达标</w:t>
                  </w:r>
                </w:p>
              </w:tc>
              <w:tc>
                <w:tcPr>
                  <w:tcW w:w="832" w:type="pct"/>
                  <w:vMerge w:val="continue"/>
                  <w:tcBorders>
                    <w:tl2br w:val="nil"/>
                    <w:tr2bl w:val="nil"/>
                  </w:tcBorders>
                  <w:vAlign w:val="center"/>
                </w:tcPr>
                <w:p w14:paraId="05BC2E82">
                  <w:pPr>
                    <w:pStyle w:val="9"/>
                    <w:snapToGrid w:val="0"/>
                    <w:spacing w:line="240" w:lineRule="auto"/>
                    <w:ind w:firstLine="0" w:firstLineChars="0"/>
                    <w:jc w:val="center"/>
                    <w:rPr>
                      <w:rFonts w:hint="default" w:ascii="Times New Roman" w:hAnsi="Times New Roman" w:cs="Times New Roman"/>
                      <w:b/>
                      <w:color w:val="auto"/>
                      <w:sz w:val="21"/>
                      <w:szCs w:val="21"/>
                    </w:rPr>
                  </w:pPr>
                </w:p>
              </w:tc>
            </w:tr>
            <w:tr w14:paraId="5EE0B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tcBorders>
                    <w:tl2br w:val="nil"/>
                    <w:tr2bl w:val="nil"/>
                  </w:tcBorders>
                  <w:vAlign w:val="center"/>
                </w:tcPr>
                <w:p w14:paraId="6A0FFA35">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SO</w:t>
                  </w:r>
                  <w:r>
                    <w:rPr>
                      <w:rFonts w:hint="default" w:ascii="Times New Roman" w:hAnsi="Times New Roman" w:cs="Times New Roman"/>
                      <w:b w:val="0"/>
                      <w:bCs/>
                      <w:color w:val="auto"/>
                      <w:kern w:val="0"/>
                      <w:sz w:val="21"/>
                      <w:vertAlign w:val="subscript"/>
                    </w:rPr>
                    <w:t>2</w:t>
                  </w:r>
                </w:p>
              </w:tc>
              <w:tc>
                <w:tcPr>
                  <w:tcW w:w="1009" w:type="pct"/>
                  <w:tcBorders>
                    <w:tl2br w:val="nil"/>
                    <w:tr2bl w:val="nil"/>
                  </w:tcBorders>
                  <w:vAlign w:val="center"/>
                </w:tcPr>
                <w:p w14:paraId="5836FC5A">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年平均质量浓度</w:t>
                  </w:r>
                </w:p>
              </w:tc>
              <w:tc>
                <w:tcPr>
                  <w:tcW w:w="633" w:type="pct"/>
                  <w:tcBorders>
                    <w:tl2br w:val="nil"/>
                    <w:tr2bl w:val="nil"/>
                  </w:tcBorders>
                  <w:vAlign w:val="center"/>
                </w:tcPr>
                <w:p w14:paraId="6D7B9065">
                  <w:pPr>
                    <w:adjustRightInd w:val="0"/>
                    <w:snapToGrid w:val="0"/>
                    <w:spacing w:line="240" w:lineRule="auto"/>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5</w:t>
                  </w:r>
                </w:p>
              </w:tc>
              <w:tc>
                <w:tcPr>
                  <w:tcW w:w="710" w:type="pct"/>
                  <w:tcBorders>
                    <w:tl2br w:val="nil"/>
                    <w:tr2bl w:val="nil"/>
                  </w:tcBorders>
                  <w:vAlign w:val="center"/>
                </w:tcPr>
                <w:p w14:paraId="0B12AD47">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60</w:t>
                  </w:r>
                </w:p>
              </w:tc>
              <w:tc>
                <w:tcPr>
                  <w:tcW w:w="687" w:type="pct"/>
                  <w:tcBorders>
                    <w:tl2br w:val="nil"/>
                    <w:tr2bl w:val="nil"/>
                  </w:tcBorders>
                  <w:vAlign w:val="center"/>
                </w:tcPr>
                <w:p w14:paraId="78B32C20">
                  <w:pPr>
                    <w:widowControl/>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8.3</w:t>
                  </w:r>
                </w:p>
              </w:tc>
              <w:tc>
                <w:tcPr>
                  <w:tcW w:w="705" w:type="pct"/>
                  <w:tcBorders>
                    <w:tl2br w:val="nil"/>
                    <w:tr2bl w:val="nil"/>
                  </w:tcBorders>
                  <w:vAlign w:val="center"/>
                </w:tcPr>
                <w:p w14:paraId="71332C9D">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达标</w:t>
                  </w:r>
                </w:p>
              </w:tc>
              <w:tc>
                <w:tcPr>
                  <w:tcW w:w="832" w:type="pct"/>
                  <w:vMerge w:val="continue"/>
                  <w:tcBorders>
                    <w:tl2br w:val="nil"/>
                    <w:tr2bl w:val="nil"/>
                  </w:tcBorders>
                  <w:vAlign w:val="center"/>
                </w:tcPr>
                <w:p w14:paraId="0EE1227B">
                  <w:pPr>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08F522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tcBorders>
                    <w:tl2br w:val="nil"/>
                    <w:tr2bl w:val="nil"/>
                  </w:tcBorders>
                  <w:vAlign w:val="center"/>
                </w:tcPr>
                <w:p w14:paraId="703FCE07">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NO</w:t>
                  </w:r>
                  <w:r>
                    <w:rPr>
                      <w:rFonts w:hint="default" w:ascii="Times New Roman" w:hAnsi="Times New Roman" w:cs="Times New Roman"/>
                      <w:b w:val="0"/>
                      <w:bCs/>
                      <w:color w:val="auto"/>
                      <w:kern w:val="0"/>
                      <w:sz w:val="21"/>
                      <w:vertAlign w:val="subscript"/>
                    </w:rPr>
                    <w:t>2</w:t>
                  </w:r>
                </w:p>
              </w:tc>
              <w:tc>
                <w:tcPr>
                  <w:tcW w:w="1009" w:type="pct"/>
                  <w:tcBorders>
                    <w:tl2br w:val="nil"/>
                    <w:tr2bl w:val="nil"/>
                  </w:tcBorders>
                  <w:vAlign w:val="center"/>
                </w:tcPr>
                <w:p w14:paraId="5F89A4F0">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年平均质量浓度</w:t>
                  </w:r>
                </w:p>
              </w:tc>
              <w:tc>
                <w:tcPr>
                  <w:tcW w:w="633" w:type="pct"/>
                  <w:tcBorders>
                    <w:tl2br w:val="nil"/>
                    <w:tr2bl w:val="nil"/>
                  </w:tcBorders>
                  <w:vAlign w:val="center"/>
                </w:tcPr>
                <w:p w14:paraId="1B63B516">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28</w:t>
                  </w:r>
                </w:p>
              </w:tc>
              <w:tc>
                <w:tcPr>
                  <w:tcW w:w="710" w:type="pct"/>
                  <w:tcBorders>
                    <w:tl2br w:val="nil"/>
                    <w:tr2bl w:val="nil"/>
                  </w:tcBorders>
                  <w:vAlign w:val="center"/>
                </w:tcPr>
                <w:p w14:paraId="602BA375">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40</w:t>
                  </w:r>
                </w:p>
              </w:tc>
              <w:tc>
                <w:tcPr>
                  <w:tcW w:w="687" w:type="pct"/>
                  <w:tcBorders>
                    <w:tl2br w:val="nil"/>
                    <w:tr2bl w:val="nil"/>
                  </w:tcBorders>
                  <w:vAlign w:val="center"/>
                </w:tcPr>
                <w:p w14:paraId="1D3AF4DB">
                  <w:pPr>
                    <w:widowControl/>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70.0</w:t>
                  </w:r>
                </w:p>
              </w:tc>
              <w:tc>
                <w:tcPr>
                  <w:tcW w:w="705" w:type="pct"/>
                  <w:tcBorders>
                    <w:tl2br w:val="nil"/>
                    <w:tr2bl w:val="nil"/>
                  </w:tcBorders>
                  <w:vAlign w:val="center"/>
                </w:tcPr>
                <w:p w14:paraId="0FCA21F7">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达标</w:t>
                  </w:r>
                </w:p>
              </w:tc>
              <w:tc>
                <w:tcPr>
                  <w:tcW w:w="832" w:type="pct"/>
                  <w:vMerge w:val="continue"/>
                  <w:tcBorders>
                    <w:tl2br w:val="nil"/>
                    <w:tr2bl w:val="nil"/>
                  </w:tcBorders>
                  <w:vAlign w:val="center"/>
                </w:tcPr>
                <w:p w14:paraId="47FB3C04">
                  <w:pPr>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794F2F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tcBorders>
                    <w:tl2br w:val="nil"/>
                    <w:tr2bl w:val="nil"/>
                  </w:tcBorders>
                  <w:vAlign w:val="center"/>
                </w:tcPr>
                <w:p w14:paraId="53179991">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CO</w:t>
                  </w:r>
                </w:p>
              </w:tc>
              <w:tc>
                <w:tcPr>
                  <w:tcW w:w="1009" w:type="pct"/>
                  <w:tcBorders>
                    <w:tl2br w:val="nil"/>
                    <w:tr2bl w:val="nil"/>
                  </w:tcBorders>
                  <w:vAlign w:val="center"/>
                </w:tcPr>
                <w:p w14:paraId="59D67085">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95百分位数日平均质量浓度</w:t>
                  </w:r>
                </w:p>
              </w:tc>
              <w:tc>
                <w:tcPr>
                  <w:tcW w:w="633" w:type="pct"/>
                  <w:tcBorders>
                    <w:tl2br w:val="nil"/>
                    <w:tr2bl w:val="nil"/>
                  </w:tcBorders>
                  <w:vAlign w:val="center"/>
                </w:tcPr>
                <w:p w14:paraId="44B24EA5">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r>
                    <w:rPr>
                      <w:rFonts w:hint="eastAsia" w:cs="Times New Roman"/>
                      <w:color w:val="auto"/>
                      <w:sz w:val="21"/>
                      <w:szCs w:val="21"/>
                      <w:lang w:val="en-US" w:eastAsia="zh-CN"/>
                    </w:rPr>
                    <w:t>0</w:t>
                  </w:r>
                  <w:r>
                    <w:rPr>
                      <w:rFonts w:hint="default" w:ascii="Times New Roman" w:hAnsi="Times New Roman" w:cs="Times New Roman"/>
                      <w:color w:val="auto"/>
                      <w:sz w:val="21"/>
                      <w:szCs w:val="21"/>
                    </w:rPr>
                    <w:t>00</w:t>
                  </w:r>
                </w:p>
              </w:tc>
              <w:tc>
                <w:tcPr>
                  <w:tcW w:w="710" w:type="pct"/>
                  <w:tcBorders>
                    <w:tl2br w:val="nil"/>
                    <w:tr2bl w:val="nil"/>
                  </w:tcBorders>
                  <w:vAlign w:val="center"/>
                </w:tcPr>
                <w:p w14:paraId="56A247B0">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4000</w:t>
                  </w:r>
                </w:p>
              </w:tc>
              <w:tc>
                <w:tcPr>
                  <w:tcW w:w="687" w:type="pct"/>
                  <w:tcBorders>
                    <w:tl2br w:val="nil"/>
                    <w:tr2bl w:val="nil"/>
                  </w:tcBorders>
                  <w:vAlign w:val="center"/>
                </w:tcPr>
                <w:p w14:paraId="346027E3">
                  <w:pPr>
                    <w:widowControl/>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25.0</w:t>
                  </w:r>
                </w:p>
              </w:tc>
              <w:tc>
                <w:tcPr>
                  <w:tcW w:w="705" w:type="pct"/>
                  <w:tcBorders>
                    <w:tl2br w:val="nil"/>
                    <w:tr2bl w:val="nil"/>
                  </w:tcBorders>
                  <w:vAlign w:val="center"/>
                </w:tcPr>
                <w:p w14:paraId="32011988">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达标</w:t>
                  </w:r>
                </w:p>
              </w:tc>
              <w:tc>
                <w:tcPr>
                  <w:tcW w:w="832" w:type="pct"/>
                  <w:vMerge w:val="continue"/>
                  <w:tcBorders>
                    <w:tl2br w:val="nil"/>
                    <w:tr2bl w:val="nil"/>
                  </w:tcBorders>
                  <w:vAlign w:val="center"/>
                </w:tcPr>
                <w:p w14:paraId="02D3AEC9">
                  <w:pPr>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2F0A90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20" w:type="pct"/>
                  <w:tcBorders>
                    <w:tl2br w:val="nil"/>
                    <w:tr2bl w:val="nil"/>
                  </w:tcBorders>
                  <w:vAlign w:val="center"/>
                </w:tcPr>
                <w:p w14:paraId="3DB88DD5">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O</w:t>
                  </w:r>
                  <w:r>
                    <w:rPr>
                      <w:rFonts w:hint="default" w:ascii="Times New Roman" w:hAnsi="Times New Roman" w:cs="Times New Roman"/>
                      <w:b w:val="0"/>
                      <w:bCs/>
                      <w:color w:val="auto"/>
                      <w:kern w:val="0"/>
                      <w:sz w:val="21"/>
                      <w:vertAlign w:val="subscript"/>
                    </w:rPr>
                    <w:t>3</w:t>
                  </w:r>
                </w:p>
              </w:tc>
              <w:tc>
                <w:tcPr>
                  <w:tcW w:w="1009" w:type="pct"/>
                  <w:tcBorders>
                    <w:tl2br w:val="nil"/>
                    <w:tr2bl w:val="nil"/>
                  </w:tcBorders>
                  <w:vAlign w:val="center"/>
                </w:tcPr>
                <w:p w14:paraId="54F3774A">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90百分位数最大8小时平均质量浓度</w:t>
                  </w:r>
                </w:p>
              </w:tc>
              <w:tc>
                <w:tcPr>
                  <w:tcW w:w="633" w:type="pct"/>
                  <w:tcBorders>
                    <w:tl2br w:val="nil"/>
                    <w:tr2bl w:val="nil"/>
                  </w:tcBorders>
                  <w:vAlign w:val="center"/>
                </w:tcPr>
                <w:p w14:paraId="3115E9AC">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w:t>
                  </w:r>
                  <w:r>
                    <w:rPr>
                      <w:rFonts w:hint="eastAsia" w:cs="Times New Roman"/>
                      <w:color w:val="auto"/>
                      <w:sz w:val="21"/>
                      <w:szCs w:val="21"/>
                      <w:lang w:val="en-US" w:eastAsia="zh-CN"/>
                    </w:rPr>
                    <w:t>54</w:t>
                  </w:r>
                </w:p>
              </w:tc>
              <w:tc>
                <w:tcPr>
                  <w:tcW w:w="710" w:type="pct"/>
                  <w:tcBorders>
                    <w:tl2br w:val="nil"/>
                    <w:tr2bl w:val="nil"/>
                  </w:tcBorders>
                  <w:vAlign w:val="center"/>
                </w:tcPr>
                <w:p w14:paraId="65030DF6">
                  <w:pPr>
                    <w:pStyle w:val="46"/>
                    <w:spacing w:beforeLines="0" w:afterLines="0"/>
                    <w:ind w:firstLine="0" w:firstLineChars="0"/>
                    <w:rPr>
                      <w:rFonts w:hint="default" w:ascii="Times New Roman" w:hAnsi="Times New Roman" w:cs="Times New Roman"/>
                      <w:b w:val="0"/>
                      <w:bCs/>
                      <w:color w:val="auto"/>
                      <w:sz w:val="21"/>
                    </w:rPr>
                  </w:pPr>
                  <w:r>
                    <w:rPr>
                      <w:rFonts w:hint="default" w:ascii="Times New Roman" w:hAnsi="Times New Roman" w:cs="Times New Roman"/>
                      <w:b w:val="0"/>
                      <w:bCs/>
                      <w:color w:val="auto"/>
                      <w:kern w:val="0"/>
                      <w:sz w:val="21"/>
                    </w:rPr>
                    <w:t>160</w:t>
                  </w:r>
                </w:p>
              </w:tc>
              <w:tc>
                <w:tcPr>
                  <w:tcW w:w="687" w:type="pct"/>
                  <w:tcBorders>
                    <w:tl2br w:val="nil"/>
                    <w:tr2bl w:val="nil"/>
                  </w:tcBorders>
                  <w:vAlign w:val="center"/>
                </w:tcPr>
                <w:p w14:paraId="3AE8EFA7">
                  <w:pPr>
                    <w:widowControl/>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kern w:val="0"/>
                      <w:sz w:val="21"/>
                      <w:szCs w:val="21"/>
                      <w:lang w:val="en-US" w:eastAsia="zh-CN" w:bidi="ar"/>
                    </w:rPr>
                    <w:t>96.25</w:t>
                  </w:r>
                </w:p>
              </w:tc>
              <w:tc>
                <w:tcPr>
                  <w:tcW w:w="705" w:type="pct"/>
                  <w:tcBorders>
                    <w:tl2br w:val="nil"/>
                    <w:tr2bl w:val="nil"/>
                  </w:tcBorders>
                  <w:vAlign w:val="center"/>
                </w:tcPr>
                <w:p w14:paraId="2B22262D">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达标</w:t>
                  </w:r>
                </w:p>
              </w:tc>
              <w:tc>
                <w:tcPr>
                  <w:tcW w:w="832" w:type="pct"/>
                  <w:vMerge w:val="continue"/>
                  <w:tcBorders>
                    <w:tl2br w:val="nil"/>
                    <w:tr2bl w:val="nil"/>
                  </w:tcBorders>
                  <w:vAlign w:val="center"/>
                </w:tcPr>
                <w:p w14:paraId="633CDF16">
                  <w:pPr>
                    <w:adjustRightInd w:val="0"/>
                    <w:snapToGrid w:val="0"/>
                    <w:spacing w:line="240" w:lineRule="auto"/>
                    <w:ind w:firstLine="0" w:firstLineChars="0"/>
                    <w:jc w:val="center"/>
                    <w:rPr>
                      <w:rFonts w:hint="default" w:ascii="Times New Roman" w:hAnsi="Times New Roman" w:cs="Times New Roman"/>
                      <w:color w:val="auto"/>
                      <w:sz w:val="21"/>
                      <w:szCs w:val="21"/>
                    </w:rPr>
                  </w:pPr>
                </w:p>
              </w:tc>
            </w:tr>
          </w:tbl>
          <w:p w14:paraId="5E926EC6">
            <w:pPr>
              <w:spacing w:line="360" w:lineRule="auto"/>
              <w:ind w:firstLine="480"/>
              <w:rPr>
                <w:rFonts w:hint="eastAsia" w:ascii="Times New Roman" w:hAnsi="Times New Roman" w:eastAsia="宋体" w:cs="Times New Roman"/>
                <w:color w:val="auto"/>
                <w:szCs w:val="22"/>
                <w:lang w:eastAsia="zh-CN"/>
              </w:rPr>
            </w:pPr>
            <w:r>
              <w:rPr>
                <w:rFonts w:hint="default" w:ascii="Times New Roman" w:hAnsi="Times New Roman" w:cs="Times New Roman"/>
                <w:color w:val="auto"/>
                <w:szCs w:val="22"/>
              </w:rPr>
              <w:t>从上表可以看出，</w:t>
            </w:r>
            <w:r>
              <w:rPr>
                <w:bCs/>
                <w:color w:val="auto"/>
                <w:sz w:val="24"/>
              </w:rPr>
              <w:t>项目区域环境空气常规六项污染物中，PM</w:t>
            </w:r>
            <w:r>
              <w:rPr>
                <w:rFonts w:hint="eastAsia"/>
                <w:bCs/>
                <w:color w:val="auto"/>
                <w:sz w:val="24"/>
                <w:vertAlign w:val="subscript"/>
              </w:rPr>
              <w:t>10</w:t>
            </w:r>
            <w:r>
              <w:rPr>
                <w:rFonts w:hint="eastAsia"/>
                <w:bCs/>
                <w:color w:val="auto"/>
                <w:sz w:val="24"/>
                <w:lang w:eastAsia="zh-CN"/>
              </w:rPr>
              <w:t>、</w:t>
            </w:r>
            <w:r>
              <w:rPr>
                <w:bCs/>
                <w:color w:val="auto"/>
                <w:sz w:val="24"/>
              </w:rPr>
              <w:t>PM</w:t>
            </w:r>
            <w:r>
              <w:rPr>
                <w:bCs/>
                <w:color w:val="auto"/>
                <w:sz w:val="24"/>
                <w:vertAlign w:val="subscript"/>
              </w:rPr>
              <w:t>2.5</w:t>
            </w:r>
            <w:r>
              <w:rPr>
                <w:bCs/>
                <w:color w:val="auto"/>
                <w:sz w:val="24"/>
              </w:rPr>
              <w:t>年平均质量浓度超过《环境空气质量标准》（GB3095-20</w:t>
            </w:r>
            <w:r>
              <w:rPr>
                <w:rFonts w:hint="eastAsia"/>
                <w:bCs/>
                <w:color w:val="auto"/>
                <w:sz w:val="24"/>
                <w:lang w:val="en-US" w:eastAsia="zh-CN"/>
              </w:rPr>
              <w:t>26</w:t>
            </w:r>
            <w:r>
              <w:rPr>
                <w:bCs/>
                <w:color w:val="auto"/>
                <w:sz w:val="24"/>
              </w:rPr>
              <w:t>）</w:t>
            </w:r>
            <w:r>
              <w:rPr>
                <w:rFonts w:hint="eastAsia"/>
                <w:bCs/>
                <w:color w:val="auto"/>
                <w:sz w:val="24"/>
                <w:lang w:val="en-US" w:eastAsia="zh-CN"/>
              </w:rPr>
              <w:t>过渡阶段</w:t>
            </w:r>
            <w:r>
              <w:rPr>
                <w:bCs/>
                <w:color w:val="auto"/>
                <w:sz w:val="24"/>
              </w:rPr>
              <w:t>二级标准限值要求；SO</w:t>
            </w:r>
            <w:r>
              <w:rPr>
                <w:bCs/>
                <w:color w:val="auto"/>
                <w:sz w:val="24"/>
                <w:vertAlign w:val="subscript"/>
              </w:rPr>
              <w:t>2</w:t>
            </w:r>
            <w:r>
              <w:rPr>
                <w:rFonts w:hint="eastAsia"/>
                <w:bCs/>
                <w:color w:val="auto"/>
                <w:sz w:val="24"/>
                <w:lang w:eastAsia="zh-CN"/>
              </w:rPr>
              <w:t>、</w:t>
            </w:r>
            <w:r>
              <w:rPr>
                <w:bCs/>
                <w:color w:val="auto"/>
                <w:sz w:val="24"/>
              </w:rPr>
              <w:t>NO</w:t>
            </w:r>
            <w:r>
              <w:rPr>
                <w:bCs/>
                <w:color w:val="auto"/>
                <w:sz w:val="24"/>
                <w:vertAlign w:val="subscript"/>
              </w:rPr>
              <w:t>2</w:t>
            </w:r>
            <w:r>
              <w:rPr>
                <w:bCs/>
                <w:color w:val="auto"/>
                <w:sz w:val="24"/>
              </w:rPr>
              <w:t>年平均质量浓度</w:t>
            </w:r>
            <w:r>
              <w:rPr>
                <w:rFonts w:hint="eastAsia"/>
                <w:bCs/>
                <w:color w:val="auto"/>
                <w:sz w:val="24"/>
                <w:lang w:eastAsia="zh-CN"/>
              </w:rPr>
              <w:t>、</w:t>
            </w:r>
            <w:r>
              <w:rPr>
                <w:bCs/>
                <w:color w:val="auto"/>
                <w:sz w:val="24"/>
              </w:rPr>
              <w:t>CO24小时平均第95百分位浓度</w:t>
            </w:r>
            <w:r>
              <w:rPr>
                <w:rFonts w:hint="eastAsia"/>
                <w:bCs/>
                <w:color w:val="auto"/>
                <w:sz w:val="24"/>
                <w:lang w:eastAsia="zh-CN"/>
              </w:rPr>
              <w:t>、</w:t>
            </w:r>
            <w:r>
              <w:rPr>
                <w:bCs/>
                <w:color w:val="auto"/>
                <w:sz w:val="24"/>
              </w:rPr>
              <w:t>O</w:t>
            </w:r>
            <w:r>
              <w:rPr>
                <w:bCs/>
                <w:color w:val="auto"/>
                <w:sz w:val="24"/>
                <w:vertAlign w:val="subscript"/>
              </w:rPr>
              <w:t>3</w:t>
            </w:r>
            <w:r>
              <w:rPr>
                <w:bCs/>
                <w:color w:val="auto"/>
                <w:sz w:val="24"/>
              </w:rPr>
              <w:t>日最大8小时平均第90百分位浓度均能满足《环境空气质量标准》（GB3095-20</w:t>
            </w:r>
            <w:r>
              <w:rPr>
                <w:rFonts w:hint="eastAsia"/>
                <w:bCs/>
                <w:color w:val="auto"/>
                <w:sz w:val="24"/>
                <w:lang w:val="en-US" w:eastAsia="zh-CN"/>
              </w:rPr>
              <w:t>26</w:t>
            </w:r>
            <w:r>
              <w:rPr>
                <w:bCs/>
                <w:color w:val="auto"/>
                <w:sz w:val="24"/>
              </w:rPr>
              <w:t>）</w:t>
            </w:r>
            <w:r>
              <w:rPr>
                <w:rFonts w:hint="eastAsia"/>
                <w:bCs/>
                <w:color w:val="auto"/>
                <w:sz w:val="24"/>
                <w:lang w:val="en-US" w:eastAsia="zh-CN"/>
              </w:rPr>
              <w:t>过渡阶段</w:t>
            </w:r>
            <w:r>
              <w:rPr>
                <w:bCs/>
                <w:color w:val="auto"/>
                <w:sz w:val="24"/>
              </w:rPr>
              <w:t>二级标准限值要求</w:t>
            </w:r>
            <w:r>
              <w:rPr>
                <w:rFonts w:hint="eastAsia"/>
                <w:bCs/>
                <w:color w:val="auto"/>
                <w:sz w:val="24"/>
                <w:lang w:eastAsia="zh-CN"/>
              </w:rPr>
              <w:t>。</w:t>
            </w:r>
            <w:r>
              <w:rPr>
                <w:rFonts w:hint="eastAsia" w:cs="Times New Roman"/>
                <w:color w:val="auto"/>
                <w:szCs w:val="22"/>
                <w:lang w:eastAsia="zh-CN"/>
              </w:rPr>
              <w:t>综上，本项目属于环境空气质量不达标区。</w:t>
            </w:r>
          </w:p>
          <w:p w14:paraId="7EB4861D">
            <w:pPr>
              <w:spacing w:line="360" w:lineRule="auto"/>
              <w:ind w:firstLine="482"/>
              <w:rPr>
                <w:rFonts w:hint="default" w:ascii="Times New Roman" w:hAnsi="Times New Roman" w:cs="Times New Roman"/>
                <w:b/>
                <w:bCs/>
                <w:color w:val="auto"/>
              </w:rPr>
            </w:pPr>
            <w:r>
              <w:rPr>
                <w:rFonts w:hint="default" w:ascii="Times New Roman" w:hAnsi="Times New Roman" w:cs="Times New Roman"/>
                <w:b/>
                <w:bCs/>
                <w:color w:val="auto"/>
              </w:rPr>
              <w:t>二、声环境质量现状</w:t>
            </w:r>
          </w:p>
          <w:p w14:paraId="4D817B1A">
            <w:pPr>
              <w:spacing w:line="360" w:lineRule="auto"/>
              <w:ind w:firstLine="480"/>
              <w:rPr>
                <w:rFonts w:hint="default" w:ascii="Times New Roman" w:hAnsi="Times New Roman" w:cs="Times New Roman"/>
                <w:color w:val="auto"/>
                <w:kern w:val="0"/>
              </w:rPr>
            </w:pPr>
            <w:r>
              <w:rPr>
                <w:rFonts w:hint="default" w:ascii="Times New Roman" w:hAnsi="Times New Roman" w:cs="Times New Roman"/>
                <w:color w:val="auto"/>
                <w:kern w:val="0"/>
              </w:rPr>
              <w:t>根据现场踏勘，本项目</w:t>
            </w:r>
            <w:r>
              <w:rPr>
                <w:rFonts w:hint="default" w:ascii="Times New Roman" w:hAnsi="Times New Roman" w:cs="Times New Roman"/>
                <w:color w:val="auto"/>
                <w:kern w:val="0"/>
                <w:lang w:eastAsia="zh-CN"/>
              </w:rPr>
              <w:t>厂界</w:t>
            </w:r>
            <w:r>
              <w:rPr>
                <w:rFonts w:hint="default" w:ascii="Times New Roman" w:hAnsi="Times New Roman" w:cs="Times New Roman"/>
                <w:color w:val="auto"/>
                <w:kern w:val="0"/>
              </w:rPr>
              <w:t>周边50m范围内不存在声环境</w:t>
            </w:r>
            <w:r>
              <w:rPr>
                <w:rFonts w:hint="default" w:ascii="Times New Roman" w:hAnsi="Times New Roman" w:cs="Times New Roman"/>
                <w:color w:val="auto"/>
                <w:kern w:val="0"/>
                <w:lang w:eastAsia="zh-CN"/>
              </w:rPr>
              <w:t>保护目标</w:t>
            </w:r>
            <w:r>
              <w:rPr>
                <w:rFonts w:hint="default" w:ascii="Times New Roman" w:hAnsi="Times New Roman" w:cs="Times New Roman"/>
                <w:color w:val="auto"/>
                <w:kern w:val="0"/>
              </w:rPr>
              <w:t>，因此本次</w:t>
            </w:r>
            <w:r>
              <w:rPr>
                <w:rFonts w:hint="eastAsia" w:cs="Times New Roman"/>
                <w:color w:val="auto"/>
                <w:kern w:val="0"/>
                <w:lang w:val="en-US" w:eastAsia="zh-CN"/>
              </w:rPr>
              <w:t>评价不</w:t>
            </w:r>
            <w:r>
              <w:rPr>
                <w:rFonts w:hint="default" w:ascii="Times New Roman" w:hAnsi="Times New Roman" w:cs="Times New Roman"/>
                <w:color w:val="auto"/>
                <w:kern w:val="0"/>
              </w:rPr>
              <w:t>进行声环境质量现状监测。</w:t>
            </w:r>
          </w:p>
          <w:p w14:paraId="2156BED0">
            <w:pPr>
              <w:spacing w:line="360" w:lineRule="auto"/>
              <w:ind w:firstLine="482"/>
              <w:rPr>
                <w:rFonts w:hint="default" w:ascii="Times New Roman" w:hAnsi="Times New Roman" w:cs="Times New Roman"/>
                <w:b/>
                <w:bCs/>
                <w:color w:val="auto"/>
                <w:kern w:val="0"/>
              </w:rPr>
            </w:pPr>
            <w:r>
              <w:rPr>
                <w:rFonts w:hint="default" w:ascii="Times New Roman" w:hAnsi="Times New Roman" w:cs="Times New Roman"/>
                <w:b/>
                <w:bCs/>
                <w:color w:val="auto"/>
                <w:kern w:val="0"/>
              </w:rPr>
              <w:t>三、土壤、地下水</w:t>
            </w:r>
          </w:p>
          <w:p w14:paraId="57B2FCC8">
            <w:pPr>
              <w:spacing w:line="360" w:lineRule="auto"/>
              <w:ind w:firstLine="480"/>
              <w:rPr>
                <w:rFonts w:hint="default"/>
                <w:color w:val="auto"/>
              </w:rPr>
            </w:pPr>
            <w:r>
              <w:rPr>
                <w:rFonts w:hint="default" w:ascii="Times New Roman" w:hAnsi="Times New Roman" w:cs="Times New Roman"/>
                <w:color w:val="auto"/>
                <w:kern w:val="0"/>
              </w:rPr>
              <w:t>本</w:t>
            </w:r>
            <w:r>
              <w:rPr>
                <w:rFonts w:hint="default" w:ascii="Times New Roman" w:hAnsi="Times New Roman" w:cs="Times New Roman"/>
                <w:color w:val="auto"/>
              </w:rPr>
              <w:t>项目</w:t>
            </w:r>
            <w:r>
              <w:rPr>
                <w:rFonts w:hint="eastAsia" w:cs="Times New Roman"/>
                <w:color w:val="auto"/>
                <w:lang w:val="en-US" w:eastAsia="zh-CN"/>
              </w:rPr>
              <w:t>生产车间</w:t>
            </w:r>
            <w:r>
              <w:rPr>
                <w:rFonts w:hint="default" w:ascii="Times New Roman" w:hAnsi="Times New Roman" w:cs="Times New Roman"/>
                <w:color w:val="auto"/>
              </w:rPr>
              <w:t>地面均</w:t>
            </w:r>
            <w:r>
              <w:rPr>
                <w:rFonts w:hint="eastAsia" w:cs="Times New Roman"/>
                <w:color w:val="auto"/>
                <w:lang w:val="en-US" w:eastAsia="zh-CN"/>
              </w:rPr>
              <w:t>进行</w:t>
            </w:r>
            <w:r>
              <w:rPr>
                <w:rFonts w:hint="default" w:ascii="Times New Roman" w:hAnsi="Times New Roman" w:cs="Times New Roman"/>
                <w:color w:val="auto"/>
              </w:rPr>
              <w:t>硬化，</w:t>
            </w:r>
            <w:r>
              <w:rPr>
                <w:rFonts w:hint="eastAsia"/>
                <w:color w:val="auto"/>
                <w:spacing w:val="-3"/>
                <w:sz w:val="24"/>
                <w:szCs w:val="24"/>
                <w:lang w:val="en-US" w:eastAsia="zh-CN"/>
              </w:rPr>
              <w:t>危险废物贮存库</w:t>
            </w:r>
            <w:r>
              <w:rPr>
                <w:rFonts w:hint="eastAsia" w:ascii="Times New Roman" w:hAnsi="Times New Roman" w:cs="Times New Roman"/>
                <w:color w:val="auto"/>
                <w:lang w:val="en-US" w:eastAsia="zh-CN"/>
              </w:rPr>
              <w:t>采取防渗措施，</w:t>
            </w:r>
            <w:r>
              <w:rPr>
                <w:rFonts w:hint="default" w:ascii="Times New Roman" w:hAnsi="Times New Roman" w:cs="Times New Roman"/>
                <w:color w:val="auto"/>
              </w:rPr>
              <w:t>不存在地下水、土壤环境污染途径，不需要开展地下水和土壤环境质量现状调查。</w:t>
            </w:r>
          </w:p>
        </w:tc>
      </w:tr>
      <w:tr w14:paraId="66715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78" w:hRule="atLeast"/>
          <w:jc w:val="center"/>
        </w:trPr>
        <w:tc>
          <w:tcPr>
            <w:tcW w:w="398" w:type="pct"/>
            <w:vAlign w:val="center"/>
          </w:tcPr>
          <w:p w14:paraId="11AE6FE0">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环境</w:t>
            </w:r>
          </w:p>
          <w:p w14:paraId="613F635A">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保护</w:t>
            </w:r>
          </w:p>
          <w:p w14:paraId="32C50713">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目标</w:t>
            </w:r>
          </w:p>
        </w:tc>
        <w:tc>
          <w:tcPr>
            <w:tcW w:w="4601" w:type="pct"/>
          </w:tcPr>
          <w:p w14:paraId="74F571AA">
            <w:pPr>
              <w:spacing w:line="360" w:lineRule="auto"/>
              <w:ind w:firstLine="480"/>
              <w:jc w:val="both"/>
              <w:rPr>
                <w:rFonts w:hint="default" w:ascii="Times New Roman" w:hAnsi="Times New Roman" w:cs="Times New Roman"/>
                <w:color w:val="auto"/>
                <w:kern w:val="0"/>
                <w:lang w:bidi="ar"/>
              </w:rPr>
            </w:pPr>
            <w:r>
              <w:rPr>
                <w:rFonts w:hint="default" w:ascii="Times New Roman" w:hAnsi="Times New Roman" w:cs="Times New Roman"/>
                <w:color w:val="auto"/>
              </w:rPr>
              <w:t>根据现场踏勘，项目厂界外50m范围内无声环境保护目标；厂界外500m范围内无地下水集中式饮用水水源和热水、矿泉水、温泉等特殊地下水资源，不涉及地下水环境保护目标</w:t>
            </w:r>
            <w:r>
              <w:rPr>
                <w:rFonts w:hint="eastAsia" w:cs="Times New Roman"/>
                <w:color w:val="auto"/>
                <w:lang w:eastAsia="zh-CN"/>
              </w:rPr>
              <w:t>；</w:t>
            </w:r>
            <w:r>
              <w:rPr>
                <w:rFonts w:hint="default" w:ascii="Times New Roman" w:hAnsi="Times New Roman" w:cs="Times New Roman"/>
                <w:color w:val="auto"/>
              </w:rPr>
              <w:t>项目</w:t>
            </w:r>
            <w:r>
              <w:rPr>
                <w:rFonts w:hint="eastAsia" w:cs="Times New Roman"/>
                <w:color w:val="auto"/>
                <w:lang w:val="en-US" w:eastAsia="zh-CN"/>
              </w:rPr>
              <w:t>占地范围内</w:t>
            </w:r>
            <w:r>
              <w:rPr>
                <w:rFonts w:hint="default" w:ascii="Times New Roman" w:hAnsi="Times New Roman" w:cs="Times New Roman"/>
                <w:color w:val="auto"/>
              </w:rPr>
              <w:t>不涉及生态环境保护目标；本次评价环境空气保护目标调查范围为厂界外500m范围内，环境保护目标详见表3-</w:t>
            </w:r>
            <w:r>
              <w:rPr>
                <w:rFonts w:hint="eastAsia" w:cs="Times New Roman"/>
                <w:color w:val="auto"/>
                <w:lang w:val="en-US" w:eastAsia="zh-CN"/>
              </w:rPr>
              <w:t>2</w:t>
            </w:r>
            <w:r>
              <w:rPr>
                <w:rFonts w:hint="default" w:ascii="Times New Roman" w:hAnsi="Times New Roman" w:cs="Times New Roman"/>
                <w:color w:val="auto"/>
              </w:rPr>
              <w:t>，环境保护目标分布图详见附图</w:t>
            </w:r>
            <w:r>
              <w:rPr>
                <w:rFonts w:hint="eastAsia" w:cs="Times New Roman"/>
                <w:color w:val="auto"/>
                <w:lang w:val="en-US" w:eastAsia="zh-CN"/>
              </w:rPr>
              <w:t>5</w:t>
            </w:r>
            <w:r>
              <w:rPr>
                <w:rFonts w:hint="default" w:ascii="Times New Roman" w:hAnsi="Times New Roman" w:cs="Times New Roman"/>
                <w:color w:val="auto"/>
                <w:kern w:val="0"/>
                <w:lang w:bidi="ar"/>
              </w:rPr>
              <w:t>。</w:t>
            </w:r>
          </w:p>
          <w:p w14:paraId="7BC1E837">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kern w:val="0"/>
                <w:sz w:val="21"/>
                <w:szCs w:val="21"/>
                <w:lang w:bidi="ar"/>
              </w:rPr>
              <w:t>表3-</w:t>
            </w:r>
            <w:r>
              <w:rPr>
                <w:rFonts w:hint="eastAsia" w:cs="Times New Roman"/>
                <w:b/>
                <w:bCs/>
                <w:color w:val="auto"/>
                <w:kern w:val="0"/>
                <w:sz w:val="21"/>
                <w:szCs w:val="21"/>
                <w:lang w:val="en-US" w:eastAsia="zh-CN" w:bidi="ar"/>
              </w:rPr>
              <w:t xml:space="preserve">2  </w:t>
            </w:r>
            <w:r>
              <w:rPr>
                <w:rFonts w:hint="default" w:ascii="Times New Roman" w:hAnsi="Times New Roman" w:cs="Times New Roman"/>
                <w:b/>
                <w:bCs/>
                <w:color w:val="auto"/>
                <w:kern w:val="0"/>
                <w:sz w:val="21"/>
                <w:szCs w:val="21"/>
                <w:lang w:bidi="ar"/>
              </w:rPr>
              <w:t>大气环境保护目标</w:t>
            </w:r>
          </w:p>
          <w:tbl>
            <w:tblPr>
              <w:tblStyle w:val="21"/>
              <w:tblW w:w="49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71"/>
              <w:gridCol w:w="1214"/>
              <w:gridCol w:w="1109"/>
              <w:gridCol w:w="882"/>
              <w:gridCol w:w="879"/>
              <w:gridCol w:w="795"/>
              <w:gridCol w:w="655"/>
              <w:gridCol w:w="859"/>
            </w:tblGrid>
            <w:tr w14:paraId="36F0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2" w:hRule="atLeast"/>
                <w:tblHeader/>
              </w:trPr>
              <w:tc>
                <w:tcPr>
                  <w:tcW w:w="263" w:type="pct"/>
                  <w:tcBorders>
                    <w:top w:val="single" w:color="auto" w:sz="4" w:space="0"/>
                    <w:left w:val="single" w:color="auto" w:sz="4" w:space="0"/>
                    <w:bottom w:val="single" w:color="auto" w:sz="4" w:space="0"/>
                    <w:right w:val="single" w:color="auto" w:sz="4" w:space="0"/>
                  </w:tcBorders>
                  <w:vAlign w:val="center"/>
                </w:tcPr>
                <w:p w14:paraId="4A54FB27">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类型</w:t>
                  </w:r>
                </w:p>
              </w:tc>
              <w:tc>
                <w:tcPr>
                  <w:tcW w:w="785" w:type="pct"/>
                  <w:tcBorders>
                    <w:top w:val="single" w:color="auto" w:sz="4" w:space="0"/>
                    <w:left w:val="single" w:color="auto" w:sz="4" w:space="0"/>
                    <w:bottom w:val="single" w:color="auto" w:sz="4" w:space="0"/>
                    <w:right w:val="single" w:color="auto" w:sz="4" w:space="0"/>
                  </w:tcBorders>
                  <w:vAlign w:val="center"/>
                </w:tcPr>
                <w:p w14:paraId="7B0C448D">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名称</w:t>
                  </w:r>
                </w:p>
              </w:tc>
              <w:tc>
                <w:tcPr>
                  <w:tcW w:w="1435" w:type="pct"/>
                  <w:gridSpan w:val="2"/>
                  <w:tcBorders>
                    <w:top w:val="single" w:color="auto" w:sz="4" w:space="0"/>
                    <w:left w:val="single" w:color="auto" w:sz="4" w:space="0"/>
                    <w:bottom w:val="single" w:color="auto" w:sz="4" w:space="0"/>
                    <w:right w:val="single" w:color="auto" w:sz="4" w:space="0"/>
                  </w:tcBorders>
                  <w:vAlign w:val="center"/>
                </w:tcPr>
                <w:p w14:paraId="02E31B94">
                  <w:pPr>
                    <w:widowControl/>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rPr>
                    <w:t>坐标</w:t>
                  </w:r>
                  <w:r>
                    <w:rPr>
                      <w:rFonts w:hint="eastAsia" w:cs="Times New Roman"/>
                      <w:b w:val="0"/>
                      <w:bCs w:val="0"/>
                      <w:color w:val="auto"/>
                      <w:kern w:val="0"/>
                      <w:sz w:val="21"/>
                      <w:szCs w:val="21"/>
                      <w:lang w:val="en-US" w:eastAsia="zh-CN"/>
                    </w:rPr>
                    <w:t>/°</w:t>
                  </w:r>
                </w:p>
              </w:tc>
              <w:tc>
                <w:tcPr>
                  <w:tcW w:w="545" w:type="pct"/>
                  <w:tcBorders>
                    <w:top w:val="single" w:color="auto" w:sz="4" w:space="0"/>
                    <w:left w:val="single" w:color="auto" w:sz="4" w:space="0"/>
                    <w:bottom w:val="single" w:color="auto" w:sz="4" w:space="0"/>
                    <w:right w:val="single" w:color="auto" w:sz="4" w:space="0"/>
                  </w:tcBorders>
                  <w:vAlign w:val="center"/>
                </w:tcPr>
                <w:p w14:paraId="236F8CBC">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保护对象</w:t>
                  </w:r>
                </w:p>
              </w:tc>
              <w:tc>
                <w:tcPr>
                  <w:tcW w:w="543" w:type="pct"/>
                  <w:tcBorders>
                    <w:top w:val="single" w:color="auto" w:sz="4" w:space="0"/>
                    <w:left w:val="single" w:color="auto" w:sz="4" w:space="0"/>
                    <w:bottom w:val="single" w:color="auto" w:sz="4" w:space="0"/>
                    <w:right w:val="single" w:color="auto" w:sz="4" w:space="0"/>
                  </w:tcBorders>
                  <w:vAlign w:val="center"/>
                </w:tcPr>
                <w:p w14:paraId="34A3C076">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保护内容</w:t>
                  </w:r>
                </w:p>
              </w:tc>
              <w:tc>
                <w:tcPr>
                  <w:tcW w:w="491" w:type="pct"/>
                  <w:tcBorders>
                    <w:top w:val="single" w:color="auto" w:sz="4" w:space="0"/>
                    <w:left w:val="single" w:color="auto" w:sz="4" w:space="0"/>
                    <w:bottom w:val="single" w:color="auto" w:sz="4" w:space="0"/>
                    <w:right w:val="single" w:color="auto" w:sz="4" w:space="0"/>
                  </w:tcBorders>
                  <w:vAlign w:val="center"/>
                </w:tcPr>
                <w:p w14:paraId="34EB3A38">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环境功能区</w:t>
                  </w:r>
                </w:p>
              </w:tc>
              <w:tc>
                <w:tcPr>
                  <w:tcW w:w="404" w:type="pct"/>
                  <w:tcBorders>
                    <w:top w:val="single" w:color="auto" w:sz="4" w:space="0"/>
                    <w:left w:val="single" w:color="auto" w:sz="4" w:space="0"/>
                    <w:bottom w:val="single" w:color="auto" w:sz="4" w:space="0"/>
                    <w:right w:val="single" w:color="auto" w:sz="4" w:space="0"/>
                  </w:tcBorders>
                  <w:vAlign w:val="center"/>
                </w:tcPr>
                <w:p w14:paraId="0D31B61F">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相对场址方位</w:t>
                  </w:r>
                </w:p>
              </w:tc>
              <w:tc>
                <w:tcPr>
                  <w:tcW w:w="530" w:type="pct"/>
                  <w:tcBorders>
                    <w:top w:val="single" w:color="auto" w:sz="4" w:space="0"/>
                    <w:left w:val="single" w:color="auto" w:sz="4" w:space="0"/>
                    <w:bottom w:val="single" w:color="auto" w:sz="4" w:space="0"/>
                    <w:right w:val="single" w:color="auto" w:sz="4" w:space="0"/>
                  </w:tcBorders>
                  <w:vAlign w:val="center"/>
                </w:tcPr>
                <w:p w14:paraId="12D4EE44">
                  <w:pPr>
                    <w:widowControl/>
                    <w:spacing w:line="240" w:lineRule="auto"/>
                    <w:ind w:firstLine="0" w:firstLineChars="0"/>
                    <w:jc w:val="center"/>
                    <w:textAlignment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rPr>
                    <w:t>相对厂界最近距离（m）</w:t>
                  </w:r>
                </w:p>
              </w:tc>
            </w:tr>
            <w:tr w14:paraId="2212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blHeader/>
              </w:trPr>
              <w:tc>
                <w:tcPr>
                  <w:tcW w:w="263" w:type="pct"/>
                  <w:tcBorders>
                    <w:top w:val="single" w:color="auto" w:sz="4" w:space="0"/>
                    <w:left w:val="single" w:color="auto" w:sz="4" w:space="0"/>
                    <w:right w:val="single" w:color="auto" w:sz="4" w:space="0"/>
                  </w:tcBorders>
                  <w:vAlign w:val="center"/>
                </w:tcPr>
                <w:p w14:paraId="6BAB7993">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环境空气</w:t>
                  </w:r>
                </w:p>
              </w:tc>
              <w:tc>
                <w:tcPr>
                  <w:tcW w:w="785" w:type="pct"/>
                  <w:tcBorders>
                    <w:top w:val="single" w:color="auto" w:sz="4" w:space="0"/>
                    <w:left w:val="single" w:color="auto" w:sz="4" w:space="0"/>
                    <w:right w:val="single" w:color="auto" w:sz="4" w:space="0"/>
                  </w:tcBorders>
                  <w:vAlign w:val="center"/>
                </w:tcPr>
                <w:p w14:paraId="3B756A9D">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eastAsia" w:cs="Times New Roman"/>
                      <w:color w:val="auto"/>
                      <w:sz w:val="21"/>
                      <w:szCs w:val="21"/>
                      <w:lang w:val="en-US" w:eastAsia="zh-CN"/>
                    </w:rPr>
                    <w:t>曹家寨</w:t>
                  </w:r>
                  <w:r>
                    <w:rPr>
                      <w:rFonts w:hint="eastAsia" w:ascii="Times New Roman" w:hAnsi="Times New Roman" w:eastAsia="宋体" w:cs="Times New Roman"/>
                      <w:color w:val="auto"/>
                      <w:sz w:val="21"/>
                      <w:szCs w:val="21"/>
                      <w:lang w:val="en-US" w:eastAsia="zh-CN"/>
                    </w:rPr>
                    <w:t>村</w:t>
                  </w:r>
                </w:p>
              </w:tc>
              <w:tc>
                <w:tcPr>
                  <w:tcW w:w="750" w:type="pct"/>
                  <w:tcBorders>
                    <w:top w:val="single" w:color="auto" w:sz="4" w:space="0"/>
                    <w:left w:val="single" w:color="auto" w:sz="4" w:space="0"/>
                    <w:bottom w:val="single" w:color="auto" w:sz="4" w:space="0"/>
                    <w:right w:val="single" w:color="auto" w:sz="4" w:space="0"/>
                  </w:tcBorders>
                  <w:vAlign w:val="center"/>
                </w:tcPr>
                <w:p w14:paraId="6C4A909A">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rPr>
                    <w:t>108.678257</w:t>
                  </w:r>
                </w:p>
              </w:tc>
              <w:tc>
                <w:tcPr>
                  <w:tcW w:w="685" w:type="pct"/>
                  <w:tcBorders>
                    <w:top w:val="single" w:color="auto" w:sz="4" w:space="0"/>
                    <w:left w:val="single" w:color="auto" w:sz="4" w:space="0"/>
                    <w:bottom w:val="single" w:color="auto" w:sz="4" w:space="0"/>
                    <w:right w:val="single" w:color="auto" w:sz="4" w:space="0"/>
                  </w:tcBorders>
                  <w:vAlign w:val="center"/>
                </w:tcPr>
                <w:p w14:paraId="392D21C7">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34.295324</w:t>
                  </w:r>
                </w:p>
              </w:tc>
              <w:tc>
                <w:tcPr>
                  <w:tcW w:w="545" w:type="pct"/>
                  <w:tcBorders>
                    <w:top w:val="single" w:color="auto" w:sz="4" w:space="0"/>
                    <w:left w:val="single" w:color="auto" w:sz="4" w:space="0"/>
                    <w:bottom w:val="single" w:color="auto" w:sz="4" w:space="0"/>
                    <w:right w:val="single" w:color="auto" w:sz="4" w:space="0"/>
                  </w:tcBorders>
                  <w:vAlign w:val="center"/>
                </w:tcPr>
                <w:p w14:paraId="7E82115E">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居民</w:t>
                  </w:r>
                </w:p>
              </w:tc>
              <w:tc>
                <w:tcPr>
                  <w:tcW w:w="543" w:type="pct"/>
                  <w:tcBorders>
                    <w:top w:val="single" w:color="auto" w:sz="4" w:space="0"/>
                    <w:left w:val="single" w:color="auto" w:sz="4" w:space="0"/>
                    <w:right w:val="single" w:color="auto" w:sz="4" w:space="0"/>
                  </w:tcBorders>
                  <w:vAlign w:val="center"/>
                </w:tcPr>
                <w:p w14:paraId="7B7BC596">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eastAsia" w:cs="Times New Roman"/>
                      <w:color w:val="auto"/>
                      <w:kern w:val="0"/>
                      <w:sz w:val="21"/>
                      <w:szCs w:val="21"/>
                      <w:lang w:val="en-US" w:eastAsia="zh-CN"/>
                    </w:rPr>
                    <w:t>120</w:t>
                  </w:r>
                  <w:r>
                    <w:rPr>
                      <w:rFonts w:hint="default" w:ascii="Times New Roman" w:hAnsi="Times New Roman" w:cs="Times New Roman"/>
                      <w:color w:val="auto"/>
                      <w:kern w:val="0"/>
                      <w:sz w:val="21"/>
                      <w:szCs w:val="21"/>
                    </w:rPr>
                    <w:t>人</w:t>
                  </w:r>
                </w:p>
              </w:tc>
              <w:tc>
                <w:tcPr>
                  <w:tcW w:w="491" w:type="pct"/>
                  <w:tcBorders>
                    <w:top w:val="single" w:color="auto" w:sz="4" w:space="0"/>
                    <w:left w:val="single" w:color="auto" w:sz="4" w:space="0"/>
                    <w:right w:val="single" w:color="auto" w:sz="4" w:space="0"/>
                  </w:tcBorders>
                  <w:vAlign w:val="center"/>
                </w:tcPr>
                <w:p w14:paraId="1D271911">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环境空气二类区</w:t>
                  </w:r>
                </w:p>
              </w:tc>
              <w:tc>
                <w:tcPr>
                  <w:tcW w:w="404" w:type="pct"/>
                  <w:tcBorders>
                    <w:top w:val="single" w:color="auto" w:sz="4" w:space="0"/>
                    <w:left w:val="single" w:color="auto" w:sz="4" w:space="0"/>
                    <w:bottom w:val="single" w:color="auto" w:sz="4" w:space="0"/>
                    <w:right w:val="single" w:color="auto" w:sz="4" w:space="0"/>
                  </w:tcBorders>
                  <w:vAlign w:val="center"/>
                </w:tcPr>
                <w:p w14:paraId="3A5379DC">
                  <w:pPr>
                    <w:widowControl/>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eastAsia" w:cs="Times New Roman"/>
                      <w:color w:val="auto"/>
                      <w:kern w:val="0"/>
                      <w:sz w:val="21"/>
                      <w:szCs w:val="21"/>
                      <w:lang w:val="en-US" w:eastAsia="zh-CN"/>
                    </w:rPr>
                    <w:t>NE</w:t>
                  </w:r>
                </w:p>
              </w:tc>
              <w:tc>
                <w:tcPr>
                  <w:tcW w:w="530" w:type="pct"/>
                  <w:tcBorders>
                    <w:top w:val="single" w:color="auto" w:sz="4" w:space="0"/>
                    <w:left w:val="single" w:color="auto" w:sz="4" w:space="0"/>
                    <w:bottom w:val="single" w:color="auto" w:sz="4" w:space="0"/>
                    <w:right w:val="single" w:color="auto" w:sz="4" w:space="0"/>
                  </w:tcBorders>
                  <w:vAlign w:val="center"/>
                </w:tcPr>
                <w:p w14:paraId="0402C651">
                  <w:pPr>
                    <w:widowControl/>
                    <w:spacing w:line="240" w:lineRule="auto"/>
                    <w:ind w:firstLine="0" w:firstLineChars="0"/>
                    <w:jc w:val="center"/>
                    <w:textAlignment w:val="center"/>
                    <w:rPr>
                      <w:rFonts w:hint="default" w:ascii="Times New Roman" w:hAnsi="Times New Roman" w:cs="Times New Roman"/>
                      <w:color w:val="auto"/>
                      <w:kern w:val="0"/>
                      <w:sz w:val="21"/>
                      <w:szCs w:val="21"/>
                      <w:lang w:val="en-US"/>
                    </w:rPr>
                  </w:pPr>
                  <w:r>
                    <w:rPr>
                      <w:rFonts w:hint="eastAsia" w:cs="Times New Roman"/>
                      <w:color w:val="auto"/>
                      <w:kern w:val="0"/>
                      <w:sz w:val="21"/>
                      <w:szCs w:val="21"/>
                      <w:lang w:val="en-US" w:eastAsia="zh-CN"/>
                    </w:rPr>
                    <w:t>375</w:t>
                  </w:r>
                </w:p>
              </w:tc>
            </w:tr>
          </w:tbl>
          <w:p w14:paraId="4CB85F19">
            <w:pPr>
              <w:ind w:firstLine="0" w:firstLineChars="0"/>
              <w:rPr>
                <w:rFonts w:hint="default" w:ascii="Times New Roman" w:hAnsi="Times New Roman" w:cs="Times New Roman"/>
                <w:color w:val="auto"/>
              </w:rPr>
            </w:pPr>
          </w:p>
        </w:tc>
      </w:tr>
      <w:tr w14:paraId="113FB1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61" w:hRule="atLeast"/>
          <w:jc w:val="center"/>
        </w:trPr>
        <w:tc>
          <w:tcPr>
            <w:tcW w:w="398" w:type="pct"/>
            <w:tcMar>
              <w:left w:w="28" w:type="dxa"/>
              <w:right w:w="28" w:type="dxa"/>
            </w:tcMar>
            <w:vAlign w:val="center"/>
          </w:tcPr>
          <w:p w14:paraId="767BE609">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污染</w:t>
            </w:r>
          </w:p>
          <w:p w14:paraId="69B46D28">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物排</w:t>
            </w:r>
          </w:p>
          <w:p w14:paraId="55D9D882">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放控</w:t>
            </w:r>
          </w:p>
          <w:p w14:paraId="209B62AE">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制标</w:t>
            </w:r>
          </w:p>
          <w:p w14:paraId="76CD548C">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准</w:t>
            </w:r>
          </w:p>
        </w:tc>
        <w:tc>
          <w:tcPr>
            <w:tcW w:w="4601" w:type="pct"/>
            <w:vAlign w:val="center"/>
          </w:tcPr>
          <w:p w14:paraId="1E8FC39E">
            <w:pPr>
              <w:ind w:firstLine="482"/>
              <w:rPr>
                <w:rFonts w:hint="default" w:ascii="Times New Roman" w:hAnsi="Times New Roman" w:cs="Times New Roman"/>
                <w:b/>
                <w:bCs/>
                <w:color w:val="auto"/>
              </w:rPr>
            </w:pPr>
            <w:r>
              <w:rPr>
                <w:rFonts w:hint="eastAsia" w:cs="Times New Roman"/>
                <w:b/>
                <w:bCs/>
                <w:color w:val="auto"/>
                <w:lang w:eastAsia="zh-CN"/>
              </w:rPr>
              <w:t>1.</w:t>
            </w:r>
            <w:r>
              <w:rPr>
                <w:rFonts w:hint="default" w:ascii="Times New Roman" w:hAnsi="Times New Roman" w:cs="Times New Roman"/>
                <w:b/>
                <w:bCs/>
                <w:color w:val="auto"/>
              </w:rPr>
              <w:t>废气排放标准</w:t>
            </w:r>
          </w:p>
          <w:p w14:paraId="4EC3465D">
            <w:pPr>
              <w:ind w:firstLine="480"/>
              <w:rPr>
                <w:rFonts w:hint="default" w:ascii="Times New Roman" w:hAnsi="Times New Roman" w:cs="Times New Roman"/>
                <w:color w:val="auto"/>
              </w:rPr>
            </w:pPr>
            <w:r>
              <w:rPr>
                <w:rFonts w:hint="eastAsia" w:cs="Times New Roman"/>
                <w:color w:val="auto"/>
                <w:lang w:eastAsia="zh-CN"/>
              </w:rPr>
              <w:t>项目</w:t>
            </w:r>
            <w:r>
              <w:rPr>
                <w:rFonts w:hint="eastAsia" w:ascii="Times New Roman" w:hAnsi="Times New Roman" w:cs="Times New Roman"/>
                <w:color w:val="auto"/>
                <w:sz w:val="24"/>
                <w:lang w:val="en-US" w:eastAsia="zh-CN" w:bidi="ar"/>
              </w:rPr>
              <w:t>施工扬尘执行《施工场界扬尘排放限值》（DB61/1078-2017）；运营期</w:t>
            </w:r>
            <w:r>
              <w:rPr>
                <w:rFonts w:hint="eastAsia" w:cs="Times New Roman"/>
                <w:color w:val="auto"/>
                <w:lang w:val="en-US" w:eastAsia="zh-CN"/>
              </w:rPr>
              <w:t>油烟</w:t>
            </w:r>
            <w:r>
              <w:rPr>
                <w:rFonts w:hint="default" w:ascii="Times New Roman" w:hAnsi="Times New Roman" w:cs="Times New Roman"/>
                <w:color w:val="auto"/>
              </w:rPr>
              <w:t>废气执行</w:t>
            </w:r>
            <w:r>
              <w:rPr>
                <w:rFonts w:hint="eastAsia" w:ascii="Times New Roman" w:hAnsi="Times New Roman" w:cs="Times New Roman"/>
                <w:color w:val="auto"/>
                <w:sz w:val="24"/>
                <w:lang w:val="en-US" w:eastAsia="zh-CN" w:bidi="ar"/>
              </w:rPr>
              <w:t>《饮食业油烟排放标准（试行）》（GB18483-2001）</w:t>
            </w:r>
            <w:r>
              <w:rPr>
                <w:rFonts w:hint="eastAsia" w:cs="Times New Roman"/>
                <w:color w:val="auto"/>
                <w:sz w:val="24"/>
                <w:lang w:val="en-US" w:eastAsia="zh-CN" w:bidi="ar"/>
              </w:rPr>
              <w:t>大</w:t>
            </w:r>
            <w:r>
              <w:rPr>
                <w:rFonts w:hint="eastAsia" w:ascii="Times New Roman" w:hAnsi="Times New Roman" w:cs="Times New Roman"/>
                <w:color w:val="auto"/>
                <w:sz w:val="24"/>
                <w:lang w:val="en-US" w:eastAsia="zh-CN" w:bidi="ar"/>
              </w:rPr>
              <w:t>型规模标准限值</w:t>
            </w:r>
            <w:r>
              <w:rPr>
                <w:rFonts w:hint="eastAsia" w:cs="Times New Roman"/>
                <w:color w:val="auto"/>
                <w:lang w:eastAsia="zh-CN"/>
              </w:rPr>
              <w:t>；</w:t>
            </w:r>
            <w:r>
              <w:rPr>
                <w:rFonts w:hint="eastAsia" w:cs="Times New Roman"/>
                <w:color w:val="auto"/>
                <w:lang w:val="en-US" w:eastAsia="zh-CN"/>
              </w:rPr>
              <w:t>恶臭气体执行</w:t>
            </w:r>
            <w:r>
              <w:rPr>
                <w:rFonts w:hint="eastAsia" w:ascii="Times New Roman"/>
                <w:bCs/>
                <w:color w:val="auto"/>
                <w:lang w:val="en-US" w:eastAsia="zh-CN"/>
              </w:rPr>
              <w:t>《恶臭污染物排放标准》（GB14554-93）</w:t>
            </w:r>
            <w:r>
              <w:rPr>
                <w:rFonts w:hint="eastAsia"/>
                <w:bCs/>
                <w:color w:val="auto"/>
                <w:lang w:val="en-US" w:eastAsia="zh-CN"/>
              </w:rPr>
              <w:t>表1中的标准限值；</w:t>
            </w:r>
            <w:r>
              <w:rPr>
                <w:rFonts w:hint="eastAsia"/>
                <w:color w:val="auto"/>
                <w:lang w:eastAsia="zh-CN"/>
              </w:rPr>
              <w:t>导热油炉</w:t>
            </w:r>
            <w:r>
              <w:rPr>
                <w:rFonts w:hint="default" w:ascii="Times New Roman" w:hAnsi="Times New Roman" w:cs="Times New Roman"/>
                <w:color w:val="auto"/>
              </w:rPr>
              <w:t>废气执行《锅炉大气污染物排放标准》（DB61/1226-2018）中表3燃气锅炉大气污染物排放浓度限值</w:t>
            </w:r>
            <w:r>
              <w:rPr>
                <w:rFonts w:hint="eastAsia" w:ascii="Times New Roman" w:hAnsi="Times New Roman" w:cs="Times New Roman"/>
                <w:color w:val="auto"/>
                <w:lang w:eastAsia="zh-CN"/>
              </w:rPr>
              <w:t>、</w:t>
            </w:r>
            <w:r>
              <w:rPr>
                <w:rFonts w:hint="default" w:ascii="Times New Roman" w:hAnsi="Times New Roman" w:eastAsia="宋体" w:cs="Times New Roman"/>
                <w:color w:val="auto"/>
                <w:szCs w:val="21"/>
              </w:rPr>
              <w:t>《西安市人民政府办公厅关于印发&lt;</w:t>
            </w:r>
            <w:r>
              <w:rPr>
                <w:rFonts w:hint="eastAsia" w:ascii="Times New Roman" w:hAnsi="Times New Roman" w:eastAsia="宋体" w:cs="Times New Roman"/>
                <w:color w:val="auto"/>
                <w:szCs w:val="21"/>
                <w:lang w:val="en-US" w:eastAsia="zh-CN"/>
              </w:rPr>
              <w:t>推进实现“十四五”空气质量目标暨大气污染治理专项行动2025年工作</w:t>
            </w:r>
            <w:r>
              <w:rPr>
                <w:rFonts w:hint="default" w:ascii="Times New Roman" w:hAnsi="Times New Roman" w:eastAsia="宋体" w:cs="Times New Roman"/>
                <w:color w:val="auto"/>
                <w:szCs w:val="21"/>
              </w:rPr>
              <w:t>方案&gt;的通知》</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市政办函〔202</w:t>
            </w:r>
            <w:r>
              <w:rPr>
                <w:rFonts w:hint="eastAsia" w:ascii="Times New Roman" w:hAnsi="Times New Roman" w:eastAsia="宋体" w:cs="Times New Roman"/>
                <w:color w:val="auto"/>
                <w:szCs w:val="21"/>
                <w:lang w:val="en-US" w:eastAsia="zh-CN"/>
              </w:rPr>
              <w:t>5</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12</w:t>
            </w:r>
            <w:r>
              <w:rPr>
                <w:rFonts w:hint="default" w:ascii="Times New Roman" w:hAnsi="Times New Roman" w:eastAsia="宋体" w:cs="Times New Roman"/>
                <w:color w:val="auto"/>
                <w:szCs w:val="21"/>
              </w:rPr>
              <w:t>号</w:t>
            </w:r>
            <w:r>
              <w:rPr>
                <w:rFonts w:hint="eastAsia" w:ascii="Times New Roman" w:hAnsi="Times New Roman" w:eastAsia="宋体" w:cs="Times New Roman"/>
                <w:color w:val="auto"/>
                <w:szCs w:val="21"/>
                <w:lang w:eastAsia="zh-CN"/>
              </w:rPr>
              <w:t>）</w:t>
            </w:r>
            <w:r>
              <w:rPr>
                <w:rFonts w:hint="eastAsia" w:ascii="Times New Roman" w:hAnsi="Times New Roman" w:cs="Times New Roman"/>
                <w:color w:val="auto"/>
                <w:lang w:val="en-US" w:eastAsia="zh-CN"/>
              </w:rPr>
              <w:t>及</w:t>
            </w:r>
            <w:r>
              <w:rPr>
                <w:rFonts w:hint="eastAsia" w:ascii="Times New Roman" w:hAnsi="Times New Roman" w:eastAsia="宋体" w:cs="Times New Roman"/>
                <w:color w:val="auto"/>
                <w:szCs w:val="21"/>
                <w:lang w:eastAsia="zh-CN"/>
              </w:rPr>
              <w:t>《锅炉大气污染物排放标准》（GB13271-2014）</w:t>
            </w:r>
            <w:r>
              <w:rPr>
                <w:rFonts w:hint="eastAsia" w:cs="Times New Roman"/>
                <w:color w:val="auto"/>
                <w:sz w:val="24"/>
                <w:lang w:val="en-US" w:eastAsia="zh-CN" w:bidi="ar"/>
              </w:rPr>
              <w:t>。</w:t>
            </w:r>
          </w:p>
          <w:p w14:paraId="2E6FEFBF">
            <w:pPr>
              <w:pStyle w:val="50"/>
              <w:rPr>
                <w:rFonts w:hint="default" w:ascii="Times New Roman" w:hAnsi="Times New Roman" w:cs="Times New Roman"/>
                <w:color w:val="auto"/>
              </w:rPr>
            </w:pPr>
            <w:r>
              <w:rPr>
                <w:rFonts w:hint="default" w:ascii="Times New Roman" w:hAnsi="Times New Roman" w:cs="Times New Roman"/>
                <w:color w:val="auto"/>
              </w:rPr>
              <w:t>表3-</w:t>
            </w:r>
            <w:r>
              <w:rPr>
                <w:rFonts w:hint="eastAsia" w:cs="Times New Roman"/>
                <w:color w:val="auto"/>
                <w:lang w:val="en-US" w:eastAsia="zh-CN"/>
              </w:rPr>
              <w:t xml:space="preserve">3  </w:t>
            </w:r>
            <w:r>
              <w:rPr>
                <w:rFonts w:hint="default" w:ascii="Times New Roman" w:hAnsi="Times New Roman" w:cs="Times New Roman"/>
                <w:color w:val="auto"/>
              </w:rPr>
              <w:t>废气排放标准及限值</w:t>
            </w:r>
          </w:p>
          <w:tbl>
            <w:tblPr>
              <w:tblStyle w:val="21"/>
              <w:tblW w:w="8091" w:type="dxa"/>
              <w:jc w:val="center"/>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autofit"/>
              <w:tblCellMar>
                <w:top w:w="0" w:type="dxa"/>
                <w:left w:w="108" w:type="dxa"/>
                <w:bottom w:w="0" w:type="dxa"/>
                <w:right w:w="108" w:type="dxa"/>
              </w:tblCellMar>
            </w:tblPr>
            <w:tblGrid>
              <w:gridCol w:w="2955"/>
              <w:gridCol w:w="1522"/>
              <w:gridCol w:w="2302"/>
              <w:gridCol w:w="1312"/>
            </w:tblGrid>
            <w:tr w14:paraId="36194759">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tcBorders>
                    <w:tl2br w:val="nil"/>
                    <w:tr2bl w:val="nil"/>
                  </w:tcBorders>
                  <w:vAlign w:val="center"/>
                </w:tcPr>
                <w:p w14:paraId="538D0A16">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执行标准</w:t>
                  </w:r>
                </w:p>
              </w:tc>
              <w:tc>
                <w:tcPr>
                  <w:tcW w:w="3824" w:type="dxa"/>
                  <w:gridSpan w:val="2"/>
                  <w:tcBorders>
                    <w:tl2br w:val="nil"/>
                    <w:tr2bl w:val="nil"/>
                  </w:tcBorders>
                  <w:vAlign w:val="center"/>
                </w:tcPr>
                <w:p w14:paraId="43606C0C">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污染物</w:t>
                  </w:r>
                </w:p>
              </w:tc>
              <w:tc>
                <w:tcPr>
                  <w:tcW w:w="1312" w:type="dxa"/>
                  <w:tcBorders>
                    <w:tl2br w:val="nil"/>
                    <w:tr2bl w:val="nil"/>
                  </w:tcBorders>
                  <w:vAlign w:val="center"/>
                </w:tcPr>
                <w:p w14:paraId="44721033">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排放限值mg/m³</w:t>
                  </w:r>
                </w:p>
              </w:tc>
            </w:tr>
            <w:tr w14:paraId="643FCD7E">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tcBorders>
                    <w:top w:val="single" w:color="auto" w:sz="4" w:space="0"/>
                    <w:tl2br w:val="nil"/>
                    <w:tr2bl w:val="nil"/>
                  </w:tcBorders>
                  <w:vAlign w:val="center"/>
                </w:tcPr>
                <w:p w14:paraId="17BA5DB2">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color w:val="auto"/>
                      <w:sz w:val="21"/>
                      <w:szCs w:val="21"/>
                    </w:rPr>
                    <w:t>《施工场界扬尘排放限值》（DB61/1078-2017）</w:t>
                  </w:r>
                </w:p>
              </w:tc>
              <w:tc>
                <w:tcPr>
                  <w:tcW w:w="1522" w:type="dxa"/>
                  <w:tcBorders>
                    <w:top w:val="single" w:color="auto" w:sz="4" w:space="0"/>
                    <w:right w:val="single" w:color="auto" w:sz="4" w:space="0"/>
                    <w:tl2br w:val="nil"/>
                    <w:tr2bl w:val="nil"/>
                  </w:tcBorders>
                  <w:vAlign w:val="center"/>
                </w:tcPr>
                <w:p w14:paraId="2AECB992">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总悬浮颗粒物</w:t>
                  </w:r>
                </w:p>
              </w:tc>
              <w:tc>
                <w:tcPr>
                  <w:tcW w:w="2302" w:type="dxa"/>
                  <w:tcBorders>
                    <w:left w:val="single" w:color="auto" w:sz="4" w:space="0"/>
                    <w:tl2br w:val="nil"/>
                    <w:tr2bl w:val="nil"/>
                  </w:tcBorders>
                  <w:vAlign w:val="center"/>
                </w:tcPr>
                <w:p w14:paraId="4FE0C2D2">
                  <w:pPr>
                    <w:pStyle w:val="49"/>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color w:val="auto"/>
                      <w:sz w:val="21"/>
                      <w:szCs w:val="21"/>
                    </w:rPr>
                    <w:t>基础、主体结构及装饰工程</w:t>
                  </w:r>
                </w:p>
              </w:tc>
              <w:tc>
                <w:tcPr>
                  <w:tcW w:w="1312" w:type="dxa"/>
                  <w:tcBorders>
                    <w:tl2br w:val="nil"/>
                    <w:tr2bl w:val="nil"/>
                  </w:tcBorders>
                  <w:vAlign w:val="center"/>
                </w:tcPr>
                <w:p w14:paraId="2DCC6A1C">
                  <w:pPr>
                    <w:pStyle w:val="49"/>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0.7</w:t>
                  </w:r>
                </w:p>
              </w:tc>
            </w:tr>
            <w:tr w14:paraId="6DE9CC20">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tcBorders>
                    <w:top w:val="single" w:color="auto" w:sz="4" w:space="0"/>
                    <w:tl2br w:val="nil"/>
                    <w:tr2bl w:val="nil"/>
                  </w:tcBorders>
                  <w:vAlign w:val="center"/>
                </w:tcPr>
                <w:p w14:paraId="26218E09">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《饮食业油烟排放标准（试行）》（GB18483-2001）</w:t>
                  </w:r>
                </w:p>
              </w:tc>
              <w:tc>
                <w:tcPr>
                  <w:tcW w:w="1522" w:type="dxa"/>
                  <w:tcBorders>
                    <w:top w:val="single" w:color="auto" w:sz="4" w:space="0"/>
                    <w:right w:val="single" w:color="auto" w:sz="4" w:space="0"/>
                    <w:tl2br w:val="nil"/>
                    <w:tr2bl w:val="nil"/>
                  </w:tcBorders>
                  <w:vAlign w:val="center"/>
                </w:tcPr>
                <w:p w14:paraId="0B870F0B">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油烟</w:t>
                  </w:r>
                </w:p>
              </w:tc>
              <w:tc>
                <w:tcPr>
                  <w:tcW w:w="2302" w:type="dxa"/>
                  <w:tcBorders>
                    <w:left w:val="single" w:color="auto" w:sz="4" w:space="0"/>
                    <w:tl2br w:val="nil"/>
                    <w:tr2bl w:val="nil"/>
                  </w:tcBorders>
                  <w:vAlign w:val="center"/>
                </w:tcPr>
                <w:p w14:paraId="7C3BB461">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lang w:val="en-US" w:eastAsia="zh-CN" w:bidi="ar-SA"/>
                    </w:rPr>
                    <w:t>大型规模（最低去除效率85%）</w:t>
                  </w:r>
                </w:p>
              </w:tc>
              <w:tc>
                <w:tcPr>
                  <w:tcW w:w="1312" w:type="dxa"/>
                  <w:tcBorders>
                    <w:tl2br w:val="nil"/>
                    <w:tr2bl w:val="nil"/>
                  </w:tcBorders>
                  <w:vAlign w:val="center"/>
                </w:tcPr>
                <w:p w14:paraId="50A1531E">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2.0</w:t>
                  </w:r>
                </w:p>
              </w:tc>
            </w:tr>
            <w:tr w14:paraId="0FF5D41D">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tcBorders>
                    <w:tl2br w:val="nil"/>
                    <w:tr2bl w:val="nil"/>
                  </w:tcBorders>
                  <w:vAlign w:val="center"/>
                </w:tcPr>
                <w:p w14:paraId="1381CB4C">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《恶臭污染物排放标准》（GB14554-93）</w:t>
                  </w:r>
                </w:p>
              </w:tc>
              <w:tc>
                <w:tcPr>
                  <w:tcW w:w="1522" w:type="dxa"/>
                  <w:tcBorders>
                    <w:right w:val="single" w:color="auto" w:sz="4" w:space="0"/>
                    <w:tl2br w:val="nil"/>
                    <w:tr2bl w:val="nil"/>
                  </w:tcBorders>
                  <w:vAlign w:val="center"/>
                </w:tcPr>
                <w:p w14:paraId="3C8A97A7">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臭气浓度</w:t>
                  </w:r>
                </w:p>
              </w:tc>
              <w:tc>
                <w:tcPr>
                  <w:tcW w:w="2302" w:type="dxa"/>
                  <w:tcBorders>
                    <w:top w:val="single" w:color="auto" w:sz="4" w:space="0"/>
                    <w:left w:val="single" w:color="auto" w:sz="4" w:space="0"/>
                    <w:bottom w:val="single" w:color="auto" w:sz="4" w:space="0"/>
                    <w:tl2br w:val="nil"/>
                    <w:tr2bl w:val="nil"/>
                  </w:tcBorders>
                  <w:vAlign w:val="center"/>
                </w:tcPr>
                <w:p w14:paraId="5019CF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厂界浓度值</w:t>
                  </w:r>
                </w:p>
              </w:tc>
              <w:tc>
                <w:tcPr>
                  <w:tcW w:w="1312" w:type="dxa"/>
                  <w:tcBorders>
                    <w:top w:val="single" w:color="auto" w:sz="4" w:space="0"/>
                    <w:bottom w:val="single" w:color="auto" w:sz="4" w:space="0"/>
                    <w:tl2br w:val="nil"/>
                    <w:tr2bl w:val="nil"/>
                  </w:tcBorders>
                  <w:vAlign w:val="center"/>
                </w:tcPr>
                <w:p w14:paraId="643589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20（无量纲）</w:t>
                  </w:r>
                </w:p>
              </w:tc>
            </w:tr>
            <w:tr w14:paraId="05A30527">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vMerge w:val="restart"/>
                  <w:tcBorders>
                    <w:tl2br w:val="nil"/>
                    <w:tr2bl w:val="nil"/>
                  </w:tcBorders>
                  <w:vAlign w:val="center"/>
                </w:tcPr>
                <w:p w14:paraId="0E2C4959">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《锅炉大气污染物排放标准》（DB61/1226-2018）</w:t>
                  </w:r>
                </w:p>
              </w:tc>
              <w:tc>
                <w:tcPr>
                  <w:tcW w:w="1522" w:type="dxa"/>
                  <w:tcBorders>
                    <w:right w:val="single" w:color="auto" w:sz="4" w:space="0"/>
                    <w:tl2br w:val="nil"/>
                    <w:tr2bl w:val="nil"/>
                  </w:tcBorders>
                  <w:vAlign w:val="center"/>
                </w:tcPr>
                <w:p w14:paraId="6B899CD4">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lang w:val="en-US" w:eastAsia="zh-CN"/>
                    </w:rPr>
                  </w:pPr>
                  <w:r>
                    <w:rPr>
                      <w:color w:val="auto"/>
                      <w:spacing w:val="5"/>
                      <w:sz w:val="21"/>
                      <w:szCs w:val="21"/>
                    </w:rPr>
                    <w:t>颗粒物</w:t>
                  </w:r>
                </w:p>
              </w:tc>
              <w:tc>
                <w:tcPr>
                  <w:tcW w:w="2302" w:type="dxa"/>
                  <w:tcBorders>
                    <w:top w:val="single" w:color="auto" w:sz="4" w:space="0"/>
                    <w:left w:val="single" w:color="auto" w:sz="4" w:space="0"/>
                    <w:bottom w:val="single" w:color="auto" w:sz="4" w:space="0"/>
                    <w:tl2br w:val="nil"/>
                    <w:tr2bl w:val="nil"/>
                  </w:tcBorders>
                  <w:vAlign w:val="center"/>
                </w:tcPr>
                <w:p w14:paraId="5C4279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1312" w:type="dxa"/>
                  <w:tcBorders>
                    <w:top w:val="single" w:color="auto" w:sz="4" w:space="0"/>
                    <w:bottom w:val="single" w:color="auto" w:sz="4" w:space="0"/>
                    <w:tl2br w:val="nil"/>
                    <w:tr2bl w:val="nil"/>
                  </w:tcBorders>
                  <w:vAlign w:val="center"/>
                </w:tcPr>
                <w:p w14:paraId="46B05F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10</w:t>
                  </w:r>
                </w:p>
              </w:tc>
            </w:tr>
            <w:tr w14:paraId="63174AB4">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vMerge w:val="continue"/>
                  <w:tcBorders>
                    <w:tl2br w:val="nil"/>
                    <w:tr2bl w:val="nil"/>
                  </w:tcBorders>
                  <w:vAlign w:val="center"/>
                </w:tcPr>
                <w:p w14:paraId="66BF9BA1">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p>
              </w:tc>
              <w:tc>
                <w:tcPr>
                  <w:tcW w:w="1522" w:type="dxa"/>
                  <w:tcBorders>
                    <w:right w:val="single" w:color="auto" w:sz="4" w:space="0"/>
                    <w:tl2br w:val="nil"/>
                    <w:tr2bl w:val="nil"/>
                  </w:tcBorders>
                  <w:vAlign w:val="center"/>
                </w:tcPr>
                <w:p w14:paraId="302DCE7D">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lang w:val="en-US" w:eastAsia="zh-CN"/>
                    </w:rPr>
                  </w:pPr>
                  <w:r>
                    <w:rPr>
                      <w:rFonts w:ascii="Times New Roman" w:hAnsi="Times New Roman" w:eastAsia="Times New Roman" w:cs="Times New Roman"/>
                      <w:color w:val="auto"/>
                      <w:spacing w:val="-1"/>
                      <w:position w:val="1"/>
                      <w:sz w:val="21"/>
                      <w:szCs w:val="21"/>
                    </w:rPr>
                    <w:t>SO</w:t>
                  </w:r>
                  <w:r>
                    <w:rPr>
                      <w:rFonts w:ascii="Times New Roman" w:hAnsi="Times New Roman" w:eastAsia="Times New Roman" w:cs="Times New Roman"/>
                      <w:color w:val="auto"/>
                      <w:spacing w:val="-1"/>
                      <w:position w:val="1"/>
                      <w:sz w:val="21"/>
                      <w:szCs w:val="21"/>
                      <w:vertAlign w:val="subscript"/>
                    </w:rPr>
                    <w:t>2</w:t>
                  </w:r>
                </w:p>
              </w:tc>
              <w:tc>
                <w:tcPr>
                  <w:tcW w:w="2302" w:type="dxa"/>
                  <w:tcBorders>
                    <w:top w:val="single" w:color="auto" w:sz="4" w:space="0"/>
                    <w:left w:val="single" w:color="auto" w:sz="4" w:space="0"/>
                    <w:bottom w:val="single" w:color="auto" w:sz="4" w:space="0"/>
                    <w:tl2br w:val="nil"/>
                    <w:tr2bl w:val="nil"/>
                  </w:tcBorders>
                  <w:vAlign w:val="center"/>
                </w:tcPr>
                <w:p w14:paraId="3F2D33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1312" w:type="dxa"/>
                  <w:tcBorders>
                    <w:top w:val="single" w:color="auto" w:sz="4" w:space="0"/>
                    <w:bottom w:val="single" w:color="auto" w:sz="4" w:space="0"/>
                    <w:tl2br w:val="nil"/>
                    <w:tr2bl w:val="nil"/>
                  </w:tcBorders>
                  <w:vAlign w:val="center"/>
                </w:tcPr>
                <w:p w14:paraId="72B616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20</w:t>
                  </w:r>
                </w:p>
              </w:tc>
            </w:tr>
            <w:tr w14:paraId="57076F2B">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tcBorders>
                    <w:tl2br w:val="nil"/>
                    <w:tr2bl w:val="nil"/>
                  </w:tcBorders>
                  <w:vAlign w:val="center"/>
                </w:tcPr>
                <w:p w14:paraId="18985975">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《西安市人民政府办公厅关于印发&lt;推进实现“十四五”空气质量目标暨大气污染治理专项行动2025年工作方案&gt;的通知》</w:t>
                  </w:r>
                </w:p>
              </w:tc>
              <w:tc>
                <w:tcPr>
                  <w:tcW w:w="1522" w:type="dxa"/>
                  <w:tcBorders>
                    <w:right w:val="single" w:color="auto" w:sz="4" w:space="0"/>
                    <w:tl2br w:val="nil"/>
                    <w:tr2bl w:val="nil"/>
                  </w:tcBorders>
                  <w:vAlign w:val="center"/>
                </w:tcPr>
                <w:p w14:paraId="4A472128">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lang w:val="en-US" w:eastAsia="zh-CN"/>
                    </w:rPr>
                  </w:pPr>
                  <w:r>
                    <w:rPr>
                      <w:rFonts w:ascii="Times New Roman" w:hAnsi="Times New Roman" w:eastAsia="Times New Roman" w:cs="Times New Roman"/>
                      <w:color w:val="auto"/>
                      <w:spacing w:val="7"/>
                      <w:sz w:val="21"/>
                      <w:szCs w:val="21"/>
                    </w:rPr>
                    <w:t>NO</w:t>
                  </w:r>
                  <w:r>
                    <w:rPr>
                      <w:rFonts w:ascii="Times New Roman" w:hAnsi="Times New Roman" w:eastAsia="Times New Roman" w:cs="Times New Roman"/>
                      <w:color w:val="auto"/>
                      <w:spacing w:val="7"/>
                      <w:position w:val="-1"/>
                      <w:sz w:val="21"/>
                      <w:szCs w:val="21"/>
                      <w:vertAlign w:val="subscript"/>
                    </w:rPr>
                    <w:t>X</w:t>
                  </w:r>
                </w:p>
              </w:tc>
              <w:tc>
                <w:tcPr>
                  <w:tcW w:w="2302" w:type="dxa"/>
                  <w:tcBorders>
                    <w:top w:val="single" w:color="auto" w:sz="4" w:space="0"/>
                    <w:left w:val="single" w:color="auto" w:sz="4" w:space="0"/>
                    <w:bottom w:val="single" w:color="auto" w:sz="4" w:space="0"/>
                    <w:tl2br w:val="nil"/>
                    <w:tr2bl w:val="nil"/>
                  </w:tcBorders>
                  <w:vAlign w:val="center"/>
                </w:tcPr>
                <w:p w14:paraId="528D25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1312" w:type="dxa"/>
                  <w:tcBorders>
                    <w:top w:val="single" w:color="auto" w:sz="4" w:space="0"/>
                    <w:bottom w:val="single" w:color="auto" w:sz="4" w:space="0"/>
                    <w:tl2br w:val="nil"/>
                    <w:tr2bl w:val="nil"/>
                  </w:tcBorders>
                  <w:vAlign w:val="center"/>
                </w:tcPr>
                <w:p w14:paraId="03070D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30</w:t>
                  </w:r>
                </w:p>
              </w:tc>
            </w:tr>
            <w:tr w14:paraId="66822504">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2955" w:type="dxa"/>
                  <w:tcBorders>
                    <w:tl2br w:val="nil"/>
                    <w:tr2bl w:val="nil"/>
                  </w:tcBorders>
                  <w:vAlign w:val="center"/>
                </w:tcPr>
                <w:p w14:paraId="252AD6DA">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《锅炉大气污染物排放标准》（GB13271-2014）</w:t>
                  </w:r>
                </w:p>
              </w:tc>
              <w:tc>
                <w:tcPr>
                  <w:tcW w:w="1522" w:type="dxa"/>
                  <w:tcBorders>
                    <w:right w:val="single" w:color="auto" w:sz="4" w:space="0"/>
                    <w:tl2br w:val="nil"/>
                    <w:tr2bl w:val="nil"/>
                  </w:tcBorders>
                  <w:vAlign w:val="center"/>
                </w:tcPr>
                <w:p w14:paraId="5272D465">
                  <w:pPr>
                    <w:pStyle w:val="49"/>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烟气黑度</w:t>
                  </w:r>
                </w:p>
              </w:tc>
              <w:tc>
                <w:tcPr>
                  <w:tcW w:w="2302" w:type="dxa"/>
                  <w:tcBorders>
                    <w:top w:val="single" w:color="auto" w:sz="4" w:space="0"/>
                    <w:left w:val="single" w:color="auto" w:sz="4" w:space="0"/>
                    <w:tl2br w:val="nil"/>
                    <w:tr2bl w:val="nil"/>
                  </w:tcBorders>
                  <w:vAlign w:val="center"/>
                </w:tcPr>
                <w:p w14:paraId="507364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1312" w:type="dxa"/>
                  <w:tcBorders>
                    <w:top w:val="single" w:color="auto" w:sz="4" w:space="0"/>
                    <w:bottom w:val="single" w:color="auto" w:sz="4" w:space="0"/>
                    <w:tl2br w:val="nil"/>
                    <w:tr2bl w:val="nil"/>
                  </w:tcBorders>
                  <w:vAlign w:val="center"/>
                </w:tcPr>
                <w:p w14:paraId="1778BA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1</w:t>
                  </w:r>
                </w:p>
              </w:tc>
            </w:tr>
          </w:tbl>
          <w:p w14:paraId="07F3F4E9">
            <w:pPr>
              <w:spacing w:line="360" w:lineRule="auto"/>
              <w:ind w:firstLine="482"/>
              <w:rPr>
                <w:rFonts w:hint="default" w:ascii="Times New Roman" w:hAnsi="Times New Roman" w:cs="Times New Roman"/>
                <w:b/>
                <w:bCs/>
                <w:color w:val="auto"/>
              </w:rPr>
            </w:pPr>
            <w:r>
              <w:rPr>
                <w:rFonts w:hint="eastAsia" w:cs="Times New Roman"/>
                <w:b/>
                <w:bCs/>
                <w:color w:val="auto"/>
                <w:lang w:eastAsia="zh-CN"/>
              </w:rPr>
              <w:t>2.</w:t>
            </w:r>
            <w:r>
              <w:rPr>
                <w:rFonts w:hint="default" w:ascii="Times New Roman" w:hAnsi="Times New Roman" w:cs="Times New Roman"/>
                <w:b/>
                <w:bCs/>
                <w:color w:val="auto"/>
              </w:rPr>
              <w:t>废水排放标准</w:t>
            </w:r>
          </w:p>
          <w:p w14:paraId="4DEDE8EF">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运营期废水执行《污水综合排放标准》（GB 8978-1996）中的三级标准及《污水排入城镇下水道水质标准》（GB/T31962-2015）</w:t>
            </w:r>
            <w:r>
              <w:rPr>
                <w:rFonts w:hint="eastAsia" w:cs="Times New Roman"/>
                <w:color w:val="auto"/>
                <w:lang w:val="en-US" w:eastAsia="zh-CN"/>
              </w:rPr>
              <w:t>B</w:t>
            </w:r>
            <w:r>
              <w:rPr>
                <w:rFonts w:hint="default" w:ascii="Times New Roman" w:hAnsi="Times New Roman" w:cs="Times New Roman"/>
                <w:color w:val="auto"/>
              </w:rPr>
              <w:t>级标准。</w:t>
            </w:r>
          </w:p>
          <w:p w14:paraId="623BFACB">
            <w:pPr>
              <w:keepNext w:val="0"/>
              <w:keepLines w:val="0"/>
              <w:pageBreakBefore w:val="0"/>
              <w:widowControl w:val="0"/>
              <w:kinsoku/>
              <w:wordWrap/>
              <w:overflowPunct/>
              <w:topLinePunct w:val="0"/>
              <w:autoSpaceDE/>
              <w:autoSpaceDN/>
              <w:bidi w:val="0"/>
              <w:adjustRightInd/>
              <w:snapToGrid/>
              <w:spacing w:line="240" w:lineRule="auto"/>
              <w:ind w:firstLine="422"/>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表3-</w:t>
            </w:r>
            <w:r>
              <w:rPr>
                <w:rFonts w:hint="eastAsia" w:cs="Times New Roman"/>
                <w:b/>
                <w:bCs/>
                <w:color w:val="auto"/>
                <w:kern w:val="0"/>
                <w:sz w:val="21"/>
                <w:szCs w:val="21"/>
                <w:lang w:val="en-US" w:eastAsia="zh-CN" w:bidi="ar"/>
              </w:rPr>
              <w:t>4</w:t>
            </w:r>
            <w:r>
              <w:rPr>
                <w:rFonts w:hint="default" w:ascii="Times New Roman" w:hAnsi="Times New Roman" w:cs="Times New Roman"/>
                <w:b/>
                <w:bCs/>
                <w:color w:val="auto"/>
                <w:kern w:val="0"/>
                <w:sz w:val="21"/>
                <w:szCs w:val="21"/>
                <w:lang w:bidi="ar"/>
              </w:rPr>
              <w:t xml:space="preserve">  项目废水排放标准 </w:t>
            </w:r>
            <w:r>
              <w:rPr>
                <w:rFonts w:hint="eastAsia" w:cs="Times New Roman"/>
                <w:b/>
                <w:bCs/>
                <w:color w:val="auto"/>
                <w:kern w:val="0"/>
                <w:sz w:val="21"/>
                <w:szCs w:val="21"/>
                <w:lang w:val="en-US" w:eastAsia="zh-CN" w:bidi="ar"/>
              </w:rPr>
              <w:t xml:space="preserve"> </w:t>
            </w:r>
            <w:r>
              <w:rPr>
                <w:rFonts w:hint="default" w:ascii="Times New Roman" w:hAnsi="Times New Roman" w:cs="Times New Roman"/>
                <w:b/>
                <w:bCs/>
                <w:color w:val="auto"/>
                <w:kern w:val="0"/>
                <w:sz w:val="21"/>
                <w:szCs w:val="21"/>
                <w:lang w:bidi="ar"/>
              </w:rPr>
              <w:t>单位：mg/L</w:t>
            </w:r>
          </w:p>
          <w:tbl>
            <w:tblPr>
              <w:tblStyle w:val="2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999"/>
              <w:gridCol w:w="637"/>
              <w:gridCol w:w="638"/>
              <w:gridCol w:w="638"/>
              <w:gridCol w:w="638"/>
              <w:gridCol w:w="638"/>
              <w:gridCol w:w="640"/>
              <w:gridCol w:w="640"/>
              <w:gridCol w:w="640"/>
            </w:tblGrid>
            <w:tr w14:paraId="02D6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1" w:hRule="atLeast"/>
              </w:trPr>
              <w:tc>
                <w:tcPr>
                  <w:tcW w:w="1848" w:type="pct"/>
                  <w:tcBorders>
                    <w:tl2br w:val="single" w:color="auto" w:sz="4" w:space="0"/>
                  </w:tcBorders>
                  <w:vAlign w:val="center"/>
                </w:tcPr>
                <w:p w14:paraId="581CF7EA">
                  <w:pPr>
                    <w:spacing w:line="32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 xml:space="preserve">                   污染物</w:t>
                  </w:r>
                </w:p>
                <w:p w14:paraId="5991F1C5">
                  <w:pPr>
                    <w:spacing w:line="320" w:lineRule="exact"/>
                    <w:ind w:firstLine="0" w:firstLineChars="0"/>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标准类别</w:t>
                  </w:r>
                </w:p>
              </w:tc>
              <w:tc>
                <w:tcPr>
                  <w:tcW w:w="393" w:type="pct"/>
                  <w:vAlign w:val="center"/>
                </w:tcPr>
                <w:p w14:paraId="4DD65D9D">
                  <w:pPr>
                    <w:spacing w:line="32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pH</w:t>
                  </w:r>
                </w:p>
              </w:tc>
              <w:tc>
                <w:tcPr>
                  <w:tcW w:w="393" w:type="pct"/>
                  <w:vAlign w:val="center"/>
                </w:tcPr>
                <w:p w14:paraId="62162462">
                  <w:pPr>
                    <w:spacing w:line="32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COD</w:t>
                  </w:r>
                </w:p>
              </w:tc>
              <w:tc>
                <w:tcPr>
                  <w:tcW w:w="393" w:type="pct"/>
                  <w:vAlign w:val="center"/>
                </w:tcPr>
                <w:p w14:paraId="1B19E839">
                  <w:pPr>
                    <w:spacing w:line="320" w:lineRule="exact"/>
                    <w:ind w:firstLine="0" w:firstLineChars="0"/>
                    <w:jc w:val="center"/>
                    <w:rPr>
                      <w:rFonts w:hint="default" w:ascii="Times New Roman" w:hAnsi="Times New Roman" w:cs="Times New Roman"/>
                      <w:b/>
                      <w:color w:val="auto"/>
                      <w:sz w:val="21"/>
                      <w:szCs w:val="21"/>
                      <w:vertAlign w:val="subscript"/>
                    </w:rPr>
                  </w:pPr>
                  <w:r>
                    <w:rPr>
                      <w:rFonts w:hint="default" w:ascii="Times New Roman" w:hAnsi="Times New Roman" w:cs="Times New Roman"/>
                      <w:b/>
                      <w:color w:val="auto"/>
                      <w:sz w:val="21"/>
                      <w:szCs w:val="21"/>
                    </w:rPr>
                    <w:t>BOD</w:t>
                  </w:r>
                  <w:r>
                    <w:rPr>
                      <w:rFonts w:hint="default" w:ascii="Times New Roman" w:hAnsi="Times New Roman" w:cs="Times New Roman"/>
                      <w:b/>
                      <w:color w:val="auto"/>
                      <w:sz w:val="21"/>
                      <w:szCs w:val="21"/>
                      <w:vertAlign w:val="subscript"/>
                    </w:rPr>
                    <w:t>5</w:t>
                  </w:r>
                </w:p>
              </w:tc>
              <w:tc>
                <w:tcPr>
                  <w:tcW w:w="393" w:type="pct"/>
                  <w:vAlign w:val="center"/>
                </w:tcPr>
                <w:p w14:paraId="00298432">
                  <w:pPr>
                    <w:spacing w:line="32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氨氮</w:t>
                  </w:r>
                </w:p>
              </w:tc>
              <w:tc>
                <w:tcPr>
                  <w:tcW w:w="393" w:type="pct"/>
                  <w:vAlign w:val="center"/>
                </w:tcPr>
                <w:p w14:paraId="2C3CA4E5">
                  <w:pPr>
                    <w:spacing w:line="320" w:lineRule="exact"/>
                    <w:ind w:firstLine="0" w:firstLineChars="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SS</w:t>
                  </w:r>
                </w:p>
              </w:tc>
              <w:tc>
                <w:tcPr>
                  <w:tcW w:w="394" w:type="pct"/>
                  <w:vAlign w:val="center"/>
                </w:tcPr>
                <w:p w14:paraId="61435847">
                  <w:pPr>
                    <w:spacing w:line="320" w:lineRule="exact"/>
                    <w:ind w:firstLine="0" w:firstLineChars="0"/>
                    <w:jc w:val="center"/>
                    <w:rPr>
                      <w:rFonts w:hint="eastAsia" w:cs="Times New Roman"/>
                      <w:b/>
                      <w:color w:val="auto"/>
                      <w:sz w:val="21"/>
                      <w:szCs w:val="21"/>
                      <w:lang w:val="en-US" w:eastAsia="zh-CN"/>
                    </w:rPr>
                  </w:pPr>
                  <w:r>
                    <w:rPr>
                      <w:rFonts w:hint="eastAsia" w:cs="Times New Roman"/>
                      <w:b/>
                      <w:color w:val="auto"/>
                      <w:sz w:val="21"/>
                      <w:szCs w:val="21"/>
                      <w:lang w:val="en-US" w:eastAsia="zh-CN"/>
                    </w:rPr>
                    <w:t>总氮</w:t>
                  </w:r>
                </w:p>
              </w:tc>
              <w:tc>
                <w:tcPr>
                  <w:tcW w:w="394" w:type="pct"/>
                  <w:vAlign w:val="center"/>
                </w:tcPr>
                <w:p w14:paraId="72A75A67">
                  <w:pPr>
                    <w:spacing w:line="320" w:lineRule="exact"/>
                    <w:ind w:firstLine="0" w:firstLineChars="0"/>
                    <w:jc w:val="center"/>
                    <w:rPr>
                      <w:rFonts w:hint="eastAsia" w:cs="Times New Roman"/>
                      <w:b/>
                      <w:color w:val="auto"/>
                      <w:sz w:val="21"/>
                      <w:szCs w:val="21"/>
                      <w:lang w:val="en-US" w:eastAsia="zh-CN"/>
                    </w:rPr>
                  </w:pPr>
                  <w:r>
                    <w:rPr>
                      <w:rFonts w:hint="eastAsia" w:cs="Times New Roman"/>
                      <w:b/>
                      <w:color w:val="auto"/>
                      <w:sz w:val="21"/>
                      <w:szCs w:val="21"/>
                      <w:lang w:val="en-US" w:eastAsia="zh-CN"/>
                    </w:rPr>
                    <w:t>总磷</w:t>
                  </w:r>
                </w:p>
              </w:tc>
              <w:tc>
                <w:tcPr>
                  <w:tcW w:w="394" w:type="pct"/>
                  <w:vAlign w:val="center"/>
                </w:tcPr>
                <w:p w14:paraId="73CE5791">
                  <w:pPr>
                    <w:spacing w:line="320" w:lineRule="exact"/>
                    <w:ind w:firstLine="0" w:firstLineChars="0"/>
                    <w:jc w:val="center"/>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动植物油</w:t>
                  </w:r>
                </w:p>
              </w:tc>
            </w:tr>
            <w:tr w14:paraId="2EB6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1" w:hRule="atLeast"/>
              </w:trPr>
              <w:tc>
                <w:tcPr>
                  <w:tcW w:w="1848" w:type="pct"/>
                  <w:vAlign w:val="center"/>
                </w:tcPr>
                <w:p w14:paraId="68B1C5F8">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《污水综合排放标准》（GB 8978-1996）中的三级标准</w:t>
                  </w:r>
                </w:p>
              </w:tc>
              <w:tc>
                <w:tcPr>
                  <w:tcW w:w="393" w:type="pct"/>
                  <w:vAlign w:val="center"/>
                </w:tcPr>
                <w:p w14:paraId="36FDF48E">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6~9</w:t>
                  </w:r>
                </w:p>
              </w:tc>
              <w:tc>
                <w:tcPr>
                  <w:tcW w:w="393" w:type="pct"/>
                  <w:vAlign w:val="center"/>
                </w:tcPr>
                <w:p w14:paraId="2DC66CE6">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500</w:t>
                  </w:r>
                </w:p>
              </w:tc>
              <w:tc>
                <w:tcPr>
                  <w:tcW w:w="393" w:type="pct"/>
                  <w:vAlign w:val="center"/>
                </w:tcPr>
                <w:p w14:paraId="261BED3D">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300</w:t>
                  </w:r>
                </w:p>
              </w:tc>
              <w:tc>
                <w:tcPr>
                  <w:tcW w:w="393" w:type="pct"/>
                  <w:vAlign w:val="center"/>
                </w:tcPr>
                <w:p w14:paraId="10AA9A6D">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93" w:type="pct"/>
                  <w:vAlign w:val="center"/>
                </w:tcPr>
                <w:p w14:paraId="5765410E">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400</w:t>
                  </w:r>
                </w:p>
              </w:tc>
              <w:tc>
                <w:tcPr>
                  <w:tcW w:w="394" w:type="pct"/>
                  <w:vAlign w:val="center"/>
                </w:tcPr>
                <w:p w14:paraId="3D79B6D3">
                  <w:pPr>
                    <w:spacing w:line="320" w:lineRule="exac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394" w:type="pct"/>
                  <w:vAlign w:val="center"/>
                </w:tcPr>
                <w:p w14:paraId="553B4068">
                  <w:pPr>
                    <w:spacing w:line="320" w:lineRule="exac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394" w:type="pct"/>
                  <w:vAlign w:val="center"/>
                </w:tcPr>
                <w:p w14:paraId="768FE5A8">
                  <w:pPr>
                    <w:spacing w:line="32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100</w:t>
                  </w:r>
                </w:p>
              </w:tc>
            </w:tr>
            <w:tr w14:paraId="2424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1" w:hRule="atLeast"/>
              </w:trPr>
              <w:tc>
                <w:tcPr>
                  <w:tcW w:w="1848" w:type="pct"/>
                  <w:vAlign w:val="center"/>
                </w:tcPr>
                <w:p w14:paraId="507BCF2F">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《污水排入城镇下水道水质标准》GB/T31962-2015中</w:t>
                  </w:r>
                  <w:r>
                    <w:rPr>
                      <w:rFonts w:hint="eastAsia" w:cs="Times New Roman"/>
                      <w:color w:val="auto"/>
                      <w:sz w:val="21"/>
                      <w:szCs w:val="21"/>
                      <w:lang w:val="en-US" w:eastAsia="zh-CN"/>
                    </w:rPr>
                    <w:t>B</w:t>
                  </w:r>
                  <w:r>
                    <w:rPr>
                      <w:rFonts w:hint="default" w:ascii="Times New Roman" w:hAnsi="Times New Roman" w:cs="Times New Roman"/>
                      <w:color w:val="auto"/>
                      <w:sz w:val="21"/>
                      <w:szCs w:val="21"/>
                    </w:rPr>
                    <w:t>级标准</w:t>
                  </w:r>
                </w:p>
              </w:tc>
              <w:tc>
                <w:tcPr>
                  <w:tcW w:w="393" w:type="pct"/>
                  <w:vAlign w:val="center"/>
                </w:tcPr>
                <w:p w14:paraId="0C39E9FE">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93" w:type="pct"/>
                  <w:vAlign w:val="center"/>
                </w:tcPr>
                <w:p w14:paraId="645F624E">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93" w:type="pct"/>
                  <w:vAlign w:val="center"/>
                </w:tcPr>
                <w:p w14:paraId="74485F0E">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93" w:type="pct"/>
                  <w:vAlign w:val="center"/>
                </w:tcPr>
                <w:p w14:paraId="377C664F">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45</w:t>
                  </w:r>
                </w:p>
              </w:tc>
              <w:tc>
                <w:tcPr>
                  <w:tcW w:w="393" w:type="pct"/>
                  <w:vAlign w:val="center"/>
                </w:tcPr>
                <w:p w14:paraId="594B3893">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94" w:type="pct"/>
                  <w:vAlign w:val="center"/>
                </w:tcPr>
                <w:p w14:paraId="689E750B">
                  <w:pPr>
                    <w:spacing w:line="320" w:lineRule="exac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70</w:t>
                  </w:r>
                </w:p>
              </w:tc>
              <w:tc>
                <w:tcPr>
                  <w:tcW w:w="394" w:type="pct"/>
                  <w:vAlign w:val="center"/>
                </w:tcPr>
                <w:p w14:paraId="5B1D2AFB">
                  <w:pPr>
                    <w:spacing w:line="320" w:lineRule="exact"/>
                    <w:ind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8</w:t>
                  </w:r>
                </w:p>
              </w:tc>
              <w:tc>
                <w:tcPr>
                  <w:tcW w:w="394" w:type="pct"/>
                  <w:vAlign w:val="center"/>
                </w:tcPr>
                <w:p w14:paraId="0CC3E86F">
                  <w:pPr>
                    <w:spacing w:line="32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bl>
          <w:p w14:paraId="0FE8AF47">
            <w:pPr>
              <w:ind w:firstLine="480"/>
              <w:rPr>
                <w:rFonts w:hint="default" w:ascii="Times New Roman" w:hAnsi="Times New Roman" w:cs="Times New Roman"/>
                <w:b/>
                <w:bCs/>
                <w:color w:val="auto"/>
              </w:rPr>
            </w:pPr>
            <w:r>
              <w:rPr>
                <w:rFonts w:hint="eastAsia" w:cs="Times New Roman"/>
                <w:b/>
                <w:bCs/>
                <w:color w:val="auto"/>
                <w:lang w:eastAsia="zh-CN"/>
              </w:rPr>
              <w:t>3.</w:t>
            </w:r>
            <w:r>
              <w:rPr>
                <w:rFonts w:hint="default" w:ascii="Times New Roman" w:hAnsi="Times New Roman" w:cs="Times New Roman"/>
                <w:b/>
                <w:bCs/>
                <w:color w:val="auto"/>
              </w:rPr>
              <w:t>噪声排放标准</w:t>
            </w:r>
          </w:p>
          <w:p w14:paraId="6EA7AE34">
            <w:pPr>
              <w:ind w:firstLine="480"/>
              <w:rPr>
                <w:rFonts w:hint="default" w:ascii="Times New Roman" w:hAnsi="Times New Roman" w:cs="Times New Roman"/>
                <w:color w:val="auto"/>
              </w:rPr>
            </w:pPr>
            <w:r>
              <w:rPr>
                <w:rFonts w:hint="eastAsia" w:ascii="Times New Roman" w:hAnsi="Times New Roman" w:cs="Times New Roman"/>
                <w:color w:val="auto"/>
                <w:sz w:val="24"/>
                <w:lang w:val="en-US" w:eastAsia="zh-CN" w:bidi="ar"/>
              </w:rPr>
              <w:t>项目施工期场界噪声执行《建筑施工噪声排放标准》（GB12523-20</w:t>
            </w:r>
            <w:r>
              <w:rPr>
                <w:rFonts w:hint="eastAsia" w:cs="Times New Roman"/>
                <w:color w:val="auto"/>
                <w:sz w:val="24"/>
                <w:lang w:val="en-US" w:eastAsia="zh-CN" w:bidi="ar"/>
              </w:rPr>
              <w:t>25</w:t>
            </w:r>
            <w:r>
              <w:rPr>
                <w:rFonts w:hint="eastAsia" w:ascii="Times New Roman" w:hAnsi="Times New Roman" w:cs="Times New Roman"/>
                <w:color w:val="auto"/>
                <w:sz w:val="24"/>
                <w:lang w:val="en-US" w:eastAsia="zh-CN" w:bidi="ar"/>
              </w:rPr>
              <w:t>），</w:t>
            </w:r>
            <w:r>
              <w:rPr>
                <w:rFonts w:hint="default" w:ascii="Times New Roman" w:hAnsi="Times New Roman" w:cs="Times New Roman"/>
                <w:color w:val="auto"/>
              </w:rPr>
              <w:t>运营期厂界噪声执行《工业企业厂界环境噪声排放标准》（GB12348-2008）中3类标准。</w:t>
            </w:r>
          </w:p>
          <w:p w14:paraId="1C2B5A30">
            <w:pPr>
              <w:tabs>
                <w:tab w:val="left" w:pos="8607"/>
              </w:tabs>
              <w:adjustRightInd w:val="0"/>
              <w:snapToGrid w:val="0"/>
              <w:spacing w:line="240" w:lineRule="auto"/>
              <w:ind w:firstLine="0" w:firstLineChars="0"/>
              <w:jc w:val="center"/>
              <w:rPr>
                <w:rFonts w:hint="default" w:ascii="Times New Roman" w:hAnsi="Times New Roman" w:eastAsia="黑体" w:cs="Times New Roman"/>
                <w:color w:val="auto"/>
              </w:rPr>
            </w:pPr>
            <w:r>
              <w:rPr>
                <w:rFonts w:hint="default" w:ascii="Times New Roman" w:hAnsi="Times New Roman" w:cs="Times New Roman"/>
                <w:b/>
                <w:bCs/>
                <w:color w:val="auto"/>
                <w:kern w:val="0"/>
                <w:sz w:val="21"/>
                <w:szCs w:val="21"/>
                <w:lang w:bidi="ar"/>
              </w:rPr>
              <w:t>表3-</w:t>
            </w:r>
            <w:r>
              <w:rPr>
                <w:rFonts w:hint="eastAsia" w:cs="Times New Roman"/>
                <w:b/>
                <w:bCs/>
                <w:color w:val="auto"/>
                <w:kern w:val="0"/>
                <w:sz w:val="21"/>
                <w:szCs w:val="21"/>
                <w:lang w:val="en-US" w:eastAsia="zh-CN" w:bidi="ar"/>
              </w:rPr>
              <w:t>5</w:t>
            </w:r>
            <w:r>
              <w:rPr>
                <w:rFonts w:hint="default" w:ascii="Times New Roman" w:hAnsi="Times New Roman" w:cs="Times New Roman"/>
                <w:b/>
                <w:bCs/>
                <w:color w:val="auto"/>
                <w:kern w:val="0"/>
                <w:sz w:val="21"/>
                <w:szCs w:val="21"/>
                <w:lang w:bidi="ar"/>
              </w:rPr>
              <w:t xml:space="preserve">  工业企业厂界环境噪声排放标准限值</w:t>
            </w:r>
          </w:p>
          <w:tbl>
            <w:tblPr>
              <w:tblStyle w:val="21"/>
              <w:tblW w:w="8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1035"/>
              <w:gridCol w:w="2028"/>
              <w:gridCol w:w="2029"/>
            </w:tblGrid>
            <w:tr w14:paraId="1841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019" w:type="dxa"/>
                  <w:vMerge w:val="restart"/>
                  <w:vAlign w:val="center"/>
                </w:tcPr>
                <w:p w14:paraId="0F139816">
                  <w:pPr>
                    <w:spacing w:line="32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标准名称</w:t>
                  </w:r>
                </w:p>
              </w:tc>
              <w:tc>
                <w:tcPr>
                  <w:tcW w:w="1035" w:type="dxa"/>
                  <w:vMerge w:val="restart"/>
                  <w:vAlign w:val="center"/>
                </w:tcPr>
                <w:p w14:paraId="1B1AA642">
                  <w:pPr>
                    <w:spacing w:line="32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类别</w:t>
                  </w:r>
                </w:p>
              </w:tc>
              <w:tc>
                <w:tcPr>
                  <w:tcW w:w="4057" w:type="dxa"/>
                  <w:gridSpan w:val="2"/>
                  <w:vAlign w:val="center"/>
                </w:tcPr>
                <w:p w14:paraId="7883CB7C">
                  <w:pPr>
                    <w:spacing w:line="32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标准限值</w:t>
                  </w:r>
                </w:p>
              </w:tc>
            </w:tr>
            <w:tr w14:paraId="3EEC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019" w:type="dxa"/>
                  <w:vMerge w:val="continue"/>
                  <w:vAlign w:val="center"/>
                </w:tcPr>
                <w:p w14:paraId="0550C5DF">
                  <w:pPr>
                    <w:spacing w:line="320" w:lineRule="exact"/>
                    <w:ind w:firstLine="0" w:firstLineChars="0"/>
                    <w:jc w:val="center"/>
                    <w:rPr>
                      <w:rFonts w:hint="default" w:ascii="Times New Roman" w:hAnsi="Times New Roman" w:cs="Times New Roman"/>
                      <w:b/>
                      <w:bCs/>
                      <w:color w:val="auto"/>
                      <w:sz w:val="21"/>
                      <w:szCs w:val="21"/>
                    </w:rPr>
                  </w:pPr>
                </w:p>
              </w:tc>
              <w:tc>
                <w:tcPr>
                  <w:tcW w:w="1035" w:type="dxa"/>
                  <w:vMerge w:val="continue"/>
                  <w:vAlign w:val="center"/>
                </w:tcPr>
                <w:p w14:paraId="074C20F0">
                  <w:pPr>
                    <w:spacing w:line="320" w:lineRule="exact"/>
                    <w:ind w:firstLine="0" w:firstLineChars="0"/>
                    <w:jc w:val="center"/>
                    <w:rPr>
                      <w:rFonts w:hint="default" w:ascii="Times New Roman" w:hAnsi="Times New Roman" w:cs="Times New Roman"/>
                      <w:b/>
                      <w:bCs/>
                      <w:color w:val="auto"/>
                      <w:sz w:val="21"/>
                      <w:szCs w:val="21"/>
                    </w:rPr>
                  </w:pPr>
                </w:p>
              </w:tc>
              <w:tc>
                <w:tcPr>
                  <w:tcW w:w="2028" w:type="dxa"/>
                  <w:vAlign w:val="center"/>
                </w:tcPr>
                <w:p w14:paraId="1A3E0AFE">
                  <w:pPr>
                    <w:spacing w:line="32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昼间/dB（A）</w:t>
                  </w:r>
                </w:p>
              </w:tc>
              <w:tc>
                <w:tcPr>
                  <w:tcW w:w="2029" w:type="dxa"/>
                  <w:vAlign w:val="center"/>
                </w:tcPr>
                <w:p w14:paraId="5CD2C67F">
                  <w:pPr>
                    <w:spacing w:line="32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夜间/dB（A）</w:t>
                  </w:r>
                </w:p>
              </w:tc>
            </w:tr>
            <w:tr w14:paraId="7092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019" w:type="dxa"/>
                  <w:vAlign w:val="center"/>
                </w:tcPr>
                <w:p w14:paraId="4E1C3240">
                  <w:pPr>
                    <w:spacing w:line="320" w:lineRule="exact"/>
                    <w:ind w:firstLine="0" w:firstLineChars="0"/>
                    <w:jc w:val="center"/>
                    <w:rPr>
                      <w:rFonts w:hint="eastAsia" w:ascii="Times New Roman" w:hAnsi="Times New Roman" w:eastAsia="宋体" w:cs="Times New Roman"/>
                      <w:color w:val="auto"/>
                      <w:sz w:val="21"/>
                      <w:szCs w:val="21"/>
                      <w:lang w:eastAsia="zh-CN"/>
                    </w:rPr>
                  </w:pPr>
                  <w:r>
                    <w:rPr>
                      <w:rFonts w:hint="eastAsia"/>
                      <w:bCs/>
                      <w:color w:val="auto"/>
                      <w:sz w:val="21"/>
                      <w:szCs w:val="21"/>
                      <w:lang w:eastAsia="zh-CN"/>
                    </w:rPr>
                    <w:t>《建筑施工噪声排放标准》（GB12523-2025）</w:t>
                  </w:r>
                </w:p>
              </w:tc>
              <w:tc>
                <w:tcPr>
                  <w:tcW w:w="1035" w:type="dxa"/>
                  <w:vAlign w:val="center"/>
                </w:tcPr>
                <w:p w14:paraId="0493092C">
                  <w:pPr>
                    <w:spacing w:line="320" w:lineRule="exact"/>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w:t>
                  </w:r>
                </w:p>
              </w:tc>
              <w:tc>
                <w:tcPr>
                  <w:tcW w:w="2028" w:type="dxa"/>
                  <w:vAlign w:val="center"/>
                </w:tcPr>
                <w:p w14:paraId="2031CC3E">
                  <w:pPr>
                    <w:spacing w:line="32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70</w:t>
                  </w:r>
                </w:p>
              </w:tc>
              <w:tc>
                <w:tcPr>
                  <w:tcW w:w="2029" w:type="dxa"/>
                  <w:vAlign w:val="center"/>
                </w:tcPr>
                <w:p w14:paraId="295D0857">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55</w:t>
                  </w:r>
                </w:p>
              </w:tc>
            </w:tr>
            <w:tr w14:paraId="0E86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019" w:type="dxa"/>
                  <w:vAlign w:val="center"/>
                </w:tcPr>
                <w:p w14:paraId="7197C767">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《工业企业厂界环境噪声排放标准》（GB12348-2008）</w:t>
                  </w:r>
                </w:p>
              </w:tc>
              <w:tc>
                <w:tcPr>
                  <w:tcW w:w="1035" w:type="dxa"/>
                  <w:vAlign w:val="center"/>
                </w:tcPr>
                <w:p w14:paraId="15A7A2F0">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3类</w:t>
                  </w:r>
                </w:p>
              </w:tc>
              <w:tc>
                <w:tcPr>
                  <w:tcW w:w="2028" w:type="dxa"/>
                  <w:vAlign w:val="center"/>
                </w:tcPr>
                <w:p w14:paraId="340E2C7E">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65</w:t>
                  </w:r>
                </w:p>
              </w:tc>
              <w:tc>
                <w:tcPr>
                  <w:tcW w:w="2029" w:type="dxa"/>
                  <w:vAlign w:val="center"/>
                </w:tcPr>
                <w:p w14:paraId="7427011A">
                  <w:pPr>
                    <w:spacing w:line="32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55</w:t>
                  </w:r>
                </w:p>
              </w:tc>
            </w:tr>
          </w:tbl>
          <w:p w14:paraId="377F2DE7">
            <w:pPr>
              <w:ind w:firstLine="480"/>
              <w:outlineLvl w:val="0"/>
              <w:rPr>
                <w:rFonts w:hint="default" w:ascii="Times New Roman" w:hAnsi="Times New Roman" w:cs="Times New Roman"/>
                <w:b/>
                <w:bCs/>
                <w:color w:val="auto"/>
              </w:rPr>
            </w:pPr>
            <w:r>
              <w:rPr>
                <w:rFonts w:hint="eastAsia" w:cs="Times New Roman"/>
                <w:b/>
                <w:bCs/>
                <w:color w:val="auto"/>
                <w:lang w:eastAsia="zh-CN"/>
              </w:rPr>
              <w:t>4.</w:t>
            </w:r>
            <w:r>
              <w:rPr>
                <w:rFonts w:hint="default" w:ascii="Times New Roman" w:hAnsi="Times New Roman" w:cs="Times New Roman"/>
                <w:b/>
                <w:bCs/>
                <w:color w:val="auto"/>
              </w:rPr>
              <w:t>固体废物控制指标</w:t>
            </w:r>
          </w:p>
          <w:p w14:paraId="66CA7D17">
            <w:pPr>
              <w:ind w:firstLine="480"/>
              <w:rPr>
                <w:rFonts w:hint="default" w:ascii="Times New Roman" w:hAnsi="Times New Roman" w:cs="Times New Roman"/>
                <w:color w:val="auto"/>
              </w:rPr>
            </w:pPr>
            <w:r>
              <w:rPr>
                <w:rFonts w:hint="default" w:ascii="Times New Roman" w:hAnsi="Times New Roman" w:cs="Times New Roman"/>
                <w:color w:val="auto"/>
              </w:rPr>
              <w:t>一般固体废物贮存过程应满足相应防渗漏、防雨淋、防扬尘等环境保护要求；危险废物应执行《危险废物贮存污染控制标准》（GB18597-2023）中有关要求。</w:t>
            </w:r>
          </w:p>
          <w:p w14:paraId="5BB0E3B9">
            <w:pPr>
              <w:ind w:left="0" w:leftChars="0" w:firstLine="0" w:firstLineChars="0"/>
              <w:rPr>
                <w:rFonts w:hint="default" w:ascii="Times New Roman" w:hAnsi="Times New Roman" w:cs="Times New Roman"/>
                <w:color w:val="auto"/>
              </w:rPr>
            </w:pPr>
          </w:p>
        </w:tc>
      </w:tr>
      <w:tr w14:paraId="0DE8F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72" w:hRule="atLeast"/>
          <w:jc w:val="center"/>
        </w:trPr>
        <w:tc>
          <w:tcPr>
            <w:tcW w:w="398" w:type="pct"/>
            <w:tcMar>
              <w:left w:w="28" w:type="dxa"/>
              <w:right w:w="28" w:type="dxa"/>
            </w:tcMar>
            <w:vAlign w:val="center"/>
          </w:tcPr>
          <w:p w14:paraId="4BAB0C76">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总量</w:t>
            </w:r>
          </w:p>
          <w:p w14:paraId="570C66D3">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控制</w:t>
            </w:r>
          </w:p>
          <w:p w14:paraId="28578875">
            <w:pPr>
              <w:adjustRightInd w:val="0"/>
              <w:snapToGrid w:val="0"/>
              <w:ind w:firstLine="0" w:firstLineChars="0"/>
              <w:jc w:val="center"/>
              <w:rPr>
                <w:rFonts w:hint="default" w:ascii="Times New Roman" w:hAnsi="Times New Roman" w:cs="Times New Roman"/>
                <w:b/>
                <w:bCs/>
                <w:color w:val="auto"/>
                <w:kern w:val="0"/>
              </w:rPr>
            </w:pPr>
            <w:r>
              <w:rPr>
                <w:rFonts w:hint="default" w:ascii="Times New Roman" w:hAnsi="Times New Roman" w:cs="Times New Roman"/>
                <w:b/>
                <w:bCs/>
                <w:color w:val="auto"/>
                <w:kern w:val="0"/>
              </w:rPr>
              <w:t>指标</w:t>
            </w:r>
          </w:p>
        </w:tc>
        <w:tc>
          <w:tcPr>
            <w:tcW w:w="4601" w:type="pct"/>
            <w:vAlign w:val="center"/>
          </w:tcPr>
          <w:p w14:paraId="29D0252E">
            <w:pPr>
              <w:adjustRightInd w:val="0"/>
              <w:snapToGrid w:val="0"/>
              <w:ind w:firstLine="480"/>
              <w:rPr>
                <w:rFonts w:hint="default" w:ascii="Times New Roman" w:hAnsi="Times New Roman" w:cs="Times New Roman"/>
                <w:color w:val="auto"/>
              </w:rPr>
            </w:pPr>
            <w:r>
              <w:rPr>
                <w:rFonts w:hint="default" w:ascii="Times New Roman" w:hAnsi="Times New Roman" w:cs="Times New Roman"/>
                <w:color w:val="auto"/>
              </w:rPr>
              <w:t>结合本项目实际情况，本项目</w:t>
            </w:r>
            <w:r>
              <w:rPr>
                <w:rFonts w:hint="default" w:ascii="Times New Roman" w:hAnsi="Times New Roman" w:cs="Times New Roman"/>
                <w:color w:val="auto"/>
                <w:lang w:val="zh-CN"/>
              </w:rPr>
              <w:t>主要污染物总量控制指标为</w:t>
            </w:r>
            <w:r>
              <w:rPr>
                <w:rFonts w:hint="eastAsia" w:cs="Times New Roman"/>
                <w:color w:val="auto"/>
                <w:lang w:val="en-US" w:eastAsia="zh-CN"/>
              </w:rPr>
              <w:t>SO</w:t>
            </w:r>
            <w:r>
              <w:rPr>
                <w:rFonts w:hint="eastAsia" w:cs="Times New Roman"/>
                <w:color w:val="auto"/>
                <w:vertAlign w:val="subscript"/>
                <w:lang w:val="en-US" w:eastAsia="zh-CN"/>
              </w:rPr>
              <w:t>2</w:t>
            </w:r>
            <w:r>
              <w:rPr>
                <w:rFonts w:hint="default" w:ascii="Times New Roman" w:hAnsi="Times New Roman" w:cs="Times New Roman"/>
                <w:color w:val="auto"/>
              </w:rPr>
              <w:t>：</w:t>
            </w:r>
            <w:r>
              <w:rPr>
                <w:rFonts w:hint="eastAsia" w:cs="Times New Roman"/>
                <w:color w:val="auto"/>
                <w:lang w:val="en-US" w:eastAsia="zh-CN"/>
              </w:rPr>
              <w:t>0.0008t/a，NO</w:t>
            </w:r>
            <w:r>
              <w:rPr>
                <w:rFonts w:hint="eastAsia" w:cs="Times New Roman"/>
                <w:color w:val="auto"/>
                <w:vertAlign w:val="subscript"/>
                <w:lang w:val="en-US" w:eastAsia="zh-CN"/>
              </w:rPr>
              <w:t>X</w:t>
            </w:r>
            <w:r>
              <w:rPr>
                <w:rFonts w:hint="default" w:ascii="Times New Roman" w:hAnsi="Times New Roman" w:cs="Times New Roman"/>
                <w:color w:val="auto"/>
              </w:rPr>
              <w:t>：</w:t>
            </w:r>
            <w:r>
              <w:rPr>
                <w:rFonts w:hint="eastAsia" w:cs="Times New Roman"/>
                <w:color w:val="auto"/>
                <w:lang w:val="en-US" w:eastAsia="zh-CN"/>
              </w:rPr>
              <w:t>0.006t/a</w:t>
            </w:r>
            <w:r>
              <w:rPr>
                <w:rFonts w:hint="default" w:ascii="Times New Roman" w:hAnsi="Times New Roman" w:cs="Times New Roman"/>
                <w:color w:val="auto"/>
              </w:rPr>
              <w:t>。</w:t>
            </w:r>
          </w:p>
          <w:p w14:paraId="317E65CC">
            <w:pPr>
              <w:ind w:left="0" w:leftChars="0" w:firstLine="0" w:firstLineChars="0"/>
              <w:rPr>
                <w:rFonts w:hint="default" w:ascii="Times New Roman" w:hAnsi="Times New Roman" w:cs="Times New Roman"/>
                <w:color w:val="auto"/>
              </w:rPr>
            </w:pPr>
          </w:p>
        </w:tc>
      </w:tr>
    </w:tbl>
    <w:p w14:paraId="3A8E6B7C">
      <w:pPr>
        <w:pStyle w:val="17"/>
        <w:jc w:val="center"/>
        <w:outlineLvl w:val="0"/>
        <w:rPr>
          <w:rFonts w:hint="default" w:ascii="Times New Roman" w:hAnsi="Times New Roman" w:eastAsia="黑体" w:cs="Times New Roman"/>
          <w:snapToGrid w:val="0"/>
          <w:color w:val="auto"/>
          <w:sz w:val="36"/>
          <w:szCs w:val="36"/>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5A770C4B">
      <w:pPr>
        <w:pStyle w:val="17"/>
        <w:ind w:firstLine="600"/>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四、主要环境影响和保护措施</w:t>
      </w:r>
    </w:p>
    <w:tbl>
      <w:tblPr>
        <w:tblStyle w:val="21"/>
        <w:tblW w:w="493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6"/>
        <w:gridCol w:w="9587"/>
      </w:tblGrid>
      <w:tr w14:paraId="06E897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9" w:hRule="atLeast"/>
          <w:jc w:val="center"/>
        </w:trPr>
        <w:tc>
          <w:tcPr>
            <w:tcW w:w="457" w:type="pct"/>
            <w:tcMar>
              <w:left w:w="28" w:type="dxa"/>
              <w:right w:w="28" w:type="dxa"/>
            </w:tcMar>
            <w:vAlign w:val="center"/>
          </w:tcPr>
          <w:p w14:paraId="73C85E21">
            <w:pPr>
              <w:adjustRightInd w:val="0"/>
              <w:snapToGrid w:val="0"/>
              <w:ind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kern w:val="0"/>
              </w:rPr>
              <w:t>施工期环境保护措施</w:t>
            </w:r>
          </w:p>
        </w:tc>
        <w:tc>
          <w:tcPr>
            <w:tcW w:w="4542" w:type="pct"/>
            <w:vAlign w:val="center"/>
          </w:tcPr>
          <w:p w14:paraId="2B8DDF86">
            <w:pPr>
              <w:spacing w:line="360" w:lineRule="auto"/>
              <w:ind w:firstLine="480"/>
              <w:rPr>
                <w:rFonts w:hint="default" w:ascii="Times New Roman" w:hAnsi="Times New Roman" w:cs="Times New Roman"/>
                <w:color w:val="auto"/>
              </w:rPr>
            </w:pPr>
            <w:bookmarkStart w:id="2" w:name="_Toc13868"/>
            <w:bookmarkStart w:id="3" w:name="_Toc32035"/>
            <w:r>
              <w:rPr>
                <w:rFonts w:hint="default" w:ascii="Times New Roman" w:hAnsi="Times New Roman" w:cs="Times New Roman"/>
                <w:color w:val="auto"/>
              </w:rPr>
              <w:t>本项目</w:t>
            </w:r>
            <w:bookmarkEnd w:id="2"/>
            <w:bookmarkEnd w:id="3"/>
            <w:r>
              <w:rPr>
                <w:rFonts w:hint="eastAsia" w:cs="Times New Roman"/>
                <w:color w:val="auto"/>
                <w:lang w:val="en-US" w:eastAsia="zh-CN"/>
              </w:rPr>
              <w:t>租赁已建厂房，施工期建设内容主要为设备安装，</w:t>
            </w:r>
            <w:r>
              <w:rPr>
                <w:rFonts w:hint="default" w:ascii="Times New Roman" w:hAnsi="Times New Roman" w:cs="Times New Roman"/>
                <w:color w:val="auto"/>
                <w:lang w:val="en-US" w:eastAsia="zh-CN"/>
              </w:rPr>
              <w:t>施工期污染物主要为废水（生活污水）、废气（扬尘、运输车辆尾气）、噪声和固体废物（</w:t>
            </w:r>
            <w:r>
              <w:rPr>
                <w:rFonts w:hint="eastAsia" w:cs="Times New Roman"/>
                <w:color w:val="auto"/>
                <w:lang w:val="en-US" w:eastAsia="zh-CN"/>
              </w:rPr>
              <w:t>设备废包装材料</w:t>
            </w:r>
            <w:r>
              <w:rPr>
                <w:rFonts w:hint="default" w:ascii="Times New Roman" w:hAnsi="Times New Roman" w:cs="Times New Roman"/>
                <w:color w:val="auto"/>
              </w:rPr>
              <w:t>和生活垃圾</w:t>
            </w:r>
            <w:r>
              <w:rPr>
                <w:rFonts w:hint="default" w:ascii="Times New Roman" w:hAnsi="Times New Roman" w:cs="Times New Roman"/>
                <w:color w:val="auto"/>
                <w:lang w:val="en-US" w:eastAsia="zh-CN"/>
              </w:rPr>
              <w:t>）。</w:t>
            </w:r>
          </w:p>
          <w:p w14:paraId="78B71776">
            <w:pPr>
              <w:spacing w:line="360" w:lineRule="auto"/>
              <w:ind w:firstLine="480"/>
              <w:rPr>
                <w:rFonts w:hint="default" w:ascii="Times New Roman" w:hAnsi="Times New Roman" w:cs="Times New Roman"/>
                <w:color w:val="auto"/>
                <w:lang w:val="en-US" w:eastAsia="zh-CN"/>
              </w:rPr>
            </w:pPr>
            <w:r>
              <w:rPr>
                <w:rFonts w:hint="eastAsia" w:cs="Times New Roman"/>
                <w:color w:val="auto"/>
                <w:lang w:eastAsia="zh-CN"/>
              </w:rPr>
              <w:t>1.</w:t>
            </w:r>
            <w:r>
              <w:rPr>
                <w:rFonts w:hint="default" w:ascii="Times New Roman" w:hAnsi="Times New Roman" w:cs="Times New Roman"/>
                <w:color w:val="auto"/>
                <w:lang w:val="en-US" w:eastAsia="zh-CN"/>
              </w:rPr>
              <w:t>废气防治措施</w:t>
            </w:r>
          </w:p>
          <w:p w14:paraId="465381FB">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lang w:val="en-US" w:eastAsia="zh-CN"/>
              </w:rPr>
              <w:t>施工期的废气主要为施工扬尘、运输汽车尾气。</w:t>
            </w:r>
            <w:r>
              <w:rPr>
                <w:rFonts w:hint="eastAsia" w:cs="Times New Roman"/>
                <w:color w:val="auto"/>
                <w:lang w:val="en-US" w:eastAsia="zh-CN"/>
              </w:rPr>
              <w:t>项目采取</w:t>
            </w:r>
            <w:r>
              <w:rPr>
                <w:rFonts w:hint="eastAsia"/>
                <w:color w:val="auto"/>
                <w:lang w:val="en-US" w:eastAsia="zh-CN"/>
              </w:rPr>
              <w:t>洒水抑尘、通风等措施，可有效减少颗粒物对环境的影响；</w:t>
            </w:r>
            <w:r>
              <w:rPr>
                <w:rFonts w:hint="default" w:ascii="Times New Roman" w:hAnsi="Times New Roman" w:cs="Times New Roman"/>
                <w:color w:val="auto"/>
                <w:lang w:val="en-US" w:eastAsia="zh-CN"/>
              </w:rPr>
              <w:t>运输车辆行驶过</w:t>
            </w:r>
            <w:r>
              <w:rPr>
                <w:rFonts w:hint="eastAsia" w:cs="Times New Roman"/>
                <w:color w:val="auto"/>
                <w:lang w:val="en-US" w:eastAsia="zh-CN"/>
              </w:rPr>
              <w:t>程中</w:t>
            </w:r>
            <w:r>
              <w:rPr>
                <w:rFonts w:hint="default" w:ascii="Times New Roman" w:hAnsi="Times New Roman" w:cs="Times New Roman"/>
                <w:color w:val="auto"/>
                <w:lang w:val="en-US" w:eastAsia="zh-CN"/>
              </w:rPr>
              <w:t>会产生</w:t>
            </w:r>
            <w:r>
              <w:rPr>
                <w:rFonts w:hint="default" w:ascii="Times New Roman" w:hAnsi="Times New Roman" w:cs="Times New Roman"/>
                <w:color w:val="auto"/>
              </w:rPr>
              <w:t>NOx、碳氢化合物等废气，对周围大气环境有一定的影响</w:t>
            </w:r>
            <w:r>
              <w:rPr>
                <w:rFonts w:hint="eastAsia" w:cs="Times New Roman"/>
                <w:color w:val="auto"/>
                <w:lang w:eastAsia="zh-CN"/>
              </w:rPr>
              <w:t>，</w:t>
            </w:r>
            <w:r>
              <w:rPr>
                <w:rFonts w:hint="default" w:ascii="Times New Roman" w:hAnsi="Times New Roman" w:cs="Times New Roman"/>
                <w:color w:val="auto"/>
              </w:rPr>
              <w:t>评价要求</w:t>
            </w:r>
            <w:r>
              <w:rPr>
                <w:rFonts w:hint="eastAsia" w:cs="Times New Roman"/>
                <w:color w:val="auto"/>
                <w:lang w:val="en-US" w:eastAsia="zh-CN"/>
              </w:rPr>
              <w:t>加强</w:t>
            </w:r>
            <w:r>
              <w:rPr>
                <w:rFonts w:hint="default" w:ascii="Times New Roman" w:hAnsi="Times New Roman" w:cs="Times New Roman"/>
                <w:color w:val="auto"/>
                <w:lang w:val="en-US" w:eastAsia="zh-CN"/>
              </w:rPr>
              <w:t>运输</w:t>
            </w:r>
            <w:r>
              <w:rPr>
                <w:rFonts w:hint="default" w:ascii="Times New Roman" w:hAnsi="Times New Roman" w:cs="Times New Roman"/>
                <w:color w:val="auto"/>
              </w:rPr>
              <w:t>车辆管理与维护保养。</w:t>
            </w:r>
          </w:p>
          <w:p w14:paraId="6FC123CC">
            <w:pPr>
              <w:spacing w:line="360" w:lineRule="auto"/>
              <w:ind w:firstLine="480"/>
              <w:rPr>
                <w:rFonts w:hint="default" w:ascii="Times New Roman" w:hAnsi="Times New Roman" w:cs="Times New Roman"/>
                <w:color w:val="auto"/>
              </w:rPr>
            </w:pPr>
            <w:r>
              <w:rPr>
                <w:rFonts w:hint="eastAsia" w:cs="Times New Roman"/>
                <w:color w:val="auto"/>
                <w:lang w:eastAsia="zh-CN"/>
              </w:rPr>
              <w:t>2.</w:t>
            </w:r>
            <w:r>
              <w:rPr>
                <w:rFonts w:hint="default" w:ascii="Times New Roman" w:hAnsi="Times New Roman" w:cs="Times New Roman"/>
                <w:color w:val="auto"/>
              </w:rPr>
              <w:t>废水</w:t>
            </w:r>
          </w:p>
          <w:p w14:paraId="16D076E0">
            <w:pPr>
              <w:spacing w:line="360" w:lineRule="auto"/>
              <w:ind w:firstLine="48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项目施工期主要为施工人员生活污水。生活污水</w:t>
            </w:r>
            <w:r>
              <w:rPr>
                <w:rFonts w:hint="eastAsia" w:cs="Times New Roman"/>
                <w:color w:val="auto"/>
                <w:lang w:val="en-US" w:eastAsia="zh-CN"/>
              </w:rPr>
              <w:t>经厂区化粪池处理后排入市政污水管网</w:t>
            </w:r>
            <w:r>
              <w:rPr>
                <w:rFonts w:hint="default" w:ascii="Times New Roman" w:hAnsi="Times New Roman" w:cs="Times New Roman"/>
                <w:color w:val="auto"/>
                <w:lang w:eastAsia="zh-CN"/>
              </w:rPr>
              <w:t>。</w:t>
            </w:r>
          </w:p>
          <w:p w14:paraId="2C4B3FD6">
            <w:pPr>
              <w:spacing w:line="360" w:lineRule="auto"/>
              <w:ind w:firstLine="480"/>
              <w:rPr>
                <w:rFonts w:hint="default" w:ascii="Times New Roman" w:hAnsi="Times New Roman" w:cs="Times New Roman"/>
                <w:color w:val="auto"/>
              </w:rPr>
            </w:pPr>
            <w:r>
              <w:rPr>
                <w:rFonts w:hint="eastAsia" w:cs="Times New Roman"/>
                <w:color w:val="auto"/>
                <w:lang w:eastAsia="zh-CN"/>
              </w:rPr>
              <w:t>3.</w:t>
            </w:r>
            <w:r>
              <w:rPr>
                <w:rFonts w:hint="default" w:ascii="Times New Roman" w:hAnsi="Times New Roman" w:cs="Times New Roman"/>
                <w:color w:val="auto"/>
              </w:rPr>
              <w:t>噪声</w:t>
            </w:r>
          </w:p>
          <w:p w14:paraId="261E225A">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施工期噪声主要</w:t>
            </w:r>
            <w:r>
              <w:rPr>
                <w:rFonts w:hint="eastAsia" w:cs="Times New Roman"/>
                <w:color w:val="auto"/>
                <w:lang w:val="en-US" w:eastAsia="zh-CN"/>
              </w:rPr>
              <w:t>为</w:t>
            </w:r>
            <w:r>
              <w:rPr>
                <w:color w:val="auto"/>
              </w:rPr>
              <w:t>设备安装噪声</w:t>
            </w:r>
            <w:r>
              <w:rPr>
                <w:rFonts w:hint="default" w:ascii="Times New Roman" w:hAnsi="Times New Roman" w:cs="Times New Roman"/>
                <w:color w:val="auto"/>
                <w:lang w:val="en-US" w:eastAsia="zh-CN"/>
              </w:rPr>
              <w:t>和运输车辆噪声</w:t>
            </w:r>
            <w:r>
              <w:rPr>
                <w:rFonts w:hint="default" w:ascii="Times New Roman" w:hAnsi="Times New Roman" w:cs="Times New Roman"/>
                <w:color w:val="auto"/>
              </w:rPr>
              <w:t>。为了减轻施工噪声对周围环境的影响，</w:t>
            </w:r>
            <w:r>
              <w:rPr>
                <w:rFonts w:hint="default" w:ascii="Times New Roman" w:hAnsi="Times New Roman" w:cs="Times New Roman"/>
                <w:color w:val="auto"/>
                <w:lang w:val="en-US" w:eastAsia="zh-CN"/>
              </w:rPr>
              <w:t>评价要求建设单位</w:t>
            </w:r>
            <w:r>
              <w:rPr>
                <w:rFonts w:hint="default" w:ascii="Times New Roman" w:hAnsi="Times New Roman" w:cs="Times New Roman"/>
                <w:color w:val="auto"/>
              </w:rPr>
              <w:t>采取以下措施：</w:t>
            </w:r>
          </w:p>
          <w:p w14:paraId="34B164D9">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①尽量选用低噪声机械设备，降低设备声级；同时做好施工机械的维护和保养，有效降低机械设备运转的噪声源强。</w:t>
            </w:r>
          </w:p>
          <w:p w14:paraId="4678BC2D">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②</w:t>
            </w:r>
            <w:r>
              <w:rPr>
                <w:color w:val="auto"/>
              </w:rPr>
              <w:t>合理安排工期</w:t>
            </w:r>
            <w:r>
              <w:rPr>
                <w:rFonts w:hint="eastAsia"/>
                <w:color w:val="auto"/>
                <w:lang w:val="en-US" w:eastAsia="zh-CN"/>
              </w:rPr>
              <w:t>和</w:t>
            </w:r>
            <w:r>
              <w:rPr>
                <w:color w:val="auto"/>
              </w:rPr>
              <w:t>施工工序</w:t>
            </w:r>
            <w:r>
              <w:rPr>
                <w:rFonts w:hint="eastAsia"/>
                <w:color w:val="auto"/>
                <w:lang w:eastAsia="zh-CN"/>
              </w:rPr>
              <w:t>，</w:t>
            </w:r>
            <w:r>
              <w:rPr>
                <w:rFonts w:hint="eastAsia"/>
                <w:color w:val="auto"/>
                <w:lang w:val="en-US" w:eastAsia="zh-CN"/>
              </w:rPr>
              <w:t>夜间禁止施工</w:t>
            </w:r>
            <w:r>
              <w:rPr>
                <w:rFonts w:hint="default" w:ascii="Times New Roman" w:hAnsi="Times New Roman" w:cs="Times New Roman"/>
                <w:color w:val="auto"/>
              </w:rPr>
              <w:t>，</w:t>
            </w:r>
            <w:r>
              <w:rPr>
                <w:rFonts w:hint="eastAsia" w:cs="Times New Roman"/>
                <w:color w:val="auto"/>
                <w:lang w:val="en-US" w:eastAsia="zh-CN"/>
              </w:rPr>
              <w:t>确保</w:t>
            </w:r>
            <w:r>
              <w:rPr>
                <w:rFonts w:hint="default" w:ascii="Times New Roman" w:hAnsi="Times New Roman" w:cs="Times New Roman"/>
                <w:color w:val="auto"/>
              </w:rPr>
              <w:t>建筑施工</w:t>
            </w:r>
            <w:r>
              <w:rPr>
                <w:rFonts w:hint="eastAsia" w:cs="Times New Roman"/>
                <w:color w:val="auto"/>
                <w:lang w:val="en-US" w:eastAsia="zh-CN"/>
              </w:rPr>
              <w:t>场</w:t>
            </w:r>
            <w:r>
              <w:rPr>
                <w:rFonts w:hint="default" w:ascii="Times New Roman" w:hAnsi="Times New Roman" w:cs="Times New Roman"/>
                <w:color w:val="auto"/>
              </w:rPr>
              <w:t>界噪声排放满足</w:t>
            </w:r>
            <w:r>
              <w:rPr>
                <w:rFonts w:hint="eastAsia" w:cs="Times New Roman"/>
                <w:color w:val="auto"/>
                <w:lang w:eastAsia="zh-CN"/>
              </w:rPr>
              <w:t>《建筑施工噪声排放标准》（GB12523-2025）</w:t>
            </w:r>
            <w:r>
              <w:rPr>
                <w:rFonts w:hint="default" w:ascii="Times New Roman" w:hAnsi="Times New Roman" w:cs="Times New Roman"/>
                <w:color w:val="auto"/>
              </w:rPr>
              <w:t>要求。</w:t>
            </w:r>
          </w:p>
          <w:p w14:paraId="077963C8">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③控制</w:t>
            </w:r>
            <w:r>
              <w:rPr>
                <w:rFonts w:hint="eastAsia" w:cs="Times New Roman"/>
                <w:color w:val="auto"/>
                <w:lang w:val="en-US" w:eastAsia="zh-CN"/>
              </w:rPr>
              <w:t>运输</w:t>
            </w:r>
            <w:r>
              <w:rPr>
                <w:rFonts w:hint="default" w:ascii="Times New Roman" w:hAnsi="Times New Roman" w:cs="Times New Roman"/>
                <w:color w:val="auto"/>
              </w:rPr>
              <w:t>车辆运输噪声，强化施工期间的环境管理，同时对</w:t>
            </w:r>
            <w:r>
              <w:rPr>
                <w:rFonts w:hint="eastAsia" w:cs="Times New Roman"/>
                <w:color w:val="auto"/>
                <w:lang w:eastAsia="zh-CN"/>
              </w:rPr>
              <w:t>途经居住区</w:t>
            </w:r>
            <w:r>
              <w:rPr>
                <w:rFonts w:hint="default" w:ascii="Times New Roman" w:hAnsi="Times New Roman" w:cs="Times New Roman"/>
                <w:color w:val="auto"/>
              </w:rPr>
              <w:t>的运输车辆应禁止鸣笛，要求尽量放慢车速，以减少运输车辆</w:t>
            </w:r>
            <w:r>
              <w:rPr>
                <w:rFonts w:hint="eastAsia" w:cs="Times New Roman"/>
                <w:color w:val="auto"/>
                <w:lang w:eastAsia="zh-CN"/>
              </w:rPr>
              <w:t>噪声</w:t>
            </w:r>
            <w:r>
              <w:rPr>
                <w:rFonts w:hint="default" w:ascii="Times New Roman" w:hAnsi="Times New Roman" w:cs="Times New Roman"/>
                <w:color w:val="auto"/>
              </w:rPr>
              <w:t>对周边敏感点的影响。</w:t>
            </w:r>
          </w:p>
          <w:p w14:paraId="760ECBBF">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lang w:val="en-US" w:eastAsia="zh-CN"/>
              </w:rPr>
              <w:t>采取以上措施后，施工噪声对周围环境的影响较小，且项目施工期短，</w:t>
            </w:r>
            <w:r>
              <w:rPr>
                <w:rFonts w:hint="default" w:ascii="Times New Roman" w:hAnsi="Times New Roman" w:cs="Times New Roman"/>
                <w:color w:val="auto"/>
              </w:rPr>
              <w:t>随着施工的结束，施工所带来的</w:t>
            </w:r>
            <w:r>
              <w:rPr>
                <w:rFonts w:hint="default" w:ascii="Times New Roman" w:hAnsi="Times New Roman" w:cs="Times New Roman"/>
                <w:color w:val="auto"/>
                <w:lang w:val="en-US" w:eastAsia="zh-CN"/>
              </w:rPr>
              <w:t>噪声</w:t>
            </w:r>
            <w:r>
              <w:rPr>
                <w:rFonts w:hint="default" w:ascii="Times New Roman" w:hAnsi="Times New Roman" w:cs="Times New Roman"/>
                <w:color w:val="auto"/>
              </w:rPr>
              <w:t>影响也将随之消失。</w:t>
            </w:r>
          </w:p>
          <w:p w14:paraId="198486C7">
            <w:pPr>
              <w:spacing w:line="360" w:lineRule="auto"/>
              <w:ind w:firstLine="480"/>
              <w:rPr>
                <w:rFonts w:hint="default" w:ascii="Times New Roman" w:hAnsi="Times New Roman" w:cs="Times New Roman"/>
                <w:color w:val="auto"/>
              </w:rPr>
            </w:pPr>
            <w:r>
              <w:rPr>
                <w:rFonts w:hint="eastAsia" w:cs="Times New Roman"/>
                <w:color w:val="auto"/>
                <w:lang w:eastAsia="zh-CN"/>
              </w:rPr>
              <w:t>4.</w:t>
            </w:r>
            <w:r>
              <w:rPr>
                <w:rFonts w:hint="default" w:ascii="Times New Roman" w:hAnsi="Times New Roman" w:cs="Times New Roman"/>
                <w:color w:val="auto"/>
              </w:rPr>
              <w:t>固体废物</w:t>
            </w:r>
          </w:p>
          <w:p w14:paraId="4431D8D4">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lang w:val="en-US" w:eastAsia="zh-CN"/>
              </w:rPr>
              <w:t>施工固废主要为</w:t>
            </w:r>
            <w:r>
              <w:rPr>
                <w:rFonts w:hint="eastAsia" w:cs="Times New Roman"/>
                <w:color w:val="auto"/>
                <w:lang w:val="en-US" w:eastAsia="zh-CN"/>
              </w:rPr>
              <w:t>设备废包装材料</w:t>
            </w:r>
            <w:r>
              <w:rPr>
                <w:rFonts w:hint="default" w:ascii="Times New Roman" w:hAnsi="Times New Roman" w:cs="Times New Roman"/>
                <w:color w:val="auto"/>
                <w:lang w:val="en-US" w:eastAsia="zh-CN"/>
              </w:rPr>
              <w:t>和施工人员产生的生活垃圾。</w:t>
            </w:r>
            <w:r>
              <w:rPr>
                <w:rFonts w:hint="eastAsia" w:cs="Times New Roman"/>
                <w:color w:val="auto"/>
                <w:lang w:val="en-US" w:eastAsia="zh-CN"/>
              </w:rPr>
              <w:t>设备废包装材料</w:t>
            </w:r>
            <w:r>
              <w:rPr>
                <w:rFonts w:hint="default" w:ascii="Times New Roman" w:hAnsi="Times New Roman" w:cs="Times New Roman"/>
                <w:color w:val="auto"/>
                <w:lang w:val="en-US" w:eastAsia="zh-CN"/>
              </w:rPr>
              <w:t>交由物资回收部门回收利用</w:t>
            </w:r>
            <w:r>
              <w:rPr>
                <w:rFonts w:hint="eastAsia" w:cs="Times New Roman"/>
                <w:color w:val="auto"/>
                <w:lang w:val="en-US" w:eastAsia="zh-CN"/>
              </w:rPr>
              <w:t>；</w:t>
            </w:r>
            <w:r>
              <w:rPr>
                <w:rFonts w:hint="default" w:ascii="Times New Roman" w:hAnsi="Times New Roman" w:cs="Times New Roman"/>
                <w:color w:val="auto"/>
              </w:rPr>
              <w:t>施工人员产生的生活垃圾</w:t>
            </w:r>
            <w:r>
              <w:rPr>
                <w:rFonts w:hint="default" w:ascii="Times New Roman" w:hAnsi="Times New Roman" w:cs="Times New Roman"/>
                <w:color w:val="auto"/>
                <w:lang w:val="en-US" w:eastAsia="zh-CN"/>
              </w:rPr>
              <w:t>采用垃圾桶分类</w:t>
            </w:r>
            <w:r>
              <w:rPr>
                <w:rFonts w:hint="default" w:ascii="Times New Roman" w:hAnsi="Times New Roman" w:cs="Times New Roman"/>
                <w:color w:val="auto"/>
              </w:rPr>
              <w:t>收集，</w:t>
            </w:r>
            <w:r>
              <w:rPr>
                <w:rFonts w:hint="default" w:ascii="Times New Roman" w:hAnsi="Times New Roman" w:cs="Times New Roman"/>
                <w:color w:val="auto"/>
                <w:lang w:val="en-US" w:eastAsia="zh-CN"/>
              </w:rPr>
              <w:t>定期交由环卫部门处理</w:t>
            </w:r>
            <w:r>
              <w:rPr>
                <w:rFonts w:hint="default" w:ascii="Times New Roman" w:hAnsi="Times New Roman" w:cs="Times New Roman"/>
                <w:color w:val="auto"/>
              </w:rPr>
              <w:t>。</w:t>
            </w:r>
          </w:p>
          <w:p w14:paraId="3FB4DE3B">
            <w:pPr>
              <w:spacing w:line="360" w:lineRule="auto"/>
              <w:ind w:firstLine="480"/>
              <w:rPr>
                <w:rFonts w:hint="default" w:ascii="Times New Roman" w:hAnsi="Times New Roman" w:cs="Times New Roman"/>
                <w:color w:val="auto"/>
              </w:rPr>
            </w:pPr>
          </w:p>
          <w:p w14:paraId="2287F8A7">
            <w:pPr>
              <w:spacing w:line="360" w:lineRule="auto"/>
              <w:ind w:firstLine="480"/>
              <w:rPr>
                <w:rFonts w:hint="default" w:ascii="Times New Roman" w:hAnsi="Times New Roman" w:cs="Times New Roman"/>
                <w:color w:val="auto"/>
              </w:rPr>
            </w:pPr>
          </w:p>
          <w:p w14:paraId="4002AF2C">
            <w:pPr>
              <w:spacing w:line="360" w:lineRule="auto"/>
              <w:ind w:firstLine="480"/>
              <w:rPr>
                <w:rFonts w:hint="default" w:ascii="Times New Roman" w:hAnsi="Times New Roman" w:cs="Times New Roman"/>
                <w:color w:val="auto"/>
              </w:rPr>
            </w:pPr>
          </w:p>
        </w:tc>
      </w:tr>
      <w:tr w14:paraId="11DA53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33" w:hRule="atLeast"/>
          <w:jc w:val="center"/>
        </w:trPr>
        <w:tc>
          <w:tcPr>
            <w:tcW w:w="457" w:type="pct"/>
            <w:tcMar>
              <w:left w:w="28" w:type="dxa"/>
              <w:right w:w="28" w:type="dxa"/>
            </w:tcMar>
            <w:vAlign w:val="center"/>
          </w:tcPr>
          <w:p w14:paraId="78988EB1">
            <w:pPr>
              <w:adjustRightInd w:val="0"/>
              <w:snapToGrid w:val="0"/>
              <w:ind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kern w:val="0"/>
              </w:rPr>
              <w:t>运营期环境影响和保护措施</w:t>
            </w:r>
          </w:p>
        </w:tc>
        <w:tc>
          <w:tcPr>
            <w:tcW w:w="4542" w:type="pct"/>
            <w:vAlign w:val="center"/>
          </w:tcPr>
          <w:p w14:paraId="2FF71CC8">
            <w:pPr>
              <w:spacing w:line="360" w:lineRule="auto"/>
              <w:ind w:firstLine="482"/>
              <w:rPr>
                <w:rFonts w:hint="default" w:ascii="Times New Roman" w:hAnsi="Times New Roman" w:cs="Times New Roman"/>
                <w:b/>
                <w:bCs/>
                <w:color w:val="auto"/>
              </w:rPr>
            </w:pPr>
            <w:r>
              <w:rPr>
                <w:rFonts w:hint="default" w:ascii="Times New Roman" w:hAnsi="Times New Roman" w:cs="Times New Roman"/>
                <w:b/>
                <w:bCs/>
                <w:color w:val="auto"/>
              </w:rPr>
              <w:t>一、废气</w:t>
            </w:r>
          </w:p>
          <w:p w14:paraId="200CF030">
            <w:pPr>
              <w:spacing w:line="360" w:lineRule="auto"/>
              <w:ind w:firstLine="482"/>
              <w:rPr>
                <w:rFonts w:hint="default" w:ascii="Times New Roman" w:hAnsi="Times New Roman" w:cs="Times New Roman"/>
                <w:color w:val="auto"/>
              </w:rPr>
            </w:pPr>
            <w:r>
              <w:rPr>
                <w:rFonts w:hint="eastAsia" w:cs="Times New Roman"/>
                <w:b/>
                <w:bCs/>
                <w:color w:val="auto"/>
                <w:lang w:eastAsia="zh-CN"/>
              </w:rPr>
              <w:t>1.</w:t>
            </w:r>
            <w:r>
              <w:rPr>
                <w:rFonts w:hint="default" w:ascii="Times New Roman" w:hAnsi="Times New Roman" w:cs="Times New Roman"/>
                <w:b/>
                <w:bCs/>
                <w:color w:val="auto"/>
              </w:rPr>
              <w:t>废气源强核算</w:t>
            </w:r>
          </w:p>
          <w:p w14:paraId="635AE03B">
            <w:pPr>
              <w:spacing w:line="360" w:lineRule="auto"/>
              <w:ind w:firstLine="480"/>
              <w:rPr>
                <w:rFonts w:hint="default" w:ascii="Times New Roman" w:hAnsi="Times New Roman" w:cs="Times New Roman"/>
                <w:color w:val="auto"/>
              </w:rPr>
            </w:pPr>
            <w:r>
              <w:rPr>
                <w:rFonts w:hint="default" w:ascii="Times New Roman" w:hAnsi="Times New Roman" w:cs="Times New Roman"/>
                <w:color w:val="auto"/>
              </w:rPr>
              <w:t>项目运营期废气主要为</w:t>
            </w:r>
            <w:r>
              <w:rPr>
                <w:rFonts w:hint="eastAsia" w:cs="Times New Roman"/>
                <w:color w:val="auto"/>
                <w:lang w:val="en-US" w:eastAsia="zh-CN"/>
              </w:rPr>
              <w:t>油炸废气、清洗池的恶臭及导热油炉废气。</w:t>
            </w:r>
            <w:r>
              <w:rPr>
                <w:rFonts w:hint="default" w:ascii="Times New Roman" w:hAnsi="Times New Roman" w:cs="Times New Roman"/>
                <w:color w:val="auto"/>
              </w:rPr>
              <w:t>项目大气污染物产生及排放情况见表4-1。</w:t>
            </w:r>
          </w:p>
          <w:p w14:paraId="7320FEE5">
            <w:pPr>
              <w:pStyle w:val="50"/>
              <w:rPr>
                <w:rFonts w:hint="default" w:ascii="Times New Roman" w:hAnsi="Times New Roman" w:cs="Times New Roman"/>
                <w:color w:val="auto"/>
              </w:rPr>
            </w:pPr>
            <w:r>
              <w:rPr>
                <w:rFonts w:hint="default" w:ascii="Times New Roman" w:hAnsi="Times New Roman" w:cs="Times New Roman"/>
                <w:color w:val="auto"/>
              </w:rPr>
              <w:t>表4-1  大气污染物产生及排放情况一览表</w:t>
            </w:r>
          </w:p>
          <w:tbl>
            <w:tblPr>
              <w:tblStyle w:val="22"/>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639"/>
              <w:gridCol w:w="767"/>
              <w:gridCol w:w="877"/>
              <w:gridCol w:w="427"/>
              <w:gridCol w:w="664"/>
              <w:gridCol w:w="838"/>
              <w:gridCol w:w="601"/>
              <w:gridCol w:w="601"/>
              <w:gridCol w:w="619"/>
              <w:gridCol w:w="869"/>
              <w:gridCol w:w="900"/>
              <w:gridCol w:w="854"/>
            </w:tblGrid>
            <w:tr w14:paraId="685D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372" w:type="pct"/>
                  <w:vMerge w:val="restart"/>
                  <w:vAlign w:val="center"/>
                </w:tcPr>
                <w:p w14:paraId="77655D47">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产污环节</w:t>
                  </w:r>
                </w:p>
              </w:tc>
              <w:tc>
                <w:tcPr>
                  <w:tcW w:w="341" w:type="pct"/>
                  <w:vMerge w:val="restart"/>
                  <w:vAlign w:val="center"/>
                </w:tcPr>
                <w:p w14:paraId="534528C6">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污染物种类</w:t>
                  </w:r>
                </w:p>
              </w:tc>
              <w:tc>
                <w:tcPr>
                  <w:tcW w:w="881" w:type="pct"/>
                  <w:gridSpan w:val="2"/>
                  <w:vAlign w:val="center"/>
                </w:tcPr>
                <w:p w14:paraId="28C39E27">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污染物产生情况</w:t>
                  </w:r>
                </w:p>
              </w:tc>
              <w:tc>
                <w:tcPr>
                  <w:tcW w:w="229" w:type="pct"/>
                  <w:vMerge w:val="restart"/>
                  <w:vAlign w:val="center"/>
                </w:tcPr>
                <w:p w14:paraId="19868E00">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排放形式</w:t>
                  </w:r>
                </w:p>
              </w:tc>
              <w:tc>
                <w:tcPr>
                  <w:tcW w:w="1779" w:type="pct"/>
                  <w:gridSpan w:val="5"/>
                  <w:vAlign w:val="center"/>
                </w:tcPr>
                <w:p w14:paraId="3D102CBE">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治理设施</w:t>
                  </w:r>
                </w:p>
              </w:tc>
              <w:tc>
                <w:tcPr>
                  <w:tcW w:w="1395" w:type="pct"/>
                  <w:gridSpan w:val="3"/>
                  <w:vAlign w:val="center"/>
                </w:tcPr>
                <w:p w14:paraId="04CB7A4C">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污染物排放情况</w:t>
                  </w:r>
                </w:p>
              </w:tc>
            </w:tr>
            <w:tr w14:paraId="66B0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372" w:type="pct"/>
                  <w:vMerge w:val="continue"/>
                  <w:vAlign w:val="center"/>
                </w:tcPr>
                <w:p w14:paraId="7C1DFC8A">
                  <w:pPr>
                    <w:spacing w:line="360" w:lineRule="atLeast"/>
                    <w:ind w:firstLine="0" w:firstLineChars="0"/>
                    <w:jc w:val="center"/>
                    <w:rPr>
                      <w:rFonts w:hint="default" w:ascii="Times New Roman" w:hAnsi="Times New Roman" w:cs="Times New Roman"/>
                      <w:color w:val="auto"/>
                      <w:sz w:val="21"/>
                      <w:szCs w:val="21"/>
                    </w:rPr>
                  </w:pPr>
                </w:p>
              </w:tc>
              <w:tc>
                <w:tcPr>
                  <w:tcW w:w="341" w:type="pct"/>
                  <w:vMerge w:val="continue"/>
                  <w:vAlign w:val="center"/>
                </w:tcPr>
                <w:p w14:paraId="20458A94">
                  <w:pPr>
                    <w:spacing w:line="360" w:lineRule="atLeast"/>
                    <w:ind w:firstLine="0" w:firstLineChars="0"/>
                    <w:jc w:val="center"/>
                    <w:rPr>
                      <w:rFonts w:hint="default" w:ascii="Times New Roman" w:hAnsi="Times New Roman" w:cs="Times New Roman"/>
                      <w:color w:val="auto"/>
                      <w:sz w:val="21"/>
                      <w:szCs w:val="21"/>
                    </w:rPr>
                  </w:pPr>
                </w:p>
              </w:tc>
              <w:tc>
                <w:tcPr>
                  <w:tcW w:w="411" w:type="pct"/>
                  <w:vAlign w:val="center"/>
                </w:tcPr>
                <w:p w14:paraId="6C26A77C">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产生量/t/a</w:t>
                  </w:r>
                </w:p>
              </w:tc>
              <w:tc>
                <w:tcPr>
                  <w:tcW w:w="469" w:type="pct"/>
                  <w:vAlign w:val="center"/>
                </w:tcPr>
                <w:p w14:paraId="534C43B4">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产生浓度/mg/m</w:t>
                  </w:r>
                  <w:r>
                    <w:rPr>
                      <w:rFonts w:hint="default" w:ascii="Times New Roman" w:hAnsi="Times New Roman" w:cs="Times New Roman"/>
                      <w:color w:val="auto"/>
                      <w:sz w:val="21"/>
                      <w:szCs w:val="21"/>
                      <w:vertAlign w:val="superscript"/>
                    </w:rPr>
                    <w:t>3</w:t>
                  </w:r>
                </w:p>
              </w:tc>
              <w:tc>
                <w:tcPr>
                  <w:tcW w:w="229" w:type="pct"/>
                  <w:vMerge w:val="continue"/>
                  <w:vAlign w:val="center"/>
                </w:tcPr>
                <w:p w14:paraId="74C55296">
                  <w:pPr>
                    <w:spacing w:line="360" w:lineRule="atLeast"/>
                    <w:ind w:firstLine="0" w:firstLineChars="0"/>
                    <w:jc w:val="center"/>
                    <w:rPr>
                      <w:rFonts w:hint="default" w:ascii="Times New Roman" w:hAnsi="Times New Roman" w:cs="Times New Roman"/>
                      <w:color w:val="auto"/>
                      <w:sz w:val="21"/>
                      <w:szCs w:val="21"/>
                    </w:rPr>
                  </w:pPr>
                </w:p>
              </w:tc>
              <w:tc>
                <w:tcPr>
                  <w:tcW w:w="356" w:type="pct"/>
                  <w:vAlign w:val="center"/>
                </w:tcPr>
                <w:p w14:paraId="18AF2351">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治理设施</w:t>
                  </w:r>
                </w:p>
              </w:tc>
              <w:tc>
                <w:tcPr>
                  <w:tcW w:w="449" w:type="pct"/>
                  <w:vAlign w:val="center"/>
                </w:tcPr>
                <w:p w14:paraId="058A6397">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处理能力m</w:t>
                  </w:r>
                  <w:r>
                    <w:rPr>
                      <w:rFonts w:hint="default" w:ascii="Times New Roman" w:hAnsi="Times New Roman" w:cs="Times New Roman"/>
                      <w:color w:val="auto"/>
                      <w:sz w:val="21"/>
                      <w:szCs w:val="21"/>
                      <w:vertAlign w:val="superscript"/>
                    </w:rPr>
                    <w:t>3</w:t>
                  </w:r>
                  <w:r>
                    <w:rPr>
                      <w:rFonts w:hint="default" w:ascii="Times New Roman" w:hAnsi="Times New Roman" w:cs="Times New Roman"/>
                      <w:color w:val="auto"/>
                      <w:sz w:val="21"/>
                      <w:szCs w:val="21"/>
                    </w:rPr>
                    <w:t>/h</w:t>
                  </w:r>
                </w:p>
              </w:tc>
              <w:tc>
                <w:tcPr>
                  <w:tcW w:w="321" w:type="pct"/>
                  <w:vAlign w:val="center"/>
                </w:tcPr>
                <w:p w14:paraId="38E3C703">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收集效率%</w:t>
                  </w:r>
                </w:p>
              </w:tc>
              <w:tc>
                <w:tcPr>
                  <w:tcW w:w="321" w:type="pct"/>
                  <w:vAlign w:val="center"/>
                </w:tcPr>
                <w:p w14:paraId="3FC23771">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去除率%</w:t>
                  </w:r>
                </w:p>
              </w:tc>
              <w:tc>
                <w:tcPr>
                  <w:tcW w:w="330" w:type="pct"/>
                  <w:vAlign w:val="center"/>
                </w:tcPr>
                <w:p w14:paraId="0E58E5B3">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是否为可行技术</w:t>
                  </w:r>
                </w:p>
              </w:tc>
              <w:tc>
                <w:tcPr>
                  <w:tcW w:w="465" w:type="pct"/>
                  <w:vAlign w:val="center"/>
                </w:tcPr>
                <w:p w14:paraId="11062FAF">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排放浓度/mg/m</w:t>
                  </w:r>
                  <w:r>
                    <w:rPr>
                      <w:rFonts w:hint="default" w:ascii="Times New Roman" w:hAnsi="Times New Roman" w:cs="Times New Roman"/>
                      <w:color w:val="auto"/>
                      <w:sz w:val="21"/>
                      <w:szCs w:val="21"/>
                      <w:vertAlign w:val="superscript"/>
                    </w:rPr>
                    <w:t>3</w:t>
                  </w:r>
                </w:p>
              </w:tc>
              <w:tc>
                <w:tcPr>
                  <w:tcW w:w="473" w:type="pct"/>
                  <w:vAlign w:val="center"/>
                </w:tcPr>
                <w:p w14:paraId="2D69DE5B">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排放速率/kg/h</w:t>
                  </w:r>
                </w:p>
              </w:tc>
              <w:tc>
                <w:tcPr>
                  <w:tcW w:w="456" w:type="pct"/>
                  <w:vAlign w:val="center"/>
                </w:tcPr>
                <w:p w14:paraId="1C6ECF11">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排放量/t/a</w:t>
                  </w:r>
                </w:p>
              </w:tc>
            </w:tr>
            <w:tr w14:paraId="7AAC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72" w:type="pct"/>
                  <w:vMerge w:val="restart"/>
                  <w:vAlign w:val="center"/>
                </w:tcPr>
                <w:p w14:paraId="5B3F780F">
                  <w:pPr>
                    <w:spacing w:line="360" w:lineRule="atLeast"/>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油炸</w:t>
                  </w:r>
                </w:p>
              </w:tc>
              <w:tc>
                <w:tcPr>
                  <w:tcW w:w="341" w:type="pct"/>
                  <w:vMerge w:val="restart"/>
                  <w:vAlign w:val="center"/>
                </w:tcPr>
                <w:p w14:paraId="6B25C678">
                  <w:pPr>
                    <w:spacing w:line="360" w:lineRule="atLeast"/>
                    <w:ind w:firstLine="0" w:firstLineChars="0"/>
                    <w:jc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油烟</w:t>
                  </w:r>
                </w:p>
              </w:tc>
              <w:tc>
                <w:tcPr>
                  <w:tcW w:w="411" w:type="pct"/>
                  <w:vAlign w:val="center"/>
                </w:tcPr>
                <w:p w14:paraId="1BFA1E8A">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0.22</w:t>
                  </w:r>
                </w:p>
              </w:tc>
              <w:tc>
                <w:tcPr>
                  <w:tcW w:w="469" w:type="pct"/>
                  <w:vAlign w:val="center"/>
                </w:tcPr>
                <w:p w14:paraId="6D240543">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27.5</w:t>
                  </w:r>
                </w:p>
              </w:tc>
              <w:tc>
                <w:tcPr>
                  <w:tcW w:w="229" w:type="pct"/>
                  <w:vAlign w:val="center"/>
                </w:tcPr>
                <w:p w14:paraId="56E03F26">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有组织</w:t>
                  </w:r>
                </w:p>
              </w:tc>
              <w:tc>
                <w:tcPr>
                  <w:tcW w:w="356" w:type="pct"/>
                  <w:vAlign w:val="center"/>
                </w:tcPr>
                <w:p w14:paraId="127F0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包围型集气设备</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静电式</w:t>
                  </w:r>
                  <w:r>
                    <w:rPr>
                      <w:rFonts w:hint="eastAsia" w:cs="Times New Roman"/>
                      <w:color w:val="auto"/>
                      <w:sz w:val="21"/>
                      <w:szCs w:val="21"/>
                      <w:lang w:val="en-US" w:eastAsia="zh-CN"/>
                    </w:rPr>
                    <w:t>油烟净化器</w:t>
                  </w:r>
                </w:p>
              </w:tc>
              <w:tc>
                <w:tcPr>
                  <w:tcW w:w="449" w:type="pct"/>
                  <w:vAlign w:val="center"/>
                </w:tcPr>
                <w:p w14:paraId="2FDD65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10000</w:t>
                  </w:r>
                </w:p>
              </w:tc>
              <w:tc>
                <w:tcPr>
                  <w:tcW w:w="321" w:type="pct"/>
                  <w:vAlign w:val="center"/>
                </w:tcPr>
                <w:p w14:paraId="740C5B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80</w:t>
                  </w:r>
                </w:p>
              </w:tc>
              <w:tc>
                <w:tcPr>
                  <w:tcW w:w="321" w:type="pct"/>
                  <w:vAlign w:val="center"/>
                </w:tcPr>
                <w:p w14:paraId="1669D1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95</w:t>
                  </w:r>
                </w:p>
              </w:tc>
              <w:tc>
                <w:tcPr>
                  <w:tcW w:w="330" w:type="pct"/>
                  <w:vAlign w:val="center"/>
                </w:tcPr>
                <w:p w14:paraId="53DA31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是</w:t>
                  </w:r>
                </w:p>
              </w:tc>
              <w:tc>
                <w:tcPr>
                  <w:tcW w:w="465" w:type="pct"/>
                  <w:vAlign w:val="center"/>
                </w:tcPr>
                <w:p w14:paraId="631EBA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w:t>
                  </w:r>
                </w:p>
              </w:tc>
              <w:tc>
                <w:tcPr>
                  <w:tcW w:w="473" w:type="pct"/>
                  <w:vAlign w:val="center"/>
                </w:tcPr>
                <w:p w14:paraId="3FE3B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0.014</w:t>
                  </w:r>
                </w:p>
              </w:tc>
              <w:tc>
                <w:tcPr>
                  <w:tcW w:w="456" w:type="pct"/>
                  <w:vAlign w:val="center"/>
                </w:tcPr>
                <w:p w14:paraId="282451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0.011</w:t>
                  </w:r>
                </w:p>
              </w:tc>
            </w:tr>
            <w:tr w14:paraId="6F9E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72" w:type="pct"/>
                  <w:vMerge w:val="continue"/>
                  <w:vAlign w:val="center"/>
                </w:tcPr>
                <w:p w14:paraId="0B7520FE">
                  <w:pPr>
                    <w:spacing w:line="360" w:lineRule="atLeast"/>
                    <w:ind w:firstLine="0" w:firstLineChars="0"/>
                    <w:jc w:val="center"/>
                    <w:rPr>
                      <w:rFonts w:hint="default" w:ascii="Times New Roman" w:hAnsi="Times New Roman" w:eastAsia="宋体" w:cs="Times New Roman"/>
                      <w:color w:val="auto"/>
                      <w:sz w:val="21"/>
                      <w:szCs w:val="21"/>
                      <w:lang w:val="en-US" w:eastAsia="zh-CN"/>
                    </w:rPr>
                  </w:pPr>
                </w:p>
              </w:tc>
              <w:tc>
                <w:tcPr>
                  <w:tcW w:w="341" w:type="pct"/>
                  <w:vMerge w:val="continue"/>
                  <w:vAlign w:val="center"/>
                </w:tcPr>
                <w:p w14:paraId="43F35B61">
                  <w:pPr>
                    <w:spacing w:line="360" w:lineRule="atLeast"/>
                    <w:ind w:firstLine="0" w:firstLineChars="0"/>
                    <w:jc w:val="center"/>
                    <w:rPr>
                      <w:rFonts w:hint="default" w:ascii="Times New Roman" w:hAnsi="Times New Roman" w:cs="Times New Roman"/>
                      <w:color w:val="auto"/>
                      <w:sz w:val="21"/>
                      <w:szCs w:val="21"/>
                    </w:rPr>
                  </w:pPr>
                </w:p>
              </w:tc>
              <w:tc>
                <w:tcPr>
                  <w:tcW w:w="411" w:type="pct"/>
                  <w:vAlign w:val="center"/>
                </w:tcPr>
                <w:p w14:paraId="1D42BA9D">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0.06</w:t>
                  </w:r>
                </w:p>
              </w:tc>
              <w:tc>
                <w:tcPr>
                  <w:tcW w:w="469" w:type="pct"/>
                  <w:vAlign w:val="center"/>
                </w:tcPr>
                <w:p w14:paraId="75A0097C">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229" w:type="pct"/>
                  <w:vAlign w:val="center"/>
                </w:tcPr>
                <w:p w14:paraId="3F91F95C">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无组织</w:t>
                  </w:r>
                </w:p>
              </w:tc>
              <w:tc>
                <w:tcPr>
                  <w:tcW w:w="356" w:type="pct"/>
                  <w:vAlign w:val="center"/>
                </w:tcPr>
                <w:p w14:paraId="643A9B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449" w:type="pct"/>
                  <w:vAlign w:val="center"/>
                </w:tcPr>
                <w:p w14:paraId="72E3EF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21" w:type="pct"/>
                  <w:vAlign w:val="center"/>
                </w:tcPr>
                <w:p w14:paraId="0BB7C6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21" w:type="pct"/>
                  <w:vAlign w:val="center"/>
                </w:tcPr>
                <w:p w14:paraId="065D4E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30" w:type="pct"/>
                  <w:vAlign w:val="center"/>
                </w:tcPr>
                <w:p w14:paraId="5E177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465" w:type="pct"/>
                  <w:vAlign w:val="center"/>
                </w:tcPr>
                <w:p w14:paraId="456CA4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473" w:type="pct"/>
                  <w:vAlign w:val="center"/>
                </w:tcPr>
                <w:p w14:paraId="5859B4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0.075</w:t>
                  </w:r>
                </w:p>
              </w:tc>
              <w:tc>
                <w:tcPr>
                  <w:tcW w:w="456" w:type="pct"/>
                  <w:vAlign w:val="center"/>
                </w:tcPr>
                <w:p w14:paraId="487D22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0.06</w:t>
                  </w:r>
                </w:p>
              </w:tc>
            </w:tr>
            <w:tr w14:paraId="2078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72" w:type="pct"/>
                  <w:vAlign w:val="center"/>
                </w:tcPr>
                <w:p w14:paraId="5D9FA32F">
                  <w:pPr>
                    <w:spacing w:line="360" w:lineRule="atLeas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清洗</w:t>
                  </w:r>
                </w:p>
              </w:tc>
              <w:tc>
                <w:tcPr>
                  <w:tcW w:w="341" w:type="pct"/>
                  <w:vAlign w:val="center"/>
                </w:tcPr>
                <w:p w14:paraId="1B9334EE">
                  <w:pPr>
                    <w:spacing w:line="360" w:lineRule="atLeas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臭气浓度</w:t>
                  </w:r>
                </w:p>
              </w:tc>
              <w:tc>
                <w:tcPr>
                  <w:tcW w:w="411" w:type="pct"/>
                  <w:vAlign w:val="center"/>
                </w:tcPr>
                <w:p w14:paraId="6AFCF896">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469" w:type="pct"/>
                  <w:vAlign w:val="center"/>
                </w:tcPr>
                <w:p w14:paraId="4D40FF40">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229" w:type="pct"/>
                  <w:vAlign w:val="center"/>
                </w:tcPr>
                <w:p w14:paraId="61C09A4D">
                  <w:pPr>
                    <w:spacing w:line="360" w:lineRule="atLeas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无组织</w:t>
                  </w:r>
                </w:p>
              </w:tc>
              <w:tc>
                <w:tcPr>
                  <w:tcW w:w="356" w:type="pct"/>
                  <w:vAlign w:val="center"/>
                </w:tcPr>
                <w:p w14:paraId="1D95C3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加强通风</w:t>
                  </w:r>
                </w:p>
              </w:tc>
              <w:tc>
                <w:tcPr>
                  <w:tcW w:w="449" w:type="pct"/>
                  <w:vAlign w:val="center"/>
                </w:tcPr>
                <w:p w14:paraId="6689DD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21" w:type="pct"/>
                  <w:vAlign w:val="center"/>
                </w:tcPr>
                <w:p w14:paraId="0CDFCB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21" w:type="pct"/>
                  <w:vAlign w:val="center"/>
                </w:tcPr>
                <w:p w14:paraId="23EDDA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330" w:type="pct"/>
                  <w:vAlign w:val="center"/>
                </w:tcPr>
                <w:p w14:paraId="79A68E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w:t>
                  </w:r>
                </w:p>
              </w:tc>
              <w:tc>
                <w:tcPr>
                  <w:tcW w:w="465" w:type="pct"/>
                  <w:vAlign w:val="center"/>
                </w:tcPr>
                <w:p w14:paraId="1B6F3B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473" w:type="pct"/>
                  <w:vAlign w:val="center"/>
                </w:tcPr>
                <w:p w14:paraId="2660C7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456" w:type="pct"/>
                  <w:vAlign w:val="center"/>
                </w:tcPr>
                <w:p w14:paraId="5ECF7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w:t>
                  </w:r>
                </w:p>
              </w:tc>
            </w:tr>
            <w:tr w14:paraId="7405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72" w:type="pct"/>
                  <w:vMerge w:val="restart"/>
                  <w:vAlign w:val="center"/>
                </w:tcPr>
                <w:p w14:paraId="73A4163D">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导热油炉</w:t>
                  </w:r>
                </w:p>
              </w:tc>
              <w:tc>
                <w:tcPr>
                  <w:tcW w:w="341" w:type="pct"/>
                  <w:vAlign w:val="center"/>
                </w:tcPr>
                <w:p w14:paraId="76DF9FCE">
                  <w:pPr>
                    <w:spacing w:line="360" w:lineRule="atLeast"/>
                    <w:ind w:firstLine="0" w:firstLineChars="0"/>
                    <w:jc w:val="center"/>
                    <w:rPr>
                      <w:rFonts w:hint="eastAsia" w:cs="Times New Roman"/>
                      <w:color w:val="auto"/>
                      <w:sz w:val="21"/>
                      <w:szCs w:val="21"/>
                      <w:lang w:val="en-US" w:eastAsia="zh-CN"/>
                    </w:rPr>
                  </w:pPr>
                  <w:r>
                    <w:rPr>
                      <w:color w:val="auto"/>
                      <w:spacing w:val="5"/>
                      <w:sz w:val="21"/>
                      <w:szCs w:val="21"/>
                    </w:rPr>
                    <w:t>颗粒物</w:t>
                  </w:r>
                </w:p>
              </w:tc>
              <w:tc>
                <w:tcPr>
                  <w:tcW w:w="411" w:type="pct"/>
                  <w:vAlign w:val="center"/>
                </w:tcPr>
                <w:p w14:paraId="312A9EEA">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9.6</w:t>
                  </w:r>
                </w:p>
              </w:tc>
              <w:tc>
                <w:tcPr>
                  <w:tcW w:w="469" w:type="pct"/>
                  <w:vAlign w:val="center"/>
                </w:tcPr>
                <w:p w14:paraId="3BB643A6">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0.002</w:t>
                  </w:r>
                </w:p>
              </w:tc>
              <w:tc>
                <w:tcPr>
                  <w:tcW w:w="229" w:type="pct"/>
                  <w:vAlign w:val="center"/>
                </w:tcPr>
                <w:p w14:paraId="2A6357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有组织</w:t>
                  </w:r>
                </w:p>
              </w:tc>
              <w:tc>
                <w:tcPr>
                  <w:tcW w:w="356" w:type="pct"/>
                  <w:vAlign w:val="center"/>
                </w:tcPr>
                <w:p w14:paraId="7E189D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449" w:type="pct"/>
                  <w:vAlign w:val="center"/>
                </w:tcPr>
                <w:p w14:paraId="76293C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21" w:type="pct"/>
                  <w:vAlign w:val="center"/>
                </w:tcPr>
                <w:p w14:paraId="6386FE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21" w:type="pct"/>
                  <w:vAlign w:val="center"/>
                </w:tcPr>
                <w:p w14:paraId="2A8BA7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30" w:type="pct"/>
                  <w:vAlign w:val="center"/>
                </w:tcPr>
                <w:p w14:paraId="5BCDBB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465" w:type="pct"/>
                  <w:vAlign w:val="center"/>
                </w:tcPr>
                <w:p w14:paraId="750EB0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9.6</w:t>
                  </w:r>
                </w:p>
              </w:tc>
              <w:tc>
                <w:tcPr>
                  <w:tcW w:w="473" w:type="pct"/>
                  <w:vAlign w:val="center"/>
                </w:tcPr>
                <w:p w14:paraId="0F1448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0.0025</w:t>
                  </w:r>
                </w:p>
              </w:tc>
              <w:tc>
                <w:tcPr>
                  <w:tcW w:w="456" w:type="pct"/>
                  <w:vAlign w:val="center"/>
                </w:tcPr>
                <w:p w14:paraId="278550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0.002</w:t>
                  </w:r>
                </w:p>
              </w:tc>
            </w:tr>
            <w:tr w14:paraId="6591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72" w:type="pct"/>
                  <w:vMerge w:val="continue"/>
                  <w:vAlign w:val="center"/>
                </w:tcPr>
                <w:p w14:paraId="0DFD633E">
                  <w:pPr>
                    <w:spacing w:line="360" w:lineRule="atLeast"/>
                    <w:ind w:firstLine="0" w:firstLineChars="0"/>
                    <w:jc w:val="center"/>
                    <w:rPr>
                      <w:rFonts w:hint="eastAsia" w:cs="Times New Roman"/>
                      <w:color w:val="auto"/>
                      <w:sz w:val="21"/>
                      <w:szCs w:val="21"/>
                      <w:lang w:val="en-US" w:eastAsia="zh-CN"/>
                    </w:rPr>
                  </w:pPr>
                </w:p>
              </w:tc>
              <w:tc>
                <w:tcPr>
                  <w:tcW w:w="341" w:type="pct"/>
                  <w:vAlign w:val="center"/>
                </w:tcPr>
                <w:p w14:paraId="5F38F66D">
                  <w:pPr>
                    <w:spacing w:line="360" w:lineRule="atLeast"/>
                    <w:ind w:firstLine="0" w:firstLineChars="0"/>
                    <w:jc w:val="center"/>
                    <w:rPr>
                      <w:rFonts w:hint="eastAsia" w:cs="Times New Roman"/>
                      <w:color w:val="auto"/>
                      <w:sz w:val="21"/>
                      <w:szCs w:val="21"/>
                      <w:lang w:val="en-US" w:eastAsia="zh-CN"/>
                    </w:rPr>
                  </w:pPr>
                  <w:r>
                    <w:rPr>
                      <w:rFonts w:ascii="Times New Roman" w:hAnsi="Times New Roman" w:eastAsia="Times New Roman" w:cs="Times New Roman"/>
                      <w:color w:val="auto"/>
                      <w:spacing w:val="-1"/>
                      <w:position w:val="1"/>
                      <w:sz w:val="21"/>
                      <w:szCs w:val="21"/>
                    </w:rPr>
                    <w:t>SO</w:t>
                  </w:r>
                  <w:r>
                    <w:rPr>
                      <w:rFonts w:ascii="Times New Roman" w:hAnsi="Times New Roman" w:eastAsia="Times New Roman" w:cs="Times New Roman"/>
                      <w:color w:val="auto"/>
                      <w:spacing w:val="-1"/>
                      <w:position w:val="1"/>
                      <w:sz w:val="21"/>
                      <w:szCs w:val="21"/>
                      <w:vertAlign w:val="subscript"/>
                    </w:rPr>
                    <w:t>2</w:t>
                  </w:r>
                </w:p>
              </w:tc>
              <w:tc>
                <w:tcPr>
                  <w:tcW w:w="411" w:type="pct"/>
                  <w:vAlign w:val="center"/>
                </w:tcPr>
                <w:p w14:paraId="042D711B">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3.7</w:t>
                  </w:r>
                </w:p>
              </w:tc>
              <w:tc>
                <w:tcPr>
                  <w:tcW w:w="469" w:type="pct"/>
                  <w:vAlign w:val="center"/>
                </w:tcPr>
                <w:p w14:paraId="25F2FA72">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0.0008</w:t>
                  </w:r>
                </w:p>
              </w:tc>
              <w:tc>
                <w:tcPr>
                  <w:tcW w:w="229" w:type="pct"/>
                  <w:vAlign w:val="center"/>
                </w:tcPr>
                <w:p w14:paraId="237BED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有组织</w:t>
                  </w:r>
                </w:p>
              </w:tc>
              <w:tc>
                <w:tcPr>
                  <w:tcW w:w="356" w:type="pct"/>
                  <w:vAlign w:val="center"/>
                </w:tcPr>
                <w:p w14:paraId="0F11E0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449" w:type="pct"/>
                  <w:vAlign w:val="center"/>
                </w:tcPr>
                <w:p w14:paraId="14B096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21" w:type="pct"/>
                  <w:vAlign w:val="center"/>
                </w:tcPr>
                <w:p w14:paraId="5F7E7B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21" w:type="pct"/>
                  <w:vAlign w:val="center"/>
                </w:tcPr>
                <w:p w14:paraId="226FC3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30" w:type="pct"/>
                  <w:vAlign w:val="center"/>
                </w:tcPr>
                <w:p w14:paraId="0F75E6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w:t>
                  </w:r>
                </w:p>
              </w:tc>
              <w:tc>
                <w:tcPr>
                  <w:tcW w:w="465" w:type="pct"/>
                  <w:vAlign w:val="center"/>
                </w:tcPr>
                <w:p w14:paraId="3DD03B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3.7</w:t>
                  </w:r>
                </w:p>
              </w:tc>
              <w:tc>
                <w:tcPr>
                  <w:tcW w:w="473" w:type="pct"/>
                  <w:vAlign w:val="center"/>
                </w:tcPr>
                <w:p w14:paraId="1BC62D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0.00096</w:t>
                  </w:r>
                </w:p>
              </w:tc>
              <w:tc>
                <w:tcPr>
                  <w:tcW w:w="456" w:type="pct"/>
                  <w:vAlign w:val="center"/>
                </w:tcPr>
                <w:p w14:paraId="42306A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0.0008</w:t>
                  </w:r>
                </w:p>
              </w:tc>
            </w:tr>
            <w:tr w14:paraId="6FE2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72" w:type="pct"/>
                  <w:vMerge w:val="continue"/>
                  <w:vAlign w:val="center"/>
                </w:tcPr>
                <w:p w14:paraId="729F47F2">
                  <w:pPr>
                    <w:spacing w:line="360" w:lineRule="atLeast"/>
                    <w:ind w:firstLine="0" w:firstLineChars="0"/>
                    <w:jc w:val="center"/>
                    <w:rPr>
                      <w:rFonts w:hint="eastAsia" w:cs="Times New Roman"/>
                      <w:color w:val="auto"/>
                      <w:sz w:val="21"/>
                      <w:szCs w:val="21"/>
                      <w:lang w:val="en-US" w:eastAsia="zh-CN"/>
                    </w:rPr>
                  </w:pPr>
                </w:p>
              </w:tc>
              <w:tc>
                <w:tcPr>
                  <w:tcW w:w="341" w:type="pct"/>
                  <w:vAlign w:val="center"/>
                </w:tcPr>
                <w:p w14:paraId="1ACC05CC">
                  <w:pPr>
                    <w:spacing w:line="360" w:lineRule="atLeast"/>
                    <w:ind w:firstLine="0" w:firstLineChars="0"/>
                    <w:jc w:val="center"/>
                    <w:rPr>
                      <w:rFonts w:hint="eastAsia" w:cs="Times New Roman"/>
                      <w:color w:val="auto"/>
                      <w:sz w:val="21"/>
                      <w:szCs w:val="21"/>
                      <w:lang w:val="en-US" w:eastAsia="zh-CN"/>
                    </w:rPr>
                  </w:pPr>
                  <w:r>
                    <w:rPr>
                      <w:rFonts w:ascii="Times New Roman" w:hAnsi="Times New Roman" w:eastAsia="Times New Roman" w:cs="Times New Roman"/>
                      <w:color w:val="auto"/>
                      <w:spacing w:val="7"/>
                      <w:sz w:val="21"/>
                      <w:szCs w:val="21"/>
                    </w:rPr>
                    <w:t>NO</w:t>
                  </w:r>
                  <w:r>
                    <w:rPr>
                      <w:rFonts w:ascii="Times New Roman" w:hAnsi="Times New Roman" w:eastAsia="Times New Roman" w:cs="Times New Roman"/>
                      <w:color w:val="auto"/>
                      <w:spacing w:val="7"/>
                      <w:position w:val="-1"/>
                      <w:sz w:val="21"/>
                      <w:szCs w:val="21"/>
                      <w:vertAlign w:val="subscript"/>
                    </w:rPr>
                    <w:t>X</w:t>
                  </w:r>
                </w:p>
              </w:tc>
              <w:tc>
                <w:tcPr>
                  <w:tcW w:w="411" w:type="pct"/>
                  <w:vAlign w:val="center"/>
                </w:tcPr>
                <w:p w14:paraId="6D1B47BF">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30</w:t>
                  </w:r>
                </w:p>
              </w:tc>
              <w:tc>
                <w:tcPr>
                  <w:tcW w:w="469" w:type="pct"/>
                  <w:vAlign w:val="center"/>
                </w:tcPr>
                <w:p w14:paraId="46CDDB58">
                  <w:pPr>
                    <w:spacing w:line="360" w:lineRule="atLeas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0.006</w:t>
                  </w:r>
                </w:p>
              </w:tc>
              <w:tc>
                <w:tcPr>
                  <w:tcW w:w="229" w:type="pct"/>
                  <w:vAlign w:val="center"/>
                </w:tcPr>
                <w:p w14:paraId="63DBA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有组织</w:t>
                  </w:r>
                </w:p>
              </w:tc>
              <w:tc>
                <w:tcPr>
                  <w:tcW w:w="356" w:type="pct"/>
                  <w:vAlign w:val="center"/>
                </w:tcPr>
                <w:p w14:paraId="30C8DD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低氮燃烧器</w:t>
                  </w:r>
                </w:p>
              </w:tc>
              <w:tc>
                <w:tcPr>
                  <w:tcW w:w="449" w:type="pct"/>
                  <w:vAlign w:val="center"/>
                </w:tcPr>
                <w:p w14:paraId="4FEBA6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21" w:type="pct"/>
                  <w:vAlign w:val="center"/>
                </w:tcPr>
                <w:p w14:paraId="09D73A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21" w:type="pct"/>
                  <w:vAlign w:val="center"/>
                </w:tcPr>
                <w:p w14:paraId="666A99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330" w:type="pct"/>
                  <w:vAlign w:val="center"/>
                </w:tcPr>
                <w:p w14:paraId="79C11F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是</w:t>
                  </w:r>
                </w:p>
              </w:tc>
              <w:tc>
                <w:tcPr>
                  <w:tcW w:w="465" w:type="pct"/>
                  <w:vAlign w:val="center"/>
                </w:tcPr>
                <w:p w14:paraId="0170C9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w:t>
                  </w:r>
                </w:p>
              </w:tc>
              <w:tc>
                <w:tcPr>
                  <w:tcW w:w="473" w:type="pct"/>
                  <w:vAlign w:val="center"/>
                </w:tcPr>
                <w:p w14:paraId="0A3857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0.0078</w:t>
                  </w:r>
                </w:p>
              </w:tc>
              <w:tc>
                <w:tcPr>
                  <w:tcW w:w="456" w:type="pct"/>
                  <w:vAlign w:val="center"/>
                </w:tcPr>
                <w:p w14:paraId="49D857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0.006</w:t>
                  </w:r>
                </w:p>
              </w:tc>
            </w:tr>
          </w:tbl>
          <w:p w14:paraId="675F560D">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源强核算过程：</w:t>
            </w:r>
          </w:p>
          <w:p w14:paraId="4430070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cs="Times New Roman"/>
                <w:color w:val="auto"/>
                <w:lang w:val="en-US" w:eastAsia="zh-CN"/>
              </w:rPr>
            </w:pPr>
            <w:r>
              <w:rPr>
                <w:rFonts w:hint="eastAsia" w:cs="Times New Roman"/>
                <w:color w:val="auto"/>
                <w:lang w:val="en-US" w:eastAsia="zh-CN"/>
              </w:rPr>
              <w:t>（1）油炸废气</w:t>
            </w:r>
          </w:p>
          <w:p w14:paraId="7CE090E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cs="Times New Roman"/>
                <w:color w:val="auto"/>
                <w:lang w:val="en-US" w:eastAsia="zh-CN"/>
              </w:rPr>
            </w:pPr>
            <w:r>
              <w:rPr>
                <w:rFonts w:hint="eastAsia" w:cs="Times New Roman"/>
                <w:color w:val="auto"/>
                <w:lang w:val="en-US" w:eastAsia="zh-CN"/>
              </w:rPr>
              <w:t>项目油炸过程会产生油烟废气。根据建设单位提供资料，项目植物油的用量为10t/a，一般油烟挥发量占总耗油量的2～4%，平均为2.8%，项目油烟产生量为0.28t/a。项目采用包围型集气设备对油烟废气进行收集，仅进出料口敞开，</w:t>
            </w:r>
            <w:r>
              <w:rPr>
                <w:rFonts w:hint="eastAsia" w:ascii="Times New Roman" w:hAnsi="Times New Roman" w:cs="Times New Roman"/>
                <w:color w:val="auto"/>
                <w:sz w:val="24"/>
                <w:lang w:val="en-US" w:eastAsia="zh-CN" w:bidi="ar"/>
              </w:rPr>
              <w:t>排气罩灶面</w:t>
            </w:r>
            <w:r>
              <w:rPr>
                <w:rFonts w:hint="eastAsia" w:cs="Times New Roman"/>
                <w:color w:val="auto"/>
                <w:lang w:val="en-US" w:eastAsia="zh-CN"/>
              </w:rPr>
              <w:t>投影面积为7.6m</w:t>
            </w:r>
            <w:r>
              <w:rPr>
                <w:rFonts w:hint="eastAsia" w:cs="Times New Roman"/>
                <w:color w:val="auto"/>
                <w:vertAlign w:val="superscript"/>
                <w:lang w:val="en-US" w:eastAsia="zh-CN"/>
              </w:rPr>
              <w:t>2</w:t>
            </w:r>
            <w:r>
              <w:rPr>
                <w:rFonts w:hint="eastAsia" w:cs="Times New Roman"/>
                <w:color w:val="auto"/>
                <w:lang w:val="en-US" w:eastAsia="zh-CN"/>
              </w:rPr>
              <w:t>，根据</w:t>
            </w:r>
            <w:r>
              <w:rPr>
                <w:rFonts w:hint="eastAsia" w:ascii="Times New Roman" w:hAnsi="Times New Roman" w:cs="Times New Roman"/>
                <w:color w:val="auto"/>
                <w:sz w:val="24"/>
                <w:lang w:val="en-US" w:eastAsia="zh-CN" w:bidi="ar"/>
              </w:rPr>
              <w:t>《饮食业油烟排放标准（试行）》（GB18483-2001），排气罩灶面投影面积≥</w:t>
            </w:r>
            <w:r>
              <w:rPr>
                <w:rFonts w:hint="eastAsia" w:cs="Times New Roman"/>
                <w:color w:val="auto"/>
                <w:lang w:val="en-US" w:eastAsia="zh-CN"/>
              </w:rPr>
              <w:t>6.6m</w:t>
            </w:r>
            <w:r>
              <w:rPr>
                <w:rFonts w:hint="eastAsia" w:cs="Times New Roman"/>
                <w:color w:val="auto"/>
                <w:vertAlign w:val="superscript"/>
                <w:lang w:val="en-US" w:eastAsia="zh-CN"/>
              </w:rPr>
              <w:t>2</w:t>
            </w:r>
            <w:r>
              <w:rPr>
                <w:rFonts w:hint="eastAsia" w:cs="Times New Roman"/>
                <w:color w:val="auto"/>
                <w:vertAlign w:val="baseline"/>
                <w:lang w:val="en-US" w:eastAsia="zh-CN"/>
              </w:rPr>
              <w:t>属于大型规模</w:t>
            </w:r>
            <w:r>
              <w:rPr>
                <w:rFonts w:hint="eastAsia" w:cs="Times New Roman"/>
                <w:color w:val="auto"/>
                <w:lang w:val="en-US" w:eastAsia="zh-CN"/>
              </w:rPr>
              <w:t>。</w:t>
            </w:r>
          </w:p>
          <w:p w14:paraId="4EA762B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cs="Times New Roman"/>
                <w:color w:val="auto"/>
                <w:lang w:val="en-US" w:eastAsia="zh-CN"/>
              </w:rPr>
            </w:pPr>
            <w:r>
              <w:rPr>
                <w:rFonts w:hint="eastAsia"/>
                <w:color w:val="auto"/>
                <w:spacing w:val="1"/>
                <w:sz w:val="24"/>
                <w:szCs w:val="24"/>
                <w:lang w:eastAsia="zh-CN"/>
              </w:rPr>
              <w:t>参考</w:t>
            </w:r>
            <w:r>
              <w:rPr>
                <w:color w:val="auto"/>
                <w:spacing w:val="1"/>
                <w:sz w:val="24"/>
                <w:szCs w:val="24"/>
              </w:rPr>
              <w:t>陕西省生态环境厅关于印发《陕西省排污</w:t>
            </w:r>
            <w:r>
              <w:rPr>
                <w:color w:val="auto"/>
                <w:sz w:val="24"/>
                <w:szCs w:val="24"/>
              </w:rPr>
              <w:t>许可制支撑空气质量持续改善实施方案》的通知（有效</w:t>
            </w:r>
            <w:r>
              <w:rPr>
                <w:color w:val="auto"/>
                <w:spacing w:val="-20"/>
                <w:sz w:val="24"/>
                <w:szCs w:val="24"/>
              </w:rPr>
              <w:t>）（</w:t>
            </w:r>
            <w:r>
              <w:rPr>
                <w:color w:val="auto"/>
                <w:sz w:val="24"/>
                <w:szCs w:val="24"/>
              </w:rPr>
              <w:t>陕环发〔</w:t>
            </w:r>
            <w:r>
              <w:rPr>
                <w:rFonts w:ascii="Times New Roman" w:hAnsi="Times New Roman" w:eastAsia="Times New Roman" w:cs="Times New Roman"/>
                <w:color w:val="auto"/>
                <w:sz w:val="24"/>
                <w:szCs w:val="24"/>
              </w:rPr>
              <w:t>20</w:t>
            </w:r>
            <w:r>
              <w:rPr>
                <w:rFonts w:ascii="Times New Roman" w:hAnsi="Times New Roman" w:eastAsia="Times New Roman" w:cs="Times New Roman"/>
                <w:color w:val="auto"/>
                <w:spacing w:val="-1"/>
                <w:sz w:val="24"/>
                <w:szCs w:val="24"/>
              </w:rPr>
              <w:t>23</w:t>
            </w:r>
            <w:r>
              <w:rPr>
                <w:color w:val="auto"/>
                <w:spacing w:val="-1"/>
                <w:sz w:val="24"/>
                <w:szCs w:val="24"/>
              </w:rPr>
              <w:t>〕</w:t>
            </w:r>
            <w:r>
              <w:rPr>
                <w:rFonts w:ascii="Times New Roman" w:hAnsi="Times New Roman" w:eastAsia="Times New Roman" w:cs="Times New Roman"/>
                <w:color w:val="auto"/>
                <w:spacing w:val="-1"/>
                <w:sz w:val="24"/>
                <w:szCs w:val="24"/>
              </w:rPr>
              <w:t>59</w:t>
            </w:r>
            <w:r>
              <w:rPr>
                <w:color w:val="auto"/>
                <w:spacing w:val="-1"/>
                <w:sz w:val="24"/>
                <w:szCs w:val="24"/>
              </w:rPr>
              <w:t>号）中</w:t>
            </w:r>
            <w:r>
              <w:rPr>
                <w:rFonts w:hint="eastAsia"/>
                <w:color w:val="auto"/>
                <w:spacing w:val="-1"/>
                <w:sz w:val="24"/>
                <w:szCs w:val="24"/>
                <w:lang w:val="en-US" w:eastAsia="zh-CN"/>
              </w:rPr>
              <w:t>附件1</w:t>
            </w:r>
            <w:r>
              <w:rPr>
                <w:color w:val="auto"/>
                <w:spacing w:val="-1"/>
                <w:sz w:val="24"/>
                <w:szCs w:val="24"/>
              </w:rPr>
              <w:t>《陕西省</w:t>
            </w:r>
            <w:r>
              <w:rPr>
                <w:color w:val="auto"/>
                <w:spacing w:val="-4"/>
                <w:sz w:val="24"/>
                <w:szCs w:val="24"/>
              </w:rPr>
              <w:t>大气主要污染物许可排放量及实际排放量核定方法》中</w:t>
            </w:r>
            <w:r>
              <w:rPr>
                <w:rFonts w:hint="eastAsia"/>
                <w:color w:val="auto"/>
                <w:sz w:val="24"/>
                <w:szCs w:val="24"/>
                <w:lang w:eastAsia="zh-CN"/>
              </w:rPr>
              <w:t>“</w:t>
            </w:r>
            <w:r>
              <w:rPr>
                <w:color w:val="auto"/>
                <w:spacing w:val="-4"/>
                <w:sz w:val="24"/>
                <w:szCs w:val="24"/>
              </w:rPr>
              <w:t>表</w:t>
            </w:r>
            <w:r>
              <w:rPr>
                <w:rFonts w:ascii="Times New Roman" w:hAnsi="Times New Roman" w:eastAsia="Times New Roman" w:cs="Times New Roman"/>
                <w:color w:val="auto"/>
                <w:spacing w:val="-4"/>
                <w:sz w:val="24"/>
                <w:szCs w:val="24"/>
              </w:rPr>
              <w:t>1</w:t>
            </w:r>
            <w:r>
              <w:rPr>
                <w:rFonts w:hint="eastAsia" w:ascii="Times New Roman" w:hAnsi="Times New Roman" w:eastAsia="宋体" w:cs="Times New Roman"/>
                <w:color w:val="auto"/>
                <w:spacing w:val="-4"/>
                <w:sz w:val="24"/>
                <w:szCs w:val="24"/>
                <w:lang w:val="en-US" w:eastAsia="zh-CN"/>
              </w:rPr>
              <w:t xml:space="preserve"> </w:t>
            </w:r>
            <w:r>
              <w:rPr>
                <w:rFonts w:ascii="Times New Roman" w:hAnsi="Times New Roman" w:eastAsia="Times New Roman" w:cs="Times New Roman"/>
                <w:color w:val="auto"/>
                <w:spacing w:val="-4"/>
                <w:sz w:val="24"/>
                <w:szCs w:val="24"/>
              </w:rPr>
              <w:t>VOCs</w:t>
            </w:r>
            <w:r>
              <w:rPr>
                <w:color w:val="auto"/>
                <w:spacing w:val="-4"/>
                <w:sz w:val="24"/>
                <w:szCs w:val="24"/>
              </w:rPr>
              <w:t>废气收</w:t>
            </w:r>
            <w:r>
              <w:rPr>
                <w:color w:val="auto"/>
                <w:sz w:val="24"/>
                <w:szCs w:val="24"/>
              </w:rPr>
              <w:t>集集气效率参考值</w:t>
            </w:r>
            <w:r>
              <w:rPr>
                <w:rFonts w:hint="eastAsia"/>
                <w:color w:val="auto"/>
                <w:sz w:val="24"/>
                <w:szCs w:val="24"/>
                <w:lang w:eastAsia="zh-CN"/>
              </w:rPr>
              <w:t>”</w:t>
            </w:r>
            <w:r>
              <w:rPr>
                <w:color w:val="auto"/>
                <w:sz w:val="24"/>
                <w:szCs w:val="24"/>
              </w:rPr>
              <w:t>可知，</w:t>
            </w:r>
            <w:r>
              <w:rPr>
                <w:rFonts w:hint="eastAsia" w:cs="Times New Roman"/>
                <w:color w:val="auto"/>
                <w:lang w:val="en-US" w:eastAsia="zh-CN"/>
              </w:rPr>
              <w:t>包围型集气设备</w:t>
            </w:r>
            <w:r>
              <w:rPr>
                <w:rFonts w:hint="eastAsia"/>
                <w:color w:val="auto"/>
                <w:sz w:val="24"/>
                <w:szCs w:val="24"/>
                <w:lang w:val="en-US" w:eastAsia="zh-CN"/>
              </w:rPr>
              <w:t>的</w:t>
            </w:r>
            <w:r>
              <w:rPr>
                <w:rFonts w:hint="eastAsia" w:ascii="Times New Roman" w:hAnsi="Times New Roman" w:cs="Times New Roman"/>
                <w:color w:val="auto"/>
                <w:lang w:val="en-US" w:eastAsia="zh-CN"/>
              </w:rPr>
              <w:t>集气效率为</w:t>
            </w:r>
            <w:r>
              <w:rPr>
                <w:rFonts w:hint="eastAsia"/>
                <w:color w:val="auto"/>
                <w:spacing w:val="-2"/>
                <w:sz w:val="24"/>
                <w:szCs w:val="24"/>
                <w:lang w:val="en-US" w:eastAsia="zh-CN"/>
              </w:rPr>
              <w:t>80</w:t>
            </w:r>
            <w:r>
              <w:rPr>
                <w:rFonts w:ascii="Times New Roman" w:hAnsi="Times New Roman" w:eastAsia="Times New Roman" w:cs="Times New Roman"/>
                <w:color w:val="auto"/>
                <w:spacing w:val="-2"/>
                <w:sz w:val="24"/>
                <w:szCs w:val="24"/>
              </w:rPr>
              <w:t>%</w:t>
            </w:r>
            <w:r>
              <w:rPr>
                <w:rFonts w:hint="eastAsia" w:eastAsia="宋体"/>
                <w:color w:val="auto"/>
                <w:spacing w:val="-2"/>
                <w:sz w:val="24"/>
                <w:szCs w:val="24"/>
                <w:lang w:val="en-US" w:eastAsia="zh-CN"/>
              </w:rPr>
              <w:t>。</w:t>
            </w:r>
            <w:r>
              <w:rPr>
                <w:rFonts w:hint="eastAsia" w:cs="Times New Roman"/>
                <w:color w:val="auto"/>
                <w:lang w:val="en-US" w:eastAsia="zh-CN"/>
              </w:rPr>
              <w:t>风机风量为10000m</w:t>
            </w:r>
            <w:r>
              <w:rPr>
                <w:rFonts w:hint="eastAsia" w:cs="Times New Roman"/>
                <w:color w:val="auto"/>
                <w:vertAlign w:val="superscript"/>
                <w:lang w:val="en-US" w:eastAsia="zh-CN"/>
              </w:rPr>
              <w:t>3</w:t>
            </w:r>
            <w:r>
              <w:rPr>
                <w:rFonts w:hint="eastAsia" w:cs="Times New Roman"/>
                <w:color w:val="auto"/>
                <w:lang w:val="en-US" w:eastAsia="zh-CN"/>
              </w:rPr>
              <w:t>/h，每天运行8h，油烟收集量为0.22t/a，产生速率为0.275</w:t>
            </w:r>
            <w:r>
              <w:rPr>
                <w:rFonts w:hint="default" w:ascii="Times New Roman" w:hAnsi="Times New Roman" w:cs="Times New Roman"/>
                <w:color w:val="auto"/>
              </w:rPr>
              <w:t>kg/h</w:t>
            </w:r>
            <w:r>
              <w:rPr>
                <w:rFonts w:hint="eastAsia" w:cs="Times New Roman"/>
                <w:color w:val="auto"/>
                <w:lang w:eastAsia="zh-CN"/>
              </w:rPr>
              <w:t>，</w:t>
            </w:r>
            <w:r>
              <w:rPr>
                <w:rFonts w:hint="eastAsia" w:cs="Times New Roman"/>
                <w:color w:val="auto"/>
                <w:lang w:val="en-US" w:eastAsia="zh-CN"/>
              </w:rPr>
              <w:t>产生浓度为27.5mg/m</w:t>
            </w:r>
            <w:r>
              <w:rPr>
                <w:rFonts w:hint="eastAsia" w:cs="Times New Roman"/>
                <w:color w:val="auto"/>
                <w:vertAlign w:val="superscript"/>
                <w:lang w:val="en-US" w:eastAsia="zh-CN"/>
              </w:rPr>
              <w:t>3</w:t>
            </w:r>
            <w:r>
              <w:rPr>
                <w:rFonts w:hint="eastAsia" w:cs="Times New Roman"/>
                <w:color w:val="auto"/>
                <w:lang w:val="en-US" w:eastAsia="zh-CN"/>
              </w:rPr>
              <w:t>。</w:t>
            </w:r>
          </w:p>
          <w:p w14:paraId="6D20344B">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cs="Times New Roman"/>
                <w:color w:val="auto"/>
                <w:lang w:eastAsia="zh-CN"/>
              </w:rPr>
            </w:pPr>
            <w:r>
              <w:rPr>
                <w:rFonts w:hint="eastAsia" w:cs="Times New Roman"/>
                <w:color w:val="auto"/>
                <w:lang w:val="en-US" w:eastAsia="zh-CN"/>
              </w:rPr>
              <w:t>根据《饮食业油烟排放标准（试行）》（GB18483-2001）中的规定，大型规模企业配套的油烟净化设施的去除效率不低于85%。项目采用静电式油烟净化器，净化效率可达97%以上，项目油烟去除效率按95%计，则经油烟净化器处理后油烟有组织排放量为0.011t/a，排放速率为0.014</w:t>
            </w:r>
            <w:r>
              <w:rPr>
                <w:rFonts w:hint="default" w:ascii="Times New Roman" w:hAnsi="Times New Roman" w:cs="Times New Roman"/>
                <w:color w:val="auto"/>
              </w:rPr>
              <w:t>kg/h</w:t>
            </w:r>
            <w:r>
              <w:rPr>
                <w:rFonts w:hint="eastAsia" w:cs="Times New Roman"/>
                <w:color w:val="auto"/>
                <w:lang w:eastAsia="zh-CN"/>
              </w:rPr>
              <w:t>，</w:t>
            </w:r>
            <w:r>
              <w:rPr>
                <w:rFonts w:hint="eastAsia" w:cs="Times New Roman"/>
                <w:color w:val="auto"/>
                <w:lang w:val="en-US" w:eastAsia="zh-CN"/>
              </w:rPr>
              <w:t>排放浓度为</w:t>
            </w:r>
            <w:r>
              <w:rPr>
                <w:rFonts w:hint="eastAsia" w:cs="Times New Roman"/>
                <w:color w:val="auto"/>
                <w:sz w:val="24"/>
                <w:szCs w:val="24"/>
                <w:lang w:val="en-US" w:eastAsia="zh-CN"/>
              </w:rPr>
              <w:t>1.4</w:t>
            </w:r>
            <w:r>
              <w:rPr>
                <w:rFonts w:ascii="Times New Roman" w:hAnsi="Times New Roman" w:eastAsia="Times New Roman" w:cs="Times New Roman"/>
                <w:color w:val="auto"/>
                <w:sz w:val="24"/>
                <w:szCs w:val="24"/>
              </w:rPr>
              <w:t>mg/m</w:t>
            </w:r>
            <w:r>
              <w:rPr>
                <w:rFonts w:ascii="Times New Roman" w:hAnsi="Times New Roman" w:eastAsia="Times New Roman" w:cs="Times New Roman"/>
                <w:color w:val="auto"/>
                <w:position w:val="7"/>
                <w:sz w:val="15"/>
                <w:szCs w:val="15"/>
              </w:rPr>
              <w:t>3</w:t>
            </w:r>
            <w:r>
              <w:rPr>
                <w:rFonts w:hint="eastAsia" w:cs="Times New Roman"/>
                <w:color w:val="auto"/>
                <w:lang w:val="en-US" w:eastAsia="zh-CN"/>
              </w:rPr>
              <w:t>，废气通过30.4m高排气筒（DA001）排放</w:t>
            </w:r>
            <w:r>
              <w:rPr>
                <w:rFonts w:hint="eastAsia" w:cs="Times New Roman"/>
                <w:color w:val="auto"/>
                <w:lang w:eastAsia="zh-CN"/>
              </w:rPr>
              <w:t>。</w:t>
            </w:r>
            <w:r>
              <w:rPr>
                <w:rFonts w:hint="eastAsia" w:cs="Times New Roman"/>
                <w:color w:val="auto"/>
                <w:lang w:val="en-US" w:eastAsia="zh-CN"/>
              </w:rPr>
              <w:t>油烟无组织排放量为0.06t/a，排放速率为0.075</w:t>
            </w:r>
            <w:r>
              <w:rPr>
                <w:rFonts w:hint="default" w:ascii="Times New Roman" w:hAnsi="Times New Roman" w:cs="Times New Roman"/>
                <w:color w:val="auto"/>
              </w:rPr>
              <w:t>kg/h</w:t>
            </w:r>
            <w:r>
              <w:rPr>
                <w:rFonts w:hint="eastAsia" w:cs="Times New Roman"/>
                <w:color w:val="auto"/>
                <w:lang w:eastAsia="zh-CN"/>
              </w:rPr>
              <w:t>。</w:t>
            </w:r>
          </w:p>
          <w:p w14:paraId="66FBE6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lang w:val="en-US" w:eastAsia="zh-CN"/>
              </w:rPr>
            </w:pPr>
            <w:r>
              <w:rPr>
                <w:rFonts w:hint="eastAsia" w:ascii="Times New Roman" w:hAnsi="Times New Roman" w:eastAsia="宋体" w:cs="Times New Roman"/>
                <w:color w:val="auto"/>
                <w:kern w:val="2"/>
                <w:sz w:val="24"/>
                <w:szCs w:val="24"/>
                <w:lang w:val="en-US" w:eastAsia="zh-CN" w:bidi="ar-SA"/>
              </w:rPr>
              <w:t>（2）</w:t>
            </w:r>
            <w:r>
              <w:rPr>
                <w:rFonts w:hint="eastAsia" w:cs="Times New Roman"/>
                <w:color w:val="auto"/>
                <w:lang w:val="en-US" w:eastAsia="zh-CN"/>
              </w:rPr>
              <w:t>恶臭气体</w:t>
            </w:r>
          </w:p>
          <w:p w14:paraId="087993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olor w:val="auto"/>
                <w:sz w:val="24"/>
                <w:lang w:val="en-US" w:eastAsia="zh-CN"/>
              </w:rPr>
            </w:pPr>
            <w:r>
              <w:rPr>
                <w:rFonts w:hint="eastAsia" w:cs="Times New Roman"/>
                <w:color w:val="auto"/>
                <w:lang w:val="en-US" w:eastAsia="zh-CN"/>
              </w:rPr>
              <w:t>项目清洗池会产生恶臭气体，主要污染物为臭气浓度。清洗池内的水每天使用结束后排至</w:t>
            </w:r>
            <w:r>
              <w:rPr>
                <w:rFonts w:hint="eastAsia"/>
                <w:bCs/>
                <w:color w:val="auto"/>
                <w:lang w:val="en-US" w:eastAsia="zh-CN"/>
              </w:rPr>
              <w:t>租赁方</w:t>
            </w:r>
            <w:r>
              <w:rPr>
                <w:rFonts w:hint="eastAsia" w:cs="Times New Roman"/>
                <w:color w:val="auto"/>
                <w:lang w:val="en-US" w:eastAsia="zh-CN"/>
              </w:rPr>
              <w:t>废水处理站，并对池体进行清洗，加强车间通风，</w:t>
            </w:r>
            <w:r>
              <w:rPr>
                <w:rFonts w:hint="eastAsia"/>
                <w:color w:val="auto"/>
                <w:sz w:val="24"/>
                <w:lang w:val="en-US" w:eastAsia="zh-CN"/>
              </w:rPr>
              <w:t>可降低</w:t>
            </w:r>
            <w:r>
              <w:rPr>
                <w:rFonts w:hint="eastAsia" w:cs="Times New Roman"/>
                <w:color w:val="auto"/>
                <w:lang w:val="en-US" w:eastAsia="zh-CN"/>
              </w:rPr>
              <w:t>恶臭气体</w:t>
            </w:r>
            <w:r>
              <w:rPr>
                <w:rFonts w:hint="eastAsia"/>
                <w:color w:val="auto"/>
                <w:sz w:val="24"/>
                <w:lang w:val="en-US" w:eastAsia="zh-CN"/>
              </w:rPr>
              <w:t>对大气环境的影响。</w:t>
            </w:r>
          </w:p>
          <w:p w14:paraId="1B7689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lang w:val="en-US" w:eastAsia="zh-CN"/>
              </w:rPr>
            </w:pPr>
            <w:r>
              <w:rPr>
                <w:rFonts w:hint="eastAsia" w:ascii="Times New Roman" w:hAnsi="Times New Roman" w:eastAsia="宋体" w:cs="Times New Roman"/>
                <w:color w:val="auto"/>
                <w:kern w:val="2"/>
                <w:sz w:val="24"/>
                <w:szCs w:val="24"/>
                <w:lang w:val="en-US" w:eastAsia="zh-CN" w:bidi="ar-SA"/>
              </w:rPr>
              <w:t>（</w:t>
            </w:r>
            <w:r>
              <w:rPr>
                <w:rFonts w:hint="eastAsia" w:cs="Times New Roman"/>
                <w:color w:val="auto"/>
                <w:kern w:val="2"/>
                <w:sz w:val="24"/>
                <w:szCs w:val="24"/>
                <w:lang w:val="en-US" w:eastAsia="zh-CN" w:bidi="ar-SA"/>
              </w:rPr>
              <w:t>3</w:t>
            </w:r>
            <w:r>
              <w:rPr>
                <w:rFonts w:hint="eastAsia" w:ascii="Times New Roman" w:hAnsi="Times New Roman" w:eastAsia="宋体" w:cs="Times New Roman"/>
                <w:color w:val="auto"/>
                <w:kern w:val="2"/>
                <w:sz w:val="24"/>
                <w:szCs w:val="24"/>
                <w:lang w:val="en-US" w:eastAsia="zh-CN" w:bidi="ar-SA"/>
              </w:rPr>
              <w:t>）</w:t>
            </w:r>
            <w:r>
              <w:rPr>
                <w:rFonts w:hint="eastAsia" w:cs="Times New Roman"/>
                <w:color w:val="auto"/>
                <w:lang w:val="en-US" w:eastAsia="zh-CN"/>
              </w:rPr>
              <w:t>导热油炉废气</w:t>
            </w:r>
          </w:p>
          <w:p w14:paraId="6E10C8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cs="Times New Roman"/>
                <w:color w:val="auto"/>
                <w:szCs w:val="20"/>
                <w:lang w:val="en-US" w:eastAsia="zh-CN"/>
              </w:rPr>
            </w:pPr>
            <w:r>
              <w:rPr>
                <w:rFonts w:hint="eastAsia" w:cs="Times New Roman"/>
                <w:color w:val="auto"/>
                <w:lang w:val="en-US" w:eastAsia="zh-CN"/>
              </w:rPr>
              <w:t>项目</w:t>
            </w:r>
            <w:r>
              <w:rPr>
                <w:rFonts w:hint="eastAsia" w:cs="Times New Roman"/>
                <w:color w:val="auto"/>
                <w:szCs w:val="20"/>
                <w:lang w:val="en-US" w:eastAsia="zh-CN"/>
              </w:rPr>
              <w:t>设2台99kW导热油炉，采用管道天然气，单台导热油炉天然气用量为12m</w:t>
            </w:r>
            <w:r>
              <w:rPr>
                <w:rFonts w:hint="eastAsia" w:cs="Times New Roman"/>
                <w:color w:val="auto"/>
                <w:szCs w:val="20"/>
                <w:vertAlign w:val="superscript"/>
                <w:lang w:val="en-US" w:eastAsia="zh-CN"/>
              </w:rPr>
              <w:t>3</w:t>
            </w:r>
            <w:r>
              <w:rPr>
                <w:rFonts w:hint="eastAsia" w:cs="Times New Roman"/>
                <w:color w:val="auto"/>
                <w:szCs w:val="20"/>
                <w:lang w:val="en-US" w:eastAsia="zh-CN"/>
              </w:rPr>
              <w:t>/h，每天运行8h，年运行100d，天然气总用量为19200m</w:t>
            </w:r>
            <w:r>
              <w:rPr>
                <w:rFonts w:hint="eastAsia" w:cs="Times New Roman"/>
                <w:color w:val="auto"/>
                <w:szCs w:val="20"/>
                <w:vertAlign w:val="superscript"/>
                <w:lang w:val="en-US" w:eastAsia="zh-CN"/>
              </w:rPr>
              <w:t>3</w:t>
            </w:r>
            <w:r>
              <w:rPr>
                <w:rFonts w:hint="eastAsia" w:cs="Times New Roman"/>
                <w:color w:val="auto"/>
                <w:szCs w:val="20"/>
                <w:lang w:val="en-US" w:eastAsia="zh-CN"/>
              </w:rPr>
              <w:t>/a。项目导热油炉均采用低氮燃烧器，2台导热油炉共用一根排气筒。</w:t>
            </w:r>
          </w:p>
          <w:p w14:paraId="6DF1AD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①工业废气量</w:t>
            </w:r>
          </w:p>
          <w:p w14:paraId="6C1344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参考《排放源统计调查产排污核算方法和系数手册》（生态环境部公告2021年第24号）工业锅炉（热力供应）行业系数手册，天然气锅炉工业废气量产污系数为107753Nm</w:t>
            </w:r>
            <w:r>
              <w:rPr>
                <w:rFonts w:hint="eastAsia" w:cs="Times New Roman"/>
                <w:color w:val="auto"/>
                <w:szCs w:val="20"/>
                <w:vertAlign w:val="superscript"/>
                <w:lang w:val="en-US" w:eastAsia="zh-CN"/>
              </w:rPr>
              <w:t>3</w:t>
            </w:r>
            <w:r>
              <w:rPr>
                <w:rFonts w:hint="eastAsia" w:cs="Times New Roman"/>
                <w:color w:val="auto"/>
                <w:szCs w:val="20"/>
                <w:lang w:val="en-US" w:eastAsia="zh-CN"/>
              </w:rPr>
              <w:t>/万m</w:t>
            </w:r>
            <w:r>
              <w:rPr>
                <w:rFonts w:hint="eastAsia" w:cs="Times New Roman"/>
                <w:color w:val="auto"/>
                <w:szCs w:val="20"/>
                <w:vertAlign w:val="superscript"/>
                <w:lang w:val="en-US" w:eastAsia="zh-CN"/>
              </w:rPr>
              <w:t>3</w:t>
            </w:r>
            <w:r>
              <w:rPr>
                <w:rFonts w:hint="eastAsia" w:cs="Times New Roman"/>
                <w:color w:val="auto"/>
                <w:szCs w:val="20"/>
                <w:lang w:val="en-US" w:eastAsia="zh-CN"/>
              </w:rPr>
              <w:t>－天然气，天然气总用量为19200m</w:t>
            </w:r>
            <w:r>
              <w:rPr>
                <w:rFonts w:hint="eastAsia" w:cs="Times New Roman"/>
                <w:color w:val="auto"/>
                <w:szCs w:val="20"/>
                <w:vertAlign w:val="superscript"/>
                <w:lang w:val="en-US" w:eastAsia="zh-CN"/>
              </w:rPr>
              <w:t>3</w:t>
            </w:r>
            <w:r>
              <w:rPr>
                <w:rFonts w:hint="eastAsia" w:cs="Times New Roman"/>
                <w:color w:val="auto"/>
                <w:szCs w:val="20"/>
                <w:lang w:val="en-US" w:eastAsia="zh-CN"/>
              </w:rPr>
              <w:t>/a，锅炉废气量为20.69万m</w:t>
            </w:r>
            <w:r>
              <w:rPr>
                <w:rFonts w:hint="eastAsia" w:cs="Times New Roman"/>
                <w:color w:val="auto"/>
                <w:szCs w:val="20"/>
                <w:vertAlign w:val="superscript"/>
                <w:lang w:val="en-US" w:eastAsia="zh-CN"/>
              </w:rPr>
              <w:t>3</w:t>
            </w:r>
            <w:r>
              <w:rPr>
                <w:rFonts w:hint="eastAsia" w:cs="Times New Roman"/>
                <w:color w:val="auto"/>
                <w:szCs w:val="20"/>
                <w:lang w:val="en-US" w:eastAsia="zh-CN"/>
              </w:rPr>
              <w:t>。</w:t>
            </w:r>
          </w:p>
          <w:p w14:paraId="7C22A8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②颗粒物</w:t>
            </w:r>
          </w:p>
          <w:p w14:paraId="718F85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cs="Times New Roman"/>
                <w:color w:val="auto"/>
                <w:szCs w:val="20"/>
                <w:lang w:val="en-US" w:eastAsia="zh-CN"/>
              </w:rPr>
            </w:pPr>
            <w:r>
              <w:rPr>
                <w:rFonts w:hint="eastAsia" w:cs="Times New Roman"/>
                <w:color w:val="auto"/>
                <w:szCs w:val="20"/>
                <w:lang w:val="en-US" w:eastAsia="zh-CN"/>
              </w:rPr>
              <w:drawing>
                <wp:inline distT="0" distB="0" distL="114300" distR="114300">
                  <wp:extent cx="1866900" cy="390525"/>
                  <wp:effectExtent l="0" t="0" r="0" b="952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8"/>
                          <a:stretch>
                            <a:fillRect/>
                          </a:stretch>
                        </pic:blipFill>
                        <pic:spPr>
                          <a:xfrm>
                            <a:off x="0" y="0"/>
                            <a:ext cx="1866900" cy="390525"/>
                          </a:xfrm>
                          <a:prstGeom prst="rect">
                            <a:avLst/>
                          </a:prstGeom>
                          <a:noFill/>
                          <a:ln>
                            <a:noFill/>
                          </a:ln>
                        </pic:spPr>
                      </pic:pic>
                    </a:graphicData>
                  </a:graphic>
                </wp:inline>
              </w:drawing>
            </w:r>
          </w:p>
          <w:p w14:paraId="2D887F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式中：Ej—核算时段内第j种污染物排放量，t；</w:t>
            </w:r>
          </w:p>
          <w:p w14:paraId="08C281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R—核算时段内燃料耗量，万m</w:t>
            </w:r>
            <w:r>
              <w:rPr>
                <w:rFonts w:hint="eastAsia" w:cs="Times New Roman"/>
                <w:color w:val="auto"/>
                <w:szCs w:val="20"/>
                <w:vertAlign w:val="superscript"/>
                <w:lang w:val="en-US" w:eastAsia="zh-CN"/>
              </w:rPr>
              <w:t>3</w:t>
            </w:r>
            <w:r>
              <w:rPr>
                <w:rFonts w:hint="eastAsia" w:cs="Times New Roman"/>
                <w:color w:val="auto"/>
                <w:szCs w:val="20"/>
                <w:lang w:val="en-US" w:eastAsia="zh-CN"/>
              </w:rPr>
              <w:t>；</w:t>
            </w:r>
          </w:p>
          <w:p w14:paraId="3E2DDA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default" w:ascii="Times New Roman" w:hAnsi="Times New Roman" w:cs="Times New Roman"/>
                <w:color w:val="auto"/>
                <w:szCs w:val="20"/>
                <w:lang w:val="en-US" w:eastAsia="zh-CN"/>
              </w:rPr>
              <w:t>β</w:t>
            </w:r>
            <w:r>
              <w:rPr>
                <w:rFonts w:hint="eastAsia" w:cs="Times New Roman"/>
                <w:color w:val="auto"/>
                <w:szCs w:val="20"/>
                <w:vertAlign w:val="subscript"/>
                <w:lang w:val="en-US" w:eastAsia="zh-CN"/>
              </w:rPr>
              <w:t>j</w:t>
            </w:r>
            <w:r>
              <w:rPr>
                <w:rFonts w:hint="eastAsia" w:cs="Times New Roman"/>
                <w:color w:val="auto"/>
                <w:szCs w:val="20"/>
                <w:lang w:val="en-US" w:eastAsia="zh-CN"/>
              </w:rPr>
              <w:t>—产污系数，kg/万m</w:t>
            </w:r>
            <w:r>
              <w:rPr>
                <w:rFonts w:hint="eastAsia" w:cs="Times New Roman"/>
                <w:color w:val="auto"/>
                <w:szCs w:val="20"/>
                <w:vertAlign w:val="superscript"/>
                <w:lang w:val="en-US" w:eastAsia="zh-CN"/>
              </w:rPr>
              <w:t>3</w:t>
            </w:r>
            <w:r>
              <w:rPr>
                <w:rFonts w:hint="eastAsia" w:cs="Times New Roman"/>
                <w:color w:val="auto"/>
                <w:szCs w:val="20"/>
                <w:lang w:val="en-US" w:eastAsia="zh-CN"/>
              </w:rPr>
              <w:t>。参照《排放源统计调查产污核算方法和系数手册》，天然气燃料燃烧废气中颗粒物产污系数为103.90mg/m</w:t>
            </w:r>
            <w:r>
              <w:rPr>
                <w:rFonts w:hint="eastAsia" w:cs="Times New Roman"/>
                <w:color w:val="auto"/>
                <w:szCs w:val="20"/>
                <w:vertAlign w:val="superscript"/>
                <w:lang w:val="en-US" w:eastAsia="zh-CN"/>
              </w:rPr>
              <w:t>3</w:t>
            </w:r>
            <w:r>
              <w:rPr>
                <w:rFonts w:hint="eastAsia" w:cs="Times New Roman"/>
                <w:color w:val="auto"/>
                <w:szCs w:val="20"/>
                <w:lang w:val="en-US" w:eastAsia="zh-CN"/>
              </w:rPr>
              <w:t>－天然气；</w:t>
            </w:r>
          </w:p>
          <w:p w14:paraId="5C2F3F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default" w:ascii="Times New Roman" w:hAnsi="Times New Roman" w:cs="Times New Roman"/>
                <w:color w:val="auto"/>
                <w:szCs w:val="20"/>
                <w:lang w:val="en-US" w:eastAsia="zh-CN"/>
              </w:rPr>
              <w:t>η</w:t>
            </w:r>
            <w:r>
              <w:rPr>
                <w:rFonts w:hint="eastAsia" w:cs="Times New Roman"/>
                <w:color w:val="auto"/>
                <w:szCs w:val="20"/>
                <w:lang w:val="en-US" w:eastAsia="zh-CN"/>
              </w:rPr>
              <w:t>—污染物脱除效率，%；取0。</w:t>
            </w:r>
          </w:p>
          <w:p w14:paraId="52B936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经核算，天然气燃烧废气颗粒物产生量为0.002t。</w:t>
            </w:r>
          </w:p>
          <w:p w14:paraId="5AE69A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③NO</w:t>
            </w:r>
            <w:r>
              <w:rPr>
                <w:rFonts w:hint="eastAsia" w:cs="Times New Roman"/>
                <w:color w:val="auto"/>
                <w:szCs w:val="20"/>
                <w:vertAlign w:val="subscript"/>
                <w:lang w:val="en-US" w:eastAsia="zh-CN"/>
              </w:rPr>
              <w:t>X</w:t>
            </w:r>
          </w:p>
          <w:p w14:paraId="0B92A2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cs="Times New Roman"/>
                <w:color w:val="auto"/>
                <w:szCs w:val="20"/>
                <w:lang w:val="en-US" w:eastAsia="zh-CN"/>
              </w:rPr>
            </w:pPr>
            <w:r>
              <w:rPr>
                <w:rFonts w:hint="eastAsia" w:cs="Times New Roman"/>
                <w:color w:val="auto"/>
                <w:szCs w:val="20"/>
                <w:lang w:val="en-US" w:eastAsia="zh-CN"/>
              </w:rPr>
              <w:drawing>
                <wp:inline distT="0" distB="0" distL="114300" distR="114300">
                  <wp:extent cx="2476500" cy="561975"/>
                  <wp:effectExtent l="0" t="0" r="0" b="9525"/>
                  <wp:docPr id="11" name="图片 9" descr="168991133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1689911335023"/>
                          <pic:cNvPicPr>
                            <a:picLocks noChangeAspect="1"/>
                          </pic:cNvPicPr>
                        </pic:nvPicPr>
                        <pic:blipFill>
                          <a:blip r:embed="rId19"/>
                          <a:stretch>
                            <a:fillRect/>
                          </a:stretch>
                        </pic:blipFill>
                        <pic:spPr>
                          <a:xfrm>
                            <a:off x="0" y="0"/>
                            <a:ext cx="2476500" cy="561975"/>
                          </a:xfrm>
                          <a:prstGeom prst="rect">
                            <a:avLst/>
                          </a:prstGeom>
                          <a:noFill/>
                          <a:ln>
                            <a:noFill/>
                          </a:ln>
                        </pic:spPr>
                      </pic:pic>
                    </a:graphicData>
                  </a:graphic>
                </wp:inline>
              </w:drawing>
            </w:r>
          </w:p>
          <w:p w14:paraId="39FE86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式中：E</w:t>
            </w:r>
            <w:r>
              <w:rPr>
                <w:rFonts w:hint="eastAsia" w:cs="Times New Roman"/>
                <w:color w:val="auto"/>
                <w:szCs w:val="20"/>
                <w:vertAlign w:val="subscript"/>
                <w:lang w:val="en-US" w:eastAsia="zh-CN"/>
              </w:rPr>
              <w:t>NOx</w:t>
            </w:r>
            <w:r>
              <w:rPr>
                <w:rFonts w:hint="eastAsia" w:cs="Times New Roman"/>
                <w:color w:val="auto"/>
                <w:szCs w:val="20"/>
                <w:lang w:val="en-US" w:eastAsia="zh-CN"/>
              </w:rPr>
              <w:t>—核算时段内氮氧化物排放量，t；</w:t>
            </w:r>
          </w:p>
          <w:p w14:paraId="44341C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cs="Times New Roman"/>
                <w:color w:val="auto"/>
                <w:szCs w:val="20"/>
                <w:lang w:val="en-US" w:eastAsia="zh-CN"/>
              </w:rPr>
            </w:pPr>
            <w:r>
              <w:rPr>
                <w:rFonts w:hint="default" w:ascii="Times New Roman" w:hAnsi="Times New Roman" w:cs="Times New Roman"/>
                <w:color w:val="auto"/>
                <w:szCs w:val="20"/>
                <w:lang w:val="en-US" w:eastAsia="zh-CN"/>
              </w:rPr>
              <w:t>ρ</w:t>
            </w:r>
            <w:r>
              <w:rPr>
                <w:rFonts w:hint="eastAsia" w:cs="Times New Roman"/>
                <w:color w:val="auto"/>
                <w:szCs w:val="20"/>
                <w:vertAlign w:val="subscript"/>
                <w:lang w:val="en-US" w:eastAsia="zh-CN"/>
              </w:rPr>
              <w:t>NOx</w:t>
            </w:r>
            <w:r>
              <w:rPr>
                <w:rFonts w:hint="eastAsia" w:cs="Times New Roman"/>
                <w:color w:val="auto"/>
                <w:szCs w:val="20"/>
                <w:lang w:val="en-US" w:eastAsia="zh-CN"/>
              </w:rPr>
              <w:t>—锅炉炉膛出口氮氧化物质量浓度，mg/m</w:t>
            </w:r>
            <w:r>
              <w:rPr>
                <w:rFonts w:hint="eastAsia" w:cs="Times New Roman"/>
                <w:color w:val="auto"/>
                <w:szCs w:val="20"/>
                <w:vertAlign w:val="superscript"/>
                <w:lang w:val="en-US" w:eastAsia="zh-CN"/>
              </w:rPr>
              <w:t>3</w:t>
            </w:r>
            <w:r>
              <w:rPr>
                <w:rFonts w:hint="eastAsia" w:cs="Times New Roman"/>
                <w:color w:val="auto"/>
                <w:szCs w:val="20"/>
                <w:lang w:val="en-US" w:eastAsia="zh-CN"/>
              </w:rPr>
              <w:t>；按导热油炉生产商提供的氮氧化物控制保证浓度值30mg/m</w:t>
            </w:r>
            <w:r>
              <w:rPr>
                <w:rFonts w:hint="eastAsia" w:cs="Times New Roman"/>
                <w:color w:val="auto"/>
                <w:szCs w:val="20"/>
                <w:vertAlign w:val="superscript"/>
                <w:lang w:val="en-US" w:eastAsia="zh-CN"/>
              </w:rPr>
              <w:t>3</w:t>
            </w:r>
            <w:r>
              <w:rPr>
                <w:rFonts w:hint="eastAsia" w:cs="Times New Roman"/>
                <w:color w:val="auto"/>
                <w:szCs w:val="20"/>
                <w:lang w:val="en-US" w:eastAsia="zh-CN"/>
              </w:rPr>
              <w:t>计；</w:t>
            </w:r>
          </w:p>
          <w:p w14:paraId="0E0D24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Q—核算时段内标态干烟气排放量，m</w:t>
            </w:r>
            <w:r>
              <w:rPr>
                <w:rFonts w:hint="eastAsia" w:cs="Times New Roman"/>
                <w:color w:val="auto"/>
                <w:szCs w:val="20"/>
                <w:vertAlign w:val="superscript"/>
                <w:lang w:val="en-US" w:eastAsia="zh-CN"/>
              </w:rPr>
              <w:t>3</w:t>
            </w:r>
            <w:r>
              <w:rPr>
                <w:rFonts w:hint="eastAsia" w:cs="Times New Roman"/>
                <w:color w:val="auto"/>
                <w:szCs w:val="20"/>
                <w:lang w:val="en-US" w:eastAsia="zh-CN"/>
              </w:rPr>
              <w:t>；</w:t>
            </w:r>
          </w:p>
          <w:p w14:paraId="162C3E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default" w:ascii="Times New Roman" w:hAnsi="Times New Roman" w:cs="Times New Roman"/>
                <w:color w:val="auto"/>
                <w:szCs w:val="20"/>
                <w:lang w:val="en-US" w:eastAsia="zh-CN"/>
              </w:rPr>
              <w:t>η</w:t>
            </w:r>
            <w:r>
              <w:rPr>
                <w:rFonts w:hint="eastAsia" w:cs="Times New Roman"/>
                <w:color w:val="auto"/>
                <w:szCs w:val="20"/>
                <w:vertAlign w:val="subscript"/>
                <w:lang w:val="en-US" w:eastAsia="zh-CN"/>
              </w:rPr>
              <w:t>NOx</w:t>
            </w:r>
            <w:r>
              <w:rPr>
                <w:rFonts w:hint="eastAsia" w:cs="Times New Roman"/>
                <w:color w:val="auto"/>
                <w:szCs w:val="20"/>
                <w:lang w:val="en-US" w:eastAsia="zh-CN"/>
              </w:rPr>
              <w:t>—脱硝效率，%；取0。</w:t>
            </w:r>
          </w:p>
          <w:p w14:paraId="106449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经核算，天然气燃烧废气NO</w:t>
            </w:r>
            <w:r>
              <w:rPr>
                <w:rFonts w:hint="eastAsia" w:cs="Times New Roman"/>
                <w:color w:val="auto"/>
                <w:szCs w:val="20"/>
                <w:vertAlign w:val="subscript"/>
                <w:lang w:val="en-US" w:eastAsia="zh-CN"/>
              </w:rPr>
              <w:t>X</w:t>
            </w:r>
            <w:r>
              <w:rPr>
                <w:rFonts w:hint="eastAsia" w:cs="Times New Roman"/>
                <w:color w:val="auto"/>
                <w:szCs w:val="20"/>
                <w:lang w:val="en-US" w:eastAsia="zh-CN"/>
              </w:rPr>
              <w:t>产生及排放量为0.006t。</w:t>
            </w:r>
          </w:p>
          <w:p w14:paraId="0B2FF1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④SO</w:t>
            </w:r>
            <w:r>
              <w:rPr>
                <w:rFonts w:hint="eastAsia" w:cs="Times New Roman"/>
                <w:color w:val="auto"/>
                <w:szCs w:val="20"/>
                <w:vertAlign w:val="subscript"/>
                <w:lang w:val="en-US" w:eastAsia="zh-CN"/>
              </w:rPr>
              <w:t>2</w:t>
            </w:r>
          </w:p>
          <w:p w14:paraId="22A110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cs="Times New Roman"/>
                <w:color w:val="auto"/>
                <w:szCs w:val="20"/>
                <w:lang w:val="en-US" w:eastAsia="zh-CN"/>
              </w:rPr>
            </w:pPr>
            <w:r>
              <w:rPr>
                <w:rFonts w:hint="eastAsia" w:cs="Times New Roman"/>
                <w:color w:val="auto"/>
                <w:szCs w:val="20"/>
                <w:lang w:val="en-US" w:eastAsia="zh-CN"/>
              </w:rPr>
              <w:drawing>
                <wp:inline distT="0" distB="0" distL="114300" distR="114300">
                  <wp:extent cx="2390775" cy="457200"/>
                  <wp:effectExtent l="0" t="0" r="9525"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20"/>
                          <a:stretch>
                            <a:fillRect/>
                          </a:stretch>
                        </pic:blipFill>
                        <pic:spPr>
                          <a:xfrm>
                            <a:off x="0" y="0"/>
                            <a:ext cx="2390775" cy="457200"/>
                          </a:xfrm>
                          <a:prstGeom prst="rect">
                            <a:avLst/>
                          </a:prstGeom>
                          <a:noFill/>
                          <a:ln>
                            <a:noFill/>
                          </a:ln>
                        </pic:spPr>
                      </pic:pic>
                    </a:graphicData>
                  </a:graphic>
                </wp:inline>
              </w:drawing>
            </w:r>
          </w:p>
          <w:p w14:paraId="0C8B35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式中：E</w:t>
            </w:r>
            <w:r>
              <w:rPr>
                <w:rFonts w:hint="eastAsia" w:cs="Times New Roman"/>
                <w:color w:val="auto"/>
                <w:szCs w:val="20"/>
                <w:vertAlign w:val="subscript"/>
                <w:lang w:val="en-US" w:eastAsia="zh-CN"/>
              </w:rPr>
              <w:t>SO2</w:t>
            </w:r>
            <w:r>
              <w:rPr>
                <w:rFonts w:hint="eastAsia" w:cs="Times New Roman"/>
                <w:color w:val="auto"/>
                <w:szCs w:val="20"/>
                <w:lang w:val="en-US" w:eastAsia="zh-CN"/>
              </w:rPr>
              <w:t>—核算时段内二氧化硫排放量，t；</w:t>
            </w:r>
          </w:p>
          <w:p w14:paraId="1BF064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R—核算时段内锅炉燃料耗量，万m</w:t>
            </w:r>
            <w:r>
              <w:rPr>
                <w:rFonts w:hint="eastAsia" w:cs="Times New Roman"/>
                <w:color w:val="auto"/>
                <w:szCs w:val="20"/>
                <w:vertAlign w:val="superscript"/>
                <w:lang w:val="en-US" w:eastAsia="zh-CN"/>
              </w:rPr>
              <w:t>3</w:t>
            </w:r>
            <w:r>
              <w:rPr>
                <w:rFonts w:hint="eastAsia" w:cs="Times New Roman"/>
                <w:color w:val="auto"/>
                <w:szCs w:val="20"/>
                <w:lang w:val="en-US" w:eastAsia="zh-CN"/>
              </w:rPr>
              <w:t>；</w:t>
            </w:r>
          </w:p>
          <w:p w14:paraId="463AA8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St—燃料总硫的质量浓度，mg/m</w:t>
            </w:r>
            <w:r>
              <w:rPr>
                <w:rFonts w:hint="eastAsia" w:cs="Times New Roman"/>
                <w:color w:val="auto"/>
                <w:szCs w:val="20"/>
                <w:vertAlign w:val="superscript"/>
                <w:lang w:val="en-US" w:eastAsia="zh-CN"/>
              </w:rPr>
              <w:t>3</w:t>
            </w:r>
            <w:r>
              <w:rPr>
                <w:rFonts w:hint="eastAsia" w:cs="Times New Roman"/>
                <w:color w:val="auto"/>
                <w:szCs w:val="20"/>
                <w:lang w:val="en-US" w:eastAsia="zh-CN"/>
              </w:rPr>
              <w:t>，取20mg/m</w:t>
            </w:r>
            <w:r>
              <w:rPr>
                <w:rFonts w:hint="eastAsia" w:cs="Times New Roman"/>
                <w:color w:val="auto"/>
                <w:szCs w:val="20"/>
                <w:vertAlign w:val="superscript"/>
                <w:lang w:val="en-US" w:eastAsia="zh-CN"/>
              </w:rPr>
              <w:t>3</w:t>
            </w:r>
            <w:r>
              <w:rPr>
                <w:rFonts w:hint="eastAsia" w:cs="Times New Roman"/>
                <w:color w:val="auto"/>
                <w:szCs w:val="20"/>
                <w:lang w:val="en-US" w:eastAsia="zh-CN"/>
              </w:rPr>
              <w:t>；</w:t>
            </w:r>
          </w:p>
          <w:p w14:paraId="1F62DD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default" w:ascii="Times New Roman" w:hAnsi="Times New Roman" w:cs="Times New Roman"/>
                <w:color w:val="auto"/>
                <w:szCs w:val="20"/>
                <w:lang w:val="en-US" w:eastAsia="zh-CN"/>
              </w:rPr>
              <w:t>η</w:t>
            </w:r>
            <w:r>
              <w:rPr>
                <w:rFonts w:hint="eastAsia" w:cs="Times New Roman"/>
                <w:color w:val="auto"/>
                <w:szCs w:val="20"/>
                <w:lang w:val="en-US" w:eastAsia="zh-CN"/>
              </w:rPr>
              <w:t>s—脱硫效率，%；取0；</w:t>
            </w:r>
          </w:p>
          <w:p w14:paraId="153EC6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K—燃料中的硫燃烧后氧化成二氧化硫的份额，量纲一的量；根据《污染源源强核算技术指南 锅炉》（HJ991-2018），表B.3燃料中硫转化率的一般取值，燃气炉取1.00。</w:t>
            </w:r>
          </w:p>
          <w:p w14:paraId="613DA3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szCs w:val="20"/>
                <w:lang w:val="en-US" w:eastAsia="zh-CN"/>
              </w:rPr>
            </w:pPr>
            <w:r>
              <w:rPr>
                <w:rFonts w:hint="eastAsia" w:cs="Times New Roman"/>
                <w:color w:val="auto"/>
                <w:szCs w:val="20"/>
                <w:lang w:val="en-US" w:eastAsia="zh-CN"/>
              </w:rPr>
              <w:t>经核算，天然气燃烧废气SO</w:t>
            </w:r>
            <w:r>
              <w:rPr>
                <w:rFonts w:hint="eastAsia" w:cs="Times New Roman"/>
                <w:color w:val="auto"/>
                <w:szCs w:val="20"/>
                <w:vertAlign w:val="subscript"/>
                <w:lang w:val="en-US" w:eastAsia="zh-CN"/>
              </w:rPr>
              <w:t>2</w:t>
            </w:r>
            <w:r>
              <w:rPr>
                <w:rFonts w:hint="eastAsia" w:cs="Times New Roman"/>
                <w:color w:val="auto"/>
                <w:szCs w:val="20"/>
                <w:lang w:val="en-US" w:eastAsia="zh-CN"/>
              </w:rPr>
              <w:t>产生及排放量为0.0008t/a。</w:t>
            </w:r>
          </w:p>
          <w:p w14:paraId="735B138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cs="Times New Roman"/>
                <w:b/>
                <w:bCs/>
                <w:color w:val="auto"/>
                <w:lang w:val="en-US" w:eastAsia="zh-CN"/>
              </w:rPr>
            </w:pPr>
            <w:r>
              <w:rPr>
                <w:rFonts w:hint="eastAsia" w:cs="Times New Roman"/>
                <w:b/>
                <w:bCs/>
                <w:color w:val="auto"/>
                <w:lang w:val="en-US" w:eastAsia="zh-CN"/>
              </w:rPr>
              <w:t>2.</w:t>
            </w:r>
            <w:r>
              <w:rPr>
                <w:rFonts w:hint="eastAsia" w:ascii="Times New Roman" w:hAnsi="Times New Roman" w:cs="Times New Roman"/>
                <w:b/>
                <w:bCs/>
                <w:color w:val="auto"/>
                <w:lang w:val="en-US" w:eastAsia="zh-CN"/>
              </w:rPr>
              <w:t>环保措施的技术可行性分析</w:t>
            </w:r>
          </w:p>
          <w:p w14:paraId="2711E2E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lang w:val="en-US" w:eastAsia="zh-CN"/>
              </w:rPr>
            </w:pPr>
            <w:r>
              <w:rPr>
                <w:rFonts w:hint="eastAsia" w:cs="Times New Roman"/>
                <w:color w:val="auto"/>
                <w:lang w:val="en-US" w:eastAsia="zh-CN"/>
              </w:rPr>
              <w:t>根据</w:t>
            </w:r>
            <w:r>
              <w:rPr>
                <w:rFonts w:hint="eastAsia" w:ascii="Times New Roman" w:hAnsi="Times New Roman" w:cs="Times New Roman"/>
                <w:color w:val="auto"/>
                <w:lang w:val="en-US" w:eastAsia="zh-CN"/>
              </w:rPr>
              <w:t xml:space="preserve">《排污许可证申请与核发技术规范 </w:t>
            </w:r>
            <w:r>
              <w:rPr>
                <w:rFonts w:hint="eastAsia" w:cs="Times New Roman"/>
                <w:color w:val="auto"/>
                <w:lang w:val="en-US" w:eastAsia="zh-CN"/>
              </w:rPr>
              <w:t>农副食品加工业-水产品加工工业</w:t>
            </w:r>
            <w:r>
              <w:rPr>
                <w:rFonts w:hint="eastAsia" w:ascii="Times New Roman" w:hAnsi="Times New Roman" w:cs="Times New Roman"/>
                <w:color w:val="auto"/>
                <w:lang w:val="en-US" w:eastAsia="zh-CN"/>
              </w:rPr>
              <w:t>》（HJ1</w:t>
            </w:r>
            <w:r>
              <w:rPr>
                <w:rFonts w:hint="eastAsia" w:cs="Times New Roman"/>
                <w:color w:val="auto"/>
                <w:lang w:val="en-US" w:eastAsia="zh-CN"/>
              </w:rPr>
              <w:t>109</w:t>
            </w:r>
            <w:r>
              <w:rPr>
                <w:rFonts w:hint="eastAsia" w:ascii="Times New Roman" w:hAnsi="Times New Roman" w:cs="Times New Roman"/>
                <w:color w:val="auto"/>
                <w:lang w:val="en-US" w:eastAsia="zh-CN"/>
              </w:rPr>
              <w:t>-20</w:t>
            </w:r>
            <w:r>
              <w:rPr>
                <w:rFonts w:hint="eastAsia" w:cs="Times New Roman"/>
                <w:color w:val="auto"/>
                <w:lang w:val="en-US" w:eastAsia="zh-CN"/>
              </w:rPr>
              <w:t>20</w:t>
            </w:r>
            <w:r>
              <w:rPr>
                <w:rFonts w:hint="eastAsia" w:ascii="Times New Roman" w:hAnsi="Times New Roman" w:cs="Times New Roman"/>
                <w:color w:val="auto"/>
                <w:lang w:val="en-US" w:eastAsia="zh-CN"/>
              </w:rPr>
              <w:t>）中</w:t>
            </w:r>
            <w:r>
              <w:rPr>
                <w:rFonts w:hint="eastAsia" w:cs="Times New Roman"/>
                <w:color w:val="auto"/>
                <w:lang w:val="en-US" w:eastAsia="zh-CN"/>
              </w:rPr>
              <w:t>表C</w:t>
            </w:r>
            <w:r>
              <w:rPr>
                <w:rFonts w:hint="eastAsia" w:ascii="Times New Roman" w:hAnsi="Times New Roman" w:cs="Times New Roman"/>
                <w:color w:val="auto"/>
                <w:lang w:val="en-US" w:eastAsia="zh-CN"/>
              </w:rPr>
              <w:t>.</w:t>
            </w:r>
            <w:r>
              <w:rPr>
                <w:rFonts w:hint="eastAsia" w:cs="Times New Roman"/>
                <w:color w:val="auto"/>
                <w:lang w:val="en-US" w:eastAsia="zh-CN"/>
              </w:rPr>
              <w:t>1水产品加工工业排污单位废气污染防治可行技术参考表</w:t>
            </w:r>
            <w:r>
              <w:rPr>
                <w:rFonts w:hint="eastAsia" w:ascii="Times New Roman" w:hAnsi="Times New Roman" w:cs="Times New Roman"/>
                <w:color w:val="auto"/>
                <w:lang w:val="en-US" w:eastAsia="zh-CN"/>
              </w:rPr>
              <w:t>，</w:t>
            </w:r>
            <w:r>
              <w:rPr>
                <w:rFonts w:hint="eastAsia" w:cs="Times New Roman"/>
                <w:color w:val="auto"/>
                <w:lang w:val="en-US" w:eastAsia="zh-CN"/>
              </w:rPr>
              <w:t>静电油烟处理技术是油烟的废气污染防治</w:t>
            </w:r>
            <w:r>
              <w:rPr>
                <w:rFonts w:hint="eastAsia" w:ascii="Times New Roman" w:hAnsi="Times New Roman" w:cs="Times New Roman"/>
                <w:color w:val="auto"/>
                <w:lang w:val="en-US" w:eastAsia="zh-CN"/>
              </w:rPr>
              <w:t>可行技术</w:t>
            </w:r>
            <w:r>
              <w:rPr>
                <w:rFonts w:hint="eastAsia" w:cs="Times New Roman"/>
                <w:color w:val="auto"/>
                <w:lang w:val="en-US" w:eastAsia="zh-CN"/>
              </w:rPr>
              <w:t>，项目废气治理措施可行。</w:t>
            </w:r>
          </w:p>
          <w:p w14:paraId="5C784F11">
            <w:pPr>
              <w:tabs>
                <w:tab w:val="left" w:pos="6240"/>
              </w:tabs>
              <w:spacing w:line="360" w:lineRule="auto"/>
              <w:ind w:firstLine="482"/>
              <w:rPr>
                <w:rFonts w:hint="default" w:ascii="Times New Roman" w:hAnsi="Times New Roman" w:cs="Times New Roman"/>
                <w:b/>
                <w:bCs/>
                <w:color w:val="auto"/>
              </w:rPr>
            </w:pPr>
            <w:r>
              <w:rPr>
                <w:rFonts w:hint="eastAsia" w:cs="Times New Roman"/>
                <w:b/>
                <w:bCs/>
                <w:color w:val="auto"/>
                <w:lang w:val="en-US" w:eastAsia="zh-CN"/>
              </w:rPr>
              <w:t>3.</w:t>
            </w:r>
            <w:r>
              <w:rPr>
                <w:rFonts w:hint="default" w:ascii="Times New Roman" w:hAnsi="Times New Roman" w:cs="Times New Roman"/>
                <w:b/>
                <w:bCs/>
                <w:color w:val="auto"/>
              </w:rPr>
              <w:t>排放口基本情况</w:t>
            </w:r>
          </w:p>
          <w:p w14:paraId="34CDC621">
            <w:pPr>
              <w:tabs>
                <w:tab w:val="left" w:pos="6240"/>
              </w:tabs>
              <w:spacing w:line="360" w:lineRule="auto"/>
              <w:ind w:firstLine="480"/>
              <w:rPr>
                <w:rFonts w:hint="default" w:ascii="Times New Roman" w:hAnsi="Times New Roman" w:eastAsia="黑体" w:cs="Times New Roman"/>
                <w:color w:val="auto"/>
              </w:rPr>
            </w:pPr>
            <w:r>
              <w:rPr>
                <w:rFonts w:hint="default" w:ascii="Times New Roman" w:hAnsi="Times New Roman" w:cs="Times New Roman"/>
                <w:color w:val="auto"/>
              </w:rPr>
              <w:t>本项目排放口设置情况见下表4-</w:t>
            </w:r>
            <w:r>
              <w:rPr>
                <w:rFonts w:hint="eastAsia" w:cs="Times New Roman"/>
                <w:color w:val="auto"/>
                <w:lang w:val="en-US" w:eastAsia="zh-CN"/>
              </w:rPr>
              <w:t>2</w:t>
            </w:r>
            <w:r>
              <w:rPr>
                <w:rFonts w:hint="default" w:ascii="Times New Roman" w:hAnsi="Times New Roman" w:cs="Times New Roman"/>
                <w:color w:val="auto"/>
              </w:rPr>
              <w:t>。</w:t>
            </w:r>
          </w:p>
          <w:p w14:paraId="26485CC0">
            <w:pPr>
              <w:tabs>
                <w:tab w:val="left" w:pos="6240"/>
              </w:tabs>
              <w:adjustRightInd w:val="0"/>
              <w:snapToGrid w:val="0"/>
              <w:spacing w:line="360" w:lineRule="auto"/>
              <w:ind w:firstLine="422"/>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表4-</w:t>
            </w:r>
            <w:r>
              <w:rPr>
                <w:rFonts w:hint="eastAsia" w:cs="Times New Roman"/>
                <w:b/>
                <w:bCs/>
                <w:color w:val="auto"/>
                <w:sz w:val="21"/>
                <w:szCs w:val="21"/>
                <w:lang w:val="en-US" w:eastAsia="zh-CN"/>
              </w:rPr>
              <w:t>2</w:t>
            </w:r>
            <w:r>
              <w:rPr>
                <w:rFonts w:hint="default" w:ascii="Times New Roman" w:hAnsi="Times New Roman" w:cs="Times New Roman"/>
                <w:b/>
                <w:bCs/>
                <w:color w:val="auto"/>
                <w:sz w:val="21"/>
                <w:szCs w:val="21"/>
              </w:rPr>
              <w:t xml:space="preserve">  排放口设置情况一览表</w:t>
            </w:r>
          </w:p>
          <w:tbl>
            <w:tblPr>
              <w:tblStyle w:val="21"/>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57"/>
              <w:gridCol w:w="1906"/>
              <w:gridCol w:w="781"/>
              <w:gridCol w:w="833"/>
              <w:gridCol w:w="798"/>
              <w:gridCol w:w="1371"/>
              <w:gridCol w:w="1387"/>
              <w:gridCol w:w="1361"/>
            </w:tblGrid>
            <w:tr w14:paraId="3063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1" w:hRule="atLeast"/>
                <w:jc w:val="center"/>
              </w:trPr>
              <w:tc>
                <w:tcPr>
                  <w:tcW w:w="461" w:type="pct"/>
                  <w:vMerge w:val="restart"/>
                  <w:tcBorders>
                    <w:right w:val="single" w:color="auto" w:sz="4" w:space="0"/>
                  </w:tcBorders>
                  <w:vAlign w:val="center"/>
                </w:tcPr>
                <w:p w14:paraId="44E1A8D9">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排放口编号</w:t>
                  </w:r>
                </w:p>
              </w:tc>
              <w:tc>
                <w:tcPr>
                  <w:tcW w:w="1025" w:type="pct"/>
                  <w:vMerge w:val="restart"/>
                  <w:tcBorders>
                    <w:left w:val="single" w:color="auto" w:sz="4" w:space="0"/>
                    <w:right w:val="single" w:color="auto" w:sz="4" w:space="0"/>
                  </w:tcBorders>
                  <w:vAlign w:val="center"/>
                </w:tcPr>
                <w:p w14:paraId="58F98371">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名称</w:t>
                  </w:r>
                </w:p>
              </w:tc>
              <w:tc>
                <w:tcPr>
                  <w:tcW w:w="420" w:type="pct"/>
                  <w:vMerge w:val="restart"/>
                  <w:tcBorders>
                    <w:left w:val="single" w:color="auto" w:sz="4" w:space="0"/>
                    <w:right w:val="single" w:color="auto" w:sz="4" w:space="0"/>
                  </w:tcBorders>
                  <w:vAlign w:val="center"/>
                </w:tcPr>
                <w:p w14:paraId="3595DFB6">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高度/m</w:t>
                  </w:r>
                </w:p>
              </w:tc>
              <w:tc>
                <w:tcPr>
                  <w:tcW w:w="448" w:type="pct"/>
                  <w:vMerge w:val="restart"/>
                  <w:tcBorders>
                    <w:left w:val="single" w:color="auto" w:sz="4" w:space="0"/>
                    <w:right w:val="single" w:color="auto" w:sz="4" w:space="0"/>
                  </w:tcBorders>
                  <w:vAlign w:val="center"/>
                </w:tcPr>
                <w:p w14:paraId="617D2280">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内径/m</w:t>
                  </w:r>
                </w:p>
              </w:tc>
              <w:tc>
                <w:tcPr>
                  <w:tcW w:w="429" w:type="pct"/>
                  <w:vMerge w:val="restart"/>
                  <w:tcBorders>
                    <w:left w:val="single" w:color="auto" w:sz="4" w:space="0"/>
                    <w:right w:val="single" w:color="auto" w:sz="4" w:space="0"/>
                  </w:tcBorders>
                  <w:vAlign w:val="center"/>
                </w:tcPr>
                <w:p w14:paraId="42F873EA">
                  <w:pPr>
                    <w:widowControl/>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温度/ºC</w:t>
                  </w:r>
                </w:p>
              </w:tc>
              <w:tc>
                <w:tcPr>
                  <w:tcW w:w="737" w:type="pct"/>
                  <w:vMerge w:val="restart"/>
                  <w:tcBorders>
                    <w:left w:val="single" w:color="auto" w:sz="4" w:space="0"/>
                    <w:right w:val="single" w:color="auto" w:sz="4" w:space="0"/>
                  </w:tcBorders>
                  <w:vAlign w:val="center"/>
                </w:tcPr>
                <w:p w14:paraId="5255941C">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类型</w:t>
                  </w:r>
                </w:p>
              </w:tc>
              <w:tc>
                <w:tcPr>
                  <w:tcW w:w="1478" w:type="pct"/>
                  <w:gridSpan w:val="2"/>
                  <w:tcBorders>
                    <w:left w:val="single" w:color="auto" w:sz="4" w:space="0"/>
                    <w:right w:val="single" w:color="auto" w:sz="4" w:space="0"/>
                  </w:tcBorders>
                  <w:vAlign w:val="center"/>
                </w:tcPr>
                <w:p w14:paraId="6CD6BB72">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地理坐标</w:t>
                  </w:r>
                </w:p>
              </w:tc>
            </w:tr>
            <w:tr w14:paraId="4EB4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4" w:hRule="atLeast"/>
                <w:jc w:val="center"/>
              </w:trPr>
              <w:tc>
                <w:tcPr>
                  <w:tcW w:w="461" w:type="pct"/>
                  <w:vMerge w:val="continue"/>
                  <w:tcBorders>
                    <w:right w:val="single" w:color="auto" w:sz="4" w:space="0"/>
                  </w:tcBorders>
                  <w:vAlign w:val="center"/>
                </w:tcPr>
                <w:p w14:paraId="0B25EC2E">
                  <w:pPr>
                    <w:tabs>
                      <w:tab w:val="left" w:pos="6240"/>
                    </w:tabs>
                    <w:spacing w:line="360" w:lineRule="exact"/>
                    <w:ind w:firstLine="0" w:firstLineChars="0"/>
                    <w:jc w:val="center"/>
                    <w:rPr>
                      <w:rFonts w:hint="default" w:ascii="Times New Roman" w:hAnsi="Times New Roman" w:cs="Times New Roman"/>
                      <w:color w:val="auto"/>
                      <w:sz w:val="21"/>
                      <w:szCs w:val="21"/>
                    </w:rPr>
                  </w:pPr>
                </w:p>
              </w:tc>
              <w:tc>
                <w:tcPr>
                  <w:tcW w:w="1025" w:type="pct"/>
                  <w:vMerge w:val="continue"/>
                  <w:tcBorders>
                    <w:left w:val="single" w:color="auto" w:sz="4" w:space="0"/>
                    <w:right w:val="single" w:color="auto" w:sz="4" w:space="0"/>
                  </w:tcBorders>
                  <w:vAlign w:val="center"/>
                </w:tcPr>
                <w:p w14:paraId="65705FC9">
                  <w:pPr>
                    <w:tabs>
                      <w:tab w:val="left" w:pos="6240"/>
                    </w:tabs>
                    <w:spacing w:line="360" w:lineRule="exact"/>
                    <w:ind w:firstLine="0" w:firstLineChars="0"/>
                    <w:jc w:val="center"/>
                    <w:rPr>
                      <w:rFonts w:hint="default" w:ascii="Times New Roman" w:hAnsi="Times New Roman" w:cs="Times New Roman"/>
                      <w:color w:val="auto"/>
                      <w:sz w:val="21"/>
                      <w:szCs w:val="21"/>
                    </w:rPr>
                  </w:pPr>
                </w:p>
              </w:tc>
              <w:tc>
                <w:tcPr>
                  <w:tcW w:w="420" w:type="pct"/>
                  <w:vMerge w:val="continue"/>
                  <w:tcBorders>
                    <w:left w:val="single" w:color="auto" w:sz="4" w:space="0"/>
                    <w:right w:val="single" w:color="auto" w:sz="4" w:space="0"/>
                  </w:tcBorders>
                  <w:vAlign w:val="center"/>
                </w:tcPr>
                <w:p w14:paraId="382CCFDF">
                  <w:pPr>
                    <w:tabs>
                      <w:tab w:val="left" w:pos="6240"/>
                    </w:tabs>
                    <w:spacing w:line="360" w:lineRule="exact"/>
                    <w:ind w:firstLine="0" w:firstLineChars="0"/>
                    <w:jc w:val="center"/>
                    <w:rPr>
                      <w:rFonts w:hint="default" w:ascii="Times New Roman" w:hAnsi="Times New Roman" w:cs="Times New Roman"/>
                      <w:color w:val="auto"/>
                      <w:sz w:val="21"/>
                      <w:szCs w:val="21"/>
                    </w:rPr>
                  </w:pPr>
                </w:p>
              </w:tc>
              <w:tc>
                <w:tcPr>
                  <w:tcW w:w="448" w:type="pct"/>
                  <w:vMerge w:val="continue"/>
                  <w:tcBorders>
                    <w:left w:val="single" w:color="auto" w:sz="4" w:space="0"/>
                    <w:right w:val="single" w:color="auto" w:sz="4" w:space="0"/>
                  </w:tcBorders>
                  <w:vAlign w:val="center"/>
                </w:tcPr>
                <w:p w14:paraId="1D84BD2B">
                  <w:pPr>
                    <w:tabs>
                      <w:tab w:val="left" w:pos="6240"/>
                    </w:tabs>
                    <w:spacing w:line="360" w:lineRule="exact"/>
                    <w:ind w:firstLine="0" w:firstLineChars="0"/>
                    <w:jc w:val="center"/>
                    <w:rPr>
                      <w:rFonts w:hint="default" w:ascii="Times New Roman" w:hAnsi="Times New Roman" w:cs="Times New Roman"/>
                      <w:color w:val="auto"/>
                      <w:sz w:val="21"/>
                      <w:szCs w:val="21"/>
                    </w:rPr>
                  </w:pPr>
                </w:p>
              </w:tc>
              <w:tc>
                <w:tcPr>
                  <w:tcW w:w="429" w:type="pct"/>
                  <w:vMerge w:val="continue"/>
                  <w:tcBorders>
                    <w:left w:val="single" w:color="auto" w:sz="4" w:space="0"/>
                    <w:right w:val="single" w:color="auto" w:sz="4" w:space="0"/>
                  </w:tcBorders>
                  <w:vAlign w:val="center"/>
                </w:tcPr>
                <w:p w14:paraId="4D2DC363">
                  <w:pPr>
                    <w:tabs>
                      <w:tab w:val="left" w:pos="6240"/>
                    </w:tabs>
                    <w:spacing w:line="360" w:lineRule="exact"/>
                    <w:ind w:firstLine="0" w:firstLineChars="0"/>
                    <w:jc w:val="center"/>
                    <w:rPr>
                      <w:rFonts w:hint="default" w:ascii="Times New Roman" w:hAnsi="Times New Roman" w:cs="Times New Roman"/>
                      <w:color w:val="auto"/>
                      <w:sz w:val="21"/>
                      <w:szCs w:val="21"/>
                    </w:rPr>
                  </w:pPr>
                </w:p>
              </w:tc>
              <w:tc>
                <w:tcPr>
                  <w:tcW w:w="737" w:type="pct"/>
                  <w:vMerge w:val="continue"/>
                  <w:tcBorders>
                    <w:left w:val="single" w:color="auto" w:sz="4" w:space="0"/>
                    <w:right w:val="single" w:color="auto" w:sz="4" w:space="0"/>
                  </w:tcBorders>
                  <w:vAlign w:val="center"/>
                </w:tcPr>
                <w:p w14:paraId="303C904E">
                  <w:pPr>
                    <w:tabs>
                      <w:tab w:val="left" w:pos="6240"/>
                    </w:tabs>
                    <w:spacing w:line="360" w:lineRule="exact"/>
                    <w:ind w:firstLine="0" w:firstLineChars="0"/>
                    <w:jc w:val="center"/>
                    <w:rPr>
                      <w:rFonts w:hint="default" w:ascii="Times New Roman" w:hAnsi="Times New Roman" w:cs="Times New Roman"/>
                      <w:color w:val="auto"/>
                      <w:sz w:val="21"/>
                      <w:szCs w:val="21"/>
                    </w:rPr>
                  </w:pPr>
                </w:p>
              </w:tc>
              <w:tc>
                <w:tcPr>
                  <w:tcW w:w="746" w:type="pct"/>
                  <w:tcBorders>
                    <w:left w:val="single" w:color="auto" w:sz="4" w:space="0"/>
                    <w:right w:val="single" w:color="auto" w:sz="4" w:space="0"/>
                  </w:tcBorders>
                  <w:vAlign w:val="center"/>
                </w:tcPr>
                <w:p w14:paraId="42062FBE">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X（度）</w:t>
                  </w:r>
                </w:p>
              </w:tc>
              <w:tc>
                <w:tcPr>
                  <w:tcW w:w="731" w:type="pct"/>
                  <w:tcBorders>
                    <w:left w:val="single" w:color="auto" w:sz="4" w:space="0"/>
                    <w:right w:val="single" w:color="auto" w:sz="4" w:space="0"/>
                  </w:tcBorders>
                  <w:vAlign w:val="center"/>
                </w:tcPr>
                <w:p w14:paraId="055C019E">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Y（度）</w:t>
                  </w:r>
                </w:p>
              </w:tc>
            </w:tr>
            <w:tr w14:paraId="1694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atLeast"/>
                <w:jc w:val="center"/>
              </w:trPr>
              <w:tc>
                <w:tcPr>
                  <w:tcW w:w="461" w:type="pct"/>
                  <w:tcBorders>
                    <w:right w:val="single" w:color="auto" w:sz="4" w:space="0"/>
                  </w:tcBorders>
                  <w:vAlign w:val="center"/>
                </w:tcPr>
                <w:p w14:paraId="1B5E5628">
                  <w:pPr>
                    <w:tabs>
                      <w:tab w:val="left" w:pos="6240"/>
                    </w:tabs>
                    <w:spacing w:line="360" w:lineRule="exact"/>
                    <w:ind w:firstLine="0" w:firstLine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DA00</w:t>
                  </w:r>
                  <w:r>
                    <w:rPr>
                      <w:rFonts w:hint="eastAsia" w:cs="Times New Roman"/>
                      <w:color w:val="auto"/>
                      <w:sz w:val="21"/>
                      <w:szCs w:val="21"/>
                      <w:lang w:val="en-US" w:eastAsia="zh-CN"/>
                    </w:rPr>
                    <w:t>1</w:t>
                  </w:r>
                </w:p>
              </w:tc>
              <w:tc>
                <w:tcPr>
                  <w:tcW w:w="1025" w:type="pct"/>
                  <w:tcBorders>
                    <w:left w:val="single" w:color="auto" w:sz="4" w:space="0"/>
                    <w:right w:val="single" w:color="auto" w:sz="4" w:space="0"/>
                  </w:tcBorders>
                  <w:vAlign w:val="center"/>
                </w:tcPr>
                <w:p w14:paraId="4FA5B581">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废气排放口</w:t>
                  </w:r>
                </w:p>
              </w:tc>
              <w:tc>
                <w:tcPr>
                  <w:tcW w:w="420" w:type="pct"/>
                  <w:tcBorders>
                    <w:left w:val="single" w:color="auto" w:sz="4" w:space="0"/>
                    <w:right w:val="single" w:color="auto" w:sz="4" w:space="0"/>
                  </w:tcBorders>
                  <w:vAlign w:val="center"/>
                </w:tcPr>
                <w:p w14:paraId="695F2FC1">
                  <w:pPr>
                    <w:tabs>
                      <w:tab w:val="left" w:pos="6240"/>
                    </w:tabs>
                    <w:spacing w:line="36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30.4</w:t>
                  </w:r>
                </w:p>
              </w:tc>
              <w:tc>
                <w:tcPr>
                  <w:tcW w:w="448" w:type="pct"/>
                  <w:tcBorders>
                    <w:left w:val="single" w:color="auto" w:sz="4" w:space="0"/>
                    <w:right w:val="single" w:color="auto" w:sz="4" w:space="0"/>
                  </w:tcBorders>
                  <w:vAlign w:val="center"/>
                </w:tcPr>
                <w:p w14:paraId="4A46FFB3">
                  <w:pPr>
                    <w:tabs>
                      <w:tab w:val="left" w:pos="6240"/>
                    </w:tabs>
                    <w:spacing w:line="360" w:lineRule="exact"/>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0.7</w:t>
                  </w:r>
                </w:p>
              </w:tc>
              <w:tc>
                <w:tcPr>
                  <w:tcW w:w="429" w:type="pct"/>
                  <w:tcBorders>
                    <w:left w:val="single" w:color="auto" w:sz="4" w:space="0"/>
                    <w:right w:val="single" w:color="auto" w:sz="4" w:space="0"/>
                  </w:tcBorders>
                  <w:vAlign w:val="center"/>
                </w:tcPr>
                <w:p w14:paraId="3A9DD03B">
                  <w:pPr>
                    <w:tabs>
                      <w:tab w:val="left" w:pos="6240"/>
                    </w:tabs>
                    <w:spacing w:line="36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40</w:t>
                  </w:r>
                </w:p>
              </w:tc>
              <w:tc>
                <w:tcPr>
                  <w:tcW w:w="737" w:type="pct"/>
                  <w:tcBorders>
                    <w:left w:val="single" w:color="auto" w:sz="4" w:space="0"/>
                    <w:right w:val="single" w:color="auto" w:sz="4" w:space="0"/>
                  </w:tcBorders>
                  <w:vAlign w:val="center"/>
                </w:tcPr>
                <w:p w14:paraId="4827DC3D">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一般排放口</w:t>
                  </w:r>
                </w:p>
              </w:tc>
              <w:tc>
                <w:tcPr>
                  <w:tcW w:w="746" w:type="pct"/>
                  <w:tcBorders>
                    <w:left w:val="single" w:color="auto" w:sz="4" w:space="0"/>
                    <w:right w:val="single" w:color="auto" w:sz="4" w:space="0"/>
                  </w:tcBorders>
                  <w:vAlign w:val="center"/>
                </w:tcPr>
                <w:p w14:paraId="2457623C">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108.677120</w:t>
                  </w:r>
                </w:p>
              </w:tc>
              <w:tc>
                <w:tcPr>
                  <w:tcW w:w="731" w:type="pct"/>
                  <w:tcBorders>
                    <w:left w:val="single" w:color="auto" w:sz="4" w:space="0"/>
                    <w:right w:val="single" w:color="auto" w:sz="4" w:space="0"/>
                  </w:tcBorders>
                  <w:vAlign w:val="center"/>
                </w:tcPr>
                <w:p w14:paraId="3446DDE5">
                  <w:pPr>
                    <w:tabs>
                      <w:tab w:val="left" w:pos="6240"/>
                    </w:tabs>
                    <w:spacing w:line="36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34.291436</w:t>
                  </w:r>
                </w:p>
              </w:tc>
            </w:tr>
          </w:tbl>
          <w:p w14:paraId="662B9841">
            <w:pPr>
              <w:tabs>
                <w:tab w:val="left" w:pos="6240"/>
              </w:tabs>
              <w:spacing w:line="360" w:lineRule="auto"/>
              <w:ind w:firstLine="482"/>
              <w:rPr>
                <w:rFonts w:hint="default" w:ascii="Times New Roman" w:hAnsi="Times New Roman" w:cs="Times New Roman"/>
                <w:b/>
                <w:bCs/>
                <w:color w:val="auto"/>
              </w:rPr>
            </w:pPr>
            <w:r>
              <w:rPr>
                <w:rFonts w:hint="eastAsia" w:cs="Times New Roman"/>
                <w:b/>
                <w:bCs/>
                <w:color w:val="auto"/>
                <w:lang w:val="en-US" w:eastAsia="zh-CN"/>
              </w:rPr>
              <w:t>4.</w:t>
            </w:r>
            <w:r>
              <w:rPr>
                <w:rFonts w:hint="default" w:ascii="Times New Roman" w:hAnsi="Times New Roman" w:cs="Times New Roman"/>
                <w:b/>
                <w:bCs/>
                <w:color w:val="auto"/>
              </w:rPr>
              <w:t>监测计划</w:t>
            </w:r>
          </w:p>
          <w:p w14:paraId="58B7FBF3">
            <w:pPr>
              <w:tabs>
                <w:tab w:val="left" w:pos="6240"/>
              </w:tabs>
              <w:spacing w:line="360" w:lineRule="auto"/>
              <w:ind w:firstLine="480"/>
              <w:rPr>
                <w:rFonts w:hint="default" w:ascii="Times New Roman" w:hAnsi="Times New Roman" w:cs="Times New Roman"/>
                <w:color w:val="auto"/>
              </w:rPr>
            </w:pPr>
            <w:r>
              <w:rPr>
                <w:rFonts w:hint="eastAsia" w:cs="Times New Roman"/>
                <w:color w:val="auto"/>
                <w:lang w:val="en-US" w:eastAsia="zh-CN"/>
              </w:rPr>
              <w:t>根据</w:t>
            </w:r>
            <w:r>
              <w:rPr>
                <w:rFonts w:hint="default" w:ascii="Times New Roman" w:hAnsi="Times New Roman" w:cs="Times New Roman"/>
                <w:color w:val="auto"/>
              </w:rPr>
              <w:t xml:space="preserve">《排污单位自行监测技术指南 </w:t>
            </w:r>
            <w:r>
              <w:rPr>
                <w:rFonts w:hint="eastAsia" w:cs="Times New Roman"/>
                <w:color w:val="auto"/>
                <w:lang w:val="en-US" w:eastAsia="zh-CN"/>
              </w:rPr>
              <w:t>火力发电及锅炉</w:t>
            </w:r>
            <w:r>
              <w:rPr>
                <w:rFonts w:hint="default" w:ascii="Times New Roman" w:hAnsi="Times New Roman" w:cs="Times New Roman"/>
                <w:color w:val="auto"/>
              </w:rPr>
              <w:t>》（HJ</w:t>
            </w:r>
            <w:r>
              <w:rPr>
                <w:rFonts w:hint="eastAsia" w:cs="Times New Roman"/>
                <w:color w:val="auto"/>
                <w:lang w:val="en-US" w:eastAsia="zh-CN"/>
              </w:rPr>
              <w:t>820</w:t>
            </w:r>
            <w:r>
              <w:rPr>
                <w:rFonts w:hint="default" w:ascii="Times New Roman" w:hAnsi="Times New Roman" w:cs="Times New Roman"/>
                <w:color w:val="auto"/>
              </w:rPr>
              <w:t>-20</w:t>
            </w:r>
            <w:r>
              <w:rPr>
                <w:rFonts w:hint="eastAsia" w:cs="Times New Roman"/>
                <w:color w:val="auto"/>
                <w:lang w:val="en-US" w:eastAsia="zh-CN"/>
              </w:rPr>
              <w:t>17</w:t>
            </w:r>
            <w:r>
              <w:rPr>
                <w:rFonts w:hint="default" w:ascii="Times New Roman" w:hAnsi="Times New Roman" w:cs="Times New Roman"/>
                <w:color w:val="auto"/>
              </w:rPr>
              <w:t>）</w:t>
            </w:r>
            <w:r>
              <w:rPr>
                <w:rFonts w:hint="eastAsia" w:cs="Times New Roman"/>
                <w:color w:val="auto"/>
                <w:lang w:val="en-US" w:eastAsia="zh-CN"/>
              </w:rPr>
              <w:t>和</w:t>
            </w:r>
            <w:r>
              <w:rPr>
                <w:rFonts w:hint="eastAsia" w:ascii="Times New Roman" w:hAnsi="Times New Roman" w:cs="Times New Roman"/>
                <w:color w:val="auto"/>
                <w:lang w:val="en-US" w:eastAsia="zh-CN"/>
              </w:rPr>
              <w:t>《</w:t>
            </w:r>
            <w:r>
              <w:rPr>
                <w:rFonts w:hint="default" w:ascii="Times New Roman" w:hAnsi="Times New Roman" w:cs="Times New Roman"/>
                <w:color w:val="auto"/>
              </w:rPr>
              <w:t>排污单位自行监测技术指南</w:t>
            </w:r>
            <w:r>
              <w:rPr>
                <w:rFonts w:hint="eastAsia" w:ascii="Times New Roman" w:hAnsi="Times New Roman" w:cs="Times New Roman"/>
                <w:color w:val="auto"/>
                <w:lang w:val="en-US" w:eastAsia="zh-CN"/>
              </w:rPr>
              <w:t xml:space="preserve"> </w:t>
            </w:r>
            <w:r>
              <w:rPr>
                <w:rFonts w:hint="eastAsia" w:cs="Times New Roman"/>
                <w:color w:val="auto"/>
                <w:lang w:val="en-US" w:eastAsia="zh-CN"/>
              </w:rPr>
              <w:t>农副食品加工业</w:t>
            </w:r>
            <w:r>
              <w:rPr>
                <w:rFonts w:hint="eastAsia" w:ascii="Times New Roman" w:hAnsi="Times New Roman" w:cs="Times New Roman"/>
                <w:color w:val="auto"/>
                <w:lang w:val="en-US" w:eastAsia="zh-CN"/>
              </w:rPr>
              <w:t>》（HJ</w:t>
            </w:r>
            <w:r>
              <w:rPr>
                <w:rFonts w:hint="eastAsia" w:cs="Times New Roman"/>
                <w:color w:val="auto"/>
                <w:lang w:val="en-US" w:eastAsia="zh-CN"/>
              </w:rPr>
              <w:t>986</w:t>
            </w:r>
            <w:r>
              <w:rPr>
                <w:rFonts w:hint="eastAsia" w:ascii="Times New Roman" w:hAnsi="Times New Roman" w:cs="Times New Roman"/>
                <w:color w:val="auto"/>
                <w:lang w:val="en-US" w:eastAsia="zh-CN"/>
              </w:rPr>
              <w:t>-20</w:t>
            </w:r>
            <w:r>
              <w:rPr>
                <w:rFonts w:hint="eastAsia" w:cs="Times New Roman"/>
                <w:color w:val="auto"/>
                <w:lang w:val="en-US" w:eastAsia="zh-CN"/>
              </w:rPr>
              <w:t>18</w:t>
            </w:r>
            <w:r>
              <w:rPr>
                <w:rFonts w:hint="eastAsia" w:ascii="Times New Roman" w:hAnsi="Times New Roman" w:cs="Times New Roman"/>
                <w:color w:val="auto"/>
                <w:lang w:val="en-US" w:eastAsia="zh-CN"/>
              </w:rPr>
              <w:t>）</w:t>
            </w:r>
            <w:r>
              <w:rPr>
                <w:rFonts w:hint="default" w:ascii="Times New Roman" w:hAnsi="Times New Roman" w:cs="Times New Roman"/>
                <w:color w:val="auto"/>
              </w:rPr>
              <w:t>，</w:t>
            </w:r>
            <w:r>
              <w:rPr>
                <w:rFonts w:hint="eastAsia" w:cs="Times New Roman"/>
                <w:color w:val="auto"/>
                <w:lang w:val="en-US" w:eastAsia="zh-CN"/>
              </w:rPr>
              <w:t>项目</w:t>
            </w:r>
            <w:r>
              <w:rPr>
                <w:rFonts w:hint="default" w:ascii="Times New Roman" w:hAnsi="Times New Roman" w:cs="Times New Roman"/>
                <w:color w:val="auto"/>
              </w:rPr>
              <w:t>污染源监测计划见表4-</w:t>
            </w:r>
            <w:r>
              <w:rPr>
                <w:rFonts w:hint="eastAsia" w:cs="Times New Roman"/>
                <w:color w:val="auto"/>
                <w:lang w:val="en-US" w:eastAsia="zh-CN"/>
              </w:rPr>
              <w:t>3</w:t>
            </w:r>
            <w:r>
              <w:rPr>
                <w:rFonts w:hint="default" w:ascii="Times New Roman" w:hAnsi="Times New Roman" w:cs="Times New Roman"/>
                <w:color w:val="auto"/>
              </w:rPr>
              <w:t>。</w:t>
            </w:r>
          </w:p>
          <w:p w14:paraId="42CA8AEC">
            <w:pPr>
              <w:tabs>
                <w:tab w:val="left" w:pos="6240"/>
              </w:tabs>
              <w:adjustRightInd w:val="0"/>
              <w:snapToGrid w:val="0"/>
              <w:spacing w:line="360" w:lineRule="auto"/>
              <w:ind w:firstLine="422"/>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表4-</w:t>
            </w:r>
            <w:r>
              <w:rPr>
                <w:rFonts w:hint="eastAsia" w:cs="Times New Roman"/>
                <w:b/>
                <w:bCs/>
                <w:color w:val="auto"/>
                <w:sz w:val="21"/>
                <w:szCs w:val="21"/>
                <w:lang w:val="en-US" w:eastAsia="zh-CN"/>
              </w:rPr>
              <w:t>3</w:t>
            </w:r>
            <w:r>
              <w:rPr>
                <w:rFonts w:hint="default" w:ascii="Times New Roman" w:hAnsi="Times New Roman" w:cs="Times New Roman"/>
                <w:b/>
                <w:bCs/>
                <w:color w:val="auto"/>
                <w:sz w:val="21"/>
                <w:szCs w:val="21"/>
              </w:rPr>
              <w:t xml:space="preserve">  废气污染源监测计划表</w:t>
            </w:r>
          </w:p>
          <w:tbl>
            <w:tblPr>
              <w:tblStyle w:val="22"/>
              <w:tblW w:w="49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4"/>
              <w:gridCol w:w="1335"/>
              <w:gridCol w:w="1893"/>
              <w:gridCol w:w="1310"/>
              <w:gridCol w:w="3237"/>
            </w:tblGrid>
            <w:tr w14:paraId="09A6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pct"/>
                  <w:vAlign w:val="center"/>
                </w:tcPr>
                <w:p w14:paraId="2420B3B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污染源类别</w:t>
                  </w:r>
                </w:p>
              </w:tc>
              <w:tc>
                <w:tcPr>
                  <w:tcW w:w="724" w:type="pct"/>
                  <w:vAlign w:val="center"/>
                </w:tcPr>
                <w:p w14:paraId="17F7B10E">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监测项目</w:t>
                  </w:r>
                </w:p>
              </w:tc>
              <w:tc>
                <w:tcPr>
                  <w:tcW w:w="1026" w:type="pct"/>
                  <w:vAlign w:val="center"/>
                </w:tcPr>
                <w:p w14:paraId="2242A61B">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监测点位</w:t>
                  </w:r>
                </w:p>
              </w:tc>
              <w:tc>
                <w:tcPr>
                  <w:tcW w:w="710" w:type="pct"/>
                  <w:vAlign w:val="center"/>
                </w:tcPr>
                <w:p w14:paraId="7905A89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监测频次</w:t>
                  </w:r>
                </w:p>
              </w:tc>
              <w:tc>
                <w:tcPr>
                  <w:tcW w:w="1755" w:type="pct"/>
                  <w:vAlign w:val="center"/>
                </w:tcPr>
                <w:p w14:paraId="17F2DA18">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执行排放标准</w:t>
                  </w:r>
                </w:p>
              </w:tc>
            </w:tr>
            <w:tr w14:paraId="3927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pct"/>
                  <w:vMerge w:val="restart"/>
                  <w:vAlign w:val="center"/>
                </w:tcPr>
                <w:p w14:paraId="45FFE7E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有组织</w:t>
                  </w:r>
                </w:p>
              </w:tc>
              <w:tc>
                <w:tcPr>
                  <w:tcW w:w="724" w:type="pct"/>
                  <w:vAlign w:val="center"/>
                </w:tcPr>
                <w:p w14:paraId="4A569C4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油烟</w:t>
                  </w:r>
                </w:p>
              </w:tc>
              <w:tc>
                <w:tcPr>
                  <w:tcW w:w="1026" w:type="pct"/>
                  <w:vMerge w:val="restart"/>
                  <w:vAlign w:val="center"/>
                </w:tcPr>
                <w:p w14:paraId="5C016DD8">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排气筒出口DA001</w:t>
                  </w:r>
                </w:p>
              </w:tc>
              <w:tc>
                <w:tcPr>
                  <w:tcW w:w="710" w:type="pct"/>
                  <w:vAlign w:val="center"/>
                </w:tcPr>
                <w:p w14:paraId="6439D42E">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1次/</w:t>
                  </w:r>
                  <w:r>
                    <w:rPr>
                      <w:rFonts w:hint="eastAsia" w:cs="Times New Roman"/>
                      <w:color w:val="auto"/>
                      <w:sz w:val="21"/>
                      <w:szCs w:val="21"/>
                      <w:lang w:val="en-US" w:eastAsia="zh-CN"/>
                    </w:rPr>
                    <w:t>半</w:t>
                  </w:r>
                  <w:r>
                    <w:rPr>
                      <w:rFonts w:hint="default" w:ascii="Times New Roman" w:hAnsi="Times New Roman" w:cs="Times New Roman"/>
                      <w:color w:val="auto"/>
                      <w:sz w:val="21"/>
                      <w:szCs w:val="21"/>
                    </w:rPr>
                    <w:t>年</w:t>
                  </w:r>
                </w:p>
              </w:tc>
              <w:tc>
                <w:tcPr>
                  <w:tcW w:w="1755" w:type="pct"/>
                  <w:vAlign w:val="center"/>
                </w:tcPr>
                <w:p w14:paraId="2C4B7D7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《饮食业油烟排放标准（试行）》（GB18483-2001）</w:t>
                  </w:r>
                </w:p>
              </w:tc>
            </w:tr>
            <w:tr w14:paraId="5CBC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pct"/>
                  <w:vMerge w:val="continue"/>
                  <w:vAlign w:val="center"/>
                </w:tcPr>
                <w:p w14:paraId="36F9D85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724" w:type="pct"/>
                  <w:vAlign w:val="center"/>
                </w:tcPr>
                <w:p w14:paraId="17433A4A">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olor w:val="auto"/>
                      <w:sz w:val="21"/>
                      <w:szCs w:val="21"/>
                    </w:rPr>
                    <w:t>颗粒物、SO</w:t>
                  </w:r>
                  <w:r>
                    <w:rPr>
                      <w:rFonts w:hint="eastAsia"/>
                      <w:color w:val="auto"/>
                      <w:sz w:val="21"/>
                      <w:szCs w:val="21"/>
                      <w:vertAlign w:val="subscript"/>
                    </w:rPr>
                    <w:t>2</w:t>
                  </w:r>
                </w:p>
              </w:tc>
              <w:tc>
                <w:tcPr>
                  <w:tcW w:w="1026" w:type="pct"/>
                  <w:vMerge w:val="continue"/>
                  <w:vAlign w:val="center"/>
                </w:tcPr>
                <w:p w14:paraId="01224E2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p>
              </w:tc>
              <w:tc>
                <w:tcPr>
                  <w:tcW w:w="710" w:type="pct"/>
                  <w:vAlign w:val="center"/>
                </w:tcPr>
                <w:p w14:paraId="3E15F88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1次/年</w:t>
                  </w:r>
                </w:p>
              </w:tc>
              <w:tc>
                <w:tcPr>
                  <w:tcW w:w="1755" w:type="pct"/>
                  <w:vAlign w:val="center"/>
                </w:tcPr>
                <w:p w14:paraId="4CB13DA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《锅炉大气污染物排放标准》（DB61/1226-2018）</w:t>
                  </w:r>
                </w:p>
              </w:tc>
            </w:tr>
            <w:tr w14:paraId="3F78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783" w:type="pct"/>
                  <w:vMerge w:val="continue"/>
                  <w:vAlign w:val="center"/>
                </w:tcPr>
                <w:p w14:paraId="2FA8213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724" w:type="pct"/>
                  <w:vAlign w:val="center"/>
                </w:tcPr>
                <w:p w14:paraId="16D4B00C">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olor w:val="auto"/>
                      <w:sz w:val="21"/>
                      <w:szCs w:val="21"/>
                    </w:rPr>
                    <w:t>NO</w:t>
                  </w:r>
                  <w:r>
                    <w:rPr>
                      <w:rFonts w:hint="eastAsia"/>
                      <w:color w:val="auto"/>
                      <w:sz w:val="21"/>
                      <w:szCs w:val="21"/>
                      <w:vertAlign w:val="subscript"/>
                    </w:rPr>
                    <w:t>X</w:t>
                  </w:r>
                </w:p>
              </w:tc>
              <w:tc>
                <w:tcPr>
                  <w:tcW w:w="1026" w:type="pct"/>
                  <w:vMerge w:val="continue"/>
                  <w:vAlign w:val="center"/>
                </w:tcPr>
                <w:p w14:paraId="557650A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710" w:type="pct"/>
                  <w:vAlign w:val="center"/>
                </w:tcPr>
                <w:p w14:paraId="25C4EAA8">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1次/</w:t>
                  </w:r>
                  <w:r>
                    <w:rPr>
                      <w:rFonts w:hint="eastAsia" w:ascii="Times New Roman" w:hAnsi="Times New Roman" w:cs="Times New Roman"/>
                      <w:color w:val="auto"/>
                      <w:sz w:val="21"/>
                      <w:szCs w:val="21"/>
                      <w:lang w:val="en-US" w:eastAsia="zh-CN"/>
                    </w:rPr>
                    <w:t>月</w:t>
                  </w:r>
                </w:p>
              </w:tc>
              <w:tc>
                <w:tcPr>
                  <w:tcW w:w="1755" w:type="pct"/>
                  <w:vAlign w:val="center"/>
                </w:tcPr>
                <w:p w14:paraId="5AA4C47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《西安市人民政府办公厅关于印发&lt;推进实现“十四五”空气质量目标暨大气污染治理专项行动2025年工作方案&gt;的通知》</w:t>
                  </w:r>
                </w:p>
              </w:tc>
            </w:tr>
            <w:tr w14:paraId="764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pct"/>
                  <w:vMerge w:val="continue"/>
                  <w:vAlign w:val="center"/>
                </w:tcPr>
                <w:p w14:paraId="789EF87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724" w:type="pct"/>
                  <w:vAlign w:val="center"/>
                </w:tcPr>
                <w:p w14:paraId="5043EBB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olor w:val="auto"/>
                      <w:sz w:val="21"/>
                      <w:szCs w:val="21"/>
                      <w:lang w:val="en-US" w:eastAsia="zh-CN"/>
                    </w:rPr>
                    <w:t>烟气黑度</w:t>
                  </w:r>
                </w:p>
              </w:tc>
              <w:tc>
                <w:tcPr>
                  <w:tcW w:w="1026" w:type="pct"/>
                  <w:vMerge w:val="continue"/>
                  <w:vAlign w:val="center"/>
                </w:tcPr>
                <w:p w14:paraId="01EB79D2">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710" w:type="pct"/>
                  <w:vAlign w:val="center"/>
                </w:tcPr>
                <w:p w14:paraId="6087D68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1次/年</w:t>
                  </w:r>
                </w:p>
              </w:tc>
              <w:tc>
                <w:tcPr>
                  <w:tcW w:w="1755" w:type="pct"/>
                  <w:vAlign w:val="center"/>
                </w:tcPr>
                <w:p w14:paraId="72E1181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《锅炉大气污染物排放标准》（GB13271-2014）</w:t>
                  </w:r>
                </w:p>
              </w:tc>
            </w:tr>
            <w:tr w14:paraId="5178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3" w:type="pct"/>
                  <w:vAlign w:val="center"/>
                </w:tcPr>
                <w:p w14:paraId="49FB48C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无组织</w:t>
                  </w:r>
                </w:p>
              </w:tc>
              <w:tc>
                <w:tcPr>
                  <w:tcW w:w="724" w:type="pct"/>
                  <w:vAlign w:val="center"/>
                </w:tcPr>
                <w:p w14:paraId="758CEAB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臭气浓度</w:t>
                  </w:r>
                </w:p>
              </w:tc>
              <w:tc>
                <w:tcPr>
                  <w:tcW w:w="1026" w:type="pct"/>
                  <w:vAlign w:val="center"/>
                </w:tcPr>
                <w:p w14:paraId="302B370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厂界</w:t>
                  </w:r>
                  <w:r>
                    <w:rPr>
                      <w:rFonts w:hint="default" w:ascii="Times New Roman" w:hAnsi="Times New Roman" w:cs="Times New Roman"/>
                      <w:color w:val="auto"/>
                      <w:sz w:val="21"/>
                      <w:szCs w:val="21"/>
                      <w:lang w:eastAsia="zh-CN"/>
                    </w:rPr>
                    <w:t>（上风向</w:t>
                  </w:r>
                  <w:r>
                    <w:rPr>
                      <w:rFonts w:hint="default" w:ascii="Times New Roman" w:hAnsi="Times New Roman" w:cs="Times New Roman"/>
                      <w:color w:val="auto"/>
                      <w:sz w:val="21"/>
                      <w:szCs w:val="21"/>
                      <w:lang w:val="en-US" w:eastAsia="zh-CN"/>
                    </w:rPr>
                    <w:t>1个点，下风向3个点</w:t>
                  </w:r>
                  <w:r>
                    <w:rPr>
                      <w:rFonts w:hint="default" w:ascii="Times New Roman" w:hAnsi="Times New Roman" w:cs="Times New Roman"/>
                      <w:color w:val="auto"/>
                      <w:sz w:val="21"/>
                      <w:szCs w:val="21"/>
                      <w:lang w:eastAsia="zh-CN"/>
                    </w:rPr>
                    <w:t>）</w:t>
                  </w:r>
                </w:p>
              </w:tc>
              <w:tc>
                <w:tcPr>
                  <w:tcW w:w="710" w:type="pct"/>
                  <w:vAlign w:val="center"/>
                </w:tcPr>
                <w:p w14:paraId="51C6809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1次/年</w:t>
                  </w:r>
                </w:p>
              </w:tc>
              <w:tc>
                <w:tcPr>
                  <w:tcW w:w="1755" w:type="pct"/>
                  <w:vAlign w:val="center"/>
                </w:tcPr>
                <w:p w14:paraId="699EFE5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lang w:val="en-US" w:eastAsia="zh-CN"/>
                    </w:rPr>
                    <w:t>《恶臭污染物排放标准》（GB14554-93）</w:t>
                  </w:r>
                </w:p>
              </w:tc>
            </w:tr>
          </w:tbl>
          <w:p w14:paraId="5F3EA9FF">
            <w:pPr>
              <w:bidi w:val="0"/>
              <w:rPr>
                <w:rFonts w:hint="default" w:ascii="Times New Roman" w:hAnsi="Times New Roman" w:eastAsia="宋体" w:cs="Times New Roman"/>
                <w:b/>
                <w:bCs/>
                <w:color w:val="auto"/>
                <w:kern w:val="0"/>
                <w:lang w:val="en-US" w:eastAsia="zh-CN"/>
              </w:rPr>
            </w:pPr>
            <w:r>
              <w:rPr>
                <w:rFonts w:hint="eastAsia" w:cs="Times New Roman"/>
                <w:b/>
                <w:bCs/>
                <w:color w:val="auto"/>
                <w:kern w:val="0"/>
                <w:lang w:val="en-US" w:eastAsia="zh-CN"/>
              </w:rPr>
              <w:t>5.</w:t>
            </w:r>
            <w:r>
              <w:rPr>
                <w:rFonts w:hint="default" w:ascii="Times New Roman" w:hAnsi="Times New Roman" w:eastAsia="宋体" w:cs="Times New Roman"/>
                <w:b/>
                <w:bCs/>
                <w:color w:val="auto"/>
                <w:kern w:val="0"/>
                <w:lang w:val="en-US" w:eastAsia="zh-CN"/>
              </w:rPr>
              <w:t>废气达标排放分析</w:t>
            </w:r>
          </w:p>
          <w:p w14:paraId="09E11A9B">
            <w:pPr>
              <w:bidi w:val="0"/>
              <w:rPr>
                <w:rFonts w:hint="default" w:eastAsia="宋体" w:cs="Times New Roman"/>
                <w:b/>
                <w:bCs/>
                <w:color w:val="auto"/>
                <w:kern w:val="0"/>
                <w:lang w:val="en-US" w:eastAsia="zh-CN"/>
              </w:rPr>
            </w:pPr>
            <w:r>
              <w:rPr>
                <w:rFonts w:hint="default" w:ascii="Times New Roman" w:hAnsi="Times New Roman" w:eastAsia="宋体" w:cs="Times New Roman"/>
                <w:color w:val="auto"/>
                <w:sz w:val="24"/>
                <w:szCs w:val="24"/>
              </w:rPr>
              <w:t>根据源强核算，</w:t>
            </w:r>
            <w:r>
              <w:rPr>
                <w:rFonts w:hint="eastAsia" w:cs="Times New Roman"/>
                <w:color w:val="auto"/>
                <w:lang w:val="en-US" w:eastAsia="zh-CN"/>
              </w:rPr>
              <w:t>油炸</w:t>
            </w:r>
            <w:r>
              <w:rPr>
                <w:rFonts w:hint="eastAsia" w:cs="Times New Roman"/>
                <w:color w:val="auto"/>
                <w:sz w:val="24"/>
                <w:szCs w:val="24"/>
                <w:lang w:val="en-US" w:eastAsia="zh-CN"/>
              </w:rPr>
              <w:t>废气经收集处理后油烟</w:t>
            </w:r>
            <w:r>
              <w:rPr>
                <w:rFonts w:hint="default" w:ascii="Times New Roman" w:hAnsi="Times New Roman" w:eastAsia="宋体" w:cs="Times New Roman"/>
                <w:color w:val="auto"/>
                <w:sz w:val="24"/>
                <w:szCs w:val="24"/>
                <w:lang w:eastAsia="zh-CN"/>
              </w:rPr>
              <w:t>排放浓度为</w:t>
            </w:r>
            <w:r>
              <w:rPr>
                <w:rFonts w:hint="eastAsia" w:cs="Times New Roman"/>
                <w:color w:val="auto"/>
                <w:sz w:val="24"/>
                <w:szCs w:val="24"/>
                <w:lang w:val="en-US" w:eastAsia="zh-CN"/>
              </w:rPr>
              <w:t>1.4mg/m</w:t>
            </w:r>
            <w:r>
              <w:rPr>
                <w:rFonts w:hint="eastAsia"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w:t>
            </w:r>
            <w:r>
              <w:rPr>
                <w:rFonts w:hint="eastAsia" w:cs="Times New Roman"/>
                <w:color w:val="auto"/>
                <w:sz w:val="24"/>
                <w:szCs w:val="24"/>
                <w:lang w:val="en-US" w:eastAsia="zh-CN"/>
              </w:rPr>
              <w:t>净化效率为95%，</w:t>
            </w:r>
            <w:r>
              <w:rPr>
                <w:rFonts w:hint="default" w:ascii="Times New Roman" w:hAnsi="Times New Roman" w:eastAsia="宋体" w:cs="Times New Roman"/>
                <w:color w:val="auto"/>
                <w:sz w:val="24"/>
                <w:szCs w:val="24"/>
                <w:lang w:eastAsia="zh-CN"/>
              </w:rPr>
              <w:t>满足</w:t>
            </w:r>
            <w:r>
              <w:rPr>
                <w:rFonts w:hint="default" w:ascii="Times New Roman" w:hAnsi="Times New Roman" w:eastAsia="宋体" w:cs="Times New Roman"/>
                <w:color w:val="auto"/>
                <w:sz w:val="24"/>
                <w:szCs w:val="24"/>
                <w:lang w:val="en-US" w:eastAsia="zh-CN"/>
              </w:rPr>
              <w:t>《饮食业油烟排放标准（试行）》（GB18483-2001）</w:t>
            </w:r>
            <w:r>
              <w:rPr>
                <w:rFonts w:hint="eastAsia" w:cs="Times New Roman"/>
                <w:color w:val="auto"/>
                <w:sz w:val="24"/>
                <w:lang w:val="en-US" w:eastAsia="zh-CN" w:bidi="ar"/>
              </w:rPr>
              <w:t>大</w:t>
            </w:r>
            <w:r>
              <w:rPr>
                <w:rFonts w:hint="eastAsia" w:ascii="Times New Roman" w:hAnsi="Times New Roman" w:cs="Times New Roman"/>
                <w:color w:val="auto"/>
                <w:sz w:val="24"/>
                <w:lang w:val="en-US" w:eastAsia="zh-CN" w:bidi="ar"/>
              </w:rPr>
              <w:t>型规模的标准</w:t>
            </w:r>
            <w:r>
              <w:rPr>
                <w:rFonts w:hint="eastAsia" w:cs="Times New Roman"/>
                <w:color w:val="auto"/>
                <w:lang w:val="en-US" w:eastAsia="zh-CN"/>
              </w:rPr>
              <w:t>要求；导热油炉颗粒物</w:t>
            </w:r>
            <w:r>
              <w:rPr>
                <w:rFonts w:hint="default" w:ascii="Times New Roman" w:hAnsi="Times New Roman" w:eastAsia="宋体" w:cs="Times New Roman"/>
                <w:color w:val="auto"/>
                <w:sz w:val="24"/>
                <w:szCs w:val="24"/>
                <w:lang w:eastAsia="zh-CN"/>
              </w:rPr>
              <w:t>排放浓度为</w:t>
            </w:r>
            <w:r>
              <w:rPr>
                <w:rFonts w:hint="eastAsia" w:cs="Times New Roman"/>
                <w:color w:val="auto"/>
                <w:sz w:val="24"/>
                <w:szCs w:val="24"/>
                <w:lang w:val="en-US" w:eastAsia="zh-CN"/>
              </w:rPr>
              <w:t>9.6mg/m</w:t>
            </w:r>
            <w:r>
              <w:rPr>
                <w:rFonts w:hint="eastAsia"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w:t>
            </w:r>
            <w:r>
              <w:rPr>
                <w:rFonts w:hint="eastAsia"/>
                <w:color w:val="auto"/>
                <w:sz w:val="24"/>
                <w:szCs w:val="24"/>
              </w:rPr>
              <w:t>SO</w:t>
            </w:r>
            <w:r>
              <w:rPr>
                <w:rFonts w:hint="eastAsia"/>
                <w:color w:val="auto"/>
                <w:sz w:val="24"/>
                <w:szCs w:val="24"/>
                <w:vertAlign w:val="subscript"/>
              </w:rPr>
              <w:t>2</w:t>
            </w:r>
            <w:r>
              <w:rPr>
                <w:rFonts w:hint="default" w:ascii="Times New Roman" w:hAnsi="Times New Roman" w:eastAsia="宋体" w:cs="Times New Roman"/>
                <w:color w:val="auto"/>
                <w:sz w:val="24"/>
                <w:szCs w:val="24"/>
                <w:lang w:eastAsia="zh-CN"/>
              </w:rPr>
              <w:t>排放浓度为</w:t>
            </w:r>
            <w:r>
              <w:rPr>
                <w:rFonts w:hint="eastAsia" w:cs="Times New Roman"/>
                <w:color w:val="auto"/>
                <w:sz w:val="24"/>
                <w:szCs w:val="24"/>
                <w:lang w:val="en-US" w:eastAsia="zh-CN"/>
              </w:rPr>
              <w:t>3.7mg/m</w:t>
            </w:r>
            <w:r>
              <w:rPr>
                <w:rFonts w:hint="eastAsia"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可满足《锅炉大气污染物排放标准》（DB61/1226-2018）</w:t>
            </w:r>
            <w:r>
              <w:rPr>
                <w:rFonts w:hint="default" w:ascii="Times New Roman" w:hAnsi="Times New Roman" w:cs="Times New Roman"/>
                <w:color w:val="auto"/>
              </w:rPr>
              <w:t>表3燃气锅炉大气污染物排放浓度限值</w:t>
            </w:r>
            <w:r>
              <w:rPr>
                <w:rFonts w:hint="eastAsia" w:ascii="Times New Roman" w:hAnsi="Times New Roman" w:cs="Times New Roman"/>
                <w:color w:val="auto"/>
                <w:lang w:eastAsia="zh-CN"/>
              </w:rPr>
              <w:t>，</w:t>
            </w:r>
            <w:r>
              <w:rPr>
                <w:rFonts w:hint="eastAsia"/>
                <w:color w:val="auto"/>
                <w:sz w:val="24"/>
                <w:szCs w:val="24"/>
              </w:rPr>
              <w:t>NO</w:t>
            </w:r>
            <w:r>
              <w:rPr>
                <w:rFonts w:hint="eastAsia"/>
                <w:color w:val="auto"/>
                <w:sz w:val="24"/>
                <w:szCs w:val="24"/>
                <w:vertAlign w:val="subscript"/>
              </w:rPr>
              <w:t>X</w:t>
            </w:r>
            <w:r>
              <w:rPr>
                <w:rFonts w:hint="default" w:ascii="Times New Roman" w:hAnsi="Times New Roman" w:eastAsia="宋体" w:cs="Times New Roman"/>
                <w:color w:val="auto"/>
                <w:sz w:val="24"/>
                <w:szCs w:val="24"/>
                <w:lang w:eastAsia="zh-CN"/>
              </w:rPr>
              <w:t>排放浓度为</w:t>
            </w:r>
            <w:r>
              <w:rPr>
                <w:rFonts w:hint="eastAsia" w:cs="Times New Roman"/>
                <w:color w:val="auto"/>
                <w:sz w:val="24"/>
                <w:szCs w:val="24"/>
                <w:lang w:val="en-US" w:eastAsia="zh-CN"/>
              </w:rPr>
              <w:t>30mg/m</w:t>
            </w:r>
            <w:r>
              <w:rPr>
                <w:rFonts w:hint="eastAsia"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可满足</w:t>
            </w:r>
            <w:r>
              <w:rPr>
                <w:rFonts w:hint="default" w:ascii="Times New Roman" w:hAnsi="Times New Roman" w:eastAsia="宋体" w:cs="Times New Roman"/>
                <w:color w:val="auto"/>
                <w:szCs w:val="21"/>
              </w:rPr>
              <w:t>《西安市人民政府办公厅关于印发&lt;</w:t>
            </w:r>
            <w:r>
              <w:rPr>
                <w:rFonts w:hint="eastAsia" w:ascii="Times New Roman" w:hAnsi="Times New Roman" w:eastAsia="宋体" w:cs="Times New Roman"/>
                <w:color w:val="auto"/>
                <w:szCs w:val="21"/>
                <w:lang w:val="en-US" w:eastAsia="zh-CN"/>
              </w:rPr>
              <w:t>推进实现“十四五”空气质量目标暨大气污染治理专项行动2025年工作</w:t>
            </w:r>
            <w:r>
              <w:rPr>
                <w:rFonts w:hint="default" w:ascii="Times New Roman" w:hAnsi="Times New Roman" w:eastAsia="宋体" w:cs="Times New Roman"/>
                <w:color w:val="auto"/>
                <w:szCs w:val="21"/>
              </w:rPr>
              <w:t>方案&gt;的通知》</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市政办函〔202</w:t>
            </w:r>
            <w:r>
              <w:rPr>
                <w:rFonts w:hint="eastAsia" w:ascii="Times New Roman" w:hAnsi="Times New Roman" w:eastAsia="宋体" w:cs="Times New Roman"/>
                <w:color w:val="auto"/>
                <w:szCs w:val="21"/>
                <w:lang w:val="en-US" w:eastAsia="zh-CN"/>
              </w:rPr>
              <w:t>5</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12</w:t>
            </w:r>
            <w:r>
              <w:rPr>
                <w:rFonts w:hint="default" w:ascii="Times New Roman" w:hAnsi="Times New Roman" w:eastAsia="宋体" w:cs="Times New Roman"/>
                <w:color w:val="auto"/>
                <w:szCs w:val="21"/>
              </w:rPr>
              <w:t>号</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要求；</w:t>
            </w:r>
            <w:r>
              <w:rPr>
                <w:rFonts w:hint="eastAsia" w:cs="Times New Roman"/>
                <w:color w:val="auto"/>
                <w:lang w:val="en-US" w:eastAsia="zh-CN"/>
              </w:rPr>
              <w:t>清洗池内的水每天更换，并对池体进行清洗，加强车间通风，</w:t>
            </w:r>
            <w:r>
              <w:rPr>
                <w:rFonts w:hint="eastAsia"/>
                <w:color w:val="auto"/>
                <w:sz w:val="24"/>
                <w:lang w:val="en-US" w:eastAsia="zh-CN"/>
              </w:rPr>
              <w:t>废气</w:t>
            </w:r>
            <w:r>
              <w:rPr>
                <w:rFonts w:hint="eastAsia" w:cs="Times New Roman"/>
                <w:color w:val="auto"/>
                <w:lang w:val="en-US" w:eastAsia="zh-CN"/>
              </w:rPr>
              <w:t>可达标排放。</w:t>
            </w:r>
          </w:p>
          <w:p w14:paraId="23F9CB4E">
            <w:pPr>
              <w:bidi w:val="0"/>
              <w:rPr>
                <w:rFonts w:hint="default" w:ascii="Times New Roman" w:hAnsi="Times New Roman" w:eastAsia="宋体" w:cs="Times New Roman"/>
                <w:b/>
                <w:bCs/>
                <w:color w:val="auto"/>
                <w:kern w:val="0"/>
                <w:lang w:val="en-US" w:eastAsia="zh-CN"/>
              </w:rPr>
            </w:pPr>
            <w:r>
              <w:rPr>
                <w:rFonts w:hint="eastAsia" w:cs="Times New Roman"/>
                <w:b/>
                <w:bCs/>
                <w:color w:val="auto"/>
                <w:kern w:val="0"/>
                <w:lang w:val="en-US" w:eastAsia="zh-CN"/>
              </w:rPr>
              <w:t>6.</w:t>
            </w:r>
            <w:r>
              <w:rPr>
                <w:rFonts w:hint="default" w:ascii="Times New Roman" w:hAnsi="Times New Roman" w:eastAsia="宋体" w:cs="Times New Roman"/>
                <w:b/>
                <w:bCs/>
                <w:color w:val="auto"/>
                <w:kern w:val="0"/>
                <w:lang w:val="en-US" w:eastAsia="zh-CN"/>
              </w:rPr>
              <w:t>非正常工况下废气排放情况</w:t>
            </w:r>
          </w:p>
          <w:p w14:paraId="5592D1F1">
            <w:pPr>
              <w:bidi w:val="0"/>
              <w:rPr>
                <w:rFonts w:hint="default" w:ascii="Times New Roman" w:hAnsi="Times New Roman" w:cs="Times New Roman"/>
                <w:color w:val="auto"/>
                <w:lang w:eastAsia="zh-CN"/>
              </w:rPr>
            </w:pPr>
            <w:r>
              <w:rPr>
                <w:rFonts w:hint="default" w:ascii="Times New Roman" w:hAnsi="Times New Roman" w:eastAsia="宋体" w:cs="Times New Roman"/>
                <w:color w:val="auto"/>
                <w:sz w:val="24"/>
                <w:szCs w:val="24"/>
              </w:rPr>
              <w:t>项目非正常工况污染源主要为废气治理设施故障导致的废气非正常排放。该情况下的事故排放源强按未经过处理的污染物产生量计算，非正常工况下主要大气污染物的排放源强见下表：</w:t>
            </w:r>
          </w:p>
          <w:p w14:paraId="2263A5AD">
            <w:pPr>
              <w:pStyle w:val="54"/>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表</w:t>
            </w:r>
            <w:r>
              <w:rPr>
                <w:rFonts w:hint="default" w:ascii="Times New Roman" w:hAnsi="Times New Roman" w:cs="Times New Roman"/>
                <w:color w:val="auto"/>
                <w:lang w:val="en-US" w:eastAsia="zh-CN"/>
              </w:rPr>
              <w:t>4-</w:t>
            </w:r>
            <w:r>
              <w:rPr>
                <w:rFonts w:hint="eastAsia" w:cs="Times New Roman"/>
                <w:color w:val="auto"/>
                <w:lang w:val="en-US" w:eastAsia="zh-CN"/>
              </w:rPr>
              <w:t>4</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lang w:eastAsia="zh-CN"/>
              </w:rPr>
              <w:t>非正常工况污染源一览表</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4"/>
              <w:gridCol w:w="1728"/>
              <w:gridCol w:w="1436"/>
              <w:gridCol w:w="1472"/>
              <w:gridCol w:w="1679"/>
              <w:gridCol w:w="1315"/>
            </w:tblGrid>
            <w:tr w14:paraId="62B9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1" w:type="pct"/>
                  <w:vAlign w:val="center"/>
                </w:tcPr>
                <w:p w14:paraId="00E9106A">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排气筒</w:t>
                  </w:r>
                </w:p>
              </w:tc>
              <w:tc>
                <w:tcPr>
                  <w:tcW w:w="923" w:type="pct"/>
                  <w:vAlign w:val="center"/>
                </w:tcPr>
                <w:p w14:paraId="537E076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污染物项目</w:t>
                  </w:r>
                </w:p>
              </w:tc>
              <w:tc>
                <w:tcPr>
                  <w:tcW w:w="767" w:type="pct"/>
                  <w:vAlign w:val="center"/>
                </w:tcPr>
                <w:p w14:paraId="26DCA32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排放量kg/a</w:t>
                  </w:r>
                </w:p>
              </w:tc>
              <w:tc>
                <w:tcPr>
                  <w:tcW w:w="786" w:type="pct"/>
                  <w:vAlign w:val="center"/>
                </w:tcPr>
                <w:p w14:paraId="332DCF7A">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排放速率kg/h</w:t>
                  </w:r>
                </w:p>
              </w:tc>
              <w:tc>
                <w:tcPr>
                  <w:tcW w:w="897" w:type="pct"/>
                  <w:vAlign w:val="center"/>
                </w:tcPr>
                <w:p w14:paraId="6005FF72">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年发生频次</w:t>
                  </w:r>
                </w:p>
              </w:tc>
              <w:tc>
                <w:tcPr>
                  <w:tcW w:w="702" w:type="pct"/>
                  <w:vAlign w:val="center"/>
                </w:tcPr>
                <w:p w14:paraId="200BBF4C">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应对措施</w:t>
                  </w:r>
                </w:p>
              </w:tc>
            </w:tr>
            <w:tr w14:paraId="39F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1" w:type="pct"/>
                  <w:vAlign w:val="center"/>
                </w:tcPr>
                <w:p w14:paraId="23FC54F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DA001</w:t>
                  </w:r>
                </w:p>
              </w:tc>
              <w:tc>
                <w:tcPr>
                  <w:tcW w:w="923" w:type="pct"/>
                  <w:vAlign w:val="center"/>
                </w:tcPr>
                <w:p w14:paraId="4DAACFC8">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油烟</w:t>
                  </w:r>
                </w:p>
              </w:tc>
              <w:tc>
                <w:tcPr>
                  <w:tcW w:w="767" w:type="pct"/>
                  <w:vAlign w:val="center"/>
                </w:tcPr>
                <w:p w14:paraId="52CC92C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0.275</w:t>
                  </w:r>
                </w:p>
              </w:tc>
              <w:tc>
                <w:tcPr>
                  <w:tcW w:w="786" w:type="pct"/>
                  <w:vAlign w:val="center"/>
                </w:tcPr>
                <w:p w14:paraId="2ADEACA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0.275</w:t>
                  </w:r>
                </w:p>
              </w:tc>
              <w:tc>
                <w:tcPr>
                  <w:tcW w:w="897" w:type="pct"/>
                  <w:vAlign w:val="center"/>
                </w:tcPr>
                <w:p w14:paraId="25180272">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一年一次</w:t>
                  </w:r>
                  <w:r>
                    <w:rPr>
                      <w:rFonts w:hint="default"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h/次</w:t>
                  </w:r>
                </w:p>
              </w:tc>
              <w:tc>
                <w:tcPr>
                  <w:tcW w:w="702" w:type="pct"/>
                  <w:vAlign w:val="center"/>
                </w:tcPr>
                <w:p w14:paraId="0B444D83">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停产检修</w:t>
                  </w:r>
                </w:p>
              </w:tc>
            </w:tr>
          </w:tbl>
          <w:p w14:paraId="75B026ED">
            <w:pPr>
              <w:bidi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在非正常排放情况下，污染物的浓度比正常工况要大得多，说明事故排放会对外界环境造成较大影响。因此，为了减轻本项目对周围环境的影响程度和范围，保证该地区的可持续发展，项目在生产过程中必须加强管理，</w:t>
            </w:r>
            <w:r>
              <w:rPr>
                <w:rFonts w:hint="eastAsia" w:cs="Times New Roman"/>
                <w:color w:val="auto"/>
                <w:sz w:val="24"/>
                <w:szCs w:val="24"/>
                <w:lang w:val="en-US" w:eastAsia="zh-CN"/>
              </w:rPr>
              <w:t>定期维护，</w:t>
            </w:r>
            <w:r>
              <w:rPr>
                <w:rFonts w:hint="default" w:ascii="Times New Roman" w:hAnsi="Times New Roman" w:eastAsia="宋体" w:cs="Times New Roman"/>
                <w:color w:val="auto"/>
                <w:sz w:val="24"/>
                <w:szCs w:val="24"/>
              </w:rPr>
              <w:t>保证废气处理设施正常运行，避免事故发生。</w:t>
            </w:r>
          </w:p>
          <w:p w14:paraId="62348B9C">
            <w:pPr>
              <w:bidi w:val="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当废气处理设施出现故障不能正常运行时，应</w:t>
            </w:r>
            <w:r>
              <w:rPr>
                <w:rFonts w:hint="default" w:ascii="Times New Roman" w:hAnsi="Times New Roman" w:eastAsia="宋体" w:cs="Times New Roman"/>
                <w:color w:val="auto"/>
                <w:sz w:val="24"/>
                <w:szCs w:val="24"/>
                <w:lang w:eastAsia="zh-CN"/>
              </w:rPr>
              <w:t>立即</w:t>
            </w:r>
            <w:r>
              <w:rPr>
                <w:rFonts w:hint="default" w:ascii="Times New Roman" w:hAnsi="Times New Roman" w:eastAsia="宋体" w:cs="Times New Roman"/>
                <w:color w:val="auto"/>
                <w:sz w:val="24"/>
                <w:szCs w:val="24"/>
              </w:rPr>
              <w:t>停产进行维修，避免对周围环境造成污染影响。</w:t>
            </w:r>
          </w:p>
          <w:p w14:paraId="063393C4">
            <w:pPr>
              <w:bidi w:val="0"/>
              <w:rPr>
                <w:rFonts w:hint="default" w:ascii="Times New Roman" w:hAnsi="Times New Roman" w:eastAsia="宋体" w:cs="Times New Roman"/>
                <w:b/>
                <w:bCs/>
                <w:color w:val="auto"/>
                <w:kern w:val="0"/>
                <w:lang w:val="en-US" w:eastAsia="zh-CN"/>
              </w:rPr>
            </w:pPr>
            <w:r>
              <w:rPr>
                <w:rFonts w:hint="eastAsia" w:cs="Times New Roman"/>
                <w:b/>
                <w:bCs/>
                <w:color w:val="auto"/>
                <w:kern w:val="0"/>
                <w:lang w:val="en-US" w:eastAsia="zh-CN"/>
              </w:rPr>
              <w:t>7.</w:t>
            </w:r>
            <w:r>
              <w:rPr>
                <w:rFonts w:hint="eastAsia" w:ascii="Times New Roman" w:hAnsi="Times New Roman" w:eastAsia="宋体" w:cs="Times New Roman"/>
                <w:b/>
                <w:bCs/>
                <w:color w:val="auto"/>
                <w:kern w:val="0"/>
                <w:lang w:val="en-US" w:eastAsia="zh-CN"/>
              </w:rPr>
              <w:t>排气筒高度设置合理性分析</w:t>
            </w:r>
          </w:p>
          <w:p w14:paraId="7222B6E7">
            <w:pPr>
              <w:bidi w:val="0"/>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根据</w:t>
            </w:r>
            <w:r>
              <w:rPr>
                <w:rFonts w:hint="eastAsia"/>
                <w:color w:val="auto"/>
              </w:rPr>
              <w:t>《锅炉大气污染物排放标准》（GB13271-2014）</w:t>
            </w:r>
            <w:r>
              <w:rPr>
                <w:rFonts w:hint="eastAsia" w:ascii="Times New Roman" w:hAnsi="Times New Roman" w:cs="Times New Roman"/>
                <w:color w:val="auto"/>
                <w:lang w:eastAsia="zh-CN"/>
              </w:rPr>
              <w:t>，</w:t>
            </w:r>
            <w:r>
              <w:rPr>
                <w:rFonts w:hint="eastAsia"/>
                <w:color w:val="auto"/>
              </w:rPr>
              <w:t>燃气锅炉烟囱不低于8米</w:t>
            </w:r>
            <w:r>
              <w:rPr>
                <w:rFonts w:hint="eastAsia" w:cs="Times New Roman"/>
                <w:color w:val="auto"/>
                <w:lang w:eastAsia="zh-CN"/>
              </w:rPr>
              <w:t>，</w:t>
            </w:r>
            <w:r>
              <w:rPr>
                <w:rFonts w:hint="eastAsia"/>
                <w:color w:val="auto"/>
                <w:lang w:eastAsia="zh-CN"/>
              </w:rPr>
              <w:t>新建锅炉房的</w:t>
            </w:r>
            <w:r>
              <w:rPr>
                <w:rFonts w:hint="eastAsia"/>
                <w:color w:val="auto"/>
                <w:lang w:val="en-US" w:eastAsia="zh-CN"/>
              </w:rPr>
              <w:t>烟囱</w:t>
            </w:r>
            <w:r>
              <w:rPr>
                <w:rFonts w:hint="eastAsia"/>
                <w:color w:val="auto"/>
                <w:lang w:eastAsia="zh-CN"/>
              </w:rPr>
              <w:t>周围半径200m距离内有建筑物时，其</w:t>
            </w:r>
            <w:r>
              <w:rPr>
                <w:rFonts w:hint="eastAsia"/>
                <w:color w:val="auto"/>
                <w:lang w:val="en-US" w:eastAsia="zh-CN"/>
              </w:rPr>
              <w:t>烟囱</w:t>
            </w:r>
            <w:r>
              <w:rPr>
                <w:rFonts w:hint="eastAsia"/>
                <w:color w:val="auto"/>
                <w:lang w:eastAsia="zh-CN"/>
              </w:rPr>
              <w:t>应高出最高建筑物3m以上。</w:t>
            </w:r>
            <w:r>
              <w:rPr>
                <w:rFonts w:hint="eastAsia"/>
                <w:color w:val="auto"/>
                <w:lang w:val="en-US" w:eastAsia="zh-CN"/>
              </w:rPr>
              <w:t>根据现场踏勘，本项目</w:t>
            </w:r>
            <w:r>
              <w:rPr>
                <w:rFonts w:hint="eastAsia"/>
                <w:color w:val="auto"/>
                <w:lang w:eastAsia="zh-CN"/>
              </w:rPr>
              <w:t>周围半径200m距离内</w:t>
            </w:r>
            <w:r>
              <w:rPr>
                <w:rFonts w:hint="eastAsia"/>
                <w:color w:val="auto"/>
                <w:lang w:val="en-US" w:eastAsia="zh-CN"/>
              </w:rPr>
              <w:t>最高</w:t>
            </w:r>
            <w:r>
              <w:rPr>
                <w:rFonts w:hint="eastAsia"/>
                <w:color w:val="auto"/>
                <w:lang w:eastAsia="zh-CN"/>
              </w:rPr>
              <w:t>建筑物</w:t>
            </w:r>
            <w:r>
              <w:rPr>
                <w:rFonts w:hint="eastAsia"/>
                <w:color w:val="auto"/>
                <w:lang w:val="en-US" w:eastAsia="zh-CN"/>
              </w:rPr>
              <w:t>为本项目租赁的车间，</w:t>
            </w:r>
            <w:r>
              <w:rPr>
                <w:rFonts w:hint="eastAsia" w:ascii="Times New Roman" w:hAnsi="Times New Roman" w:cs="Times New Roman"/>
                <w:color w:val="auto"/>
                <w:lang w:val="en-US" w:eastAsia="zh-CN"/>
              </w:rPr>
              <w:t>车间高度为</w:t>
            </w:r>
            <w:r>
              <w:rPr>
                <w:rFonts w:hint="eastAsia" w:cs="Times New Roman"/>
                <w:color w:val="auto"/>
                <w:lang w:val="en-US" w:eastAsia="zh-CN"/>
              </w:rPr>
              <w:t>27.4</w:t>
            </w:r>
            <w:r>
              <w:rPr>
                <w:rFonts w:hint="eastAsia" w:ascii="Times New Roman" w:hAnsi="Times New Roman" w:cs="Times New Roman"/>
                <w:color w:val="auto"/>
                <w:lang w:val="en-US" w:eastAsia="zh-CN"/>
              </w:rPr>
              <w:t>m，</w:t>
            </w:r>
            <w:r>
              <w:rPr>
                <w:rFonts w:hint="eastAsia" w:cs="Times New Roman"/>
                <w:color w:val="auto"/>
                <w:lang w:val="en-US" w:eastAsia="zh-CN"/>
              </w:rPr>
              <w:t>项目导热油炉排气筒高度设置为30.4m</w:t>
            </w:r>
            <w:r>
              <w:rPr>
                <w:rFonts w:hint="eastAsia" w:ascii="Times New Roman" w:hAnsi="Times New Roman" w:cs="Times New Roman"/>
                <w:color w:val="auto"/>
                <w:lang w:val="en-US" w:eastAsia="zh-CN"/>
              </w:rPr>
              <w:t>，项目</w:t>
            </w:r>
            <w:r>
              <w:rPr>
                <w:rFonts w:hint="eastAsia" w:cs="Times New Roman"/>
                <w:color w:val="auto"/>
                <w:lang w:val="en-US" w:eastAsia="zh-CN"/>
              </w:rPr>
              <w:t>排气筒高度设置合理。</w:t>
            </w:r>
          </w:p>
          <w:p w14:paraId="69A6F49B">
            <w:pPr>
              <w:bidi w:val="0"/>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8.</w:t>
            </w:r>
            <w:r>
              <w:rPr>
                <w:rFonts w:hint="default" w:ascii="Times New Roman" w:hAnsi="Times New Roman" w:eastAsia="宋体" w:cs="Times New Roman"/>
                <w:b/>
                <w:bCs/>
                <w:color w:val="auto"/>
                <w:lang w:val="en-US" w:eastAsia="zh-CN"/>
              </w:rPr>
              <w:t>环境影响分析</w:t>
            </w:r>
          </w:p>
          <w:p w14:paraId="6DDDE033">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距离本项目最近的敏感目标为项目</w:t>
            </w:r>
            <w:r>
              <w:rPr>
                <w:rFonts w:hint="eastAsia" w:ascii="Times New Roman" w:hAnsi="Times New Roman" w:eastAsia="宋体" w:cs="Times New Roman"/>
                <w:color w:val="auto"/>
                <w:lang w:val="en-US" w:eastAsia="zh-CN"/>
              </w:rPr>
              <w:t>东</w:t>
            </w:r>
            <w:r>
              <w:rPr>
                <w:rFonts w:hint="eastAsia" w:cs="Times New Roman"/>
                <w:color w:val="auto"/>
                <w:lang w:val="en-US" w:eastAsia="zh-CN"/>
              </w:rPr>
              <w:t>北侧</w:t>
            </w:r>
            <w:r>
              <w:rPr>
                <w:rFonts w:hint="default" w:ascii="Times New Roman" w:hAnsi="Times New Roman" w:eastAsia="宋体" w:cs="Times New Roman"/>
                <w:color w:val="auto"/>
                <w:lang w:val="en-US" w:eastAsia="zh-CN"/>
              </w:rPr>
              <w:t>约</w:t>
            </w:r>
            <w:r>
              <w:rPr>
                <w:rFonts w:hint="eastAsia" w:cs="Times New Roman"/>
                <w:color w:val="auto"/>
                <w:lang w:val="en-US" w:eastAsia="zh-CN"/>
              </w:rPr>
              <w:t>37</w:t>
            </w:r>
            <w:r>
              <w:rPr>
                <w:rFonts w:hint="eastAsia" w:ascii="Times New Roman" w:hAnsi="Times New Roman" w:eastAsia="宋体" w:cs="Times New Roman"/>
                <w:color w:val="auto"/>
                <w:lang w:val="en-US" w:eastAsia="zh-CN"/>
              </w:rPr>
              <w:t>5</w:t>
            </w:r>
            <w:r>
              <w:rPr>
                <w:rFonts w:hint="default" w:ascii="Times New Roman" w:hAnsi="Times New Roman" w:eastAsia="宋体" w:cs="Times New Roman"/>
                <w:color w:val="auto"/>
                <w:lang w:val="en-US" w:eastAsia="zh-CN"/>
              </w:rPr>
              <w:t>m处的曹家寨村</w:t>
            </w:r>
            <w:r>
              <w:rPr>
                <w:rFonts w:hint="eastAsia" w:cs="Times New Roman"/>
                <w:color w:val="auto"/>
                <w:lang w:val="en-US" w:eastAsia="zh-CN"/>
              </w:rPr>
              <w:t>，且位于上风向，</w:t>
            </w:r>
            <w:r>
              <w:rPr>
                <w:rFonts w:hint="default" w:ascii="Times New Roman" w:hAnsi="Times New Roman" w:eastAsia="宋体" w:cs="Times New Roman"/>
                <w:color w:val="auto"/>
                <w:lang w:val="en-US" w:eastAsia="zh-CN"/>
              </w:rPr>
              <w:t>项目</w:t>
            </w:r>
            <w:r>
              <w:rPr>
                <w:rFonts w:hint="eastAsia" w:cs="Times New Roman"/>
                <w:color w:val="auto"/>
                <w:lang w:val="en-US" w:eastAsia="zh-CN"/>
              </w:rPr>
              <w:t>油炸</w:t>
            </w:r>
            <w:r>
              <w:rPr>
                <w:rFonts w:hint="eastAsia" w:ascii="Times New Roman" w:hAnsi="Times New Roman" w:eastAsia="宋体" w:cs="Times New Roman"/>
                <w:color w:val="auto"/>
                <w:lang w:val="en-US" w:eastAsia="zh-CN"/>
              </w:rPr>
              <w:t>废气的主要污染物为</w:t>
            </w:r>
            <w:r>
              <w:rPr>
                <w:rFonts w:hint="eastAsia" w:cs="Times New Roman"/>
                <w:color w:val="auto"/>
                <w:lang w:val="en-US" w:eastAsia="zh-CN"/>
              </w:rPr>
              <w:t>油烟</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废气经</w:t>
            </w:r>
            <w:r>
              <w:rPr>
                <w:rFonts w:hint="eastAsia" w:cs="Times New Roman"/>
                <w:color w:val="auto"/>
                <w:lang w:val="en-US" w:eastAsia="zh-CN"/>
              </w:rPr>
              <w:t>包围型集气设备</w:t>
            </w:r>
            <w:r>
              <w:rPr>
                <w:rFonts w:hint="default" w:ascii="Times New Roman" w:hAnsi="Times New Roman" w:eastAsia="宋体" w:cs="Times New Roman"/>
                <w:color w:val="auto"/>
                <w:lang w:val="en-US" w:eastAsia="zh-CN"/>
              </w:rPr>
              <w:t>收集，经过</w:t>
            </w:r>
            <w:r>
              <w:rPr>
                <w:rFonts w:hint="eastAsia" w:cs="Times New Roman"/>
                <w:color w:val="auto"/>
                <w:lang w:val="en-US" w:eastAsia="zh-CN"/>
              </w:rPr>
              <w:t>静电式油烟净化器</w:t>
            </w:r>
            <w:r>
              <w:rPr>
                <w:rFonts w:hint="default" w:ascii="Times New Roman" w:hAnsi="Times New Roman" w:eastAsia="宋体" w:cs="Times New Roman"/>
                <w:color w:val="auto"/>
                <w:lang w:val="en-US" w:eastAsia="zh-CN"/>
              </w:rPr>
              <w:t>处理</w:t>
            </w:r>
            <w:r>
              <w:rPr>
                <w:rFonts w:hint="eastAsia" w:ascii="Times New Roman" w:hAnsi="Times New Roman" w:eastAsia="宋体" w:cs="Times New Roman"/>
                <w:color w:val="auto"/>
                <w:lang w:val="en-US" w:eastAsia="zh-CN"/>
              </w:rPr>
              <w:t>达标</w:t>
            </w:r>
            <w:r>
              <w:rPr>
                <w:rFonts w:hint="default" w:ascii="Times New Roman" w:hAnsi="Times New Roman" w:eastAsia="宋体" w:cs="Times New Roman"/>
                <w:color w:val="auto"/>
                <w:lang w:val="en-US" w:eastAsia="zh-CN"/>
              </w:rPr>
              <w:t>后通过</w:t>
            </w:r>
            <w:r>
              <w:rPr>
                <w:rFonts w:hint="eastAsia" w:cs="Times New Roman"/>
                <w:color w:val="auto"/>
                <w:lang w:val="en-US" w:eastAsia="zh-CN"/>
              </w:rPr>
              <w:t>30.4m高</w:t>
            </w:r>
            <w:r>
              <w:rPr>
                <w:rFonts w:hint="default" w:ascii="Times New Roman" w:hAnsi="Times New Roman" w:eastAsia="宋体" w:cs="Times New Roman"/>
                <w:color w:val="auto"/>
                <w:lang w:val="en-US" w:eastAsia="zh-CN"/>
              </w:rPr>
              <w:t>排气筒排放</w:t>
            </w:r>
            <w:r>
              <w:rPr>
                <w:rFonts w:hint="eastAsia" w:cs="Times New Roman"/>
                <w:color w:val="auto"/>
                <w:lang w:val="en-US" w:eastAsia="zh-CN"/>
              </w:rPr>
              <w:t>；</w:t>
            </w:r>
            <w:r>
              <w:rPr>
                <w:rFonts w:hint="eastAsia" w:cs="Times New Roman"/>
                <w:color w:val="auto"/>
                <w:szCs w:val="20"/>
                <w:lang w:val="en-US" w:eastAsia="zh-CN"/>
              </w:rPr>
              <w:t>导热油炉均采用低氮燃烧器，废气可达标排放；</w:t>
            </w:r>
            <w:r>
              <w:rPr>
                <w:rFonts w:hint="eastAsia" w:cs="Times New Roman"/>
                <w:color w:val="auto"/>
                <w:lang w:val="en-US" w:eastAsia="zh-CN"/>
              </w:rPr>
              <w:t>清洗池内的水每天更换，并对池体进行清洗，加强车间通风，</w:t>
            </w:r>
            <w:r>
              <w:rPr>
                <w:rFonts w:hint="default" w:ascii="Times New Roman" w:hAnsi="Times New Roman" w:eastAsia="宋体" w:cs="Times New Roman"/>
                <w:color w:val="auto"/>
                <w:lang w:val="en-US" w:eastAsia="zh-CN"/>
              </w:rPr>
              <w:t>本项目污染物排放量小，对周边环境影响较小。</w:t>
            </w:r>
          </w:p>
          <w:p w14:paraId="7155C65E">
            <w:pPr>
              <w:bidi w:val="0"/>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二、废水</w:t>
            </w:r>
          </w:p>
          <w:p w14:paraId="52D50603">
            <w:pPr>
              <w:bidi w:val="0"/>
              <w:rPr>
                <w:rFonts w:hint="default" w:ascii="Times New Roman" w:hAnsi="Times New Roman" w:eastAsia="宋体" w:cs="Times New Roman"/>
                <w:b/>
                <w:bCs/>
                <w:color w:val="auto"/>
                <w:lang w:val="en-US" w:eastAsia="zh-CN"/>
              </w:rPr>
            </w:pPr>
            <w:bookmarkStart w:id="4" w:name="_Hlk69216683"/>
            <w:r>
              <w:rPr>
                <w:rFonts w:hint="eastAsia" w:ascii="Times New Roman" w:hAnsi="Times New Roman" w:eastAsia="宋体" w:cs="Times New Roman"/>
                <w:b/>
                <w:bCs/>
                <w:color w:val="auto"/>
                <w:lang w:val="en-US" w:eastAsia="zh-CN"/>
              </w:rPr>
              <w:t>1.</w:t>
            </w:r>
            <w:r>
              <w:rPr>
                <w:rFonts w:hint="default" w:ascii="Times New Roman" w:hAnsi="Times New Roman" w:eastAsia="宋体" w:cs="Times New Roman"/>
                <w:b/>
                <w:bCs/>
                <w:color w:val="auto"/>
                <w:lang w:val="en-US" w:eastAsia="zh-CN"/>
              </w:rPr>
              <w:t>废水源强</w:t>
            </w:r>
          </w:p>
          <w:p w14:paraId="54763888">
            <w:pPr>
              <w:bidi w:val="0"/>
              <w:rPr>
                <w:rFonts w:hint="eastAsia" w:ascii="Times New Roman" w:hAnsi="Times New Roman" w:eastAsia="宋体" w:cs="Times New Roman"/>
                <w:color w:val="auto"/>
                <w:lang w:val="en-US" w:eastAsia="zh-CN"/>
              </w:rPr>
            </w:pPr>
            <w:bookmarkStart w:id="5" w:name="_Hlk70066619"/>
            <w:r>
              <w:rPr>
                <w:rFonts w:hint="default" w:ascii="Times New Roman" w:hAnsi="Times New Roman" w:eastAsia="宋体" w:cs="Times New Roman"/>
                <w:color w:val="auto"/>
                <w:lang w:val="en-US" w:eastAsia="zh-CN"/>
              </w:rPr>
              <w:t>项目运营期产生废水主要为</w:t>
            </w:r>
            <w:r>
              <w:rPr>
                <w:rFonts w:hint="eastAsia" w:ascii="Times New Roman" w:hAnsi="Times New Roman" w:eastAsia="宋体" w:cs="Times New Roman"/>
                <w:color w:val="auto"/>
                <w:lang w:val="en-US" w:eastAsia="zh-CN"/>
              </w:rPr>
              <w:t>生产废水和</w:t>
            </w:r>
            <w:r>
              <w:rPr>
                <w:rFonts w:hint="default" w:ascii="Times New Roman" w:hAnsi="Times New Roman" w:eastAsia="宋体" w:cs="Times New Roman"/>
                <w:color w:val="auto"/>
                <w:lang w:val="en-US" w:eastAsia="zh-CN"/>
              </w:rPr>
              <w:t>员工的生活污水</w:t>
            </w:r>
            <w:r>
              <w:rPr>
                <w:rFonts w:hint="eastAsia" w:ascii="Times New Roman" w:hAnsi="Times New Roman" w:eastAsia="宋体" w:cs="Times New Roman"/>
                <w:color w:val="auto"/>
                <w:lang w:val="en-US" w:eastAsia="zh-CN"/>
              </w:rPr>
              <w:t>。</w:t>
            </w:r>
          </w:p>
          <w:p w14:paraId="7047C7C4">
            <w:pPr>
              <w:bidi w:val="0"/>
              <w:rPr>
                <w:rFonts w:hint="default" w:ascii="Times New Roman" w:hAnsi="Times New Roman" w:eastAsia="宋体" w:cs="Times New Roman"/>
                <w:color w:val="auto"/>
                <w:sz w:val="24"/>
                <w:szCs w:val="24"/>
                <w:lang w:eastAsia="zh-CN"/>
              </w:rPr>
            </w:pPr>
            <w:r>
              <w:rPr>
                <w:rFonts w:hint="default" w:cs="Times New Roman"/>
                <w:color w:val="auto"/>
                <w:kern w:val="0"/>
                <w:lang w:val="en-US" w:eastAsia="zh-CN" w:bidi="ar"/>
              </w:rPr>
              <w:t>①</w:t>
            </w:r>
            <w:r>
              <w:rPr>
                <w:rFonts w:hint="default" w:ascii="Times New Roman" w:hAnsi="Times New Roman" w:eastAsia="宋体" w:cs="Times New Roman"/>
                <w:color w:val="auto"/>
                <w:sz w:val="24"/>
                <w:szCs w:val="24"/>
                <w:lang w:eastAsia="zh-CN"/>
              </w:rPr>
              <w:t>生活污水</w:t>
            </w:r>
          </w:p>
          <w:p w14:paraId="04C8D274">
            <w:pPr>
              <w:bidi w:val="0"/>
              <w:rPr>
                <w:rFonts w:hint="default" w:ascii="Times New Roman" w:hAnsi="Times New Roman" w:cs="Times New Roman"/>
                <w:color w:val="auto"/>
                <w:kern w:val="0"/>
                <w:lang w:bidi="ar"/>
              </w:rPr>
            </w:pPr>
            <w:r>
              <w:rPr>
                <w:rFonts w:hint="eastAsia"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lang w:eastAsia="zh-CN"/>
              </w:rPr>
              <w:t>生活污水</w:t>
            </w:r>
            <w:r>
              <w:rPr>
                <w:rFonts w:hint="eastAsia" w:cs="Times New Roman"/>
                <w:color w:val="auto"/>
                <w:sz w:val="24"/>
                <w:szCs w:val="24"/>
                <w:lang w:val="en-US" w:eastAsia="zh-CN"/>
              </w:rPr>
              <w:t>产生</w:t>
            </w:r>
            <w:r>
              <w:rPr>
                <w:rFonts w:hint="default" w:ascii="Times New Roman" w:hAnsi="Times New Roman" w:eastAsia="宋体" w:cs="Times New Roman"/>
                <w:color w:val="auto"/>
                <w:sz w:val="24"/>
                <w:szCs w:val="24"/>
              </w:rPr>
              <w:t>量为</w:t>
            </w:r>
            <w:r>
              <w:rPr>
                <w:rFonts w:hint="eastAsia" w:cs="Times New Roman"/>
                <w:color w:val="auto"/>
                <w:sz w:val="24"/>
                <w:szCs w:val="24"/>
                <w:lang w:val="en-US" w:eastAsia="zh-CN"/>
              </w:rPr>
              <w:t>0.48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48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），污染物</w:t>
            </w:r>
            <w:r>
              <w:rPr>
                <w:rFonts w:hint="eastAsia" w:cs="Times New Roman"/>
                <w:color w:val="auto"/>
                <w:sz w:val="24"/>
                <w:szCs w:val="24"/>
                <w:lang w:val="en-US" w:eastAsia="zh-CN"/>
              </w:rPr>
              <w:t>主要为</w:t>
            </w:r>
            <w:r>
              <w:rPr>
                <w:rFonts w:hint="default" w:ascii="Times New Roman" w:hAnsi="Times New Roman" w:cs="Times New Roman"/>
                <w:color w:val="auto"/>
              </w:rPr>
              <w:t>COD、BOD</w:t>
            </w:r>
            <w:r>
              <w:rPr>
                <w:rFonts w:hint="default" w:ascii="Times New Roman" w:hAnsi="Times New Roman" w:cs="Times New Roman"/>
                <w:color w:val="auto"/>
                <w:vertAlign w:val="subscript"/>
              </w:rPr>
              <w:t>5</w:t>
            </w:r>
            <w:r>
              <w:rPr>
                <w:rFonts w:hint="default" w:ascii="Times New Roman" w:hAnsi="Times New Roman" w:cs="Times New Roman"/>
                <w:color w:val="auto"/>
              </w:rPr>
              <w:t>、SS、NH</w:t>
            </w:r>
            <w:r>
              <w:rPr>
                <w:rFonts w:hint="default" w:ascii="Times New Roman" w:hAnsi="Times New Roman" w:cs="Times New Roman"/>
                <w:color w:val="auto"/>
                <w:vertAlign w:val="subscript"/>
              </w:rPr>
              <w:t>3</w:t>
            </w:r>
            <w:r>
              <w:rPr>
                <w:rFonts w:hint="default" w:ascii="Times New Roman" w:hAnsi="Times New Roman" w:cs="Times New Roman"/>
                <w:color w:val="auto"/>
              </w:rPr>
              <w:t>-N</w:t>
            </w:r>
            <w:r>
              <w:rPr>
                <w:rFonts w:hint="eastAsia" w:cs="Times New Roman"/>
                <w:color w:val="auto"/>
                <w:lang w:eastAsia="zh-CN"/>
              </w:rPr>
              <w:t>、</w:t>
            </w:r>
            <w:r>
              <w:rPr>
                <w:rFonts w:hint="eastAsia" w:cs="Times New Roman"/>
                <w:color w:val="auto"/>
                <w:lang w:val="en-US" w:eastAsia="zh-CN"/>
              </w:rPr>
              <w:t>总磷、总氮等</w:t>
            </w:r>
            <w:r>
              <w:rPr>
                <w:rFonts w:hint="default" w:ascii="Times New Roman" w:hAnsi="Times New Roman" w:eastAsia="宋体" w:cs="Times New Roman"/>
                <w:color w:val="auto"/>
                <w:sz w:val="24"/>
                <w:szCs w:val="24"/>
              </w:rPr>
              <w:t>，</w:t>
            </w:r>
            <w:bookmarkEnd w:id="5"/>
            <w:r>
              <w:rPr>
                <w:rFonts w:hint="eastAsia" w:cs="Times New Roman"/>
                <w:color w:val="auto"/>
                <w:sz w:val="24"/>
                <w:szCs w:val="24"/>
                <w:lang w:val="en-US" w:eastAsia="zh-CN"/>
              </w:rPr>
              <w:t>生活污水</w:t>
            </w:r>
            <w:r>
              <w:rPr>
                <w:rFonts w:hint="eastAsia" w:cs="Times New Roman"/>
                <w:color w:val="auto"/>
                <w:lang w:val="en-US" w:eastAsia="zh-CN"/>
              </w:rPr>
              <w:t>排入租赁方</w:t>
            </w:r>
            <w:r>
              <w:rPr>
                <w:rFonts w:hint="default" w:ascii="Times New Roman" w:hAnsi="Times New Roman" w:cs="Times New Roman"/>
                <w:color w:val="auto"/>
                <w:lang w:eastAsia="zh-CN"/>
              </w:rPr>
              <w:t>化粪池</w:t>
            </w:r>
            <w:r>
              <w:rPr>
                <w:rFonts w:hint="eastAsia" w:cs="Times New Roman"/>
                <w:color w:val="auto"/>
                <w:lang w:eastAsia="zh-CN"/>
              </w:rPr>
              <w:t>，</w:t>
            </w:r>
            <w:r>
              <w:rPr>
                <w:rFonts w:hint="default" w:ascii="Times New Roman" w:hAnsi="Times New Roman" w:cs="Times New Roman"/>
                <w:color w:val="auto"/>
                <w:lang w:eastAsia="zh-CN"/>
              </w:rPr>
              <w:t>化粪池</w:t>
            </w:r>
            <w:r>
              <w:rPr>
                <w:rFonts w:hint="eastAsia" w:cs="Times New Roman"/>
                <w:color w:val="auto"/>
                <w:lang w:val="en-US" w:eastAsia="zh-CN"/>
              </w:rPr>
              <w:t>容积为</w:t>
            </w:r>
            <w:r>
              <w:rPr>
                <w:rFonts w:hint="eastAsia" w:cs="Times New Roman"/>
                <w:color w:val="auto"/>
                <w:sz w:val="24"/>
                <w:szCs w:val="24"/>
                <w:lang w:val="en-US" w:eastAsia="zh-CN"/>
              </w:rPr>
              <w:t>70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cs="Times New Roman"/>
                <w:color w:val="auto"/>
                <w:lang w:val="en-US" w:eastAsia="zh-CN"/>
              </w:rPr>
              <w:t>经处理后通过市政污水管网排入沣西新城渭河污水处理厂</w:t>
            </w:r>
            <w:r>
              <w:rPr>
                <w:rFonts w:hint="default" w:ascii="Times New Roman" w:hAnsi="Times New Roman" w:cs="Times New Roman"/>
                <w:color w:val="auto"/>
                <w:kern w:val="0"/>
                <w:lang w:bidi="ar"/>
              </w:rPr>
              <w:t>。</w:t>
            </w:r>
            <w:bookmarkEnd w:id="4"/>
            <w:r>
              <w:rPr>
                <w:rFonts w:hint="default" w:ascii="Times New Roman" w:hAnsi="Times New Roman" w:eastAsia="宋体" w:cs="Times New Roman"/>
                <w:color w:val="auto"/>
                <w:sz w:val="24"/>
                <w:szCs w:val="24"/>
                <w:lang w:eastAsia="zh-CN"/>
              </w:rPr>
              <w:t>生活污水</w:t>
            </w:r>
            <w:r>
              <w:rPr>
                <w:bCs/>
                <w:color w:val="auto"/>
              </w:rPr>
              <w:t>污染物产生及排放情况见表</w:t>
            </w:r>
            <w:r>
              <w:rPr>
                <w:rFonts w:hint="eastAsia"/>
                <w:bCs/>
                <w:color w:val="auto"/>
              </w:rPr>
              <w:t>4-</w:t>
            </w:r>
            <w:r>
              <w:rPr>
                <w:rFonts w:hint="eastAsia"/>
                <w:bCs/>
                <w:color w:val="auto"/>
                <w:lang w:val="en-US" w:eastAsia="zh-CN"/>
              </w:rPr>
              <w:t>5</w:t>
            </w:r>
            <w:r>
              <w:rPr>
                <w:bCs/>
                <w:color w:val="auto"/>
              </w:rPr>
              <w:t>。</w:t>
            </w:r>
          </w:p>
          <w:p w14:paraId="3AF82EE9">
            <w:pPr>
              <w:pStyle w:val="54"/>
              <w:bidi w:val="0"/>
              <w:rPr>
                <w:rFonts w:hint="eastAsia"/>
                <w:color w:val="auto"/>
              </w:rPr>
            </w:pPr>
            <w:r>
              <w:rPr>
                <w:rFonts w:hint="eastAsia"/>
                <w:color w:val="auto"/>
              </w:rPr>
              <w:t>表4-</w:t>
            </w:r>
            <w:r>
              <w:rPr>
                <w:rFonts w:hint="eastAsia"/>
                <w:color w:val="auto"/>
                <w:lang w:val="en-US" w:eastAsia="zh-CN"/>
              </w:rPr>
              <w:t>5</w:t>
            </w:r>
            <w:r>
              <w:rPr>
                <w:rFonts w:hint="eastAsia"/>
                <w:color w:val="auto"/>
              </w:rPr>
              <w:t xml:space="preserve">  </w:t>
            </w:r>
            <w:r>
              <w:rPr>
                <w:rFonts w:hint="eastAsia"/>
                <w:color w:val="auto"/>
                <w:lang w:val="en-US" w:eastAsia="zh-CN"/>
              </w:rPr>
              <w:t>生活污水</w:t>
            </w:r>
            <w:r>
              <w:rPr>
                <w:rFonts w:hint="eastAsia"/>
                <w:color w:val="auto"/>
              </w:rPr>
              <w:t>污染物产生及排放情况一览表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823"/>
              <w:gridCol w:w="1113"/>
              <w:gridCol w:w="863"/>
              <w:gridCol w:w="435"/>
              <w:gridCol w:w="1051"/>
              <w:gridCol w:w="899"/>
              <w:gridCol w:w="459"/>
              <w:gridCol w:w="436"/>
              <w:gridCol w:w="1113"/>
              <w:gridCol w:w="862"/>
              <w:gridCol w:w="435"/>
              <w:gridCol w:w="438"/>
            </w:tblGrid>
            <w:tr w14:paraId="235F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noWrap w:val="0"/>
                  <w:vAlign w:val="center"/>
                </w:tcPr>
                <w:p w14:paraId="139751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产排污环节</w:t>
                  </w:r>
                </w:p>
              </w:tc>
              <w:tc>
                <w:tcPr>
                  <w:tcW w:w="440" w:type="pct"/>
                  <w:vMerge w:val="restart"/>
                  <w:noWrap w:val="0"/>
                  <w:vAlign w:val="center"/>
                </w:tcPr>
                <w:p w14:paraId="771369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污染物种类</w:t>
                  </w:r>
                </w:p>
              </w:tc>
              <w:tc>
                <w:tcPr>
                  <w:tcW w:w="1055" w:type="pct"/>
                  <w:gridSpan w:val="2"/>
                  <w:noWrap w:val="0"/>
                  <w:vAlign w:val="center"/>
                </w:tcPr>
                <w:p w14:paraId="1D2CA3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污染物产生情况</w:t>
                  </w:r>
                </w:p>
              </w:tc>
              <w:tc>
                <w:tcPr>
                  <w:tcW w:w="1751" w:type="pct"/>
                  <w:gridSpan w:val="5"/>
                  <w:noWrap w:val="0"/>
                  <w:vAlign w:val="center"/>
                </w:tcPr>
                <w:p w14:paraId="1460B4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主要污染治理措施</w:t>
                  </w:r>
                </w:p>
              </w:tc>
              <w:tc>
                <w:tcPr>
                  <w:tcW w:w="1520" w:type="pct"/>
                  <w:gridSpan w:val="4"/>
                  <w:noWrap w:val="0"/>
                  <w:vAlign w:val="center"/>
                </w:tcPr>
                <w:p w14:paraId="3BB6E3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污染物排放情况</w:t>
                  </w:r>
                </w:p>
              </w:tc>
            </w:tr>
            <w:tr w14:paraId="1AD6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07AE53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vMerge w:val="continue"/>
                  <w:noWrap w:val="0"/>
                  <w:vAlign w:val="center"/>
                </w:tcPr>
                <w:p w14:paraId="33CA8E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5A0FC3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eastAsia="zh-CN"/>
                    </w:rPr>
                  </w:pPr>
                  <w:r>
                    <w:rPr>
                      <w:rFonts w:hint="eastAsia"/>
                      <w:color w:val="auto"/>
                      <w:sz w:val="21"/>
                      <w:szCs w:val="21"/>
                      <w:lang w:val="en-US" w:eastAsia="zh-CN"/>
                    </w:rPr>
                    <w:t>产生浓度（</w:t>
                  </w:r>
                  <w:r>
                    <w:rPr>
                      <w:rFonts w:hint="default"/>
                      <w:color w:val="auto"/>
                      <w:sz w:val="21"/>
                      <w:szCs w:val="21"/>
                      <w:lang w:val="en-US" w:eastAsia="zh-CN"/>
                    </w:rPr>
                    <w:t>mg/L</w:t>
                  </w:r>
                  <w:r>
                    <w:rPr>
                      <w:rFonts w:hint="eastAsia"/>
                      <w:color w:val="auto"/>
                      <w:sz w:val="21"/>
                      <w:szCs w:val="21"/>
                      <w:lang w:val="en-US" w:eastAsia="zh-CN"/>
                    </w:rPr>
                    <w:t>）</w:t>
                  </w:r>
                </w:p>
              </w:tc>
              <w:tc>
                <w:tcPr>
                  <w:tcW w:w="460" w:type="pct"/>
                  <w:noWrap w:val="0"/>
                  <w:vAlign w:val="center"/>
                </w:tcPr>
                <w:p w14:paraId="79F1D1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产生量（</w:t>
                  </w:r>
                  <w:r>
                    <w:rPr>
                      <w:rFonts w:hint="default"/>
                      <w:color w:val="auto"/>
                      <w:sz w:val="21"/>
                      <w:szCs w:val="21"/>
                      <w:lang w:val="en-US" w:eastAsia="zh-CN"/>
                    </w:rPr>
                    <w:t>t/a</w:t>
                  </w:r>
                  <w:r>
                    <w:rPr>
                      <w:rFonts w:hint="eastAsia"/>
                      <w:color w:val="auto"/>
                      <w:sz w:val="21"/>
                      <w:szCs w:val="21"/>
                      <w:lang w:val="en-US" w:eastAsia="zh-CN"/>
                    </w:rPr>
                    <w:t>）</w:t>
                  </w:r>
                </w:p>
              </w:tc>
              <w:tc>
                <w:tcPr>
                  <w:tcW w:w="232" w:type="pct"/>
                  <w:noWrap w:val="0"/>
                  <w:vAlign w:val="center"/>
                </w:tcPr>
                <w:p w14:paraId="3AD568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治理措施</w:t>
                  </w:r>
                </w:p>
              </w:tc>
              <w:tc>
                <w:tcPr>
                  <w:tcW w:w="561" w:type="pct"/>
                  <w:noWrap w:val="0"/>
                  <w:vAlign w:val="center"/>
                </w:tcPr>
                <w:p w14:paraId="6677D9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处理能力（</w:t>
                  </w:r>
                  <w:r>
                    <w:rPr>
                      <w:rFonts w:hint="default"/>
                      <w:color w:val="auto"/>
                      <w:sz w:val="21"/>
                      <w:szCs w:val="21"/>
                      <w:lang w:val="en-US" w:eastAsia="zh-CN"/>
                    </w:rPr>
                    <w:t>m</w:t>
                  </w:r>
                  <w:r>
                    <w:rPr>
                      <w:rFonts w:hint="eastAsia"/>
                      <w:color w:val="auto"/>
                      <w:sz w:val="21"/>
                      <w:szCs w:val="21"/>
                      <w:vertAlign w:val="superscript"/>
                      <w:lang w:val="en-US" w:eastAsia="zh-CN"/>
                    </w:rPr>
                    <w:t>3</w:t>
                  </w:r>
                  <w:r>
                    <w:rPr>
                      <w:rFonts w:hint="eastAsia"/>
                      <w:color w:val="auto"/>
                      <w:sz w:val="21"/>
                      <w:szCs w:val="21"/>
                      <w:vertAlign w:val="baseline"/>
                      <w:lang w:val="en-US" w:eastAsia="zh-CN"/>
                    </w:rPr>
                    <w:t>/d</w:t>
                  </w:r>
                  <w:r>
                    <w:rPr>
                      <w:rFonts w:hint="eastAsia"/>
                      <w:color w:val="auto"/>
                      <w:sz w:val="21"/>
                      <w:szCs w:val="21"/>
                      <w:lang w:val="en-US" w:eastAsia="zh-CN"/>
                    </w:rPr>
                    <w:t>）</w:t>
                  </w:r>
                </w:p>
              </w:tc>
              <w:tc>
                <w:tcPr>
                  <w:tcW w:w="480" w:type="pct"/>
                  <w:noWrap w:val="0"/>
                  <w:vAlign w:val="center"/>
                </w:tcPr>
                <w:p w14:paraId="35ED8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治理工艺</w:t>
                  </w:r>
                </w:p>
              </w:tc>
              <w:tc>
                <w:tcPr>
                  <w:tcW w:w="245" w:type="pct"/>
                  <w:noWrap w:val="0"/>
                  <w:vAlign w:val="center"/>
                </w:tcPr>
                <w:p w14:paraId="1EE303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治理效率/%</w:t>
                  </w:r>
                </w:p>
              </w:tc>
              <w:tc>
                <w:tcPr>
                  <w:tcW w:w="232" w:type="pct"/>
                  <w:noWrap w:val="0"/>
                  <w:vAlign w:val="center"/>
                </w:tcPr>
                <w:p w14:paraId="491CEE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是否为可行技术</w:t>
                  </w:r>
                </w:p>
              </w:tc>
              <w:tc>
                <w:tcPr>
                  <w:tcW w:w="594" w:type="pct"/>
                  <w:noWrap w:val="0"/>
                  <w:vAlign w:val="center"/>
                </w:tcPr>
                <w:p w14:paraId="3F851E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eastAsia="zh-CN"/>
                    </w:rPr>
                  </w:pPr>
                  <w:r>
                    <w:rPr>
                      <w:rFonts w:hint="eastAsia"/>
                      <w:color w:val="auto"/>
                      <w:sz w:val="21"/>
                      <w:szCs w:val="21"/>
                      <w:lang w:val="en-US" w:eastAsia="zh-CN"/>
                    </w:rPr>
                    <w:t>排放浓度（</w:t>
                  </w:r>
                  <w:r>
                    <w:rPr>
                      <w:rFonts w:hint="default"/>
                      <w:color w:val="auto"/>
                      <w:sz w:val="21"/>
                      <w:szCs w:val="21"/>
                      <w:lang w:val="en-US" w:eastAsia="zh-CN"/>
                    </w:rPr>
                    <w:t>mg/L</w:t>
                  </w:r>
                  <w:r>
                    <w:rPr>
                      <w:rFonts w:hint="eastAsia"/>
                      <w:color w:val="auto"/>
                      <w:sz w:val="21"/>
                      <w:szCs w:val="21"/>
                      <w:lang w:val="en-US" w:eastAsia="zh-CN"/>
                    </w:rPr>
                    <w:t>）</w:t>
                  </w:r>
                </w:p>
              </w:tc>
              <w:tc>
                <w:tcPr>
                  <w:tcW w:w="460" w:type="pct"/>
                  <w:noWrap w:val="0"/>
                  <w:vAlign w:val="center"/>
                </w:tcPr>
                <w:p w14:paraId="6E72C1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排放量（</w:t>
                  </w:r>
                  <w:r>
                    <w:rPr>
                      <w:rFonts w:hint="default"/>
                      <w:color w:val="auto"/>
                      <w:sz w:val="21"/>
                      <w:szCs w:val="21"/>
                      <w:lang w:val="en-US" w:eastAsia="zh-CN"/>
                    </w:rPr>
                    <w:t>t/a</w:t>
                  </w:r>
                  <w:r>
                    <w:rPr>
                      <w:rFonts w:hint="eastAsia"/>
                      <w:color w:val="auto"/>
                      <w:sz w:val="21"/>
                      <w:szCs w:val="21"/>
                      <w:lang w:val="en-US" w:eastAsia="zh-CN"/>
                    </w:rPr>
                    <w:t>）</w:t>
                  </w:r>
                </w:p>
              </w:tc>
              <w:tc>
                <w:tcPr>
                  <w:tcW w:w="232" w:type="pct"/>
                  <w:noWrap w:val="0"/>
                  <w:vAlign w:val="center"/>
                </w:tcPr>
                <w:p w14:paraId="20A0B8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排放去向</w:t>
                  </w:r>
                </w:p>
              </w:tc>
              <w:tc>
                <w:tcPr>
                  <w:tcW w:w="232" w:type="pct"/>
                  <w:noWrap w:val="0"/>
                  <w:vAlign w:val="center"/>
                </w:tcPr>
                <w:p w14:paraId="0149BB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排放规律</w:t>
                  </w:r>
                </w:p>
              </w:tc>
            </w:tr>
            <w:tr w14:paraId="62B2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restart"/>
                  <w:noWrap w:val="0"/>
                  <w:vAlign w:val="center"/>
                </w:tcPr>
                <w:p w14:paraId="2A9141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生活污水</w:t>
                  </w:r>
                </w:p>
              </w:tc>
              <w:tc>
                <w:tcPr>
                  <w:tcW w:w="440" w:type="pct"/>
                  <w:noWrap w:val="0"/>
                  <w:vAlign w:val="center"/>
                </w:tcPr>
                <w:p w14:paraId="5EF639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废水量</w:t>
                  </w:r>
                </w:p>
              </w:tc>
              <w:tc>
                <w:tcPr>
                  <w:tcW w:w="594" w:type="pct"/>
                  <w:noWrap w:val="0"/>
                  <w:vAlign w:val="center"/>
                </w:tcPr>
                <w:p w14:paraId="064950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460" w:type="pct"/>
                  <w:noWrap w:val="0"/>
                  <w:vAlign w:val="center"/>
                </w:tcPr>
                <w:p w14:paraId="630D3F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48</w:t>
                  </w:r>
                </w:p>
              </w:tc>
              <w:tc>
                <w:tcPr>
                  <w:tcW w:w="232" w:type="pct"/>
                  <w:vMerge w:val="restart"/>
                  <w:noWrap w:val="0"/>
                  <w:vAlign w:val="center"/>
                </w:tcPr>
                <w:p w14:paraId="565E54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s="Times New Roman"/>
                      <w:color w:val="auto"/>
                      <w:sz w:val="21"/>
                      <w:szCs w:val="21"/>
                      <w:lang w:val="en-US" w:eastAsia="zh-CN"/>
                    </w:rPr>
                    <w:t>厂区化粪池</w:t>
                  </w:r>
                </w:p>
              </w:tc>
              <w:tc>
                <w:tcPr>
                  <w:tcW w:w="561" w:type="pct"/>
                  <w:vMerge w:val="restart"/>
                  <w:noWrap w:val="0"/>
                  <w:vAlign w:val="center"/>
                </w:tcPr>
                <w:p w14:paraId="571E61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70</w:t>
                  </w:r>
                </w:p>
              </w:tc>
              <w:tc>
                <w:tcPr>
                  <w:tcW w:w="480" w:type="pct"/>
                  <w:vMerge w:val="restart"/>
                  <w:noWrap w:val="0"/>
                  <w:vAlign w:val="center"/>
                </w:tcPr>
                <w:p w14:paraId="6FFF3F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沉淀</w:t>
                  </w:r>
                </w:p>
              </w:tc>
              <w:tc>
                <w:tcPr>
                  <w:tcW w:w="245" w:type="pct"/>
                  <w:noWrap w:val="0"/>
                  <w:vAlign w:val="center"/>
                </w:tcPr>
                <w:p w14:paraId="191940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restart"/>
                  <w:noWrap w:val="0"/>
                  <w:vAlign w:val="center"/>
                </w:tcPr>
                <w:p w14:paraId="75B377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是</w:t>
                  </w:r>
                </w:p>
              </w:tc>
              <w:tc>
                <w:tcPr>
                  <w:tcW w:w="594" w:type="pct"/>
                  <w:noWrap w:val="0"/>
                  <w:vAlign w:val="center"/>
                </w:tcPr>
                <w:p w14:paraId="4BC603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460" w:type="pct"/>
                  <w:noWrap w:val="0"/>
                  <w:vAlign w:val="center"/>
                </w:tcPr>
                <w:p w14:paraId="7F90A5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120</w:t>
                  </w:r>
                </w:p>
              </w:tc>
              <w:tc>
                <w:tcPr>
                  <w:tcW w:w="232" w:type="pct"/>
                  <w:vMerge w:val="restart"/>
                  <w:noWrap w:val="0"/>
                  <w:vAlign w:val="center"/>
                </w:tcPr>
                <w:p w14:paraId="7FAC40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沣西新城渭河污水处理厂</w:t>
                  </w:r>
                </w:p>
              </w:tc>
              <w:tc>
                <w:tcPr>
                  <w:tcW w:w="232" w:type="pct"/>
                  <w:vMerge w:val="restart"/>
                  <w:noWrap w:val="0"/>
                  <w:vAlign w:val="center"/>
                </w:tcPr>
                <w:p w14:paraId="6E7E33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间断排放</w:t>
                  </w:r>
                </w:p>
              </w:tc>
            </w:tr>
            <w:tr w14:paraId="7976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7FC653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0949AF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pH/无量纲</w:t>
                  </w:r>
                </w:p>
              </w:tc>
              <w:tc>
                <w:tcPr>
                  <w:tcW w:w="594" w:type="pct"/>
                  <w:noWrap w:val="0"/>
                  <w:vAlign w:val="center"/>
                </w:tcPr>
                <w:p w14:paraId="4E19BA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6~9</w:t>
                  </w:r>
                </w:p>
              </w:tc>
              <w:tc>
                <w:tcPr>
                  <w:tcW w:w="460" w:type="pct"/>
                  <w:noWrap w:val="0"/>
                  <w:vAlign w:val="center"/>
                </w:tcPr>
                <w:p w14:paraId="268500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4C2F87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2DC29F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p>
              </w:tc>
              <w:tc>
                <w:tcPr>
                  <w:tcW w:w="480" w:type="pct"/>
                  <w:vMerge w:val="continue"/>
                  <w:noWrap w:val="0"/>
                  <w:vAlign w:val="center"/>
                </w:tcPr>
                <w:p w14:paraId="314753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1"/>
                      <w:szCs w:val="21"/>
                      <w:lang w:val="en-US" w:eastAsia="zh-CN"/>
                    </w:rPr>
                  </w:pPr>
                </w:p>
              </w:tc>
              <w:tc>
                <w:tcPr>
                  <w:tcW w:w="245" w:type="pct"/>
                  <w:noWrap w:val="0"/>
                  <w:vAlign w:val="center"/>
                </w:tcPr>
                <w:p w14:paraId="03E07E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59D5BA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628818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6~9</w:t>
                  </w:r>
                </w:p>
              </w:tc>
              <w:tc>
                <w:tcPr>
                  <w:tcW w:w="460" w:type="pct"/>
                  <w:noWrap w:val="0"/>
                  <w:vAlign w:val="center"/>
                </w:tcPr>
                <w:p w14:paraId="395F06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1DEEEC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5BBB17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64FD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6AA113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64B48C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COD</w:t>
                  </w:r>
                </w:p>
              </w:tc>
              <w:tc>
                <w:tcPr>
                  <w:tcW w:w="594" w:type="pct"/>
                  <w:noWrap w:val="0"/>
                  <w:vAlign w:val="center"/>
                </w:tcPr>
                <w:p w14:paraId="2A4C09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400</w:t>
                  </w:r>
                </w:p>
              </w:tc>
              <w:tc>
                <w:tcPr>
                  <w:tcW w:w="460" w:type="pct"/>
                  <w:noWrap w:val="0"/>
                  <w:vAlign w:val="center"/>
                </w:tcPr>
                <w:p w14:paraId="3FBD4B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0.0</w:t>
                  </w:r>
                  <w:r>
                    <w:rPr>
                      <w:rFonts w:hint="eastAsia"/>
                      <w:color w:val="auto"/>
                      <w:sz w:val="21"/>
                      <w:szCs w:val="21"/>
                      <w:lang w:val="en-US" w:eastAsia="zh-CN"/>
                    </w:rPr>
                    <w:t>19</w:t>
                  </w:r>
                </w:p>
              </w:tc>
              <w:tc>
                <w:tcPr>
                  <w:tcW w:w="232" w:type="pct"/>
                  <w:vMerge w:val="continue"/>
                  <w:noWrap w:val="0"/>
                  <w:vAlign w:val="center"/>
                </w:tcPr>
                <w:p w14:paraId="1B49B3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410E29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0" w:type="pct"/>
                  <w:vMerge w:val="continue"/>
                  <w:noWrap w:val="0"/>
                  <w:vAlign w:val="center"/>
                </w:tcPr>
                <w:p w14:paraId="3CD233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47D6EA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w:t>
                  </w:r>
                </w:p>
              </w:tc>
              <w:tc>
                <w:tcPr>
                  <w:tcW w:w="232" w:type="pct"/>
                  <w:vMerge w:val="continue"/>
                  <w:noWrap w:val="0"/>
                  <w:vAlign w:val="center"/>
                </w:tcPr>
                <w:p w14:paraId="66882A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091" w:type="dxa"/>
                  <w:noWrap w:val="0"/>
                  <w:vAlign w:val="center"/>
                </w:tcPr>
                <w:p w14:paraId="44318C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400</w:t>
                  </w:r>
                </w:p>
              </w:tc>
              <w:tc>
                <w:tcPr>
                  <w:tcW w:w="846" w:type="dxa"/>
                  <w:noWrap w:val="0"/>
                  <w:vAlign w:val="center"/>
                </w:tcPr>
                <w:p w14:paraId="643FA9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0.0</w:t>
                  </w:r>
                  <w:r>
                    <w:rPr>
                      <w:rFonts w:hint="eastAsia"/>
                      <w:color w:val="auto"/>
                      <w:sz w:val="21"/>
                      <w:szCs w:val="21"/>
                      <w:lang w:val="en-US" w:eastAsia="zh-CN"/>
                    </w:rPr>
                    <w:t>19</w:t>
                  </w:r>
                </w:p>
              </w:tc>
              <w:tc>
                <w:tcPr>
                  <w:tcW w:w="232" w:type="pct"/>
                  <w:vMerge w:val="continue"/>
                  <w:noWrap w:val="0"/>
                  <w:vAlign w:val="center"/>
                </w:tcPr>
                <w:p w14:paraId="79D84A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4DE8C9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6EBE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3E6C0C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3A3295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BOD</w:t>
                  </w:r>
                  <w:r>
                    <w:rPr>
                      <w:color w:val="auto"/>
                      <w:sz w:val="21"/>
                      <w:szCs w:val="21"/>
                      <w:vertAlign w:val="subscript"/>
                      <w:lang w:val="en-US" w:eastAsia="zh-CN"/>
                    </w:rPr>
                    <w:t>5</w:t>
                  </w:r>
                </w:p>
              </w:tc>
              <w:tc>
                <w:tcPr>
                  <w:tcW w:w="594" w:type="pct"/>
                  <w:noWrap w:val="0"/>
                  <w:vAlign w:val="center"/>
                </w:tcPr>
                <w:p w14:paraId="6E135E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250</w:t>
                  </w:r>
                </w:p>
              </w:tc>
              <w:tc>
                <w:tcPr>
                  <w:tcW w:w="460" w:type="pct"/>
                  <w:noWrap w:val="0"/>
                  <w:vAlign w:val="center"/>
                </w:tcPr>
                <w:p w14:paraId="371B56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0.0</w:t>
                  </w:r>
                  <w:r>
                    <w:rPr>
                      <w:rFonts w:hint="eastAsia"/>
                      <w:color w:val="auto"/>
                      <w:sz w:val="21"/>
                      <w:szCs w:val="21"/>
                      <w:lang w:val="en-US" w:eastAsia="zh-CN"/>
                    </w:rPr>
                    <w:t>12</w:t>
                  </w:r>
                </w:p>
              </w:tc>
              <w:tc>
                <w:tcPr>
                  <w:tcW w:w="232" w:type="pct"/>
                  <w:vMerge w:val="continue"/>
                  <w:noWrap w:val="0"/>
                  <w:vAlign w:val="center"/>
                </w:tcPr>
                <w:p w14:paraId="3FE425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36C60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0" w:type="pct"/>
                  <w:vMerge w:val="continue"/>
                  <w:noWrap w:val="0"/>
                  <w:vAlign w:val="center"/>
                </w:tcPr>
                <w:p w14:paraId="3F83BD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2A913B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7E63EF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091" w:type="dxa"/>
                  <w:noWrap w:val="0"/>
                  <w:vAlign w:val="center"/>
                </w:tcPr>
                <w:p w14:paraId="1C6DAA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250</w:t>
                  </w:r>
                </w:p>
              </w:tc>
              <w:tc>
                <w:tcPr>
                  <w:tcW w:w="846" w:type="dxa"/>
                  <w:noWrap w:val="0"/>
                  <w:vAlign w:val="center"/>
                </w:tcPr>
                <w:p w14:paraId="21F215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0.0</w:t>
                  </w:r>
                  <w:r>
                    <w:rPr>
                      <w:rFonts w:hint="eastAsia"/>
                      <w:color w:val="auto"/>
                      <w:sz w:val="21"/>
                      <w:szCs w:val="21"/>
                      <w:lang w:val="en-US" w:eastAsia="zh-CN"/>
                    </w:rPr>
                    <w:t>12</w:t>
                  </w:r>
                </w:p>
              </w:tc>
              <w:tc>
                <w:tcPr>
                  <w:tcW w:w="232" w:type="pct"/>
                  <w:vMerge w:val="continue"/>
                  <w:noWrap w:val="0"/>
                  <w:vAlign w:val="center"/>
                </w:tcPr>
                <w:p w14:paraId="4F316B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4A5FCF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3773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4659A4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44EC8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NH</w:t>
                  </w:r>
                  <w:r>
                    <w:rPr>
                      <w:color w:val="auto"/>
                      <w:sz w:val="21"/>
                      <w:szCs w:val="21"/>
                      <w:vertAlign w:val="subscript"/>
                      <w:lang w:val="en-US" w:eastAsia="zh-CN"/>
                    </w:rPr>
                    <w:t>3</w:t>
                  </w:r>
                  <w:r>
                    <w:rPr>
                      <w:rFonts w:hint="default"/>
                      <w:color w:val="auto"/>
                      <w:sz w:val="21"/>
                      <w:szCs w:val="21"/>
                      <w:lang w:val="en-US" w:eastAsia="zh-CN"/>
                    </w:rPr>
                    <w:t>-N</w:t>
                  </w:r>
                </w:p>
              </w:tc>
              <w:tc>
                <w:tcPr>
                  <w:tcW w:w="594" w:type="pct"/>
                  <w:noWrap w:val="0"/>
                  <w:vAlign w:val="center"/>
                </w:tcPr>
                <w:p w14:paraId="000944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30</w:t>
                  </w:r>
                </w:p>
              </w:tc>
              <w:tc>
                <w:tcPr>
                  <w:tcW w:w="460" w:type="pct"/>
                  <w:noWrap w:val="0"/>
                  <w:vAlign w:val="center"/>
                </w:tcPr>
                <w:p w14:paraId="5AFAC2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0.00</w:t>
                  </w:r>
                  <w:r>
                    <w:rPr>
                      <w:rFonts w:hint="eastAsia"/>
                      <w:color w:val="auto"/>
                      <w:sz w:val="21"/>
                      <w:szCs w:val="21"/>
                      <w:lang w:val="en-US" w:eastAsia="zh-CN"/>
                    </w:rPr>
                    <w:t>1</w:t>
                  </w:r>
                </w:p>
              </w:tc>
              <w:tc>
                <w:tcPr>
                  <w:tcW w:w="232" w:type="pct"/>
                  <w:vMerge w:val="continue"/>
                  <w:noWrap w:val="0"/>
                  <w:vAlign w:val="center"/>
                </w:tcPr>
                <w:p w14:paraId="292C64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7438E7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0" w:type="pct"/>
                  <w:vMerge w:val="continue"/>
                  <w:noWrap w:val="0"/>
                  <w:vAlign w:val="center"/>
                </w:tcPr>
                <w:p w14:paraId="762C64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2FF537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w:t>
                  </w:r>
                </w:p>
              </w:tc>
              <w:tc>
                <w:tcPr>
                  <w:tcW w:w="232" w:type="pct"/>
                  <w:vMerge w:val="continue"/>
                  <w:noWrap w:val="0"/>
                  <w:vAlign w:val="center"/>
                </w:tcPr>
                <w:p w14:paraId="700CFE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091" w:type="dxa"/>
                  <w:noWrap w:val="0"/>
                  <w:vAlign w:val="center"/>
                </w:tcPr>
                <w:p w14:paraId="67688B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30</w:t>
                  </w:r>
                </w:p>
              </w:tc>
              <w:tc>
                <w:tcPr>
                  <w:tcW w:w="846" w:type="dxa"/>
                  <w:noWrap w:val="0"/>
                  <w:vAlign w:val="center"/>
                </w:tcPr>
                <w:p w14:paraId="4FE011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0.00</w:t>
                  </w:r>
                  <w:r>
                    <w:rPr>
                      <w:rFonts w:hint="eastAsia"/>
                      <w:color w:val="auto"/>
                      <w:sz w:val="21"/>
                      <w:szCs w:val="21"/>
                      <w:lang w:val="en-US" w:eastAsia="zh-CN"/>
                    </w:rPr>
                    <w:t>1</w:t>
                  </w:r>
                </w:p>
              </w:tc>
              <w:tc>
                <w:tcPr>
                  <w:tcW w:w="232" w:type="pct"/>
                  <w:vMerge w:val="continue"/>
                  <w:noWrap w:val="0"/>
                  <w:vAlign w:val="center"/>
                </w:tcPr>
                <w:p w14:paraId="4242E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770339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2A2E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3BEF19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shd w:val="clear" w:color="auto" w:fill="auto"/>
                  <w:noWrap w:val="0"/>
                  <w:vAlign w:val="center"/>
                </w:tcPr>
                <w:p w14:paraId="42BA8F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color w:val="auto"/>
                      <w:sz w:val="21"/>
                      <w:szCs w:val="21"/>
                      <w:lang w:val="en-US" w:eastAsia="zh-CN"/>
                    </w:rPr>
                    <w:t>SS</w:t>
                  </w:r>
                </w:p>
              </w:tc>
              <w:tc>
                <w:tcPr>
                  <w:tcW w:w="594" w:type="pct"/>
                  <w:shd w:val="clear" w:color="auto" w:fill="auto"/>
                  <w:noWrap w:val="0"/>
                  <w:vAlign w:val="center"/>
                </w:tcPr>
                <w:p w14:paraId="79EEC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200</w:t>
                  </w:r>
                </w:p>
              </w:tc>
              <w:tc>
                <w:tcPr>
                  <w:tcW w:w="460" w:type="pct"/>
                  <w:shd w:val="clear" w:color="auto" w:fill="auto"/>
                  <w:noWrap w:val="0"/>
                  <w:vAlign w:val="center"/>
                </w:tcPr>
                <w:p w14:paraId="219BD5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olor w:val="auto"/>
                      <w:sz w:val="21"/>
                      <w:szCs w:val="21"/>
                      <w:lang w:val="en-US" w:eastAsia="zh-CN"/>
                    </w:rPr>
                    <w:t>0.0</w:t>
                  </w:r>
                  <w:r>
                    <w:rPr>
                      <w:rFonts w:hint="eastAsia"/>
                      <w:color w:val="auto"/>
                      <w:sz w:val="21"/>
                      <w:szCs w:val="21"/>
                      <w:lang w:val="en-US" w:eastAsia="zh-CN"/>
                    </w:rPr>
                    <w:t>10</w:t>
                  </w:r>
                </w:p>
              </w:tc>
              <w:tc>
                <w:tcPr>
                  <w:tcW w:w="232" w:type="pct"/>
                  <w:vMerge w:val="continue"/>
                  <w:noWrap w:val="0"/>
                  <w:vAlign w:val="center"/>
                </w:tcPr>
                <w:p w14:paraId="366A86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0642E3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0" w:type="pct"/>
                  <w:vMerge w:val="continue"/>
                  <w:noWrap w:val="0"/>
                  <w:vAlign w:val="center"/>
                </w:tcPr>
                <w:p w14:paraId="6E7618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5C059C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30</w:t>
                  </w:r>
                </w:p>
              </w:tc>
              <w:tc>
                <w:tcPr>
                  <w:tcW w:w="232" w:type="pct"/>
                  <w:vMerge w:val="continue"/>
                  <w:noWrap w:val="0"/>
                  <w:vAlign w:val="center"/>
                </w:tcPr>
                <w:p w14:paraId="10BF35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109293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140</w:t>
                  </w:r>
                </w:p>
              </w:tc>
              <w:tc>
                <w:tcPr>
                  <w:tcW w:w="460" w:type="pct"/>
                  <w:noWrap w:val="0"/>
                  <w:vAlign w:val="center"/>
                </w:tcPr>
                <w:p w14:paraId="2CEB3F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s="Times New Roman"/>
                      <w:color w:val="auto"/>
                      <w:kern w:val="2"/>
                      <w:sz w:val="21"/>
                      <w:szCs w:val="21"/>
                      <w:lang w:val="en-US" w:eastAsia="zh-CN" w:bidi="ar-SA"/>
                    </w:rPr>
                    <w:t>0.007</w:t>
                  </w:r>
                </w:p>
              </w:tc>
              <w:tc>
                <w:tcPr>
                  <w:tcW w:w="232" w:type="pct"/>
                  <w:vMerge w:val="continue"/>
                  <w:noWrap w:val="0"/>
                  <w:vAlign w:val="center"/>
                </w:tcPr>
                <w:p w14:paraId="023225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3D3496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533B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573467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shd w:val="clear" w:color="auto" w:fill="auto"/>
                  <w:noWrap w:val="0"/>
                  <w:vAlign w:val="center"/>
                </w:tcPr>
                <w:p w14:paraId="1965D2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总磷</w:t>
                  </w:r>
                </w:p>
              </w:tc>
              <w:tc>
                <w:tcPr>
                  <w:tcW w:w="594" w:type="pct"/>
                  <w:shd w:val="clear" w:color="auto" w:fill="auto"/>
                  <w:noWrap w:val="0"/>
                  <w:vAlign w:val="center"/>
                </w:tcPr>
                <w:p w14:paraId="39DD4B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5</w:t>
                  </w:r>
                </w:p>
              </w:tc>
              <w:tc>
                <w:tcPr>
                  <w:tcW w:w="460" w:type="pct"/>
                  <w:shd w:val="clear" w:color="auto" w:fill="auto"/>
                  <w:noWrap w:val="0"/>
                  <w:vAlign w:val="center"/>
                </w:tcPr>
                <w:p w14:paraId="54AAE2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0.0002</w:t>
                  </w:r>
                </w:p>
              </w:tc>
              <w:tc>
                <w:tcPr>
                  <w:tcW w:w="232" w:type="pct"/>
                  <w:vMerge w:val="continue"/>
                  <w:noWrap w:val="0"/>
                  <w:vAlign w:val="center"/>
                </w:tcPr>
                <w:p w14:paraId="4248EC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2BEDE9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0" w:type="pct"/>
                  <w:vMerge w:val="continue"/>
                  <w:noWrap w:val="0"/>
                  <w:vAlign w:val="center"/>
                </w:tcPr>
                <w:p w14:paraId="5876CC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058AF2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28DCBF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091" w:type="dxa"/>
                  <w:noWrap w:val="0"/>
                  <w:vAlign w:val="center"/>
                </w:tcPr>
                <w:p w14:paraId="048541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5</w:t>
                  </w:r>
                </w:p>
              </w:tc>
              <w:tc>
                <w:tcPr>
                  <w:tcW w:w="846" w:type="dxa"/>
                  <w:noWrap w:val="0"/>
                  <w:vAlign w:val="center"/>
                </w:tcPr>
                <w:p w14:paraId="1C97EB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0.0002</w:t>
                  </w:r>
                </w:p>
              </w:tc>
              <w:tc>
                <w:tcPr>
                  <w:tcW w:w="232" w:type="pct"/>
                  <w:vMerge w:val="continue"/>
                  <w:noWrap w:val="0"/>
                  <w:vAlign w:val="center"/>
                </w:tcPr>
                <w:p w14:paraId="0CF24D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2CEC66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75CD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2" w:type="pct"/>
                  <w:vMerge w:val="continue"/>
                  <w:noWrap w:val="0"/>
                  <w:vAlign w:val="center"/>
                </w:tcPr>
                <w:p w14:paraId="229A9D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shd w:val="clear" w:color="auto" w:fill="auto"/>
                  <w:noWrap w:val="0"/>
                  <w:vAlign w:val="center"/>
                </w:tcPr>
                <w:p w14:paraId="06FBA8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总氮</w:t>
                  </w:r>
                </w:p>
              </w:tc>
              <w:tc>
                <w:tcPr>
                  <w:tcW w:w="594" w:type="pct"/>
                  <w:shd w:val="clear" w:color="auto" w:fill="auto"/>
                  <w:noWrap w:val="0"/>
                  <w:vAlign w:val="center"/>
                </w:tcPr>
                <w:p w14:paraId="14CC35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45</w:t>
                  </w:r>
                </w:p>
              </w:tc>
              <w:tc>
                <w:tcPr>
                  <w:tcW w:w="460" w:type="pct"/>
                  <w:shd w:val="clear" w:color="auto" w:fill="auto"/>
                  <w:noWrap w:val="0"/>
                  <w:vAlign w:val="center"/>
                </w:tcPr>
                <w:p w14:paraId="7AC034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0.002</w:t>
                  </w:r>
                </w:p>
              </w:tc>
              <w:tc>
                <w:tcPr>
                  <w:tcW w:w="232" w:type="pct"/>
                  <w:vMerge w:val="continue"/>
                  <w:noWrap w:val="0"/>
                  <w:vAlign w:val="center"/>
                </w:tcPr>
                <w:p w14:paraId="4EA25C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1D2790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0" w:type="pct"/>
                  <w:vMerge w:val="continue"/>
                  <w:noWrap w:val="0"/>
                  <w:vAlign w:val="center"/>
                </w:tcPr>
                <w:p w14:paraId="67789E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18F92A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5FC061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091" w:type="dxa"/>
                  <w:noWrap w:val="0"/>
                  <w:vAlign w:val="center"/>
                </w:tcPr>
                <w:p w14:paraId="39EA34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45</w:t>
                  </w:r>
                </w:p>
              </w:tc>
              <w:tc>
                <w:tcPr>
                  <w:tcW w:w="846" w:type="dxa"/>
                  <w:noWrap w:val="0"/>
                  <w:vAlign w:val="center"/>
                </w:tcPr>
                <w:p w14:paraId="493DB4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0.002</w:t>
                  </w:r>
                </w:p>
              </w:tc>
              <w:tc>
                <w:tcPr>
                  <w:tcW w:w="232" w:type="pct"/>
                  <w:vMerge w:val="continue"/>
                  <w:noWrap w:val="0"/>
                  <w:vAlign w:val="center"/>
                </w:tcPr>
                <w:p w14:paraId="3A4684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3EE78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bl>
          <w:p w14:paraId="2D8040B0">
            <w:pPr>
              <w:bidi w:val="0"/>
              <w:rPr>
                <w:rFonts w:hint="eastAsia"/>
                <w:bCs/>
                <w:color w:val="auto"/>
                <w:lang w:val="en-US" w:eastAsia="zh-CN"/>
              </w:rPr>
            </w:pPr>
            <w:r>
              <w:rPr>
                <w:rFonts w:hint="default" w:ascii="Times New Roman" w:hAnsi="Times New Roman" w:eastAsia="宋体" w:cs="Times New Roman"/>
                <w:color w:val="auto"/>
                <w:kern w:val="0"/>
                <w:lang w:val="en-US" w:eastAsia="zh-CN" w:bidi="ar"/>
              </w:rPr>
              <w:t>②</w:t>
            </w:r>
            <w:r>
              <w:rPr>
                <w:rFonts w:hint="eastAsia"/>
                <w:bCs/>
                <w:color w:val="auto"/>
                <w:lang w:val="en-US" w:eastAsia="zh-CN"/>
              </w:rPr>
              <w:t>生产废水</w:t>
            </w:r>
          </w:p>
          <w:p w14:paraId="211E4DD5">
            <w:pPr>
              <w:bidi w:val="0"/>
              <w:rPr>
                <w:rFonts w:hint="default" w:ascii="Times New Roman" w:hAnsi="Times New Roman" w:eastAsia="宋体" w:cs="Times New Roman"/>
                <w:color w:val="auto"/>
                <w:sz w:val="24"/>
                <w:szCs w:val="24"/>
                <w:lang w:val="en-US" w:eastAsia="zh-CN"/>
              </w:rPr>
            </w:pPr>
            <w:r>
              <w:rPr>
                <w:rFonts w:hint="eastAsia"/>
                <w:bCs/>
                <w:color w:val="auto"/>
                <w:lang w:val="en-US" w:eastAsia="zh-CN"/>
              </w:rPr>
              <w:t>生产废水的</w:t>
            </w:r>
            <w:r>
              <w:rPr>
                <w:rFonts w:hint="eastAsia" w:cs="Times New Roman"/>
                <w:color w:val="auto"/>
                <w:sz w:val="24"/>
                <w:szCs w:val="24"/>
                <w:lang w:val="en-US" w:eastAsia="zh-CN"/>
              </w:rPr>
              <w:t>产生</w:t>
            </w:r>
            <w:r>
              <w:rPr>
                <w:rFonts w:hint="default" w:ascii="Times New Roman" w:hAnsi="Times New Roman" w:eastAsia="宋体" w:cs="Times New Roman"/>
                <w:color w:val="auto"/>
                <w:sz w:val="24"/>
                <w:szCs w:val="24"/>
              </w:rPr>
              <w:t>量为</w:t>
            </w:r>
            <w:r>
              <w:rPr>
                <w:rFonts w:hint="eastAsia" w:cs="Times New Roman"/>
                <w:color w:val="auto"/>
                <w:sz w:val="24"/>
                <w:szCs w:val="24"/>
                <w:lang w:val="en-US" w:eastAsia="zh-CN"/>
              </w:rPr>
              <w:t>50.05</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5005.1</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废水源强参考</w:t>
            </w:r>
            <w:r>
              <w:rPr>
                <w:rFonts w:hint="default" w:ascii="Times New Roman" w:hAnsi="Times New Roman" w:cs="Times New Roman"/>
                <w:color w:val="auto"/>
                <w:spacing w:val="0"/>
                <w:kern w:val="0"/>
                <w:sz w:val="24"/>
                <w:szCs w:val="24"/>
                <w:highlight w:val="none"/>
                <w:lang w:eastAsia="zh-CN"/>
              </w:rPr>
              <w:t>《</w:t>
            </w:r>
            <w:r>
              <w:rPr>
                <w:rFonts w:hint="default" w:ascii="Times New Roman" w:hAnsi="Times New Roman" w:cs="Times New Roman"/>
                <w:color w:val="auto"/>
                <w:spacing w:val="0"/>
                <w:kern w:val="0"/>
                <w:sz w:val="24"/>
                <w:szCs w:val="24"/>
                <w:highlight w:val="none"/>
                <w:lang w:val="en-US" w:eastAsia="zh-CN"/>
              </w:rPr>
              <w:t>安徽省六安市鸿源食品有限公司</w:t>
            </w:r>
            <w:r>
              <w:rPr>
                <w:rFonts w:hint="default" w:ascii="Times New Roman" w:hAnsi="Times New Roman" w:cs="Times New Roman"/>
                <w:color w:val="auto"/>
                <w:spacing w:val="0"/>
                <w:kern w:val="0"/>
                <w:sz w:val="24"/>
                <w:szCs w:val="24"/>
                <w:highlight w:val="none"/>
                <w:lang w:eastAsia="zh-CN"/>
              </w:rPr>
              <w:t>年</w:t>
            </w:r>
            <w:r>
              <w:rPr>
                <w:rFonts w:hint="eastAsia" w:cs="Times New Roman"/>
                <w:color w:val="auto"/>
                <w:spacing w:val="0"/>
                <w:kern w:val="0"/>
                <w:sz w:val="24"/>
                <w:szCs w:val="24"/>
                <w:highlight w:val="none"/>
                <w:lang w:val="en-US" w:eastAsia="zh-CN"/>
              </w:rPr>
              <w:t>加工1500</w:t>
            </w:r>
            <w:r>
              <w:rPr>
                <w:rFonts w:hint="default" w:ascii="Times New Roman" w:hAnsi="Times New Roman" w:cs="Times New Roman"/>
                <w:color w:val="auto"/>
                <w:spacing w:val="0"/>
                <w:kern w:val="0"/>
                <w:sz w:val="24"/>
                <w:szCs w:val="24"/>
                <w:highlight w:val="none"/>
                <w:lang w:val="en-US" w:eastAsia="zh-CN"/>
              </w:rPr>
              <w:t>吨</w:t>
            </w:r>
            <w:r>
              <w:rPr>
                <w:rFonts w:hint="eastAsia" w:cs="Times New Roman"/>
                <w:color w:val="auto"/>
                <w:spacing w:val="0"/>
                <w:kern w:val="0"/>
                <w:sz w:val="24"/>
                <w:szCs w:val="24"/>
                <w:highlight w:val="none"/>
                <w:lang w:val="en-US" w:eastAsia="zh-CN"/>
              </w:rPr>
              <w:t>龙虾</w:t>
            </w:r>
            <w:r>
              <w:rPr>
                <w:rFonts w:hint="default" w:ascii="Times New Roman" w:hAnsi="Times New Roman" w:cs="Times New Roman"/>
                <w:color w:val="auto"/>
                <w:spacing w:val="0"/>
                <w:kern w:val="0"/>
                <w:sz w:val="24"/>
                <w:szCs w:val="24"/>
                <w:highlight w:val="none"/>
                <w:lang w:val="en-US" w:eastAsia="zh-CN"/>
              </w:rPr>
              <w:t>项目竣工环境保护验收监测报告表</w:t>
            </w:r>
            <w:r>
              <w:rPr>
                <w:rFonts w:hint="default" w:ascii="Times New Roman" w:hAnsi="Times New Roman" w:cs="Times New Roman"/>
                <w:color w:val="auto"/>
                <w:spacing w:val="0"/>
                <w:kern w:val="0"/>
                <w:sz w:val="24"/>
                <w:szCs w:val="24"/>
                <w:highlight w:val="none"/>
                <w:lang w:eastAsia="zh-CN"/>
              </w:rPr>
              <w:t>》，</w:t>
            </w:r>
            <w:r>
              <w:rPr>
                <w:rFonts w:hint="eastAsia" w:ascii="Times New Roman" w:hAnsi="Times New Roman" w:cs="Times New Roman"/>
                <w:color w:val="auto"/>
                <w:spacing w:val="0"/>
                <w:kern w:val="0"/>
                <w:sz w:val="24"/>
                <w:szCs w:val="24"/>
                <w:highlight w:val="none"/>
                <w:lang w:val="en-US" w:eastAsia="zh-CN"/>
              </w:rPr>
              <w:t>其</w:t>
            </w:r>
            <w:r>
              <w:rPr>
                <w:rFonts w:hint="eastAsia" w:cs="Times New Roman"/>
                <w:color w:val="auto"/>
                <w:spacing w:val="0"/>
                <w:kern w:val="0"/>
                <w:sz w:val="24"/>
                <w:szCs w:val="24"/>
                <w:highlight w:val="none"/>
                <w:lang w:val="en-US" w:eastAsia="zh-CN"/>
              </w:rPr>
              <w:t>生产</w:t>
            </w:r>
            <w:r>
              <w:rPr>
                <w:rFonts w:hint="eastAsia" w:ascii="Times New Roman" w:hAnsi="Times New Roman" w:cs="Times New Roman"/>
                <w:color w:val="auto"/>
                <w:spacing w:val="0"/>
                <w:kern w:val="0"/>
                <w:sz w:val="24"/>
                <w:szCs w:val="24"/>
                <w:highlight w:val="none"/>
                <w:lang w:val="en-US" w:eastAsia="zh-CN"/>
              </w:rPr>
              <w:t>工艺与本项目相同，具有可类比性。</w:t>
            </w:r>
            <w:r>
              <w:rPr>
                <w:rFonts w:hint="default" w:ascii="Times New Roman" w:hAnsi="Times New Roman" w:cs="Times New Roman"/>
                <w:color w:val="auto"/>
                <w:spacing w:val="0"/>
                <w:kern w:val="0"/>
                <w:sz w:val="24"/>
                <w:szCs w:val="24"/>
                <w:highlight w:val="none"/>
                <w:lang w:val="en-US" w:eastAsia="zh-CN"/>
              </w:rPr>
              <w:t>根据其竣工验收监测数据，</w:t>
            </w:r>
            <w:bookmarkStart w:id="6" w:name="OLE_LINK13"/>
            <w:r>
              <w:rPr>
                <w:rFonts w:hint="default" w:ascii="Times New Roman" w:hAnsi="Times New Roman" w:cs="Times New Roman"/>
                <w:color w:val="auto"/>
                <w:spacing w:val="0"/>
                <w:kern w:val="0"/>
                <w:sz w:val="24"/>
                <w:szCs w:val="24"/>
                <w:highlight w:val="none"/>
                <w:lang w:val="en-US" w:eastAsia="zh-CN"/>
              </w:rPr>
              <w:t>废水污染物浓度均值为</w:t>
            </w:r>
            <w:bookmarkStart w:id="7" w:name="OLE_LINK17"/>
            <w:r>
              <w:rPr>
                <w:rFonts w:hint="default" w:ascii="Times New Roman" w:hAnsi="Times New Roman" w:cs="Times New Roman"/>
                <w:color w:val="auto"/>
                <w:spacing w:val="0"/>
                <w:kern w:val="0"/>
                <w:sz w:val="24"/>
                <w:szCs w:val="24"/>
                <w:highlight w:val="none"/>
                <w:lang w:val="en-US" w:eastAsia="zh-CN"/>
              </w:rPr>
              <w:t>化学需氧量1</w:t>
            </w:r>
            <w:r>
              <w:rPr>
                <w:rFonts w:hint="eastAsia" w:cs="Times New Roman"/>
                <w:color w:val="auto"/>
                <w:spacing w:val="0"/>
                <w:kern w:val="0"/>
                <w:sz w:val="24"/>
                <w:szCs w:val="24"/>
                <w:highlight w:val="none"/>
                <w:lang w:val="en-US" w:eastAsia="zh-CN"/>
              </w:rPr>
              <w:t>328</w:t>
            </w:r>
            <w:r>
              <w:rPr>
                <w:rFonts w:hint="default" w:ascii="Times New Roman" w:hAnsi="Times New Roman" w:cs="Times New Roman"/>
                <w:color w:val="auto"/>
                <w:spacing w:val="0"/>
                <w:kern w:val="0"/>
                <w:sz w:val="24"/>
                <w:highlight w:val="none"/>
                <w:lang w:val="en-US" w:eastAsia="zh-CN"/>
              </w:rPr>
              <w:t>mg/L，五日生化需氧量</w:t>
            </w:r>
            <w:r>
              <w:rPr>
                <w:rFonts w:hint="eastAsia" w:cs="Times New Roman"/>
                <w:color w:val="auto"/>
                <w:spacing w:val="0"/>
                <w:kern w:val="0"/>
                <w:sz w:val="24"/>
                <w:highlight w:val="none"/>
                <w:lang w:val="en-US" w:eastAsia="zh-CN"/>
              </w:rPr>
              <w:t>830</w:t>
            </w:r>
            <w:r>
              <w:rPr>
                <w:rFonts w:hint="default" w:ascii="Times New Roman" w:hAnsi="Times New Roman" w:cs="Times New Roman"/>
                <w:color w:val="auto"/>
                <w:spacing w:val="0"/>
                <w:kern w:val="0"/>
                <w:sz w:val="24"/>
                <w:highlight w:val="none"/>
                <w:lang w:val="en-US" w:eastAsia="zh-CN"/>
              </w:rPr>
              <w:t>mg/L，氨氮</w:t>
            </w:r>
            <w:r>
              <w:rPr>
                <w:rFonts w:hint="eastAsia" w:cs="Times New Roman"/>
                <w:color w:val="auto"/>
                <w:spacing w:val="0"/>
                <w:kern w:val="0"/>
                <w:sz w:val="24"/>
                <w:highlight w:val="none"/>
                <w:lang w:val="en-US" w:eastAsia="zh-CN"/>
              </w:rPr>
              <w:t>38</w:t>
            </w:r>
            <w:r>
              <w:rPr>
                <w:rFonts w:hint="default" w:ascii="Times New Roman" w:hAnsi="Times New Roman" w:cs="Times New Roman"/>
                <w:color w:val="auto"/>
                <w:spacing w:val="0"/>
                <w:kern w:val="0"/>
                <w:sz w:val="24"/>
                <w:highlight w:val="none"/>
                <w:lang w:val="en-US" w:eastAsia="zh-CN"/>
              </w:rPr>
              <w:t>mg/L，</w:t>
            </w:r>
            <w:r>
              <w:rPr>
                <w:rFonts w:hint="default" w:ascii="Times New Roman" w:hAnsi="Times New Roman" w:cs="Times New Roman"/>
                <w:color w:val="auto"/>
                <w:spacing w:val="0"/>
                <w:kern w:val="0"/>
                <w:sz w:val="24"/>
                <w:szCs w:val="24"/>
                <w:highlight w:val="none"/>
                <w:lang w:eastAsia="zh-CN"/>
              </w:rPr>
              <w:t>悬浮物</w:t>
            </w:r>
            <w:r>
              <w:rPr>
                <w:rFonts w:hint="eastAsia" w:cs="Times New Roman"/>
                <w:color w:val="auto"/>
                <w:spacing w:val="0"/>
                <w:kern w:val="0"/>
                <w:sz w:val="24"/>
                <w:szCs w:val="24"/>
                <w:highlight w:val="none"/>
                <w:lang w:val="en-US" w:eastAsia="zh-CN"/>
              </w:rPr>
              <w:t>800</w:t>
            </w:r>
            <w:r>
              <w:rPr>
                <w:rFonts w:hint="default" w:ascii="Times New Roman" w:hAnsi="Times New Roman" w:cs="Times New Roman"/>
                <w:color w:val="auto"/>
                <w:spacing w:val="0"/>
                <w:kern w:val="0"/>
                <w:sz w:val="24"/>
                <w:szCs w:val="24"/>
                <w:highlight w:val="none"/>
                <w:lang w:val="en-US" w:eastAsia="zh-CN"/>
              </w:rPr>
              <w:t>mg/L，</w:t>
            </w:r>
            <w:r>
              <w:rPr>
                <w:rFonts w:hint="default" w:ascii="Times New Roman" w:hAnsi="Times New Roman" w:cs="Times New Roman"/>
                <w:color w:val="auto"/>
                <w:spacing w:val="0"/>
                <w:kern w:val="0"/>
                <w:sz w:val="24"/>
                <w:highlight w:val="none"/>
                <w:lang w:val="en-US" w:eastAsia="zh-CN"/>
              </w:rPr>
              <w:t>总磷</w:t>
            </w:r>
            <w:r>
              <w:rPr>
                <w:rFonts w:hint="eastAsia" w:cs="Times New Roman"/>
                <w:color w:val="auto"/>
                <w:spacing w:val="0"/>
                <w:kern w:val="0"/>
                <w:sz w:val="24"/>
                <w:highlight w:val="none"/>
                <w:lang w:val="en-US" w:eastAsia="zh-CN"/>
              </w:rPr>
              <w:t>4.4</w:t>
            </w:r>
            <w:r>
              <w:rPr>
                <w:rFonts w:hint="default" w:ascii="Times New Roman" w:hAnsi="Times New Roman" w:cs="Times New Roman"/>
                <w:color w:val="auto"/>
                <w:spacing w:val="0"/>
                <w:kern w:val="0"/>
                <w:sz w:val="24"/>
                <w:highlight w:val="none"/>
                <w:lang w:val="en-US" w:eastAsia="zh-CN"/>
              </w:rPr>
              <w:t>mg/L，动植物油</w:t>
            </w:r>
            <w:r>
              <w:rPr>
                <w:rFonts w:hint="eastAsia" w:cs="Times New Roman"/>
                <w:color w:val="auto"/>
                <w:spacing w:val="0"/>
                <w:kern w:val="0"/>
                <w:sz w:val="24"/>
                <w:highlight w:val="none"/>
                <w:lang w:val="en-US" w:eastAsia="zh-CN"/>
              </w:rPr>
              <w:t>24.5</w:t>
            </w:r>
            <w:r>
              <w:rPr>
                <w:rFonts w:hint="default" w:ascii="Times New Roman" w:hAnsi="Times New Roman" w:cs="Times New Roman"/>
                <w:color w:val="auto"/>
                <w:spacing w:val="0"/>
                <w:kern w:val="0"/>
                <w:sz w:val="24"/>
                <w:highlight w:val="none"/>
                <w:lang w:val="en-US" w:eastAsia="zh-CN"/>
              </w:rPr>
              <w:t>mg/L</w:t>
            </w:r>
            <w:bookmarkEnd w:id="7"/>
            <w:r>
              <w:rPr>
                <w:rFonts w:hint="default" w:ascii="Times New Roman" w:hAnsi="Times New Roman" w:cs="Times New Roman"/>
                <w:color w:val="auto"/>
                <w:spacing w:val="0"/>
                <w:kern w:val="0"/>
                <w:sz w:val="24"/>
                <w:highlight w:val="none"/>
                <w:lang w:val="en-US" w:eastAsia="zh-CN"/>
              </w:rPr>
              <w:t>。</w:t>
            </w:r>
            <w:bookmarkEnd w:id="6"/>
          </w:p>
          <w:p w14:paraId="7146A5B6">
            <w:pPr>
              <w:bidi w:val="0"/>
              <w:rPr>
                <w:bCs/>
                <w:color w:val="auto"/>
              </w:rPr>
            </w:pPr>
            <w:r>
              <w:rPr>
                <w:bCs/>
                <w:color w:val="auto"/>
              </w:rPr>
              <w:t>项目</w:t>
            </w:r>
            <w:r>
              <w:rPr>
                <w:rFonts w:hint="eastAsia"/>
                <w:bCs/>
                <w:color w:val="auto"/>
                <w:lang w:val="en-US" w:eastAsia="zh-CN"/>
              </w:rPr>
              <w:t>在车间北侧新建一座三格式隔油沉淀池，对废水进行隔油和沉淀预处理，处理规模为</w:t>
            </w:r>
            <w:r>
              <w:rPr>
                <w:rFonts w:hint="eastAsia" w:cs="Times New Roman"/>
                <w:color w:val="auto"/>
                <w:sz w:val="24"/>
                <w:szCs w:val="24"/>
                <w:lang w:val="en-US" w:eastAsia="zh-CN"/>
              </w:rPr>
              <w:t>60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eastAsia"/>
                <w:bCs/>
                <w:color w:val="auto"/>
                <w:lang w:val="en-US" w:eastAsia="zh-CN"/>
              </w:rPr>
              <w:t>，处理后的废水依托租赁方废水处理站</w:t>
            </w:r>
            <w:r>
              <w:rPr>
                <w:rFonts w:hint="eastAsia" w:cs="Times New Roman"/>
                <w:color w:val="auto"/>
                <w:lang w:val="en-US" w:eastAsia="zh-CN"/>
              </w:rPr>
              <w:t>处理后通过市政污水管网排入沣西新城渭河污水处理厂</w:t>
            </w:r>
            <w:r>
              <w:rPr>
                <w:rFonts w:hint="default" w:ascii="Times New Roman" w:hAnsi="Times New Roman" w:cs="Times New Roman"/>
                <w:color w:val="auto"/>
                <w:kern w:val="0"/>
                <w:lang w:bidi="ar"/>
              </w:rPr>
              <w:t>。</w:t>
            </w:r>
            <w:r>
              <w:rPr>
                <w:rFonts w:hint="eastAsia"/>
                <w:bCs/>
                <w:color w:val="auto"/>
                <w:lang w:val="en-US" w:eastAsia="zh-CN"/>
              </w:rPr>
              <w:t>生产</w:t>
            </w:r>
            <w:r>
              <w:rPr>
                <w:bCs/>
                <w:color w:val="auto"/>
              </w:rPr>
              <w:t>废水污染物产生及排放情况见表</w:t>
            </w:r>
            <w:r>
              <w:rPr>
                <w:rFonts w:hint="eastAsia"/>
                <w:bCs/>
                <w:color w:val="auto"/>
              </w:rPr>
              <w:t>4-</w:t>
            </w:r>
            <w:r>
              <w:rPr>
                <w:rFonts w:hint="eastAsia"/>
                <w:bCs/>
                <w:color w:val="auto"/>
                <w:lang w:val="en-US" w:eastAsia="zh-CN"/>
              </w:rPr>
              <w:t>6</w:t>
            </w:r>
            <w:r>
              <w:rPr>
                <w:bCs/>
                <w:color w:val="auto"/>
              </w:rPr>
              <w:t>。</w:t>
            </w:r>
          </w:p>
          <w:p w14:paraId="37D33394">
            <w:pPr>
              <w:pStyle w:val="54"/>
              <w:bidi w:val="0"/>
              <w:rPr>
                <w:rFonts w:hint="eastAsia"/>
                <w:color w:val="auto"/>
              </w:rPr>
            </w:pPr>
            <w:r>
              <w:rPr>
                <w:rFonts w:hint="eastAsia"/>
                <w:color w:val="auto"/>
              </w:rPr>
              <w:t>表4-</w:t>
            </w:r>
            <w:r>
              <w:rPr>
                <w:rFonts w:hint="eastAsia"/>
                <w:color w:val="auto"/>
                <w:lang w:val="en-US" w:eastAsia="zh-CN"/>
              </w:rPr>
              <w:t>6</w:t>
            </w:r>
            <w:r>
              <w:rPr>
                <w:rFonts w:hint="eastAsia"/>
                <w:color w:val="auto"/>
              </w:rPr>
              <w:t xml:space="preserve">  </w:t>
            </w:r>
            <w:r>
              <w:rPr>
                <w:rFonts w:hint="eastAsia"/>
                <w:bCs/>
                <w:color w:val="auto"/>
                <w:lang w:val="en-US" w:eastAsia="zh-CN"/>
              </w:rPr>
              <w:t>生产</w:t>
            </w:r>
            <w:r>
              <w:rPr>
                <w:rFonts w:hint="eastAsia"/>
                <w:color w:val="auto"/>
                <w:lang w:val="en-US" w:eastAsia="zh-CN"/>
              </w:rPr>
              <w:t>废</w:t>
            </w:r>
            <w:r>
              <w:rPr>
                <w:rFonts w:hint="eastAsia"/>
                <w:color w:val="auto"/>
                <w:lang w:eastAsia="zh-CN"/>
              </w:rPr>
              <w:t>水</w:t>
            </w:r>
            <w:r>
              <w:rPr>
                <w:rFonts w:hint="eastAsia"/>
                <w:color w:val="auto"/>
              </w:rPr>
              <w:t>污染物产生及排放情况一览表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
              <w:gridCol w:w="823"/>
              <w:gridCol w:w="1113"/>
              <w:gridCol w:w="863"/>
              <w:gridCol w:w="435"/>
              <w:gridCol w:w="1051"/>
              <w:gridCol w:w="901"/>
              <w:gridCol w:w="459"/>
              <w:gridCol w:w="436"/>
              <w:gridCol w:w="1113"/>
              <w:gridCol w:w="862"/>
              <w:gridCol w:w="435"/>
              <w:gridCol w:w="436"/>
            </w:tblGrid>
            <w:tr w14:paraId="3982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restart"/>
                  <w:noWrap w:val="0"/>
                  <w:vAlign w:val="center"/>
                </w:tcPr>
                <w:p w14:paraId="146586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产排污环节</w:t>
                  </w:r>
                </w:p>
              </w:tc>
              <w:tc>
                <w:tcPr>
                  <w:tcW w:w="440" w:type="pct"/>
                  <w:vMerge w:val="restart"/>
                  <w:noWrap w:val="0"/>
                  <w:vAlign w:val="center"/>
                </w:tcPr>
                <w:p w14:paraId="6E611F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污染物种类</w:t>
                  </w:r>
                </w:p>
              </w:tc>
              <w:tc>
                <w:tcPr>
                  <w:tcW w:w="1055" w:type="pct"/>
                  <w:gridSpan w:val="2"/>
                  <w:noWrap w:val="0"/>
                  <w:vAlign w:val="center"/>
                </w:tcPr>
                <w:p w14:paraId="36B3CA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污染物产生情况</w:t>
                  </w:r>
                </w:p>
              </w:tc>
              <w:tc>
                <w:tcPr>
                  <w:tcW w:w="1752" w:type="pct"/>
                  <w:gridSpan w:val="5"/>
                  <w:noWrap w:val="0"/>
                  <w:vAlign w:val="center"/>
                </w:tcPr>
                <w:p w14:paraId="4E4DE1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主要污染治理措施</w:t>
                  </w:r>
                </w:p>
              </w:tc>
              <w:tc>
                <w:tcPr>
                  <w:tcW w:w="1519" w:type="pct"/>
                  <w:gridSpan w:val="4"/>
                  <w:noWrap w:val="0"/>
                  <w:vAlign w:val="center"/>
                </w:tcPr>
                <w:p w14:paraId="63A8E3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污染物排放情况</w:t>
                  </w:r>
                </w:p>
              </w:tc>
            </w:tr>
            <w:tr w14:paraId="0CA8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00FEC5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vMerge w:val="continue"/>
                  <w:noWrap w:val="0"/>
                  <w:vAlign w:val="center"/>
                </w:tcPr>
                <w:p w14:paraId="2A708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3DF431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eastAsia="zh-CN"/>
                    </w:rPr>
                  </w:pPr>
                  <w:r>
                    <w:rPr>
                      <w:rFonts w:hint="eastAsia"/>
                      <w:color w:val="auto"/>
                      <w:sz w:val="21"/>
                      <w:szCs w:val="21"/>
                      <w:lang w:val="en-US" w:eastAsia="zh-CN"/>
                    </w:rPr>
                    <w:t>产生浓度（</w:t>
                  </w:r>
                  <w:r>
                    <w:rPr>
                      <w:rFonts w:hint="default"/>
                      <w:color w:val="auto"/>
                      <w:sz w:val="21"/>
                      <w:szCs w:val="21"/>
                      <w:lang w:val="en-US" w:eastAsia="zh-CN"/>
                    </w:rPr>
                    <w:t>mg/L</w:t>
                  </w:r>
                  <w:r>
                    <w:rPr>
                      <w:rFonts w:hint="eastAsia"/>
                      <w:color w:val="auto"/>
                      <w:sz w:val="21"/>
                      <w:szCs w:val="21"/>
                      <w:lang w:val="en-US" w:eastAsia="zh-CN"/>
                    </w:rPr>
                    <w:t>）</w:t>
                  </w:r>
                </w:p>
              </w:tc>
              <w:tc>
                <w:tcPr>
                  <w:tcW w:w="460" w:type="pct"/>
                  <w:noWrap w:val="0"/>
                  <w:vAlign w:val="center"/>
                </w:tcPr>
                <w:p w14:paraId="3D4FC1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产生量（</w:t>
                  </w:r>
                  <w:r>
                    <w:rPr>
                      <w:rFonts w:hint="default"/>
                      <w:color w:val="auto"/>
                      <w:sz w:val="21"/>
                      <w:szCs w:val="21"/>
                      <w:lang w:val="en-US" w:eastAsia="zh-CN"/>
                    </w:rPr>
                    <w:t>t/a</w:t>
                  </w:r>
                  <w:r>
                    <w:rPr>
                      <w:rFonts w:hint="eastAsia"/>
                      <w:color w:val="auto"/>
                      <w:sz w:val="21"/>
                      <w:szCs w:val="21"/>
                      <w:lang w:val="en-US" w:eastAsia="zh-CN"/>
                    </w:rPr>
                    <w:t>）</w:t>
                  </w:r>
                </w:p>
              </w:tc>
              <w:tc>
                <w:tcPr>
                  <w:tcW w:w="232" w:type="pct"/>
                  <w:noWrap w:val="0"/>
                  <w:vAlign w:val="center"/>
                </w:tcPr>
                <w:p w14:paraId="77464A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治理措施</w:t>
                  </w:r>
                </w:p>
              </w:tc>
              <w:tc>
                <w:tcPr>
                  <w:tcW w:w="561" w:type="pct"/>
                  <w:noWrap w:val="0"/>
                  <w:vAlign w:val="center"/>
                </w:tcPr>
                <w:p w14:paraId="6C73A6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处理能力（</w:t>
                  </w:r>
                  <w:r>
                    <w:rPr>
                      <w:rFonts w:hint="default"/>
                      <w:color w:val="auto"/>
                      <w:sz w:val="21"/>
                      <w:szCs w:val="21"/>
                      <w:lang w:val="en-US" w:eastAsia="zh-CN"/>
                    </w:rPr>
                    <w:t>m</w:t>
                  </w:r>
                  <w:r>
                    <w:rPr>
                      <w:rFonts w:hint="eastAsia"/>
                      <w:color w:val="auto"/>
                      <w:sz w:val="21"/>
                      <w:szCs w:val="21"/>
                      <w:vertAlign w:val="superscript"/>
                      <w:lang w:val="en-US" w:eastAsia="zh-CN"/>
                    </w:rPr>
                    <w:t>3</w:t>
                  </w:r>
                  <w:r>
                    <w:rPr>
                      <w:rFonts w:hint="eastAsia"/>
                      <w:color w:val="auto"/>
                      <w:sz w:val="21"/>
                      <w:szCs w:val="21"/>
                      <w:vertAlign w:val="baseline"/>
                      <w:lang w:val="en-US" w:eastAsia="zh-CN"/>
                    </w:rPr>
                    <w:t>/d</w:t>
                  </w:r>
                  <w:r>
                    <w:rPr>
                      <w:rFonts w:hint="eastAsia"/>
                      <w:color w:val="auto"/>
                      <w:sz w:val="21"/>
                      <w:szCs w:val="21"/>
                      <w:lang w:val="en-US" w:eastAsia="zh-CN"/>
                    </w:rPr>
                    <w:t>）</w:t>
                  </w:r>
                </w:p>
              </w:tc>
              <w:tc>
                <w:tcPr>
                  <w:tcW w:w="481" w:type="pct"/>
                  <w:noWrap w:val="0"/>
                  <w:vAlign w:val="center"/>
                </w:tcPr>
                <w:p w14:paraId="0C76E8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治理工艺</w:t>
                  </w:r>
                </w:p>
              </w:tc>
              <w:tc>
                <w:tcPr>
                  <w:tcW w:w="245" w:type="pct"/>
                  <w:noWrap w:val="0"/>
                  <w:vAlign w:val="center"/>
                </w:tcPr>
                <w:p w14:paraId="152F49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治理效率/%</w:t>
                  </w:r>
                </w:p>
              </w:tc>
              <w:tc>
                <w:tcPr>
                  <w:tcW w:w="232" w:type="pct"/>
                  <w:noWrap w:val="0"/>
                  <w:vAlign w:val="center"/>
                </w:tcPr>
                <w:p w14:paraId="4F6D3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是否为可行技术</w:t>
                  </w:r>
                </w:p>
              </w:tc>
              <w:tc>
                <w:tcPr>
                  <w:tcW w:w="594" w:type="pct"/>
                  <w:noWrap w:val="0"/>
                  <w:vAlign w:val="center"/>
                </w:tcPr>
                <w:p w14:paraId="07BEA2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eastAsia="zh-CN"/>
                    </w:rPr>
                  </w:pPr>
                  <w:r>
                    <w:rPr>
                      <w:rFonts w:hint="eastAsia"/>
                      <w:color w:val="auto"/>
                      <w:sz w:val="21"/>
                      <w:szCs w:val="21"/>
                      <w:lang w:val="en-US" w:eastAsia="zh-CN"/>
                    </w:rPr>
                    <w:t>排放浓度（</w:t>
                  </w:r>
                  <w:r>
                    <w:rPr>
                      <w:rFonts w:hint="default"/>
                      <w:color w:val="auto"/>
                      <w:sz w:val="21"/>
                      <w:szCs w:val="21"/>
                      <w:lang w:val="en-US" w:eastAsia="zh-CN"/>
                    </w:rPr>
                    <w:t>mg/L</w:t>
                  </w:r>
                  <w:r>
                    <w:rPr>
                      <w:rFonts w:hint="eastAsia"/>
                      <w:color w:val="auto"/>
                      <w:sz w:val="21"/>
                      <w:szCs w:val="21"/>
                      <w:lang w:val="en-US" w:eastAsia="zh-CN"/>
                    </w:rPr>
                    <w:t>）</w:t>
                  </w:r>
                </w:p>
              </w:tc>
              <w:tc>
                <w:tcPr>
                  <w:tcW w:w="460" w:type="pct"/>
                  <w:noWrap w:val="0"/>
                  <w:vAlign w:val="center"/>
                </w:tcPr>
                <w:p w14:paraId="4046C5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排放量（</w:t>
                  </w:r>
                  <w:r>
                    <w:rPr>
                      <w:rFonts w:hint="default"/>
                      <w:color w:val="auto"/>
                      <w:sz w:val="21"/>
                      <w:szCs w:val="21"/>
                      <w:lang w:val="en-US" w:eastAsia="zh-CN"/>
                    </w:rPr>
                    <w:t>t/a</w:t>
                  </w:r>
                  <w:r>
                    <w:rPr>
                      <w:rFonts w:hint="eastAsia"/>
                      <w:color w:val="auto"/>
                      <w:sz w:val="21"/>
                      <w:szCs w:val="21"/>
                      <w:lang w:val="en-US" w:eastAsia="zh-CN"/>
                    </w:rPr>
                    <w:t>）</w:t>
                  </w:r>
                </w:p>
              </w:tc>
              <w:tc>
                <w:tcPr>
                  <w:tcW w:w="232" w:type="pct"/>
                  <w:noWrap w:val="0"/>
                  <w:vAlign w:val="center"/>
                </w:tcPr>
                <w:p w14:paraId="0EAD9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排放去向</w:t>
                  </w:r>
                </w:p>
              </w:tc>
              <w:tc>
                <w:tcPr>
                  <w:tcW w:w="232" w:type="pct"/>
                  <w:noWrap w:val="0"/>
                  <w:vAlign w:val="center"/>
                </w:tcPr>
                <w:p w14:paraId="055FC3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排放规律</w:t>
                  </w:r>
                </w:p>
              </w:tc>
            </w:tr>
            <w:tr w14:paraId="52E7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restart"/>
                  <w:noWrap w:val="0"/>
                  <w:vAlign w:val="center"/>
                </w:tcPr>
                <w:p w14:paraId="54E3A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生活污水</w:t>
                  </w:r>
                </w:p>
              </w:tc>
              <w:tc>
                <w:tcPr>
                  <w:tcW w:w="440" w:type="pct"/>
                  <w:noWrap w:val="0"/>
                  <w:vAlign w:val="center"/>
                </w:tcPr>
                <w:p w14:paraId="5C52BA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废水量</w:t>
                  </w:r>
                </w:p>
              </w:tc>
              <w:tc>
                <w:tcPr>
                  <w:tcW w:w="594" w:type="pct"/>
                  <w:noWrap w:val="0"/>
                  <w:vAlign w:val="center"/>
                </w:tcPr>
                <w:p w14:paraId="12BDC1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460" w:type="pct"/>
                  <w:noWrap w:val="0"/>
                  <w:vAlign w:val="center"/>
                </w:tcPr>
                <w:p w14:paraId="5CABB5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5005.1</w:t>
                  </w:r>
                </w:p>
              </w:tc>
              <w:tc>
                <w:tcPr>
                  <w:tcW w:w="232" w:type="pct"/>
                  <w:vMerge w:val="restart"/>
                  <w:noWrap w:val="0"/>
                  <w:vAlign w:val="center"/>
                </w:tcPr>
                <w:p w14:paraId="0A2F95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default" w:ascii="Times New Roman" w:hAnsi="Times New Roman" w:cs="Times New Roman"/>
                      <w:color w:val="auto"/>
                      <w:sz w:val="21"/>
                      <w:szCs w:val="21"/>
                      <w:lang w:val="en-US" w:eastAsia="zh-CN"/>
                    </w:rPr>
                    <w:t>隔油沉淀池</w:t>
                  </w:r>
                  <w:r>
                    <w:rPr>
                      <w:rFonts w:hint="eastAsia" w:cs="Times New Roman"/>
                      <w:color w:val="auto"/>
                      <w:sz w:val="21"/>
                      <w:szCs w:val="21"/>
                      <w:lang w:val="en-US" w:eastAsia="zh-CN"/>
                    </w:rPr>
                    <w:t>+厂区废水处理站</w:t>
                  </w:r>
                </w:p>
              </w:tc>
              <w:tc>
                <w:tcPr>
                  <w:tcW w:w="561" w:type="pct"/>
                  <w:vMerge w:val="restart"/>
                  <w:noWrap w:val="0"/>
                  <w:vAlign w:val="center"/>
                </w:tcPr>
                <w:p w14:paraId="733930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60/600</w:t>
                  </w:r>
                </w:p>
              </w:tc>
              <w:tc>
                <w:tcPr>
                  <w:tcW w:w="481" w:type="pct"/>
                  <w:vMerge w:val="restart"/>
                  <w:noWrap w:val="0"/>
                  <w:vAlign w:val="center"/>
                </w:tcPr>
                <w:p w14:paraId="1FA3AD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隔油、沉淀/</w:t>
                  </w:r>
                  <w:r>
                    <w:rPr>
                      <w:rFonts w:hint="default" w:ascii="Times New Roman" w:hAnsi="Times New Roman" w:cs="Times New Roman"/>
                      <w:color w:val="auto"/>
                      <w:sz w:val="21"/>
                      <w:szCs w:val="21"/>
                      <w:lang w:val="en-US" w:eastAsia="zh-CN"/>
                    </w:rPr>
                    <w:t>格栅+调节+水解酸化+</w:t>
                  </w:r>
                  <w:r>
                    <w:rPr>
                      <w:rFonts w:hint="eastAsia" w:cs="Times New Roman"/>
                      <w:color w:val="auto"/>
                      <w:sz w:val="21"/>
                      <w:szCs w:val="21"/>
                      <w:lang w:val="en-US" w:eastAsia="zh-CN"/>
                    </w:rPr>
                    <w:t>接触氧化</w:t>
                  </w:r>
                  <w:r>
                    <w:rPr>
                      <w:rFonts w:hint="default" w:ascii="Times New Roman" w:hAnsi="Times New Roman" w:cs="Times New Roman"/>
                      <w:color w:val="auto"/>
                      <w:sz w:val="21"/>
                      <w:szCs w:val="21"/>
                      <w:lang w:val="en-US" w:eastAsia="zh-CN"/>
                    </w:rPr>
                    <w:t>+沉淀</w:t>
                  </w:r>
                </w:p>
              </w:tc>
              <w:tc>
                <w:tcPr>
                  <w:tcW w:w="245" w:type="pct"/>
                  <w:noWrap w:val="0"/>
                  <w:vAlign w:val="center"/>
                </w:tcPr>
                <w:p w14:paraId="56352C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restart"/>
                  <w:noWrap w:val="0"/>
                  <w:vAlign w:val="center"/>
                </w:tcPr>
                <w:p w14:paraId="3C074E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是</w:t>
                  </w:r>
                </w:p>
              </w:tc>
              <w:tc>
                <w:tcPr>
                  <w:tcW w:w="594" w:type="pct"/>
                  <w:noWrap w:val="0"/>
                  <w:vAlign w:val="center"/>
                </w:tcPr>
                <w:p w14:paraId="0A9678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460" w:type="pct"/>
                  <w:noWrap w:val="0"/>
                  <w:vAlign w:val="center"/>
                </w:tcPr>
                <w:p w14:paraId="633F5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5005.1</w:t>
                  </w:r>
                </w:p>
              </w:tc>
              <w:tc>
                <w:tcPr>
                  <w:tcW w:w="232" w:type="pct"/>
                  <w:vMerge w:val="restart"/>
                  <w:noWrap w:val="0"/>
                  <w:vAlign w:val="center"/>
                </w:tcPr>
                <w:p w14:paraId="7F3FF8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沣西新城渭河污水处理厂</w:t>
                  </w:r>
                </w:p>
              </w:tc>
              <w:tc>
                <w:tcPr>
                  <w:tcW w:w="232" w:type="pct"/>
                  <w:vMerge w:val="restart"/>
                  <w:noWrap w:val="0"/>
                  <w:vAlign w:val="center"/>
                </w:tcPr>
                <w:p w14:paraId="23D748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连续排放</w:t>
                  </w:r>
                </w:p>
              </w:tc>
            </w:tr>
            <w:tr w14:paraId="00C9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0407DC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7D9C12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pH/无量纲</w:t>
                  </w:r>
                </w:p>
              </w:tc>
              <w:tc>
                <w:tcPr>
                  <w:tcW w:w="594" w:type="pct"/>
                  <w:noWrap w:val="0"/>
                  <w:vAlign w:val="center"/>
                </w:tcPr>
                <w:p w14:paraId="5E8222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6.0</w:t>
                  </w:r>
                </w:p>
              </w:tc>
              <w:tc>
                <w:tcPr>
                  <w:tcW w:w="460" w:type="pct"/>
                  <w:noWrap w:val="0"/>
                  <w:vAlign w:val="center"/>
                </w:tcPr>
                <w:p w14:paraId="1A0410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55323A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060B93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p>
              </w:tc>
              <w:tc>
                <w:tcPr>
                  <w:tcW w:w="481" w:type="pct"/>
                  <w:vMerge w:val="continue"/>
                  <w:noWrap w:val="0"/>
                  <w:vAlign w:val="center"/>
                </w:tcPr>
                <w:p w14:paraId="12853B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sz w:val="21"/>
                      <w:szCs w:val="21"/>
                      <w:lang w:val="en-US" w:eastAsia="zh-CN"/>
                    </w:rPr>
                  </w:pPr>
                </w:p>
              </w:tc>
              <w:tc>
                <w:tcPr>
                  <w:tcW w:w="245" w:type="pct"/>
                  <w:noWrap w:val="0"/>
                  <w:vAlign w:val="center"/>
                </w:tcPr>
                <w:p w14:paraId="01935E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604AAE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1EF3C7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6~9</w:t>
                  </w:r>
                </w:p>
              </w:tc>
              <w:tc>
                <w:tcPr>
                  <w:tcW w:w="460" w:type="pct"/>
                  <w:noWrap w:val="0"/>
                  <w:vAlign w:val="center"/>
                </w:tcPr>
                <w:p w14:paraId="4D8D2F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32" w:type="pct"/>
                  <w:vMerge w:val="continue"/>
                  <w:noWrap w:val="0"/>
                  <w:vAlign w:val="center"/>
                </w:tcPr>
                <w:p w14:paraId="4AA75D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48522C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5A68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022F4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02EABA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COD</w:t>
                  </w:r>
                </w:p>
              </w:tc>
              <w:tc>
                <w:tcPr>
                  <w:tcW w:w="594" w:type="pct"/>
                  <w:noWrap w:val="0"/>
                  <w:vAlign w:val="center"/>
                </w:tcPr>
                <w:p w14:paraId="7EDAF2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1328</w:t>
                  </w:r>
                </w:p>
              </w:tc>
              <w:tc>
                <w:tcPr>
                  <w:tcW w:w="460" w:type="pct"/>
                  <w:noWrap w:val="0"/>
                  <w:vAlign w:val="center"/>
                </w:tcPr>
                <w:p w14:paraId="49D6ED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6.647</w:t>
                  </w:r>
                </w:p>
              </w:tc>
              <w:tc>
                <w:tcPr>
                  <w:tcW w:w="232" w:type="pct"/>
                  <w:vMerge w:val="continue"/>
                  <w:noWrap w:val="0"/>
                  <w:vAlign w:val="center"/>
                </w:tcPr>
                <w:p w14:paraId="4E077A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12EB2C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1" w:type="pct"/>
                  <w:vMerge w:val="continue"/>
                  <w:noWrap w:val="0"/>
                  <w:vAlign w:val="center"/>
                </w:tcPr>
                <w:p w14:paraId="6FA8F1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5E5ABA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79</w:t>
                  </w:r>
                </w:p>
              </w:tc>
              <w:tc>
                <w:tcPr>
                  <w:tcW w:w="232" w:type="pct"/>
                  <w:vMerge w:val="continue"/>
                  <w:noWrap w:val="0"/>
                  <w:vAlign w:val="center"/>
                </w:tcPr>
                <w:p w14:paraId="675472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35100A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278.9</w:t>
                  </w:r>
                </w:p>
              </w:tc>
              <w:tc>
                <w:tcPr>
                  <w:tcW w:w="460" w:type="pct"/>
                  <w:noWrap w:val="0"/>
                  <w:vAlign w:val="center"/>
                </w:tcPr>
                <w:p w14:paraId="1D9EE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1.396</w:t>
                  </w:r>
                </w:p>
              </w:tc>
              <w:tc>
                <w:tcPr>
                  <w:tcW w:w="232" w:type="pct"/>
                  <w:vMerge w:val="continue"/>
                  <w:noWrap w:val="0"/>
                  <w:vAlign w:val="center"/>
                </w:tcPr>
                <w:p w14:paraId="3C8118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23AF5B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3364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3BA7C2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065CFD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BOD</w:t>
                  </w:r>
                  <w:r>
                    <w:rPr>
                      <w:color w:val="auto"/>
                      <w:sz w:val="21"/>
                      <w:szCs w:val="21"/>
                      <w:vertAlign w:val="subscript"/>
                      <w:lang w:val="en-US" w:eastAsia="zh-CN"/>
                    </w:rPr>
                    <w:t>5</w:t>
                  </w:r>
                </w:p>
              </w:tc>
              <w:tc>
                <w:tcPr>
                  <w:tcW w:w="594" w:type="pct"/>
                  <w:noWrap w:val="0"/>
                  <w:vAlign w:val="center"/>
                </w:tcPr>
                <w:p w14:paraId="537074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830</w:t>
                  </w:r>
                </w:p>
              </w:tc>
              <w:tc>
                <w:tcPr>
                  <w:tcW w:w="460" w:type="pct"/>
                  <w:noWrap w:val="0"/>
                  <w:vAlign w:val="center"/>
                </w:tcPr>
                <w:p w14:paraId="30E815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4.154</w:t>
                  </w:r>
                </w:p>
              </w:tc>
              <w:tc>
                <w:tcPr>
                  <w:tcW w:w="232" w:type="pct"/>
                  <w:vMerge w:val="continue"/>
                  <w:noWrap w:val="0"/>
                  <w:vAlign w:val="center"/>
                </w:tcPr>
                <w:p w14:paraId="20DC62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5FBE85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1" w:type="pct"/>
                  <w:vMerge w:val="continue"/>
                  <w:noWrap w:val="0"/>
                  <w:vAlign w:val="center"/>
                </w:tcPr>
                <w:p w14:paraId="08546D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03B922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85</w:t>
                  </w:r>
                </w:p>
              </w:tc>
              <w:tc>
                <w:tcPr>
                  <w:tcW w:w="232" w:type="pct"/>
                  <w:vMerge w:val="continue"/>
                  <w:noWrap w:val="0"/>
                  <w:vAlign w:val="center"/>
                </w:tcPr>
                <w:p w14:paraId="01894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15C5DE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124.5</w:t>
                  </w:r>
                </w:p>
              </w:tc>
              <w:tc>
                <w:tcPr>
                  <w:tcW w:w="460" w:type="pct"/>
                  <w:noWrap w:val="0"/>
                  <w:vAlign w:val="center"/>
                </w:tcPr>
                <w:p w14:paraId="1689D6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0.623</w:t>
                  </w:r>
                </w:p>
              </w:tc>
              <w:tc>
                <w:tcPr>
                  <w:tcW w:w="232" w:type="pct"/>
                  <w:vMerge w:val="continue"/>
                  <w:noWrap w:val="0"/>
                  <w:vAlign w:val="center"/>
                </w:tcPr>
                <w:p w14:paraId="0C0275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306918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3437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7DABE2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7454B3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NH</w:t>
                  </w:r>
                  <w:r>
                    <w:rPr>
                      <w:color w:val="auto"/>
                      <w:sz w:val="21"/>
                      <w:szCs w:val="21"/>
                      <w:vertAlign w:val="subscript"/>
                      <w:lang w:val="en-US" w:eastAsia="zh-CN"/>
                    </w:rPr>
                    <w:t>3</w:t>
                  </w:r>
                  <w:r>
                    <w:rPr>
                      <w:rFonts w:hint="default"/>
                      <w:color w:val="auto"/>
                      <w:sz w:val="21"/>
                      <w:szCs w:val="21"/>
                      <w:lang w:val="en-US" w:eastAsia="zh-CN"/>
                    </w:rPr>
                    <w:t>-N</w:t>
                  </w:r>
                </w:p>
              </w:tc>
              <w:tc>
                <w:tcPr>
                  <w:tcW w:w="594" w:type="pct"/>
                  <w:noWrap w:val="0"/>
                  <w:vAlign w:val="center"/>
                </w:tcPr>
                <w:p w14:paraId="0CC7A9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38</w:t>
                  </w:r>
                </w:p>
              </w:tc>
              <w:tc>
                <w:tcPr>
                  <w:tcW w:w="460" w:type="pct"/>
                  <w:noWrap w:val="0"/>
                  <w:vAlign w:val="center"/>
                </w:tcPr>
                <w:p w14:paraId="2FB756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0.190</w:t>
                  </w:r>
                </w:p>
              </w:tc>
              <w:tc>
                <w:tcPr>
                  <w:tcW w:w="232" w:type="pct"/>
                  <w:vMerge w:val="continue"/>
                  <w:noWrap w:val="0"/>
                  <w:vAlign w:val="center"/>
                </w:tcPr>
                <w:p w14:paraId="003E53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24B1D5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1" w:type="pct"/>
                  <w:vMerge w:val="continue"/>
                  <w:noWrap w:val="0"/>
                  <w:vAlign w:val="center"/>
                </w:tcPr>
                <w:p w14:paraId="0FA03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4EB018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41</w:t>
                  </w:r>
                </w:p>
              </w:tc>
              <w:tc>
                <w:tcPr>
                  <w:tcW w:w="232" w:type="pct"/>
                  <w:vMerge w:val="continue"/>
                  <w:noWrap w:val="0"/>
                  <w:vAlign w:val="center"/>
                </w:tcPr>
                <w:p w14:paraId="54BD8E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1CCC66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22.4</w:t>
                  </w:r>
                </w:p>
              </w:tc>
              <w:tc>
                <w:tcPr>
                  <w:tcW w:w="460" w:type="pct"/>
                  <w:noWrap w:val="0"/>
                  <w:vAlign w:val="center"/>
                </w:tcPr>
                <w:p w14:paraId="31C3F6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0.112</w:t>
                  </w:r>
                </w:p>
              </w:tc>
              <w:tc>
                <w:tcPr>
                  <w:tcW w:w="232" w:type="pct"/>
                  <w:vMerge w:val="continue"/>
                  <w:noWrap w:val="0"/>
                  <w:vAlign w:val="center"/>
                </w:tcPr>
                <w:p w14:paraId="643E81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4A59D9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795A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2CF89B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shd w:val="clear" w:color="auto" w:fill="auto"/>
                  <w:noWrap w:val="0"/>
                  <w:vAlign w:val="center"/>
                </w:tcPr>
                <w:p w14:paraId="5DFB3D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color w:val="auto"/>
                      <w:sz w:val="21"/>
                      <w:szCs w:val="21"/>
                      <w:lang w:val="en-US" w:eastAsia="zh-CN"/>
                    </w:rPr>
                    <w:t>SS</w:t>
                  </w:r>
                </w:p>
              </w:tc>
              <w:tc>
                <w:tcPr>
                  <w:tcW w:w="594" w:type="pct"/>
                  <w:shd w:val="clear" w:color="auto" w:fill="auto"/>
                  <w:noWrap w:val="0"/>
                  <w:vAlign w:val="center"/>
                </w:tcPr>
                <w:p w14:paraId="27C79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800</w:t>
                  </w:r>
                </w:p>
              </w:tc>
              <w:tc>
                <w:tcPr>
                  <w:tcW w:w="460" w:type="pct"/>
                  <w:shd w:val="clear" w:color="auto" w:fill="auto"/>
                  <w:noWrap w:val="0"/>
                  <w:vAlign w:val="center"/>
                </w:tcPr>
                <w:p w14:paraId="74545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4.004</w:t>
                  </w:r>
                </w:p>
              </w:tc>
              <w:tc>
                <w:tcPr>
                  <w:tcW w:w="232" w:type="pct"/>
                  <w:vMerge w:val="continue"/>
                  <w:noWrap w:val="0"/>
                  <w:vAlign w:val="center"/>
                </w:tcPr>
                <w:p w14:paraId="60D453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313A79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1" w:type="pct"/>
                  <w:vMerge w:val="continue"/>
                  <w:noWrap w:val="0"/>
                  <w:vAlign w:val="center"/>
                </w:tcPr>
                <w:p w14:paraId="6FCBB9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7AFAC9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75</w:t>
                  </w:r>
                </w:p>
              </w:tc>
              <w:tc>
                <w:tcPr>
                  <w:tcW w:w="232" w:type="pct"/>
                  <w:vMerge w:val="continue"/>
                  <w:noWrap w:val="0"/>
                  <w:vAlign w:val="center"/>
                </w:tcPr>
                <w:p w14:paraId="5FACAA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4899CF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200</w:t>
                  </w:r>
                </w:p>
              </w:tc>
              <w:tc>
                <w:tcPr>
                  <w:tcW w:w="460" w:type="pct"/>
                  <w:noWrap w:val="0"/>
                  <w:vAlign w:val="center"/>
                </w:tcPr>
                <w:p w14:paraId="7BEF96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s="Times New Roman"/>
                      <w:color w:val="auto"/>
                      <w:kern w:val="2"/>
                      <w:sz w:val="21"/>
                      <w:szCs w:val="21"/>
                      <w:lang w:val="en-US" w:eastAsia="zh-CN" w:bidi="ar-SA"/>
                    </w:rPr>
                    <w:t>1.001</w:t>
                  </w:r>
                </w:p>
              </w:tc>
              <w:tc>
                <w:tcPr>
                  <w:tcW w:w="232" w:type="pct"/>
                  <w:vMerge w:val="continue"/>
                  <w:noWrap w:val="0"/>
                  <w:vAlign w:val="center"/>
                </w:tcPr>
                <w:p w14:paraId="05F5A7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6E78B8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28F6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57D83C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shd w:val="clear" w:color="auto" w:fill="auto"/>
                  <w:noWrap w:val="0"/>
                  <w:vAlign w:val="center"/>
                </w:tcPr>
                <w:p w14:paraId="4DBDD1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总磷</w:t>
                  </w:r>
                </w:p>
              </w:tc>
              <w:tc>
                <w:tcPr>
                  <w:tcW w:w="594" w:type="pct"/>
                  <w:shd w:val="clear" w:color="auto" w:fill="auto"/>
                  <w:noWrap w:val="0"/>
                  <w:vAlign w:val="center"/>
                </w:tcPr>
                <w:p w14:paraId="76DA0A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4.4</w:t>
                  </w:r>
                </w:p>
              </w:tc>
              <w:tc>
                <w:tcPr>
                  <w:tcW w:w="460" w:type="pct"/>
                  <w:shd w:val="clear" w:color="auto" w:fill="auto"/>
                  <w:noWrap w:val="0"/>
                  <w:vAlign w:val="center"/>
                </w:tcPr>
                <w:p w14:paraId="44CB75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0.022</w:t>
                  </w:r>
                </w:p>
              </w:tc>
              <w:tc>
                <w:tcPr>
                  <w:tcW w:w="232" w:type="pct"/>
                  <w:vMerge w:val="continue"/>
                  <w:noWrap w:val="0"/>
                  <w:vAlign w:val="center"/>
                </w:tcPr>
                <w:p w14:paraId="2EE989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4B9879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1" w:type="pct"/>
                  <w:vMerge w:val="continue"/>
                  <w:noWrap w:val="0"/>
                  <w:vAlign w:val="center"/>
                </w:tcPr>
                <w:p w14:paraId="7BC649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056DA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11</w:t>
                  </w:r>
                </w:p>
              </w:tc>
              <w:tc>
                <w:tcPr>
                  <w:tcW w:w="232" w:type="pct"/>
                  <w:vMerge w:val="continue"/>
                  <w:noWrap w:val="0"/>
                  <w:vAlign w:val="center"/>
                </w:tcPr>
                <w:p w14:paraId="50C58B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73D7E0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3.9</w:t>
                  </w:r>
                </w:p>
              </w:tc>
              <w:tc>
                <w:tcPr>
                  <w:tcW w:w="460" w:type="pct"/>
                  <w:noWrap w:val="0"/>
                  <w:vAlign w:val="center"/>
                </w:tcPr>
                <w:p w14:paraId="305CC1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0.020</w:t>
                  </w:r>
                </w:p>
              </w:tc>
              <w:tc>
                <w:tcPr>
                  <w:tcW w:w="232" w:type="pct"/>
                  <w:vMerge w:val="continue"/>
                  <w:noWrap w:val="0"/>
                  <w:vAlign w:val="center"/>
                </w:tcPr>
                <w:p w14:paraId="4E3076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73A08B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r w14:paraId="1A76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2" w:type="pct"/>
                  <w:vMerge w:val="continue"/>
                  <w:noWrap w:val="0"/>
                  <w:vAlign w:val="center"/>
                </w:tcPr>
                <w:p w14:paraId="094756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40" w:type="pct"/>
                  <w:noWrap w:val="0"/>
                  <w:vAlign w:val="center"/>
                </w:tcPr>
                <w:p w14:paraId="50C576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sz w:val="21"/>
                      <w:szCs w:val="21"/>
                      <w:lang w:val="en-US" w:eastAsia="zh-CN"/>
                    </w:rPr>
                  </w:pPr>
                  <w:r>
                    <w:rPr>
                      <w:rFonts w:hint="eastAsia"/>
                      <w:color w:val="auto"/>
                      <w:sz w:val="21"/>
                      <w:szCs w:val="21"/>
                      <w:lang w:val="en-US" w:eastAsia="zh-CN"/>
                    </w:rPr>
                    <w:t>动植物油</w:t>
                  </w:r>
                </w:p>
              </w:tc>
              <w:tc>
                <w:tcPr>
                  <w:tcW w:w="594" w:type="pct"/>
                  <w:noWrap w:val="0"/>
                  <w:vAlign w:val="center"/>
                </w:tcPr>
                <w:p w14:paraId="16F064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24.5</w:t>
                  </w:r>
                </w:p>
              </w:tc>
              <w:tc>
                <w:tcPr>
                  <w:tcW w:w="460" w:type="pct"/>
                  <w:noWrap w:val="0"/>
                  <w:vAlign w:val="center"/>
                </w:tcPr>
                <w:p w14:paraId="510753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0.123</w:t>
                  </w:r>
                </w:p>
              </w:tc>
              <w:tc>
                <w:tcPr>
                  <w:tcW w:w="232" w:type="pct"/>
                  <w:vMerge w:val="continue"/>
                  <w:noWrap w:val="0"/>
                  <w:vAlign w:val="center"/>
                </w:tcPr>
                <w:p w14:paraId="1C44A1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61" w:type="pct"/>
                  <w:vMerge w:val="continue"/>
                  <w:noWrap w:val="0"/>
                  <w:vAlign w:val="center"/>
                </w:tcPr>
                <w:p w14:paraId="27CC94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81" w:type="pct"/>
                  <w:vMerge w:val="continue"/>
                  <w:noWrap w:val="0"/>
                  <w:vAlign w:val="center"/>
                </w:tcPr>
                <w:p w14:paraId="323303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45" w:type="pct"/>
                  <w:noWrap w:val="0"/>
                  <w:vAlign w:val="center"/>
                </w:tcPr>
                <w:p w14:paraId="419273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50</w:t>
                  </w:r>
                </w:p>
              </w:tc>
              <w:tc>
                <w:tcPr>
                  <w:tcW w:w="232" w:type="pct"/>
                  <w:vMerge w:val="continue"/>
                  <w:noWrap w:val="0"/>
                  <w:vAlign w:val="center"/>
                </w:tcPr>
                <w:p w14:paraId="52D0AE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594" w:type="pct"/>
                  <w:noWrap w:val="0"/>
                  <w:vAlign w:val="center"/>
                </w:tcPr>
                <w:p w14:paraId="29FA76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12.3</w:t>
                  </w:r>
                </w:p>
              </w:tc>
              <w:tc>
                <w:tcPr>
                  <w:tcW w:w="460" w:type="pct"/>
                  <w:noWrap w:val="0"/>
                  <w:vAlign w:val="center"/>
                </w:tcPr>
                <w:p w14:paraId="2A388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0.061</w:t>
                  </w:r>
                </w:p>
              </w:tc>
              <w:tc>
                <w:tcPr>
                  <w:tcW w:w="232" w:type="pct"/>
                  <w:vMerge w:val="continue"/>
                  <w:noWrap w:val="0"/>
                  <w:vAlign w:val="center"/>
                </w:tcPr>
                <w:p w14:paraId="5C11FE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232" w:type="pct"/>
                  <w:vMerge w:val="continue"/>
                  <w:noWrap w:val="0"/>
                  <w:vAlign w:val="center"/>
                </w:tcPr>
                <w:p w14:paraId="6DF6CF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r>
          </w:tbl>
          <w:p w14:paraId="7ADE3C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sz w:val="21"/>
                <w:szCs w:val="21"/>
                <w:lang w:val="en-US" w:eastAsia="zh-CN"/>
              </w:rPr>
            </w:pPr>
            <w:r>
              <w:rPr>
                <w:rFonts w:hint="eastAsia"/>
                <w:b w:val="0"/>
                <w:bCs w:val="0"/>
                <w:color w:val="auto"/>
                <w:sz w:val="21"/>
                <w:szCs w:val="21"/>
                <w:lang w:val="en-US" w:eastAsia="zh-CN"/>
              </w:rPr>
              <w:t>注：废水治理效率来源于《陕西物流每一天供应链管理有限公司工业园项目环境影响报告书》。</w:t>
            </w:r>
          </w:p>
          <w:p w14:paraId="4618C9DC">
            <w:pPr>
              <w:ind w:firstLine="482"/>
              <w:rPr>
                <w:b/>
                <w:bCs/>
                <w:color w:val="auto"/>
              </w:rPr>
            </w:pPr>
            <w:r>
              <w:rPr>
                <w:rFonts w:hint="eastAsia"/>
                <w:b/>
                <w:bCs/>
                <w:color w:val="auto"/>
                <w:lang w:eastAsia="zh-CN"/>
              </w:rPr>
              <w:t>2.</w:t>
            </w:r>
            <w:r>
              <w:rPr>
                <w:b/>
                <w:bCs/>
                <w:color w:val="auto"/>
              </w:rPr>
              <w:t>排放口基本情况及监测要求</w:t>
            </w:r>
          </w:p>
          <w:p w14:paraId="3E39E8D5">
            <w:pPr>
              <w:ind w:firstLine="482"/>
              <w:rPr>
                <w:rFonts w:hint="eastAsia"/>
                <w:color w:val="auto"/>
                <w:lang w:val="en-US" w:eastAsia="zh-CN"/>
              </w:rPr>
            </w:pPr>
            <w:r>
              <w:rPr>
                <w:rFonts w:hint="eastAsia"/>
                <w:color w:val="auto"/>
                <w:lang w:val="en-US" w:eastAsia="zh-CN"/>
              </w:rPr>
              <w:t>本项目废水排放口依托租赁厂区的废水排放口DW001，废水排放口已安装在线监测，并制定自行监测方案，见表</w:t>
            </w:r>
            <w:r>
              <w:rPr>
                <w:rFonts w:hint="eastAsia"/>
                <w:bCs/>
                <w:color w:val="auto"/>
              </w:rPr>
              <w:t>4-</w:t>
            </w:r>
            <w:r>
              <w:rPr>
                <w:rFonts w:hint="eastAsia"/>
                <w:bCs/>
                <w:color w:val="auto"/>
                <w:lang w:val="en-US" w:eastAsia="zh-CN"/>
              </w:rPr>
              <w:t>7</w:t>
            </w:r>
            <w:r>
              <w:rPr>
                <w:bCs/>
                <w:color w:val="auto"/>
              </w:rPr>
              <w:t>。</w:t>
            </w:r>
            <w:r>
              <w:rPr>
                <w:rFonts w:hint="eastAsia"/>
                <w:color w:val="auto"/>
                <w:lang w:val="en-US" w:eastAsia="zh-CN"/>
              </w:rPr>
              <w:t>项目不单独设置监测计划。</w:t>
            </w:r>
          </w:p>
          <w:p w14:paraId="44FEFF21">
            <w:pPr>
              <w:pStyle w:val="54"/>
              <w:bidi w:val="0"/>
              <w:rPr>
                <w:rFonts w:hint="default"/>
                <w:color w:val="auto"/>
              </w:rPr>
            </w:pPr>
            <w:r>
              <w:rPr>
                <w:rFonts w:hint="default"/>
                <w:color w:val="auto"/>
              </w:rPr>
              <w:t>表4-</w:t>
            </w:r>
            <w:r>
              <w:rPr>
                <w:rFonts w:hint="eastAsia"/>
                <w:color w:val="auto"/>
                <w:lang w:val="en-US" w:eastAsia="zh-CN"/>
              </w:rPr>
              <w:t>7</w:t>
            </w:r>
            <w:r>
              <w:rPr>
                <w:rFonts w:hint="default"/>
                <w:color w:val="auto"/>
              </w:rPr>
              <w:t xml:space="preserve">  </w:t>
            </w:r>
            <w:r>
              <w:rPr>
                <w:rFonts w:hint="eastAsia"/>
                <w:color w:val="auto"/>
                <w:lang w:val="en-US" w:eastAsia="zh-CN"/>
              </w:rPr>
              <w:t>依托租赁方</w:t>
            </w:r>
            <w:r>
              <w:rPr>
                <w:rFonts w:hint="default"/>
                <w:color w:val="auto"/>
              </w:rPr>
              <w:t>废</w:t>
            </w:r>
            <w:r>
              <w:rPr>
                <w:rFonts w:hint="eastAsia"/>
                <w:color w:val="auto"/>
                <w:lang w:val="en-US" w:eastAsia="zh-CN"/>
              </w:rPr>
              <w:t>水</w:t>
            </w:r>
            <w:r>
              <w:rPr>
                <w:rFonts w:hint="default"/>
                <w:color w:val="auto"/>
              </w:rPr>
              <w:t>监测计划表</w:t>
            </w:r>
          </w:p>
          <w:tbl>
            <w:tblPr>
              <w:tblStyle w:val="22"/>
              <w:tblW w:w="49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2689"/>
              <w:gridCol w:w="1275"/>
              <w:gridCol w:w="1350"/>
              <w:gridCol w:w="2802"/>
            </w:tblGrid>
            <w:tr w14:paraId="30E7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pct"/>
                  <w:vAlign w:val="center"/>
                </w:tcPr>
                <w:p w14:paraId="79D0624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监测类别</w:t>
                  </w:r>
                </w:p>
              </w:tc>
              <w:tc>
                <w:tcPr>
                  <w:tcW w:w="1458" w:type="pct"/>
                  <w:vAlign w:val="center"/>
                </w:tcPr>
                <w:p w14:paraId="0894DC8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监测项目</w:t>
                  </w:r>
                </w:p>
              </w:tc>
              <w:tc>
                <w:tcPr>
                  <w:tcW w:w="691" w:type="pct"/>
                  <w:vAlign w:val="center"/>
                </w:tcPr>
                <w:p w14:paraId="2263070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监测点位</w:t>
                  </w:r>
                </w:p>
              </w:tc>
              <w:tc>
                <w:tcPr>
                  <w:tcW w:w="732" w:type="pct"/>
                  <w:vAlign w:val="center"/>
                </w:tcPr>
                <w:p w14:paraId="119C211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监测频次</w:t>
                  </w:r>
                </w:p>
              </w:tc>
              <w:tc>
                <w:tcPr>
                  <w:tcW w:w="1519" w:type="pct"/>
                  <w:vAlign w:val="center"/>
                </w:tcPr>
                <w:p w14:paraId="56F95A9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执行排放标准</w:t>
                  </w:r>
                </w:p>
              </w:tc>
            </w:tr>
            <w:tr w14:paraId="1FBE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pct"/>
                  <w:vAlign w:val="center"/>
                </w:tcPr>
                <w:p w14:paraId="102ED98A">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进水</w:t>
                  </w:r>
                </w:p>
              </w:tc>
              <w:tc>
                <w:tcPr>
                  <w:tcW w:w="1458" w:type="pct"/>
                  <w:vAlign w:val="center"/>
                </w:tcPr>
                <w:p w14:paraId="5EA3F434">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流量、化学需氧量、氨氮、总磷、总氮</w:t>
                  </w:r>
                </w:p>
              </w:tc>
              <w:tc>
                <w:tcPr>
                  <w:tcW w:w="691" w:type="pct"/>
                  <w:vAlign w:val="center"/>
                </w:tcPr>
                <w:p w14:paraId="4AB2C47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进水总管</w:t>
                  </w:r>
                </w:p>
              </w:tc>
              <w:tc>
                <w:tcPr>
                  <w:tcW w:w="732" w:type="pct"/>
                  <w:vAlign w:val="center"/>
                </w:tcPr>
                <w:p w14:paraId="1A6C7A7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自动监测</w:t>
                  </w:r>
                </w:p>
              </w:tc>
              <w:tc>
                <w:tcPr>
                  <w:tcW w:w="1519" w:type="pct"/>
                  <w:vMerge w:val="restart"/>
                  <w:vAlign w:val="center"/>
                </w:tcPr>
                <w:p w14:paraId="5039A1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《污水综合排放标准》（GB8978-1996）三级标准（标准中未作要求的执行《污水排入城镇下水道水质标准》（GB/T31962-2015）B级标准）</w:t>
                  </w:r>
                </w:p>
                <w:p w14:paraId="2B4EC806">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r>
            <w:tr w14:paraId="3E94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98" w:type="pct"/>
                  <w:vMerge w:val="restart"/>
                  <w:vAlign w:val="center"/>
                </w:tcPr>
                <w:p w14:paraId="783F70C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出水</w:t>
                  </w:r>
                </w:p>
              </w:tc>
              <w:tc>
                <w:tcPr>
                  <w:tcW w:w="1458" w:type="pct"/>
                  <w:vAlign w:val="center"/>
                </w:tcPr>
                <w:p w14:paraId="031F9A53">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流量、pH值、化学需氧量、氨氮、总磷、总氮</w:t>
                  </w:r>
                </w:p>
              </w:tc>
              <w:tc>
                <w:tcPr>
                  <w:tcW w:w="691" w:type="pct"/>
                  <w:vMerge w:val="restart"/>
                  <w:vAlign w:val="center"/>
                </w:tcPr>
                <w:p w14:paraId="0319C62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总排口DW001</w:t>
                  </w:r>
                </w:p>
              </w:tc>
              <w:tc>
                <w:tcPr>
                  <w:tcW w:w="732" w:type="pct"/>
                  <w:vAlign w:val="center"/>
                </w:tcPr>
                <w:p w14:paraId="1A9F51A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自动监测</w:t>
                  </w:r>
                </w:p>
              </w:tc>
              <w:tc>
                <w:tcPr>
                  <w:tcW w:w="1519" w:type="pct"/>
                  <w:vMerge w:val="continue"/>
                  <w:vAlign w:val="center"/>
                </w:tcPr>
                <w:p w14:paraId="58A537B9">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p>
              </w:tc>
            </w:tr>
            <w:tr w14:paraId="3E4E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pct"/>
                  <w:vMerge w:val="continue"/>
                  <w:vAlign w:val="center"/>
                </w:tcPr>
                <w:p w14:paraId="74D43D3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1458" w:type="pct"/>
                  <w:vAlign w:val="center"/>
                </w:tcPr>
                <w:p w14:paraId="7F87149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rPr>
                  </w:pPr>
                  <w:r>
                    <w:rPr>
                      <w:rFonts w:hint="eastAsia"/>
                      <w:color w:val="auto"/>
                      <w:sz w:val="21"/>
                      <w:szCs w:val="21"/>
                      <w:lang w:val="en-US" w:eastAsia="zh-CN"/>
                    </w:rPr>
                    <w:t>悬浮物、色度</w:t>
                  </w:r>
                </w:p>
              </w:tc>
              <w:tc>
                <w:tcPr>
                  <w:tcW w:w="691" w:type="pct"/>
                  <w:vMerge w:val="continue"/>
                  <w:vAlign w:val="center"/>
                </w:tcPr>
                <w:p w14:paraId="13F0AF8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732" w:type="pct"/>
                  <w:vAlign w:val="center"/>
                </w:tcPr>
                <w:p w14:paraId="69F0B3AF">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1次/</w:t>
                  </w:r>
                  <w:r>
                    <w:rPr>
                      <w:rFonts w:hint="eastAsia" w:ascii="Times New Roman" w:hAnsi="Times New Roman" w:cs="Times New Roman"/>
                      <w:color w:val="auto"/>
                      <w:sz w:val="21"/>
                      <w:szCs w:val="21"/>
                      <w:lang w:val="en-US" w:eastAsia="zh-CN"/>
                    </w:rPr>
                    <w:t>月</w:t>
                  </w:r>
                </w:p>
              </w:tc>
              <w:tc>
                <w:tcPr>
                  <w:tcW w:w="1519" w:type="pct"/>
                  <w:vMerge w:val="continue"/>
                  <w:vAlign w:val="center"/>
                </w:tcPr>
                <w:p w14:paraId="6392D3FB">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p>
              </w:tc>
            </w:tr>
            <w:tr w14:paraId="621E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pct"/>
                  <w:vMerge w:val="continue"/>
                  <w:vAlign w:val="center"/>
                </w:tcPr>
                <w:p w14:paraId="4391C78C">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c>
                <w:tcPr>
                  <w:tcW w:w="1458" w:type="pct"/>
                  <w:vAlign w:val="center"/>
                </w:tcPr>
                <w:p w14:paraId="5D1D5E80">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五日生化需氧量、动植物油</w:t>
                  </w:r>
                </w:p>
              </w:tc>
              <w:tc>
                <w:tcPr>
                  <w:tcW w:w="691" w:type="pct"/>
                  <w:vMerge w:val="continue"/>
                  <w:vAlign w:val="center"/>
                </w:tcPr>
                <w:p w14:paraId="7B077A3E">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p>
              </w:tc>
              <w:tc>
                <w:tcPr>
                  <w:tcW w:w="732" w:type="pct"/>
                  <w:vAlign w:val="center"/>
                </w:tcPr>
                <w:p w14:paraId="7875789D">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1次/</w:t>
                  </w:r>
                  <w:r>
                    <w:rPr>
                      <w:rFonts w:hint="eastAsia" w:cs="Times New Roman"/>
                      <w:color w:val="auto"/>
                      <w:sz w:val="21"/>
                      <w:szCs w:val="21"/>
                      <w:lang w:val="en-US" w:eastAsia="zh-CN"/>
                    </w:rPr>
                    <w:t>季度</w:t>
                  </w:r>
                </w:p>
              </w:tc>
              <w:tc>
                <w:tcPr>
                  <w:tcW w:w="1519" w:type="pct"/>
                  <w:vMerge w:val="continue"/>
                  <w:vAlign w:val="center"/>
                </w:tcPr>
                <w:p w14:paraId="4776AEF1">
                  <w:pPr>
                    <w:keepNext w:val="0"/>
                    <w:keepLines w:val="0"/>
                    <w:pageBreakBefore w:val="0"/>
                    <w:widowControl w:val="0"/>
                    <w:tabs>
                      <w:tab w:val="left" w:pos="624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p>
              </w:tc>
            </w:tr>
          </w:tbl>
          <w:p w14:paraId="0BF101F0">
            <w:pPr>
              <w:numPr>
                <w:ilvl w:val="0"/>
                <w:numId w:val="0"/>
              </w:numPr>
              <w:ind w:firstLine="482" w:firstLineChars="200"/>
              <w:rPr>
                <w:rFonts w:hint="default" w:ascii="Times New Roman" w:hAnsi="Times New Roman" w:eastAsia="宋体" w:cs="Times New Roman"/>
                <w:b/>
                <w:bCs/>
                <w:color w:val="auto"/>
                <w:lang w:val="zh-CN"/>
              </w:rPr>
            </w:pPr>
            <w:r>
              <w:rPr>
                <w:rFonts w:hint="eastAsia" w:cs="Times New Roman"/>
                <w:b/>
                <w:bCs/>
                <w:color w:val="auto"/>
                <w:kern w:val="2"/>
                <w:sz w:val="24"/>
                <w:szCs w:val="24"/>
                <w:lang w:val="zh-CN" w:eastAsia="zh-CN" w:bidi="ar-SA"/>
              </w:rPr>
              <w:t>3.</w:t>
            </w:r>
            <w:r>
              <w:rPr>
                <w:rFonts w:hint="eastAsia" w:cs="Times New Roman"/>
                <w:b/>
                <w:bCs/>
                <w:color w:val="auto"/>
                <w:lang w:val="en-US" w:eastAsia="zh-CN"/>
              </w:rPr>
              <w:t>废水治理措施</w:t>
            </w:r>
            <w:r>
              <w:rPr>
                <w:rFonts w:hint="default" w:ascii="Times New Roman" w:hAnsi="Times New Roman" w:eastAsia="宋体" w:cs="Times New Roman"/>
                <w:b/>
                <w:bCs/>
                <w:color w:val="auto"/>
                <w:lang w:val="zh-CN"/>
              </w:rPr>
              <w:t>可行性分析</w:t>
            </w:r>
          </w:p>
          <w:p w14:paraId="5693F2BC">
            <w:pPr>
              <w:numPr>
                <w:ilvl w:val="0"/>
                <w:numId w:val="0"/>
              </w:numPr>
              <w:ind w:firstLine="480" w:firstLineChars="200"/>
              <w:rPr>
                <w:rFonts w:hint="default"/>
                <w:bCs/>
                <w:color w:val="auto"/>
                <w:lang w:val="en-US" w:eastAsia="zh-CN"/>
              </w:rPr>
            </w:pPr>
            <w:r>
              <w:rPr>
                <w:rFonts w:hint="default" w:cs="Times New Roman"/>
                <w:color w:val="auto"/>
                <w:kern w:val="0"/>
                <w:lang w:val="en-US" w:eastAsia="zh-CN" w:bidi="ar"/>
              </w:rPr>
              <w:t>①</w:t>
            </w:r>
            <w:r>
              <w:rPr>
                <w:rFonts w:hint="eastAsia"/>
                <w:bCs/>
                <w:color w:val="auto"/>
                <w:lang w:val="en-US" w:eastAsia="zh-CN"/>
              </w:rPr>
              <w:t>厂区废水处理站依托可行性分析</w:t>
            </w:r>
          </w:p>
          <w:p w14:paraId="23C501C0">
            <w:pPr>
              <w:numPr>
                <w:ilvl w:val="0"/>
                <w:numId w:val="0"/>
              </w:numPr>
              <w:ind w:firstLine="480" w:firstLineChars="200"/>
              <w:rPr>
                <w:rFonts w:hint="eastAsia"/>
                <w:bCs/>
                <w:color w:val="auto"/>
                <w:lang w:val="en-US" w:eastAsia="zh-CN"/>
              </w:rPr>
            </w:pPr>
            <w:r>
              <w:rPr>
                <w:rFonts w:hint="eastAsia"/>
                <w:bCs/>
                <w:color w:val="auto"/>
                <w:lang w:val="en-US" w:eastAsia="zh-CN"/>
              </w:rPr>
              <w:t>根据《陕西物流每一天供应链管理有限公司工业园项目环境影响报告书》要求，各入驻企业生产废水首先要进行隔油预处理，然后再重力自流至租赁方废水处理站的格栅/调节池。本项目自建一座三格式隔油沉淀池，废水进行隔油和沉淀预处理后再进入租赁方废水处理站，隔油沉淀池的处理规模为</w:t>
            </w:r>
            <w:r>
              <w:rPr>
                <w:rFonts w:hint="eastAsia" w:cs="Times New Roman"/>
                <w:color w:val="auto"/>
                <w:sz w:val="24"/>
                <w:szCs w:val="24"/>
                <w:lang w:val="en-US" w:eastAsia="zh-CN"/>
              </w:rPr>
              <w:t>60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eastAsia"/>
                <w:bCs/>
                <w:color w:val="auto"/>
                <w:lang w:val="en-US" w:eastAsia="zh-CN"/>
              </w:rPr>
              <w:t>，可满足项目废水处理量。</w:t>
            </w:r>
          </w:p>
          <w:p w14:paraId="00728649">
            <w:pPr>
              <w:numPr>
                <w:ilvl w:val="0"/>
                <w:numId w:val="0"/>
              </w:numPr>
              <w:ind w:firstLine="480" w:firstLineChars="200"/>
              <w:rPr>
                <w:rFonts w:hint="eastAsia"/>
                <w:bCs/>
                <w:color w:val="auto"/>
                <w:lang w:val="en-US" w:eastAsia="zh-CN"/>
              </w:rPr>
            </w:pPr>
            <w:r>
              <w:rPr>
                <w:rFonts w:hint="eastAsia"/>
                <w:bCs/>
                <w:color w:val="auto"/>
                <w:lang w:val="en-US" w:eastAsia="zh-CN"/>
              </w:rPr>
              <w:t>租赁方废水处理站位于厂区西北侧，采用地埋式池体，处理规模为</w:t>
            </w:r>
            <w:r>
              <w:rPr>
                <w:rFonts w:hint="eastAsia" w:cs="Times New Roman"/>
                <w:color w:val="auto"/>
                <w:sz w:val="24"/>
                <w:szCs w:val="24"/>
                <w:lang w:val="en-US" w:eastAsia="zh-CN"/>
              </w:rPr>
              <w:t>600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eastAsia"/>
                <w:bCs/>
                <w:color w:val="auto"/>
                <w:lang w:val="en-US" w:eastAsia="zh-CN"/>
              </w:rPr>
              <w:t>，废水处理工艺为“格栅+调节+水解酸化+接触氧化+沉淀”，处理工艺流程如下：</w:t>
            </w:r>
          </w:p>
          <w:p w14:paraId="4B2C1827">
            <w:pPr>
              <w:numPr>
                <w:ilvl w:val="0"/>
                <w:numId w:val="0"/>
              </w:numPr>
              <w:ind w:firstLine="480" w:firstLineChars="200"/>
              <w:rPr>
                <w:rFonts w:hint="eastAsia"/>
                <w:bCs/>
                <w:color w:val="auto"/>
                <w:lang w:val="en-US" w:eastAsia="zh-CN"/>
              </w:rPr>
            </w:pPr>
          </w:p>
          <w:p w14:paraId="7283C6D7">
            <w:pPr>
              <w:numPr>
                <w:ilvl w:val="0"/>
                <w:numId w:val="0"/>
              </w:numPr>
              <w:ind w:firstLine="480" w:firstLineChars="200"/>
              <w:rPr>
                <w:rFonts w:hint="eastAsia"/>
                <w:bCs/>
                <w:color w:val="auto"/>
                <w:lang w:val="en-US" w:eastAsia="zh-CN"/>
              </w:rPr>
            </w:pPr>
          </w:p>
          <w:p w14:paraId="622C3C2D">
            <w:pPr>
              <w:numPr>
                <w:ilvl w:val="0"/>
                <w:numId w:val="0"/>
              </w:numPr>
              <w:ind w:firstLine="480" w:firstLineChars="200"/>
              <w:rPr>
                <w:rFonts w:hint="eastAsia"/>
                <w:bCs/>
                <w:color w:val="auto"/>
                <w:lang w:val="en-US" w:eastAsia="zh-CN"/>
              </w:rPr>
            </w:pPr>
          </w:p>
          <w:p w14:paraId="7720A9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color w:val="auto"/>
              </w:rPr>
            </w:pPr>
            <w:r>
              <w:rPr>
                <w:color w:val="auto"/>
              </w:rPr>
              <w:drawing>
                <wp:inline distT="0" distB="0" distL="114300" distR="114300">
                  <wp:extent cx="5960110" cy="2868295"/>
                  <wp:effectExtent l="0" t="0" r="2540" b="825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21"/>
                          <a:stretch>
                            <a:fillRect/>
                          </a:stretch>
                        </pic:blipFill>
                        <pic:spPr>
                          <a:xfrm>
                            <a:off x="0" y="0"/>
                            <a:ext cx="5960110" cy="2868295"/>
                          </a:xfrm>
                          <a:prstGeom prst="rect">
                            <a:avLst/>
                          </a:prstGeom>
                          <a:noFill/>
                          <a:ln>
                            <a:noFill/>
                          </a:ln>
                        </pic:spPr>
                      </pic:pic>
                    </a:graphicData>
                  </a:graphic>
                </wp:inline>
              </w:drawing>
            </w:r>
          </w:p>
          <w:p w14:paraId="70D885EF">
            <w:pPr>
              <w:spacing w:line="36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图</w:t>
            </w:r>
            <w:r>
              <w:rPr>
                <w:rFonts w:hint="eastAsia" w:cs="Times New Roman"/>
                <w:b/>
                <w:bCs/>
                <w:color w:val="auto"/>
                <w:sz w:val="21"/>
                <w:szCs w:val="21"/>
                <w:lang w:val="en-US" w:eastAsia="zh-CN"/>
              </w:rPr>
              <w:t xml:space="preserve">3 </w:t>
            </w:r>
            <w:r>
              <w:rPr>
                <w:rFonts w:hint="default" w:ascii="Times New Roman" w:hAnsi="Times New Roman" w:cs="Times New Roman"/>
                <w:b/>
                <w:bCs/>
                <w:color w:val="auto"/>
                <w:sz w:val="21"/>
                <w:szCs w:val="21"/>
              </w:rPr>
              <w:t xml:space="preserve"> </w:t>
            </w:r>
            <w:r>
              <w:rPr>
                <w:rFonts w:hint="eastAsia" w:cs="Times New Roman"/>
                <w:b/>
                <w:bCs/>
                <w:color w:val="auto"/>
                <w:sz w:val="21"/>
                <w:szCs w:val="21"/>
                <w:lang w:val="en-US" w:eastAsia="zh-CN"/>
              </w:rPr>
              <w:t>厂区</w:t>
            </w:r>
            <w:r>
              <w:rPr>
                <w:rFonts w:hint="default" w:ascii="Times New Roman" w:hAnsi="Times New Roman" w:cs="Times New Roman"/>
                <w:b/>
                <w:bCs/>
                <w:color w:val="auto"/>
                <w:sz w:val="21"/>
                <w:szCs w:val="21"/>
                <w:lang w:val="en-US" w:eastAsia="zh-CN"/>
              </w:rPr>
              <w:t>废</w:t>
            </w:r>
            <w:r>
              <w:rPr>
                <w:rFonts w:hint="eastAsia" w:cs="Times New Roman"/>
                <w:b/>
                <w:bCs/>
                <w:color w:val="auto"/>
                <w:sz w:val="21"/>
                <w:szCs w:val="21"/>
                <w:lang w:val="en-US" w:eastAsia="zh-CN"/>
              </w:rPr>
              <w:t>水处理站处理</w:t>
            </w:r>
            <w:r>
              <w:rPr>
                <w:rFonts w:hint="default" w:ascii="Times New Roman" w:hAnsi="Times New Roman" w:cs="Times New Roman"/>
                <w:b/>
                <w:bCs/>
                <w:color w:val="auto"/>
                <w:sz w:val="21"/>
                <w:szCs w:val="21"/>
              </w:rPr>
              <w:t>工艺流程图</w:t>
            </w:r>
          </w:p>
          <w:p w14:paraId="1FDF3279">
            <w:pPr>
              <w:numPr>
                <w:ilvl w:val="0"/>
                <w:numId w:val="0"/>
              </w:numPr>
              <w:ind w:firstLine="480" w:firstLineChars="200"/>
              <w:rPr>
                <w:rFonts w:hint="default" w:cs="Times New Roman"/>
                <w:color w:val="auto"/>
                <w:lang w:val="en-US" w:eastAsia="zh-CN"/>
              </w:rPr>
            </w:pPr>
            <w:r>
              <w:rPr>
                <w:rFonts w:hint="eastAsia" w:cs="Times New Roman"/>
                <w:color w:val="auto"/>
                <w:lang w:val="en-US" w:eastAsia="zh-CN"/>
              </w:rPr>
              <w:t>废水处理站设计进出水指标见表</w:t>
            </w:r>
            <w:r>
              <w:rPr>
                <w:rFonts w:hint="eastAsia"/>
                <w:bCs/>
                <w:color w:val="auto"/>
              </w:rPr>
              <w:t>4-</w:t>
            </w:r>
            <w:r>
              <w:rPr>
                <w:rFonts w:hint="eastAsia"/>
                <w:bCs/>
                <w:color w:val="auto"/>
                <w:lang w:val="en-US" w:eastAsia="zh-CN"/>
              </w:rPr>
              <w:t>8</w:t>
            </w:r>
            <w:r>
              <w:rPr>
                <w:bCs/>
                <w:color w:val="auto"/>
              </w:rPr>
              <w:t>。</w:t>
            </w:r>
          </w:p>
          <w:p w14:paraId="50B13D09">
            <w:pPr>
              <w:pStyle w:val="54"/>
              <w:bidi w:val="0"/>
              <w:rPr>
                <w:rFonts w:hint="eastAsia"/>
                <w:color w:val="auto"/>
              </w:rPr>
            </w:pPr>
            <w:r>
              <w:rPr>
                <w:rFonts w:hint="eastAsia"/>
                <w:color w:val="auto"/>
              </w:rPr>
              <w:t>表4-</w:t>
            </w:r>
            <w:r>
              <w:rPr>
                <w:rFonts w:hint="eastAsia"/>
                <w:color w:val="auto"/>
                <w:lang w:val="en-US" w:eastAsia="zh-CN"/>
              </w:rPr>
              <w:t>8</w:t>
            </w:r>
            <w:r>
              <w:rPr>
                <w:rFonts w:hint="eastAsia"/>
                <w:color w:val="auto"/>
              </w:rPr>
              <w:t xml:space="preserve">  </w:t>
            </w:r>
            <w:r>
              <w:rPr>
                <w:rFonts w:hint="eastAsia"/>
                <w:color w:val="auto"/>
                <w:lang w:val="en-US" w:eastAsia="zh-CN"/>
              </w:rPr>
              <w:t>厂区废水处理站设计进出水指标</w:t>
            </w:r>
            <w:r>
              <w:rPr>
                <w:rFonts w:hint="eastAsia"/>
                <w:color w:val="auto"/>
              </w:rPr>
              <w:t>一览表</w:t>
            </w:r>
          </w:p>
          <w:tbl>
            <w:tblPr>
              <w:tblStyle w:val="2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1997"/>
              <w:gridCol w:w="2134"/>
              <w:gridCol w:w="3710"/>
            </w:tblGrid>
            <w:tr w14:paraId="7FBF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noWrap w:val="0"/>
                  <w:vAlign w:val="center"/>
                </w:tcPr>
                <w:p w14:paraId="354141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污染物种类</w:t>
                  </w:r>
                </w:p>
              </w:tc>
              <w:tc>
                <w:tcPr>
                  <w:tcW w:w="1067" w:type="pct"/>
                  <w:noWrap w:val="0"/>
                  <w:vAlign w:val="center"/>
                </w:tcPr>
                <w:p w14:paraId="11225B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进水浓度（</w:t>
                  </w:r>
                  <w:r>
                    <w:rPr>
                      <w:rFonts w:hint="default"/>
                      <w:color w:val="auto"/>
                      <w:sz w:val="21"/>
                      <w:szCs w:val="21"/>
                      <w:lang w:val="en-US" w:eastAsia="zh-CN"/>
                    </w:rPr>
                    <w:t>mg/L</w:t>
                  </w:r>
                  <w:r>
                    <w:rPr>
                      <w:rFonts w:hint="eastAsia"/>
                      <w:color w:val="auto"/>
                      <w:sz w:val="21"/>
                      <w:szCs w:val="21"/>
                      <w:lang w:val="en-US" w:eastAsia="zh-CN"/>
                    </w:rPr>
                    <w:t>）</w:t>
                  </w:r>
                </w:p>
              </w:tc>
              <w:tc>
                <w:tcPr>
                  <w:tcW w:w="1140" w:type="pct"/>
                  <w:noWrap w:val="0"/>
                  <w:vAlign w:val="center"/>
                </w:tcPr>
                <w:p w14:paraId="6AFD91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出水浓度（</w:t>
                  </w:r>
                  <w:r>
                    <w:rPr>
                      <w:rFonts w:hint="default"/>
                      <w:color w:val="auto"/>
                      <w:sz w:val="21"/>
                      <w:szCs w:val="21"/>
                      <w:lang w:val="en-US" w:eastAsia="zh-CN"/>
                    </w:rPr>
                    <w:t>mg/L</w:t>
                  </w:r>
                  <w:r>
                    <w:rPr>
                      <w:rFonts w:hint="eastAsia"/>
                      <w:color w:val="auto"/>
                      <w:sz w:val="21"/>
                      <w:szCs w:val="21"/>
                      <w:lang w:val="en-US" w:eastAsia="zh-CN"/>
                    </w:rPr>
                    <w:t>）</w:t>
                  </w:r>
                </w:p>
              </w:tc>
              <w:tc>
                <w:tcPr>
                  <w:tcW w:w="1982" w:type="pct"/>
                  <w:noWrap w:val="0"/>
                  <w:vAlign w:val="center"/>
                </w:tcPr>
                <w:p w14:paraId="535194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排放标准</w:t>
                  </w:r>
                </w:p>
              </w:tc>
            </w:tr>
            <w:tr w14:paraId="42F2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pct"/>
                  <w:noWrap w:val="0"/>
                  <w:vAlign w:val="center"/>
                </w:tcPr>
                <w:p w14:paraId="0851A8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pH/无量纲</w:t>
                  </w:r>
                </w:p>
              </w:tc>
              <w:tc>
                <w:tcPr>
                  <w:tcW w:w="1067" w:type="pct"/>
                  <w:noWrap w:val="0"/>
                  <w:vAlign w:val="center"/>
                </w:tcPr>
                <w:p w14:paraId="757BCB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1140" w:type="pct"/>
                  <w:noWrap w:val="0"/>
                  <w:vAlign w:val="center"/>
                </w:tcPr>
                <w:p w14:paraId="371A7E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6~9</w:t>
                  </w:r>
                </w:p>
              </w:tc>
              <w:tc>
                <w:tcPr>
                  <w:tcW w:w="1982" w:type="pct"/>
                  <w:vMerge w:val="restart"/>
                  <w:noWrap w:val="0"/>
                  <w:vAlign w:val="center"/>
                </w:tcPr>
                <w:p w14:paraId="11CCD3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《污水综合排放标准》（GB8978-1996）三级标准（标准中未作要求的执行《污水排入城镇下水道水质标准》（GB/T31962-2015）B级标准）</w:t>
                  </w:r>
                </w:p>
                <w:p w14:paraId="6559D8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r w14:paraId="4C0B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noWrap w:val="0"/>
                  <w:vAlign w:val="center"/>
                </w:tcPr>
                <w:p w14:paraId="502136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COD</w:t>
                  </w:r>
                </w:p>
              </w:tc>
              <w:tc>
                <w:tcPr>
                  <w:tcW w:w="1067" w:type="pct"/>
                  <w:noWrap w:val="0"/>
                  <w:vAlign w:val="center"/>
                </w:tcPr>
                <w:p w14:paraId="04EC30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2000</w:t>
                  </w:r>
                </w:p>
              </w:tc>
              <w:tc>
                <w:tcPr>
                  <w:tcW w:w="1140" w:type="pct"/>
                  <w:noWrap w:val="0"/>
                  <w:vAlign w:val="center"/>
                </w:tcPr>
                <w:p w14:paraId="1500F4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500</w:t>
                  </w:r>
                </w:p>
              </w:tc>
              <w:tc>
                <w:tcPr>
                  <w:tcW w:w="1982" w:type="pct"/>
                  <w:vMerge w:val="continue"/>
                  <w:noWrap w:val="0"/>
                  <w:vAlign w:val="center"/>
                </w:tcPr>
                <w:p w14:paraId="572FF8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r w14:paraId="231B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noWrap w:val="0"/>
                  <w:vAlign w:val="center"/>
                </w:tcPr>
                <w:p w14:paraId="4197CD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BOD</w:t>
                  </w:r>
                  <w:r>
                    <w:rPr>
                      <w:color w:val="auto"/>
                      <w:sz w:val="21"/>
                      <w:szCs w:val="21"/>
                      <w:vertAlign w:val="subscript"/>
                      <w:lang w:val="en-US" w:eastAsia="zh-CN"/>
                    </w:rPr>
                    <w:t>5</w:t>
                  </w:r>
                </w:p>
              </w:tc>
              <w:tc>
                <w:tcPr>
                  <w:tcW w:w="1067" w:type="pct"/>
                  <w:noWrap w:val="0"/>
                  <w:vAlign w:val="center"/>
                </w:tcPr>
                <w:p w14:paraId="269A7D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1000</w:t>
                  </w:r>
                </w:p>
              </w:tc>
              <w:tc>
                <w:tcPr>
                  <w:tcW w:w="1140" w:type="pct"/>
                  <w:noWrap w:val="0"/>
                  <w:vAlign w:val="center"/>
                </w:tcPr>
                <w:p w14:paraId="70C1E5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300</w:t>
                  </w:r>
                </w:p>
              </w:tc>
              <w:tc>
                <w:tcPr>
                  <w:tcW w:w="1982" w:type="pct"/>
                  <w:vMerge w:val="continue"/>
                  <w:noWrap w:val="0"/>
                  <w:vAlign w:val="center"/>
                </w:tcPr>
                <w:p w14:paraId="79555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r w14:paraId="632A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noWrap w:val="0"/>
                  <w:vAlign w:val="center"/>
                </w:tcPr>
                <w:p w14:paraId="73F4EF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default"/>
                      <w:color w:val="auto"/>
                      <w:sz w:val="21"/>
                      <w:szCs w:val="21"/>
                      <w:lang w:val="en-US" w:eastAsia="zh-CN"/>
                    </w:rPr>
                    <w:t>NH</w:t>
                  </w:r>
                  <w:r>
                    <w:rPr>
                      <w:color w:val="auto"/>
                      <w:sz w:val="21"/>
                      <w:szCs w:val="21"/>
                      <w:vertAlign w:val="subscript"/>
                      <w:lang w:val="en-US" w:eastAsia="zh-CN"/>
                    </w:rPr>
                    <w:t>3</w:t>
                  </w:r>
                  <w:r>
                    <w:rPr>
                      <w:rFonts w:hint="default"/>
                      <w:color w:val="auto"/>
                      <w:sz w:val="21"/>
                      <w:szCs w:val="21"/>
                      <w:lang w:val="en-US" w:eastAsia="zh-CN"/>
                    </w:rPr>
                    <w:t>-N</w:t>
                  </w:r>
                </w:p>
              </w:tc>
              <w:tc>
                <w:tcPr>
                  <w:tcW w:w="1067" w:type="pct"/>
                  <w:noWrap w:val="0"/>
                  <w:vAlign w:val="center"/>
                </w:tcPr>
                <w:p w14:paraId="48142A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color w:val="auto"/>
                      <w:sz w:val="21"/>
                      <w:szCs w:val="21"/>
                      <w:lang w:val="en-US" w:eastAsia="zh-CN"/>
                    </w:rPr>
                    <w:t>70</w:t>
                  </w:r>
                </w:p>
              </w:tc>
              <w:tc>
                <w:tcPr>
                  <w:tcW w:w="1140" w:type="pct"/>
                  <w:noWrap w:val="0"/>
                  <w:vAlign w:val="center"/>
                </w:tcPr>
                <w:p w14:paraId="341D31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45</w:t>
                  </w:r>
                </w:p>
              </w:tc>
              <w:tc>
                <w:tcPr>
                  <w:tcW w:w="1982" w:type="pct"/>
                  <w:vMerge w:val="continue"/>
                  <w:noWrap w:val="0"/>
                  <w:vAlign w:val="center"/>
                </w:tcPr>
                <w:p w14:paraId="756EC0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r w14:paraId="1185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shd w:val="clear" w:color="auto" w:fill="auto"/>
                  <w:noWrap w:val="0"/>
                  <w:vAlign w:val="center"/>
                </w:tcPr>
                <w:p w14:paraId="2C889D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color w:val="auto"/>
                      <w:sz w:val="21"/>
                      <w:szCs w:val="21"/>
                      <w:lang w:val="en-US" w:eastAsia="zh-CN"/>
                    </w:rPr>
                    <w:t>SS</w:t>
                  </w:r>
                </w:p>
              </w:tc>
              <w:tc>
                <w:tcPr>
                  <w:tcW w:w="1067" w:type="pct"/>
                  <w:shd w:val="clear" w:color="auto" w:fill="auto"/>
                  <w:noWrap w:val="0"/>
                  <w:vAlign w:val="center"/>
                </w:tcPr>
                <w:p w14:paraId="7416A7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800</w:t>
                  </w:r>
                </w:p>
              </w:tc>
              <w:tc>
                <w:tcPr>
                  <w:tcW w:w="1140" w:type="pct"/>
                  <w:noWrap w:val="0"/>
                  <w:vAlign w:val="center"/>
                </w:tcPr>
                <w:p w14:paraId="10E9FE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400</w:t>
                  </w:r>
                </w:p>
              </w:tc>
              <w:tc>
                <w:tcPr>
                  <w:tcW w:w="1982" w:type="pct"/>
                  <w:vMerge w:val="continue"/>
                  <w:noWrap w:val="0"/>
                  <w:vAlign w:val="center"/>
                </w:tcPr>
                <w:p w14:paraId="71EA43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r w14:paraId="5897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shd w:val="clear" w:color="auto" w:fill="auto"/>
                  <w:noWrap w:val="0"/>
                  <w:vAlign w:val="center"/>
                </w:tcPr>
                <w:p w14:paraId="5D8B9A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总磷</w:t>
                  </w:r>
                </w:p>
              </w:tc>
              <w:tc>
                <w:tcPr>
                  <w:tcW w:w="1067" w:type="pct"/>
                  <w:shd w:val="clear" w:color="auto" w:fill="auto"/>
                  <w:noWrap w:val="0"/>
                  <w:vAlign w:val="center"/>
                </w:tcPr>
                <w:p w14:paraId="65E43F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9</w:t>
                  </w:r>
                </w:p>
              </w:tc>
              <w:tc>
                <w:tcPr>
                  <w:tcW w:w="1140" w:type="pct"/>
                  <w:noWrap w:val="0"/>
                  <w:vAlign w:val="center"/>
                </w:tcPr>
                <w:p w14:paraId="0D922E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8</w:t>
                  </w:r>
                </w:p>
              </w:tc>
              <w:tc>
                <w:tcPr>
                  <w:tcW w:w="1982" w:type="pct"/>
                  <w:vMerge w:val="continue"/>
                  <w:noWrap w:val="0"/>
                  <w:vAlign w:val="center"/>
                </w:tcPr>
                <w:p w14:paraId="7AFF4A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r w14:paraId="2C2E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9" w:type="pct"/>
                  <w:noWrap w:val="0"/>
                  <w:vAlign w:val="center"/>
                </w:tcPr>
                <w:p w14:paraId="6A4398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sz w:val="21"/>
                      <w:szCs w:val="21"/>
                      <w:lang w:val="en-US" w:eastAsia="zh-CN"/>
                    </w:rPr>
                  </w:pPr>
                  <w:r>
                    <w:rPr>
                      <w:rFonts w:hint="eastAsia"/>
                      <w:color w:val="auto"/>
                      <w:sz w:val="21"/>
                      <w:szCs w:val="21"/>
                      <w:lang w:val="en-US" w:eastAsia="zh-CN"/>
                    </w:rPr>
                    <w:t>动植物油</w:t>
                  </w:r>
                </w:p>
              </w:tc>
              <w:tc>
                <w:tcPr>
                  <w:tcW w:w="1067" w:type="pct"/>
                  <w:noWrap w:val="0"/>
                  <w:vAlign w:val="center"/>
                </w:tcPr>
                <w:p w14:paraId="18567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200</w:t>
                  </w:r>
                </w:p>
              </w:tc>
              <w:tc>
                <w:tcPr>
                  <w:tcW w:w="1140" w:type="pct"/>
                  <w:noWrap w:val="0"/>
                  <w:vAlign w:val="center"/>
                </w:tcPr>
                <w:p w14:paraId="2C7FE5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eastAsia="zh-CN"/>
                    </w:rPr>
                  </w:pPr>
                  <w:r>
                    <w:rPr>
                      <w:rFonts w:hint="eastAsia"/>
                      <w:color w:val="auto"/>
                      <w:sz w:val="21"/>
                      <w:szCs w:val="21"/>
                      <w:lang w:val="en-US" w:eastAsia="zh-CN"/>
                    </w:rPr>
                    <w:t>100</w:t>
                  </w:r>
                </w:p>
              </w:tc>
              <w:tc>
                <w:tcPr>
                  <w:tcW w:w="1982" w:type="pct"/>
                  <w:vMerge w:val="continue"/>
                  <w:noWrap w:val="0"/>
                  <w:vAlign w:val="center"/>
                </w:tcPr>
                <w:p w14:paraId="1C911B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lang w:val="en-US" w:eastAsia="zh-CN"/>
                    </w:rPr>
                  </w:pPr>
                </w:p>
              </w:tc>
            </w:tr>
          </w:tbl>
          <w:p w14:paraId="7ECEEE0E">
            <w:pPr>
              <w:numPr>
                <w:ilvl w:val="0"/>
                <w:numId w:val="0"/>
              </w:numPr>
              <w:ind w:firstLine="480" w:firstLineChars="200"/>
              <w:rPr>
                <w:rFonts w:hint="default"/>
                <w:color w:val="auto"/>
                <w:lang w:val="en-US" w:eastAsia="zh-CN"/>
              </w:rPr>
            </w:pPr>
            <w:r>
              <w:rPr>
                <w:rFonts w:hint="eastAsia" w:cs="Times New Roman"/>
                <w:color w:val="auto"/>
                <w:lang w:val="en-US" w:eastAsia="zh-CN"/>
              </w:rPr>
              <w:t>本项目生产废水的污染物浓度低于</w:t>
            </w:r>
            <w:r>
              <w:rPr>
                <w:rFonts w:hint="eastAsia"/>
                <w:bCs/>
                <w:color w:val="auto"/>
                <w:lang w:val="en-US" w:eastAsia="zh-CN"/>
              </w:rPr>
              <w:t>厂区废水处理站的进水水质，生产废水的</w:t>
            </w:r>
            <w:r>
              <w:rPr>
                <w:rFonts w:hint="eastAsia" w:cs="Times New Roman"/>
                <w:color w:val="auto"/>
                <w:sz w:val="24"/>
                <w:szCs w:val="24"/>
                <w:lang w:val="en-US" w:eastAsia="zh-CN"/>
              </w:rPr>
              <w:t>产生</w:t>
            </w:r>
            <w:r>
              <w:rPr>
                <w:rFonts w:hint="default" w:ascii="Times New Roman" w:hAnsi="Times New Roman" w:eastAsia="宋体" w:cs="Times New Roman"/>
                <w:color w:val="auto"/>
                <w:sz w:val="24"/>
                <w:szCs w:val="24"/>
              </w:rPr>
              <w:t>量为</w:t>
            </w:r>
            <w:r>
              <w:rPr>
                <w:rFonts w:hint="eastAsia" w:cs="Times New Roman"/>
                <w:color w:val="auto"/>
                <w:sz w:val="24"/>
                <w:szCs w:val="24"/>
                <w:lang w:val="en-US" w:eastAsia="zh-CN"/>
              </w:rPr>
              <w:t>50.05</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远小于</w:t>
            </w:r>
            <w:r>
              <w:rPr>
                <w:rFonts w:hint="eastAsia"/>
                <w:bCs/>
                <w:color w:val="auto"/>
                <w:lang w:val="en-US" w:eastAsia="zh-CN"/>
              </w:rPr>
              <w:t>厂区废水处理站的处理规模，经处理后的出水可满足《污水综合排放标准》（GB8978-1996）三级标准和《污水排入城镇下水道水质标准》（GB/T31962-2015）B级标准，</w:t>
            </w:r>
            <w:r>
              <w:rPr>
                <w:rFonts w:hint="eastAsia"/>
                <w:color w:val="auto"/>
                <w:lang w:val="en-US" w:eastAsia="zh-CN"/>
              </w:rPr>
              <w:t>通过市政污水管网排入西咸新区沣西新城渭河污水处理厂进一步处理。由于厂区</w:t>
            </w:r>
            <w:r>
              <w:rPr>
                <w:rFonts w:hint="eastAsia"/>
                <w:bCs/>
                <w:color w:val="auto"/>
                <w:lang w:val="en-US" w:eastAsia="zh-CN"/>
              </w:rPr>
              <w:t>废水处理站正在进行竣工环保验收，故本项目需在租赁方通过竣工环保验收后方可运行。</w:t>
            </w:r>
            <w:r>
              <w:rPr>
                <w:rFonts w:hint="eastAsia"/>
                <w:color w:val="auto"/>
                <w:lang w:val="en-US" w:eastAsia="zh-CN"/>
              </w:rPr>
              <w:t>因此，项目依托租赁方</w:t>
            </w:r>
            <w:r>
              <w:rPr>
                <w:rFonts w:hint="eastAsia" w:cs="Times New Roman"/>
                <w:color w:val="auto"/>
                <w:lang w:val="en-US" w:eastAsia="zh-CN"/>
              </w:rPr>
              <w:t>废水处理站处理可行。</w:t>
            </w:r>
          </w:p>
          <w:p w14:paraId="4BB06EB9">
            <w:pPr>
              <w:numPr>
                <w:ilvl w:val="0"/>
                <w:numId w:val="0"/>
              </w:numPr>
              <w:ind w:firstLine="480" w:firstLineChars="200"/>
              <w:rPr>
                <w:rFonts w:hint="default"/>
                <w:bCs/>
                <w:color w:val="auto"/>
                <w:lang w:val="en-US" w:eastAsia="zh-CN"/>
              </w:rPr>
            </w:pPr>
            <w:r>
              <w:rPr>
                <w:rFonts w:hint="default" w:ascii="Times New Roman" w:hAnsi="Times New Roman" w:eastAsia="宋体" w:cs="Times New Roman"/>
                <w:color w:val="auto"/>
                <w:kern w:val="0"/>
                <w:lang w:val="en-US" w:eastAsia="zh-CN" w:bidi="ar"/>
              </w:rPr>
              <w:t>②</w:t>
            </w:r>
            <w:r>
              <w:rPr>
                <w:rFonts w:hint="eastAsia"/>
                <w:bCs/>
                <w:color w:val="auto"/>
                <w:lang w:val="en-US" w:eastAsia="zh-CN"/>
              </w:rPr>
              <w:t>厂区化粪池依托可行性分析</w:t>
            </w:r>
          </w:p>
          <w:p w14:paraId="2A46CDFC">
            <w:pPr>
              <w:numPr>
                <w:ilvl w:val="0"/>
                <w:numId w:val="0"/>
              </w:numPr>
              <w:ind w:firstLine="480" w:firstLineChars="200"/>
              <w:rPr>
                <w:rFonts w:hint="default" w:ascii="Times New Roman" w:hAnsi="Times New Roman" w:eastAsia="宋体" w:cs="Times New Roman"/>
                <w:color w:val="auto"/>
                <w:kern w:val="0"/>
                <w:lang w:val="en-US" w:eastAsia="zh-CN" w:bidi="ar"/>
              </w:rPr>
            </w:pPr>
            <w:r>
              <w:rPr>
                <w:rFonts w:hint="eastAsia"/>
                <w:bCs/>
                <w:color w:val="auto"/>
                <w:lang w:val="en-US" w:eastAsia="zh-CN"/>
              </w:rPr>
              <w:t>根据《陕西物流每一天供应链管理有限公司工业园项目环境影响报告书》和现场调查，租赁方厂区内设1座</w:t>
            </w:r>
            <w:r>
              <w:rPr>
                <w:rFonts w:hint="eastAsia" w:cs="Times New Roman"/>
                <w:color w:val="auto"/>
                <w:sz w:val="24"/>
                <w:szCs w:val="24"/>
                <w:lang w:val="en-US" w:eastAsia="zh-CN"/>
              </w:rPr>
              <w:t>70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cs="Times New Roman"/>
                <w:color w:val="auto"/>
                <w:sz w:val="24"/>
                <w:szCs w:val="24"/>
                <w:lang w:val="en-US" w:eastAsia="zh-CN"/>
              </w:rPr>
              <w:t>的化粪池，</w:t>
            </w:r>
            <w:r>
              <w:rPr>
                <w:rFonts w:hint="eastAsia"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lang w:eastAsia="zh-CN"/>
              </w:rPr>
              <w:t>生活污水</w:t>
            </w:r>
            <w:r>
              <w:rPr>
                <w:rFonts w:hint="eastAsia" w:cs="Times New Roman"/>
                <w:color w:val="auto"/>
                <w:sz w:val="24"/>
                <w:szCs w:val="24"/>
                <w:lang w:val="en-US" w:eastAsia="zh-CN"/>
              </w:rPr>
              <w:t>产生</w:t>
            </w:r>
            <w:r>
              <w:rPr>
                <w:rFonts w:hint="default" w:ascii="Times New Roman" w:hAnsi="Times New Roman" w:eastAsia="宋体" w:cs="Times New Roman"/>
                <w:color w:val="auto"/>
                <w:sz w:val="24"/>
                <w:szCs w:val="24"/>
              </w:rPr>
              <w:t>量为</w:t>
            </w:r>
            <w:r>
              <w:rPr>
                <w:rFonts w:hint="eastAsia" w:cs="Times New Roman"/>
                <w:color w:val="auto"/>
                <w:sz w:val="24"/>
                <w:szCs w:val="24"/>
                <w:lang w:val="en-US" w:eastAsia="zh-CN"/>
              </w:rPr>
              <w:t>0.48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污水量远小于化粪池的处理能力，</w:t>
            </w:r>
            <w:r>
              <w:rPr>
                <w:rFonts w:hint="eastAsia"/>
                <w:color w:val="auto"/>
                <w:lang w:val="en-US" w:eastAsia="zh-CN"/>
              </w:rPr>
              <w:t>因此，项目依托租赁方</w:t>
            </w:r>
            <w:r>
              <w:rPr>
                <w:rFonts w:hint="eastAsia" w:cs="Times New Roman"/>
                <w:color w:val="auto"/>
                <w:sz w:val="24"/>
                <w:szCs w:val="24"/>
                <w:lang w:val="en-US" w:eastAsia="zh-CN"/>
              </w:rPr>
              <w:t>化粪池</w:t>
            </w:r>
            <w:r>
              <w:rPr>
                <w:rFonts w:hint="eastAsia" w:cs="Times New Roman"/>
                <w:color w:val="auto"/>
                <w:lang w:val="en-US" w:eastAsia="zh-CN"/>
              </w:rPr>
              <w:t>处理可行。</w:t>
            </w:r>
          </w:p>
          <w:p w14:paraId="54CBE511">
            <w:pPr>
              <w:numPr>
                <w:ilvl w:val="0"/>
                <w:numId w:val="0"/>
              </w:numPr>
              <w:ind w:firstLine="480" w:firstLineChars="200"/>
              <w:rPr>
                <w:rFonts w:hint="eastAsia"/>
                <w:bCs/>
                <w:color w:val="auto"/>
                <w:lang w:val="en-US" w:eastAsia="zh-CN"/>
              </w:rPr>
            </w:pPr>
            <w:r>
              <w:rPr>
                <w:rFonts w:hint="default" w:ascii="Times New Roman" w:hAnsi="Times New Roman" w:cs="Times New Roman"/>
                <w:color w:val="auto"/>
              </w:rPr>
              <w:t>③</w:t>
            </w:r>
            <w:r>
              <w:rPr>
                <w:rFonts w:hint="eastAsia"/>
                <w:color w:val="auto"/>
                <w:lang w:val="en-US" w:eastAsia="zh-CN"/>
              </w:rPr>
              <w:t>沣西新城渭河污水处理厂</w:t>
            </w:r>
            <w:r>
              <w:rPr>
                <w:rFonts w:hint="eastAsia"/>
                <w:bCs/>
                <w:color w:val="auto"/>
                <w:lang w:val="en-US" w:eastAsia="zh-CN"/>
              </w:rPr>
              <w:t>依托可行性分析</w:t>
            </w:r>
          </w:p>
          <w:p w14:paraId="1AF3449D">
            <w:pPr>
              <w:numPr>
                <w:ilvl w:val="0"/>
                <w:numId w:val="0"/>
              </w:numPr>
              <w:ind w:firstLine="480" w:firstLineChars="200"/>
              <w:rPr>
                <w:rFonts w:hint="eastAsia"/>
                <w:color w:val="auto"/>
                <w:lang w:val="en-US" w:eastAsia="zh-CN"/>
              </w:rPr>
            </w:pPr>
            <w:r>
              <w:rPr>
                <w:rFonts w:hint="eastAsia"/>
                <w:color w:val="auto"/>
                <w:lang w:val="en-US" w:eastAsia="zh-CN"/>
              </w:rPr>
              <w:t>沣西新城渭河污水处理厂位于西咸新区沣西新城王道村，在咸户路以西、天元路以南、新元路以北区域内，占地92.5亩，近期设计处理规模30000m</w:t>
            </w:r>
            <w:r>
              <w:rPr>
                <w:rFonts w:hint="eastAsia"/>
                <w:color w:val="auto"/>
                <w:vertAlign w:val="superscript"/>
                <w:lang w:val="en-US" w:eastAsia="zh-CN"/>
              </w:rPr>
              <w:t>3</w:t>
            </w:r>
            <w:r>
              <w:rPr>
                <w:rFonts w:hint="eastAsia"/>
                <w:color w:val="auto"/>
                <w:lang w:val="en-US" w:eastAsia="zh-CN"/>
              </w:rPr>
              <w:t>/d，已于2018年正式建成投运，远期处理规模60000m</w:t>
            </w:r>
            <w:r>
              <w:rPr>
                <w:rFonts w:hint="eastAsia"/>
                <w:color w:val="auto"/>
                <w:vertAlign w:val="superscript"/>
                <w:lang w:val="en-US" w:eastAsia="zh-CN"/>
              </w:rPr>
              <w:t>3</w:t>
            </w:r>
            <w:r>
              <w:rPr>
                <w:rFonts w:hint="eastAsia"/>
                <w:color w:val="auto"/>
                <w:lang w:val="en-US" w:eastAsia="zh-CN"/>
              </w:rPr>
              <w:t>/d。废水采用“A</w:t>
            </w:r>
            <w:r>
              <w:rPr>
                <w:rFonts w:hint="eastAsia"/>
                <w:color w:val="auto"/>
                <w:vertAlign w:val="superscript"/>
                <w:lang w:val="en-US" w:eastAsia="zh-CN"/>
              </w:rPr>
              <w:t>2</w:t>
            </w:r>
            <w:r>
              <w:rPr>
                <w:rFonts w:hint="eastAsia"/>
                <w:color w:val="auto"/>
                <w:lang w:val="en-US" w:eastAsia="zh-CN"/>
              </w:rPr>
              <w:t>O+MBR+紫外消毒”的二级生化处理工艺及深度处理工艺，再生水达到《地表水环境质量标准》（GB3838-2002）中的Ⅳ类标准，污水经处理后排入新河。</w:t>
            </w:r>
          </w:p>
          <w:p w14:paraId="6FFDE78D">
            <w:pPr>
              <w:numPr>
                <w:ilvl w:val="0"/>
                <w:numId w:val="0"/>
              </w:numPr>
              <w:ind w:firstLine="480" w:firstLineChars="200"/>
              <w:rPr>
                <w:rFonts w:hint="eastAsia"/>
                <w:color w:val="auto"/>
                <w:lang w:val="en-US" w:eastAsia="zh-CN"/>
              </w:rPr>
            </w:pPr>
            <w:r>
              <w:rPr>
                <w:rFonts w:hint="eastAsia"/>
                <w:color w:val="auto"/>
                <w:lang w:val="en-US" w:eastAsia="zh-CN"/>
              </w:rPr>
              <w:t>本项目属于西咸新区沣西新城渭河污水处理厂收水范围，根据调查，项目所在区域市政污水管网已铺设到位，</w:t>
            </w:r>
            <w:r>
              <w:rPr>
                <w:rFonts w:hint="eastAsia" w:cs="Times New Roman"/>
                <w:color w:val="auto"/>
                <w:sz w:val="24"/>
                <w:szCs w:val="24"/>
                <w:lang w:val="en-US" w:eastAsia="zh-CN"/>
              </w:rPr>
              <w:t>废水排放量远</w:t>
            </w:r>
            <w:r>
              <w:rPr>
                <w:rFonts w:hint="eastAsia" w:cs="Times New Roman"/>
                <w:color w:val="auto"/>
                <w:sz w:val="24"/>
                <w:szCs w:val="24"/>
                <w:lang w:eastAsia="zh-CN"/>
              </w:rPr>
              <w:t>小于污水处理厂收纳余量，</w:t>
            </w:r>
            <w:r>
              <w:rPr>
                <w:rFonts w:hint="eastAsia" w:cs="Times New Roman"/>
                <w:color w:val="auto"/>
                <w:sz w:val="24"/>
                <w:szCs w:val="24"/>
                <w:lang w:val="en-US" w:eastAsia="zh-CN"/>
              </w:rPr>
              <w:t>项目废水污染物均为常规污染物，不含重金属、有毒有害污染物等，不会对</w:t>
            </w:r>
            <w:r>
              <w:rPr>
                <w:rFonts w:hint="eastAsia"/>
                <w:color w:val="auto"/>
                <w:lang w:val="en-US" w:eastAsia="zh-CN"/>
              </w:rPr>
              <w:t>污水处理厂的运行造成冲击，因此，</w:t>
            </w:r>
            <w:r>
              <w:rPr>
                <w:rFonts w:hint="eastAsia" w:cs="Times New Roman"/>
                <w:color w:val="auto"/>
                <w:sz w:val="24"/>
                <w:szCs w:val="24"/>
                <w:lang w:eastAsia="zh-CN"/>
              </w:rPr>
              <w:t>本项目产生的废水</w:t>
            </w:r>
            <w:r>
              <w:rPr>
                <w:rFonts w:hint="default" w:ascii="Times New Roman" w:hAnsi="Times New Roman" w:eastAsia="宋体" w:cs="Times New Roman"/>
                <w:color w:val="auto"/>
                <w:sz w:val="24"/>
                <w:szCs w:val="24"/>
              </w:rPr>
              <w:t>依托</w:t>
            </w:r>
            <w:r>
              <w:rPr>
                <w:rFonts w:hint="eastAsia"/>
                <w:color w:val="auto"/>
                <w:lang w:val="en-US" w:eastAsia="zh-CN"/>
              </w:rPr>
              <w:t>西咸新区沣西新城渭河污水处理厂</w:t>
            </w:r>
            <w:r>
              <w:rPr>
                <w:rFonts w:hint="eastAsia" w:cs="Times New Roman"/>
                <w:color w:val="auto"/>
                <w:sz w:val="24"/>
                <w:szCs w:val="24"/>
                <w:lang w:eastAsia="zh-CN"/>
              </w:rPr>
              <w:t>处理</w:t>
            </w:r>
            <w:r>
              <w:rPr>
                <w:rFonts w:hint="default" w:ascii="Times New Roman" w:hAnsi="Times New Roman" w:eastAsia="宋体" w:cs="Times New Roman"/>
                <w:color w:val="auto"/>
                <w:sz w:val="24"/>
                <w:szCs w:val="24"/>
              </w:rPr>
              <w:t>可行。</w:t>
            </w:r>
          </w:p>
          <w:p w14:paraId="26EE16A6">
            <w:pPr>
              <w:spacing w:line="360" w:lineRule="auto"/>
              <w:ind w:firstLine="482"/>
              <w:rPr>
                <w:rFonts w:hint="default" w:ascii="Times New Roman" w:hAnsi="Times New Roman" w:cs="Times New Roman"/>
                <w:b/>
                <w:bCs/>
                <w:color w:val="auto"/>
              </w:rPr>
            </w:pPr>
            <w:r>
              <w:rPr>
                <w:rFonts w:hint="default" w:ascii="Times New Roman" w:hAnsi="Times New Roman" w:cs="Times New Roman"/>
                <w:b/>
                <w:bCs/>
                <w:color w:val="auto"/>
              </w:rPr>
              <w:t>三、噪声</w:t>
            </w:r>
          </w:p>
          <w:p w14:paraId="3B9211F3">
            <w:pPr>
              <w:pStyle w:val="9"/>
              <w:keepNext/>
              <w:keepLines/>
              <w:spacing w:line="360" w:lineRule="auto"/>
              <w:ind w:firstLine="482"/>
              <w:rPr>
                <w:rFonts w:hint="default" w:ascii="Times New Roman" w:hAnsi="Times New Roman" w:cs="Times New Roman"/>
                <w:b/>
                <w:bCs/>
                <w:color w:val="auto"/>
              </w:rPr>
            </w:pPr>
            <w:r>
              <w:rPr>
                <w:rFonts w:hint="eastAsia" w:ascii="Times New Roman" w:hAnsi="Times New Roman" w:cs="Times New Roman"/>
                <w:b/>
                <w:bCs/>
                <w:color w:val="auto"/>
                <w:lang w:eastAsia="zh-CN"/>
              </w:rPr>
              <w:t>1.</w:t>
            </w:r>
            <w:r>
              <w:rPr>
                <w:rFonts w:hint="default" w:ascii="Times New Roman" w:hAnsi="Times New Roman" w:cs="Times New Roman"/>
                <w:b/>
                <w:bCs/>
                <w:color w:val="auto"/>
              </w:rPr>
              <w:t>噪声源强分析</w:t>
            </w:r>
          </w:p>
          <w:p w14:paraId="2308B941">
            <w:pPr>
              <w:tabs>
                <w:tab w:val="left" w:pos="6240"/>
              </w:tabs>
              <w:ind w:firstLine="480"/>
              <w:rPr>
                <w:rFonts w:hint="default" w:ascii="Times New Roman" w:hAnsi="Times New Roman" w:cs="Times New Roman"/>
                <w:color w:val="auto"/>
              </w:rPr>
            </w:pPr>
            <w:r>
              <w:rPr>
                <w:rFonts w:hint="default" w:ascii="Times New Roman" w:hAnsi="Times New Roman" w:cs="Times New Roman"/>
                <w:color w:val="auto"/>
              </w:rPr>
              <w:t>本项目运营期噪声主要为直条筛、</w:t>
            </w:r>
            <w:r>
              <w:rPr>
                <w:rFonts w:hint="eastAsia" w:cs="Times New Roman"/>
                <w:color w:val="auto"/>
                <w:lang w:val="en-US" w:eastAsia="zh-CN"/>
              </w:rPr>
              <w:t>风干机、</w:t>
            </w:r>
            <w:r>
              <w:rPr>
                <w:rFonts w:hint="default" w:ascii="Times New Roman" w:hAnsi="Times New Roman" w:cs="Times New Roman"/>
                <w:color w:val="auto"/>
              </w:rPr>
              <w:t>风机等设备运行时产生的机械噪声，噪声源强为7</w:t>
            </w:r>
            <w:r>
              <w:rPr>
                <w:rFonts w:hint="eastAsia" w:cs="Times New Roman"/>
                <w:color w:val="auto"/>
                <w:lang w:val="en-US" w:eastAsia="zh-CN"/>
              </w:rPr>
              <w:t>0</w:t>
            </w:r>
            <w:r>
              <w:rPr>
                <w:rFonts w:hint="default" w:ascii="Times New Roman" w:hAnsi="Times New Roman" w:cs="Times New Roman"/>
                <w:color w:val="auto"/>
              </w:rPr>
              <w:t>-</w:t>
            </w:r>
            <w:r>
              <w:rPr>
                <w:rFonts w:hint="eastAsia" w:cs="Times New Roman"/>
                <w:color w:val="auto"/>
                <w:lang w:val="en-US" w:eastAsia="zh-CN"/>
              </w:rPr>
              <w:t>85</w:t>
            </w:r>
            <w:r>
              <w:rPr>
                <w:rFonts w:hint="default" w:ascii="Times New Roman" w:hAnsi="Times New Roman" w:cs="Times New Roman"/>
                <w:color w:val="auto"/>
              </w:rPr>
              <w:t>dB（A），项目主要噪声源见下表4-</w:t>
            </w:r>
            <w:r>
              <w:rPr>
                <w:rFonts w:hint="eastAsia" w:cs="Times New Roman"/>
                <w:color w:val="auto"/>
                <w:lang w:val="en-US" w:eastAsia="zh-CN"/>
              </w:rPr>
              <w:t>9</w:t>
            </w:r>
            <w:r>
              <w:rPr>
                <w:rFonts w:hint="default" w:ascii="Times New Roman" w:hAnsi="Times New Roman" w:cs="Times New Roman"/>
                <w:color w:val="auto"/>
              </w:rPr>
              <w:t>、表4-</w:t>
            </w:r>
            <w:r>
              <w:rPr>
                <w:rFonts w:hint="eastAsia" w:cs="Times New Roman"/>
                <w:color w:val="auto"/>
                <w:lang w:val="en-US" w:eastAsia="zh-CN"/>
              </w:rPr>
              <w:t>10</w:t>
            </w:r>
            <w:r>
              <w:rPr>
                <w:rFonts w:hint="default" w:ascii="Times New Roman" w:hAnsi="Times New Roman" w:cs="Times New Roman"/>
                <w:color w:val="auto"/>
              </w:rPr>
              <w:t>。</w:t>
            </w:r>
          </w:p>
          <w:p w14:paraId="2DC8460E">
            <w:pPr>
              <w:tabs>
                <w:tab w:val="left" w:pos="6240"/>
              </w:tabs>
              <w:adjustRightInd w:val="0"/>
              <w:snapToGrid w:val="0"/>
              <w:ind w:firstLine="422"/>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表4-</w:t>
            </w:r>
            <w:r>
              <w:rPr>
                <w:rFonts w:hint="eastAsia" w:cs="Times New Roman"/>
                <w:b/>
                <w:bCs/>
                <w:color w:val="auto"/>
                <w:sz w:val="21"/>
                <w:szCs w:val="21"/>
                <w:lang w:val="en-US" w:eastAsia="zh-CN"/>
              </w:rPr>
              <w:t>9</w:t>
            </w:r>
            <w:r>
              <w:rPr>
                <w:rFonts w:hint="default" w:ascii="Times New Roman" w:hAnsi="Times New Roman" w:cs="Times New Roman"/>
                <w:b/>
                <w:bCs/>
                <w:color w:val="auto"/>
                <w:sz w:val="21"/>
                <w:szCs w:val="21"/>
              </w:rPr>
              <w:t xml:space="preserve">  项目主要设备噪声排放情况（室内声源）  单位：dB（A）</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243"/>
              <w:gridCol w:w="925"/>
              <w:gridCol w:w="782"/>
              <w:gridCol w:w="844"/>
              <w:gridCol w:w="803"/>
              <w:gridCol w:w="398"/>
              <w:gridCol w:w="644"/>
              <w:gridCol w:w="584"/>
              <w:gridCol w:w="905"/>
              <w:gridCol w:w="528"/>
              <w:gridCol w:w="528"/>
              <w:gridCol w:w="520"/>
            </w:tblGrid>
            <w:tr w14:paraId="03F7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vMerge w:val="restart"/>
                  <w:tcBorders>
                    <w:tl2br w:val="nil"/>
                    <w:tr2bl w:val="nil"/>
                  </w:tcBorders>
                  <w:vAlign w:val="center"/>
                </w:tcPr>
                <w:p w14:paraId="048078F2">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序号</w:t>
                  </w:r>
                </w:p>
              </w:tc>
              <w:tc>
                <w:tcPr>
                  <w:tcW w:w="665" w:type="pct"/>
                  <w:vMerge w:val="restart"/>
                  <w:tcBorders>
                    <w:tl2br w:val="nil"/>
                    <w:tr2bl w:val="nil"/>
                  </w:tcBorders>
                  <w:vAlign w:val="center"/>
                </w:tcPr>
                <w:p w14:paraId="23A99DB8">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噪声源</w:t>
                  </w:r>
                </w:p>
              </w:tc>
              <w:tc>
                <w:tcPr>
                  <w:tcW w:w="495" w:type="pct"/>
                  <w:vMerge w:val="restart"/>
                  <w:tcBorders>
                    <w:tl2br w:val="nil"/>
                    <w:tr2bl w:val="nil"/>
                  </w:tcBorders>
                  <w:vAlign w:val="center"/>
                </w:tcPr>
                <w:p w14:paraId="70154AF2">
                  <w:pPr>
                    <w:pStyle w:val="49"/>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声压级/距声源距离/</w:t>
                  </w:r>
                  <w:r>
                    <w:rPr>
                      <w:rFonts w:hint="eastAsia" w:cs="Times New Roman"/>
                      <w:color w:val="auto"/>
                      <w:sz w:val="21"/>
                      <w:szCs w:val="21"/>
                      <w:lang w:eastAsia="zh-CN"/>
                    </w:rPr>
                    <w:t>（</w:t>
                  </w:r>
                  <w:r>
                    <w:rPr>
                      <w:rFonts w:hint="default" w:ascii="Times New Roman" w:hAnsi="Times New Roman" w:cs="Times New Roman"/>
                      <w:color w:val="auto"/>
                      <w:sz w:val="21"/>
                      <w:szCs w:val="21"/>
                    </w:rPr>
                    <w:t>dB</w:t>
                  </w:r>
                  <w:r>
                    <w:rPr>
                      <w:rFonts w:hint="eastAsia" w:cs="Times New Roman"/>
                      <w:color w:val="auto"/>
                      <w:sz w:val="21"/>
                      <w:szCs w:val="21"/>
                      <w:lang w:eastAsia="zh-CN"/>
                    </w:rPr>
                    <w:t>（</w:t>
                  </w:r>
                  <w:r>
                    <w:rPr>
                      <w:rFonts w:hint="default" w:ascii="Times New Roman" w:hAnsi="Times New Roman" w:cs="Times New Roman"/>
                      <w:color w:val="auto"/>
                      <w:sz w:val="21"/>
                      <w:szCs w:val="21"/>
                    </w:rPr>
                    <w:t>A</w:t>
                  </w:r>
                  <w:r>
                    <w:rPr>
                      <w:rFonts w:hint="eastAsia" w:cs="Times New Roman"/>
                      <w:color w:val="auto"/>
                      <w:sz w:val="21"/>
                      <w:szCs w:val="21"/>
                      <w:lang w:eastAsia="zh-CN"/>
                    </w:rPr>
                    <w:t>）</w:t>
                  </w:r>
                  <w:r>
                    <w:rPr>
                      <w:rFonts w:hint="default" w:ascii="Times New Roman" w:hAnsi="Times New Roman" w:cs="Times New Roman"/>
                      <w:color w:val="auto"/>
                      <w:sz w:val="21"/>
                      <w:szCs w:val="21"/>
                    </w:rPr>
                    <w:t>/m</w:t>
                  </w:r>
                  <w:r>
                    <w:rPr>
                      <w:rFonts w:hint="eastAsia" w:cs="Times New Roman"/>
                      <w:color w:val="auto"/>
                      <w:sz w:val="21"/>
                      <w:szCs w:val="21"/>
                      <w:lang w:eastAsia="zh-CN"/>
                    </w:rPr>
                    <w:t>）</w:t>
                  </w:r>
                </w:p>
              </w:tc>
              <w:tc>
                <w:tcPr>
                  <w:tcW w:w="418" w:type="pct"/>
                  <w:vMerge w:val="restart"/>
                  <w:tcBorders>
                    <w:tl2br w:val="nil"/>
                    <w:tr2bl w:val="nil"/>
                  </w:tcBorders>
                  <w:vAlign w:val="center"/>
                </w:tcPr>
                <w:p w14:paraId="7B27878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声源控制措施</w:t>
                  </w:r>
                </w:p>
              </w:tc>
              <w:tc>
                <w:tcPr>
                  <w:tcW w:w="1093" w:type="pct"/>
                  <w:gridSpan w:val="3"/>
                  <w:tcBorders>
                    <w:tl2br w:val="nil"/>
                    <w:tr2bl w:val="nil"/>
                  </w:tcBorders>
                  <w:vAlign w:val="center"/>
                </w:tcPr>
                <w:p w14:paraId="0E5CE59B">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空间相对位置/m</w:t>
                  </w:r>
                </w:p>
              </w:tc>
              <w:tc>
                <w:tcPr>
                  <w:tcW w:w="344" w:type="pct"/>
                  <w:vMerge w:val="restart"/>
                  <w:tcBorders>
                    <w:tl2br w:val="nil"/>
                    <w:tr2bl w:val="nil"/>
                  </w:tcBorders>
                  <w:vAlign w:val="center"/>
                </w:tcPr>
                <w:p w14:paraId="4A600D0E">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距室内边界距离/m</w:t>
                  </w:r>
                </w:p>
              </w:tc>
              <w:tc>
                <w:tcPr>
                  <w:tcW w:w="312" w:type="pct"/>
                  <w:vMerge w:val="restart"/>
                  <w:tcBorders>
                    <w:tl2br w:val="nil"/>
                    <w:tr2bl w:val="nil"/>
                  </w:tcBorders>
                  <w:vAlign w:val="center"/>
                </w:tcPr>
                <w:p w14:paraId="4ECD0FA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室内边界声级/dB</w:t>
                  </w:r>
                </w:p>
              </w:tc>
              <w:tc>
                <w:tcPr>
                  <w:tcW w:w="483" w:type="pct"/>
                  <w:vMerge w:val="restart"/>
                  <w:tcBorders>
                    <w:tl2br w:val="nil"/>
                    <w:tr2bl w:val="nil"/>
                  </w:tcBorders>
                  <w:vAlign w:val="center"/>
                </w:tcPr>
                <w:p w14:paraId="731C33CE">
                  <w:pPr>
                    <w:pStyle w:val="49"/>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运行时段/</w:t>
                  </w:r>
                  <w:r>
                    <w:rPr>
                      <w:rFonts w:hint="eastAsia" w:cs="Times New Roman"/>
                      <w:color w:val="auto"/>
                      <w:sz w:val="21"/>
                      <w:szCs w:val="21"/>
                      <w:lang w:eastAsia="zh-CN"/>
                    </w:rPr>
                    <w:t>（</w:t>
                  </w:r>
                  <w:r>
                    <w:rPr>
                      <w:rFonts w:hint="default" w:ascii="Times New Roman" w:hAnsi="Times New Roman" w:cs="Times New Roman"/>
                      <w:color w:val="auto"/>
                      <w:sz w:val="21"/>
                      <w:szCs w:val="21"/>
                    </w:rPr>
                    <w:t>h/d</w:t>
                  </w:r>
                  <w:r>
                    <w:rPr>
                      <w:rFonts w:hint="eastAsia" w:cs="Times New Roman"/>
                      <w:color w:val="auto"/>
                      <w:sz w:val="21"/>
                      <w:szCs w:val="21"/>
                      <w:lang w:eastAsia="zh-CN"/>
                    </w:rPr>
                    <w:t>）</w:t>
                  </w:r>
                </w:p>
              </w:tc>
              <w:tc>
                <w:tcPr>
                  <w:tcW w:w="282" w:type="pct"/>
                  <w:vMerge w:val="restart"/>
                  <w:tcBorders>
                    <w:tl2br w:val="nil"/>
                    <w:tr2bl w:val="nil"/>
                  </w:tcBorders>
                  <w:vAlign w:val="center"/>
                </w:tcPr>
                <w:p w14:paraId="6C8167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建筑物插入损失/dB</w:t>
                  </w:r>
                </w:p>
              </w:tc>
              <w:tc>
                <w:tcPr>
                  <w:tcW w:w="556" w:type="pct"/>
                  <w:gridSpan w:val="2"/>
                  <w:tcBorders>
                    <w:tl2br w:val="nil"/>
                    <w:tr2bl w:val="nil"/>
                  </w:tcBorders>
                  <w:vAlign w:val="center"/>
                </w:tcPr>
                <w:p w14:paraId="5D2710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建筑物外噪声</w:t>
                  </w:r>
                </w:p>
              </w:tc>
            </w:tr>
            <w:tr w14:paraId="237F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vMerge w:val="continue"/>
                  <w:tcBorders>
                    <w:tl2br w:val="nil"/>
                    <w:tr2bl w:val="nil"/>
                  </w:tcBorders>
                  <w:vAlign w:val="center"/>
                </w:tcPr>
                <w:p w14:paraId="66A2F537">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665" w:type="pct"/>
                  <w:vMerge w:val="continue"/>
                  <w:tcBorders>
                    <w:tl2br w:val="nil"/>
                    <w:tr2bl w:val="nil"/>
                  </w:tcBorders>
                  <w:vAlign w:val="center"/>
                </w:tcPr>
                <w:p w14:paraId="698F2319">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495" w:type="pct"/>
                  <w:vMerge w:val="continue"/>
                  <w:tcBorders>
                    <w:tl2br w:val="nil"/>
                    <w:tr2bl w:val="nil"/>
                  </w:tcBorders>
                  <w:vAlign w:val="center"/>
                </w:tcPr>
                <w:p w14:paraId="1BF57AD0">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418" w:type="pct"/>
                  <w:vMerge w:val="continue"/>
                  <w:tcBorders>
                    <w:tl2br w:val="nil"/>
                    <w:tr2bl w:val="nil"/>
                  </w:tcBorders>
                  <w:vAlign w:val="center"/>
                </w:tcPr>
                <w:p w14:paraId="646B6EFA">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451" w:type="pct"/>
                  <w:tcBorders>
                    <w:tl2br w:val="nil"/>
                    <w:tr2bl w:val="nil"/>
                  </w:tcBorders>
                  <w:vAlign w:val="center"/>
                </w:tcPr>
                <w:p w14:paraId="779935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X</w:t>
                  </w:r>
                </w:p>
              </w:tc>
              <w:tc>
                <w:tcPr>
                  <w:tcW w:w="429" w:type="pct"/>
                  <w:tcBorders>
                    <w:tl2br w:val="nil"/>
                    <w:tr2bl w:val="nil"/>
                  </w:tcBorders>
                  <w:vAlign w:val="center"/>
                </w:tcPr>
                <w:p w14:paraId="739042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Y</w:t>
                  </w:r>
                </w:p>
              </w:tc>
              <w:tc>
                <w:tcPr>
                  <w:tcW w:w="212" w:type="pct"/>
                  <w:tcBorders>
                    <w:tl2br w:val="nil"/>
                    <w:tr2bl w:val="nil"/>
                  </w:tcBorders>
                  <w:vAlign w:val="center"/>
                </w:tcPr>
                <w:p w14:paraId="38B6C6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Z</w:t>
                  </w:r>
                </w:p>
              </w:tc>
              <w:tc>
                <w:tcPr>
                  <w:tcW w:w="344" w:type="pct"/>
                  <w:vMerge w:val="continue"/>
                  <w:tcBorders>
                    <w:tl2br w:val="nil"/>
                    <w:tr2bl w:val="nil"/>
                  </w:tcBorders>
                  <w:vAlign w:val="center"/>
                </w:tcPr>
                <w:p w14:paraId="2D97BF3D">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312" w:type="pct"/>
                  <w:vMerge w:val="continue"/>
                  <w:tcBorders>
                    <w:tl2br w:val="nil"/>
                    <w:tr2bl w:val="nil"/>
                  </w:tcBorders>
                  <w:vAlign w:val="center"/>
                </w:tcPr>
                <w:p w14:paraId="5E015F01">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483" w:type="pct"/>
                  <w:vMerge w:val="continue"/>
                  <w:tcBorders>
                    <w:tl2br w:val="nil"/>
                    <w:tr2bl w:val="nil"/>
                  </w:tcBorders>
                  <w:vAlign w:val="center"/>
                </w:tcPr>
                <w:p w14:paraId="19C7D1FD">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p>
              </w:tc>
              <w:tc>
                <w:tcPr>
                  <w:tcW w:w="282" w:type="pct"/>
                  <w:vMerge w:val="continue"/>
                  <w:tcBorders>
                    <w:tl2br w:val="nil"/>
                    <w:tr2bl w:val="nil"/>
                  </w:tcBorders>
                  <w:vAlign w:val="center"/>
                </w:tcPr>
                <w:p w14:paraId="61D119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p>
              </w:tc>
              <w:tc>
                <w:tcPr>
                  <w:tcW w:w="282" w:type="pct"/>
                  <w:tcBorders>
                    <w:tl2br w:val="nil"/>
                    <w:tr2bl w:val="nil"/>
                  </w:tcBorders>
                  <w:vAlign w:val="center"/>
                </w:tcPr>
                <w:p w14:paraId="066EAC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声压级/dB</w:t>
                  </w:r>
                </w:p>
              </w:tc>
              <w:tc>
                <w:tcPr>
                  <w:tcW w:w="274" w:type="pct"/>
                  <w:tcBorders>
                    <w:tl2br w:val="nil"/>
                    <w:tr2bl w:val="nil"/>
                  </w:tcBorders>
                  <w:vAlign w:val="center"/>
                </w:tcPr>
                <w:p w14:paraId="72CF667D">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建筑物外距离</w:t>
                  </w:r>
                </w:p>
              </w:tc>
            </w:tr>
            <w:tr w14:paraId="34E5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7E44C046">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65" w:type="pct"/>
                  <w:tcBorders>
                    <w:tl2br w:val="nil"/>
                    <w:tr2bl w:val="nil"/>
                  </w:tcBorders>
                  <w:vAlign w:val="center"/>
                </w:tcPr>
                <w:p w14:paraId="100C49A8">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燃气导热油炉</w:t>
                  </w:r>
                </w:p>
              </w:tc>
              <w:tc>
                <w:tcPr>
                  <w:tcW w:w="495" w:type="pct"/>
                  <w:tcBorders>
                    <w:tl2br w:val="nil"/>
                    <w:tr2bl w:val="nil"/>
                  </w:tcBorders>
                  <w:vAlign w:val="center"/>
                </w:tcPr>
                <w:p w14:paraId="65A915B7">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eastAsia" w:cs="Times New Roman"/>
                      <w:color w:val="auto"/>
                      <w:sz w:val="21"/>
                      <w:szCs w:val="21"/>
                      <w:lang w:val="en-US" w:eastAsia="zh-CN"/>
                    </w:rPr>
                    <w:t>85</w:t>
                  </w:r>
                  <w:r>
                    <w:rPr>
                      <w:rFonts w:hint="default" w:ascii="Times New Roman" w:hAnsi="Times New Roman" w:cs="Times New Roman"/>
                      <w:color w:val="auto"/>
                      <w:sz w:val="21"/>
                      <w:szCs w:val="21"/>
                    </w:rPr>
                    <w:t>/1</w:t>
                  </w:r>
                </w:p>
              </w:tc>
              <w:tc>
                <w:tcPr>
                  <w:tcW w:w="418" w:type="pct"/>
                  <w:vMerge w:val="restart"/>
                  <w:tcBorders>
                    <w:tl2br w:val="nil"/>
                    <w:tr2bl w:val="nil"/>
                  </w:tcBorders>
                  <w:vAlign w:val="center"/>
                </w:tcPr>
                <w:p w14:paraId="277667D3">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选用低噪声设备、</w:t>
                  </w:r>
                  <w:r>
                    <w:rPr>
                      <w:rFonts w:hint="default" w:ascii="Times New Roman" w:hAnsi="Times New Roman" w:cs="Times New Roman"/>
                      <w:color w:val="auto"/>
                      <w:sz w:val="21"/>
                      <w:szCs w:val="21"/>
                    </w:rPr>
                    <w:t>基础减振</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kern w:val="2"/>
                      <w:sz w:val="21"/>
                      <w:szCs w:val="21"/>
                      <w:lang w:val="en-US" w:eastAsia="zh-CN" w:bidi="ar-SA"/>
                    </w:rPr>
                    <w:t>柔性连接</w:t>
                  </w:r>
                  <w:r>
                    <w:rPr>
                      <w:rFonts w:hint="eastAsia" w:cs="Times New Roman"/>
                      <w:color w:val="auto"/>
                      <w:kern w:val="2"/>
                      <w:sz w:val="21"/>
                      <w:szCs w:val="21"/>
                      <w:lang w:val="en-US" w:eastAsia="zh-CN" w:bidi="ar-SA"/>
                    </w:rPr>
                    <w:t>、</w:t>
                  </w:r>
                  <w:r>
                    <w:rPr>
                      <w:rFonts w:hint="default" w:ascii="Times New Roman" w:hAnsi="Times New Roman" w:cs="Times New Roman"/>
                      <w:color w:val="auto"/>
                      <w:sz w:val="21"/>
                      <w:szCs w:val="21"/>
                    </w:rPr>
                    <w:t>厂房隔声</w:t>
                  </w:r>
                </w:p>
              </w:tc>
              <w:tc>
                <w:tcPr>
                  <w:tcW w:w="451" w:type="pct"/>
                  <w:tcBorders>
                    <w:tl2br w:val="nil"/>
                    <w:tr2bl w:val="nil"/>
                  </w:tcBorders>
                  <w:vAlign w:val="center"/>
                </w:tcPr>
                <w:p w14:paraId="57357B4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96.5</w:t>
                  </w:r>
                </w:p>
              </w:tc>
              <w:tc>
                <w:tcPr>
                  <w:tcW w:w="429" w:type="pct"/>
                  <w:tcBorders>
                    <w:tl2br w:val="nil"/>
                    <w:tr2bl w:val="nil"/>
                  </w:tcBorders>
                  <w:vAlign w:val="center"/>
                </w:tcPr>
                <w:p w14:paraId="142EE0A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2.2</w:t>
                  </w:r>
                </w:p>
              </w:tc>
              <w:tc>
                <w:tcPr>
                  <w:tcW w:w="212" w:type="pct"/>
                  <w:tcBorders>
                    <w:tl2br w:val="nil"/>
                    <w:tr2bl w:val="nil"/>
                  </w:tcBorders>
                  <w:vAlign w:val="center"/>
                </w:tcPr>
                <w:p w14:paraId="2EF0245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773F46A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2.2</w:t>
                  </w:r>
                </w:p>
              </w:tc>
              <w:tc>
                <w:tcPr>
                  <w:tcW w:w="312" w:type="pct"/>
                  <w:tcBorders>
                    <w:tl2br w:val="nil"/>
                    <w:tr2bl w:val="nil"/>
                  </w:tcBorders>
                  <w:vAlign w:val="center"/>
                </w:tcPr>
                <w:p w14:paraId="17F48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71</w:t>
                  </w:r>
                </w:p>
              </w:tc>
              <w:tc>
                <w:tcPr>
                  <w:tcW w:w="483" w:type="pct"/>
                  <w:tcBorders>
                    <w:tl2br w:val="nil"/>
                    <w:tr2bl w:val="nil"/>
                  </w:tcBorders>
                  <w:vAlign w:val="center"/>
                </w:tcPr>
                <w:p w14:paraId="6B535833">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0EF8FC1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663920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0</w:t>
                  </w:r>
                </w:p>
              </w:tc>
              <w:tc>
                <w:tcPr>
                  <w:tcW w:w="274" w:type="pct"/>
                  <w:tcBorders>
                    <w:tl2br w:val="nil"/>
                    <w:tr2bl w:val="nil"/>
                  </w:tcBorders>
                  <w:vAlign w:val="center"/>
                </w:tcPr>
                <w:p w14:paraId="5CB39856">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w:t>
                  </w:r>
                </w:p>
              </w:tc>
            </w:tr>
            <w:tr w14:paraId="1538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712EC9E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w:t>
                  </w:r>
                </w:p>
              </w:tc>
              <w:tc>
                <w:tcPr>
                  <w:tcW w:w="665" w:type="pct"/>
                  <w:tcBorders>
                    <w:tl2br w:val="nil"/>
                    <w:tr2bl w:val="nil"/>
                  </w:tcBorders>
                  <w:vAlign w:val="center"/>
                </w:tcPr>
                <w:p w14:paraId="45985F3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入筛提升机</w:t>
                  </w:r>
                </w:p>
              </w:tc>
              <w:tc>
                <w:tcPr>
                  <w:tcW w:w="495" w:type="pct"/>
                  <w:tcBorders>
                    <w:tl2br w:val="nil"/>
                    <w:tr2bl w:val="nil"/>
                  </w:tcBorders>
                  <w:vAlign w:val="center"/>
                </w:tcPr>
                <w:p w14:paraId="1471AD8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4C0293EF">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64A62EB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113.3</w:t>
                  </w:r>
                </w:p>
              </w:tc>
              <w:tc>
                <w:tcPr>
                  <w:tcW w:w="429" w:type="pct"/>
                  <w:tcBorders>
                    <w:tl2br w:val="nil"/>
                    <w:tr2bl w:val="nil"/>
                  </w:tcBorders>
                  <w:vAlign w:val="center"/>
                </w:tcPr>
                <w:p w14:paraId="07719FF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12.0</w:t>
                  </w:r>
                </w:p>
              </w:tc>
              <w:tc>
                <w:tcPr>
                  <w:tcW w:w="212" w:type="pct"/>
                  <w:tcBorders>
                    <w:tl2br w:val="nil"/>
                    <w:tr2bl w:val="nil"/>
                  </w:tcBorders>
                  <w:vAlign w:val="center"/>
                </w:tcPr>
                <w:p w14:paraId="4E5C334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199B563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6.5</w:t>
                  </w:r>
                </w:p>
              </w:tc>
              <w:tc>
                <w:tcPr>
                  <w:tcW w:w="312" w:type="pct"/>
                  <w:tcBorders>
                    <w:tl2br w:val="nil"/>
                    <w:tr2bl w:val="nil"/>
                  </w:tcBorders>
                  <w:vAlign w:val="center"/>
                </w:tcPr>
                <w:p w14:paraId="37A3B1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65</w:t>
                  </w:r>
                </w:p>
              </w:tc>
              <w:tc>
                <w:tcPr>
                  <w:tcW w:w="483" w:type="pct"/>
                  <w:tcBorders>
                    <w:tl2br w:val="nil"/>
                    <w:tr2bl w:val="nil"/>
                  </w:tcBorders>
                  <w:vAlign w:val="center"/>
                </w:tcPr>
                <w:p w14:paraId="6CBE8D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66174D9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606915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274" w:type="pct"/>
                  <w:tcBorders>
                    <w:tl2br w:val="nil"/>
                    <w:tr2bl w:val="nil"/>
                  </w:tcBorders>
                  <w:vAlign w:val="center"/>
                </w:tcPr>
                <w:p w14:paraId="2DE154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1</w:t>
                  </w:r>
                </w:p>
              </w:tc>
            </w:tr>
            <w:tr w14:paraId="0B75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302FA2D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w:t>
                  </w:r>
                </w:p>
              </w:tc>
              <w:tc>
                <w:tcPr>
                  <w:tcW w:w="665" w:type="pct"/>
                  <w:tcBorders>
                    <w:tl2br w:val="nil"/>
                    <w:tr2bl w:val="nil"/>
                  </w:tcBorders>
                  <w:vAlign w:val="center"/>
                </w:tcPr>
                <w:p w14:paraId="6CC2FEB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直条筛</w:t>
                  </w:r>
                </w:p>
              </w:tc>
              <w:tc>
                <w:tcPr>
                  <w:tcW w:w="495" w:type="pct"/>
                  <w:tcBorders>
                    <w:tl2br w:val="nil"/>
                    <w:tr2bl w:val="nil"/>
                  </w:tcBorders>
                  <w:vAlign w:val="center"/>
                </w:tcPr>
                <w:p w14:paraId="697978E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0581C11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699D36B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109.4</w:t>
                  </w:r>
                </w:p>
              </w:tc>
              <w:tc>
                <w:tcPr>
                  <w:tcW w:w="429" w:type="pct"/>
                  <w:tcBorders>
                    <w:tl2br w:val="nil"/>
                    <w:tr2bl w:val="nil"/>
                  </w:tcBorders>
                  <w:vAlign w:val="center"/>
                </w:tcPr>
                <w:p w14:paraId="1E721A6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12.0</w:t>
                  </w:r>
                </w:p>
              </w:tc>
              <w:tc>
                <w:tcPr>
                  <w:tcW w:w="212" w:type="pct"/>
                  <w:tcBorders>
                    <w:tl2br w:val="nil"/>
                    <w:tr2bl w:val="nil"/>
                  </w:tcBorders>
                  <w:vAlign w:val="center"/>
                </w:tcPr>
                <w:p w14:paraId="2FD8B94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46A292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10.4</w:t>
                  </w:r>
                </w:p>
              </w:tc>
              <w:tc>
                <w:tcPr>
                  <w:tcW w:w="312" w:type="pct"/>
                  <w:tcBorders>
                    <w:tl2br w:val="nil"/>
                    <w:tr2bl w:val="nil"/>
                  </w:tcBorders>
                  <w:vAlign w:val="center"/>
                </w:tcPr>
                <w:p w14:paraId="16BE88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65</w:t>
                  </w:r>
                </w:p>
              </w:tc>
              <w:tc>
                <w:tcPr>
                  <w:tcW w:w="483" w:type="pct"/>
                  <w:tcBorders>
                    <w:tl2br w:val="nil"/>
                    <w:tr2bl w:val="nil"/>
                  </w:tcBorders>
                  <w:vAlign w:val="center"/>
                </w:tcPr>
                <w:p w14:paraId="4D0F18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580DBA5A">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0B5CC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4</w:t>
                  </w:r>
                </w:p>
              </w:tc>
              <w:tc>
                <w:tcPr>
                  <w:tcW w:w="274" w:type="pct"/>
                  <w:tcBorders>
                    <w:tl2br w:val="nil"/>
                    <w:tr2bl w:val="nil"/>
                  </w:tcBorders>
                  <w:vAlign w:val="center"/>
                </w:tcPr>
                <w:p w14:paraId="7090F5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1</w:t>
                  </w:r>
                </w:p>
              </w:tc>
            </w:tr>
            <w:tr w14:paraId="18E6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20E9875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w:t>
                  </w:r>
                </w:p>
              </w:tc>
              <w:tc>
                <w:tcPr>
                  <w:tcW w:w="665" w:type="pct"/>
                  <w:tcBorders>
                    <w:tl2br w:val="nil"/>
                    <w:tr2bl w:val="nil"/>
                  </w:tcBorders>
                  <w:vAlign w:val="center"/>
                </w:tcPr>
                <w:p w14:paraId="44D185D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爬坡吐脏机</w:t>
                  </w:r>
                </w:p>
              </w:tc>
              <w:tc>
                <w:tcPr>
                  <w:tcW w:w="495" w:type="pct"/>
                  <w:tcBorders>
                    <w:tl2br w:val="nil"/>
                    <w:tr2bl w:val="nil"/>
                  </w:tcBorders>
                  <w:vAlign w:val="center"/>
                </w:tcPr>
                <w:p w14:paraId="5AE959D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3D9794D3">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48E7D8D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98.0</w:t>
                  </w:r>
                </w:p>
              </w:tc>
              <w:tc>
                <w:tcPr>
                  <w:tcW w:w="429" w:type="pct"/>
                  <w:tcBorders>
                    <w:tl2br w:val="nil"/>
                    <w:tr2bl w:val="nil"/>
                  </w:tcBorders>
                  <w:vAlign w:val="center"/>
                </w:tcPr>
                <w:p w14:paraId="113CD4A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13.0</w:t>
                  </w:r>
                </w:p>
              </w:tc>
              <w:tc>
                <w:tcPr>
                  <w:tcW w:w="212" w:type="pct"/>
                  <w:tcBorders>
                    <w:tl2br w:val="nil"/>
                    <w:tr2bl w:val="nil"/>
                  </w:tcBorders>
                  <w:vAlign w:val="center"/>
                </w:tcPr>
                <w:p w14:paraId="3342C37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0A905A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13.0</w:t>
                  </w:r>
                </w:p>
              </w:tc>
              <w:tc>
                <w:tcPr>
                  <w:tcW w:w="312" w:type="pct"/>
                  <w:tcBorders>
                    <w:tl2br w:val="nil"/>
                    <w:tr2bl w:val="nil"/>
                  </w:tcBorders>
                  <w:vAlign w:val="center"/>
                </w:tcPr>
                <w:p w14:paraId="23810F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62</w:t>
                  </w:r>
                </w:p>
              </w:tc>
              <w:tc>
                <w:tcPr>
                  <w:tcW w:w="483" w:type="pct"/>
                  <w:tcBorders>
                    <w:tl2br w:val="nil"/>
                    <w:tr2bl w:val="nil"/>
                  </w:tcBorders>
                  <w:vAlign w:val="center"/>
                </w:tcPr>
                <w:p w14:paraId="2198BD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520F9500">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7E0B59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1</w:t>
                  </w:r>
                </w:p>
              </w:tc>
              <w:tc>
                <w:tcPr>
                  <w:tcW w:w="274" w:type="pct"/>
                  <w:tcBorders>
                    <w:tl2br w:val="nil"/>
                    <w:tr2bl w:val="nil"/>
                  </w:tcBorders>
                  <w:vAlign w:val="center"/>
                </w:tcPr>
                <w:p w14:paraId="1EAF31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2DEC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64F26C8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w:t>
                  </w:r>
                </w:p>
              </w:tc>
              <w:tc>
                <w:tcPr>
                  <w:tcW w:w="665" w:type="pct"/>
                  <w:tcBorders>
                    <w:tl2br w:val="nil"/>
                    <w:tr2bl w:val="nil"/>
                  </w:tcBorders>
                  <w:vAlign w:val="center"/>
                </w:tcPr>
                <w:p w14:paraId="3825FD3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风干机</w:t>
                  </w:r>
                </w:p>
              </w:tc>
              <w:tc>
                <w:tcPr>
                  <w:tcW w:w="495" w:type="pct"/>
                  <w:tcBorders>
                    <w:tl2br w:val="nil"/>
                    <w:tr2bl w:val="nil"/>
                  </w:tcBorders>
                  <w:vAlign w:val="center"/>
                </w:tcPr>
                <w:p w14:paraId="6BEF852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85</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5177D83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3CD241C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85.4</w:t>
                  </w:r>
                </w:p>
              </w:tc>
              <w:tc>
                <w:tcPr>
                  <w:tcW w:w="429" w:type="pct"/>
                  <w:tcBorders>
                    <w:tl2br w:val="nil"/>
                    <w:tr2bl w:val="nil"/>
                  </w:tcBorders>
                  <w:vAlign w:val="center"/>
                </w:tcPr>
                <w:p w14:paraId="28BF141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2.8</w:t>
                  </w:r>
                </w:p>
              </w:tc>
              <w:tc>
                <w:tcPr>
                  <w:tcW w:w="212" w:type="pct"/>
                  <w:tcBorders>
                    <w:tl2br w:val="nil"/>
                    <w:tr2bl w:val="nil"/>
                  </w:tcBorders>
                  <w:vAlign w:val="center"/>
                </w:tcPr>
                <w:p w14:paraId="7F6BA54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781E34E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2.8</w:t>
                  </w:r>
                </w:p>
              </w:tc>
              <w:tc>
                <w:tcPr>
                  <w:tcW w:w="312" w:type="pct"/>
                  <w:tcBorders>
                    <w:tl2br w:val="nil"/>
                    <w:tr2bl w:val="nil"/>
                  </w:tcBorders>
                  <w:vAlign w:val="center"/>
                </w:tcPr>
                <w:p w14:paraId="183B2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i w:val="0"/>
                      <w:iCs w:val="0"/>
                      <w:color w:val="auto"/>
                      <w:kern w:val="0"/>
                      <w:sz w:val="21"/>
                      <w:szCs w:val="21"/>
                      <w:u w:val="none"/>
                      <w:lang w:val="en-US" w:eastAsia="zh-CN" w:bidi="ar"/>
                    </w:rPr>
                    <w:t>68</w:t>
                  </w:r>
                </w:p>
              </w:tc>
              <w:tc>
                <w:tcPr>
                  <w:tcW w:w="483" w:type="pct"/>
                  <w:tcBorders>
                    <w:tl2br w:val="nil"/>
                    <w:tr2bl w:val="nil"/>
                  </w:tcBorders>
                  <w:vAlign w:val="center"/>
                </w:tcPr>
                <w:p w14:paraId="598A68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48D7C392">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545E16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274" w:type="pct"/>
                  <w:tcBorders>
                    <w:tl2br w:val="nil"/>
                    <w:tr2bl w:val="nil"/>
                  </w:tcBorders>
                  <w:vAlign w:val="center"/>
                </w:tcPr>
                <w:p w14:paraId="04E449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3D2C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5EF5846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w:t>
                  </w:r>
                </w:p>
              </w:tc>
              <w:tc>
                <w:tcPr>
                  <w:tcW w:w="665" w:type="pct"/>
                  <w:tcBorders>
                    <w:tl2br w:val="nil"/>
                    <w:tr2bl w:val="nil"/>
                  </w:tcBorders>
                  <w:vAlign w:val="center"/>
                </w:tcPr>
                <w:p w14:paraId="0FA6C96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振动筛</w:t>
                  </w:r>
                </w:p>
              </w:tc>
              <w:tc>
                <w:tcPr>
                  <w:tcW w:w="495" w:type="pct"/>
                  <w:tcBorders>
                    <w:tl2br w:val="nil"/>
                    <w:tr2bl w:val="nil"/>
                  </w:tcBorders>
                  <w:vAlign w:val="center"/>
                </w:tcPr>
                <w:p w14:paraId="25EF32E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2860F216">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63D3D35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81.3</w:t>
                  </w:r>
                </w:p>
              </w:tc>
              <w:tc>
                <w:tcPr>
                  <w:tcW w:w="429" w:type="pct"/>
                  <w:tcBorders>
                    <w:tl2br w:val="nil"/>
                    <w:tr2bl w:val="nil"/>
                  </w:tcBorders>
                  <w:vAlign w:val="center"/>
                </w:tcPr>
                <w:p w14:paraId="248F62C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2.8</w:t>
                  </w:r>
                </w:p>
              </w:tc>
              <w:tc>
                <w:tcPr>
                  <w:tcW w:w="212" w:type="pct"/>
                  <w:tcBorders>
                    <w:tl2br w:val="nil"/>
                    <w:tr2bl w:val="nil"/>
                  </w:tcBorders>
                  <w:vAlign w:val="center"/>
                </w:tcPr>
                <w:p w14:paraId="7F3EBDF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6E5D106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2.8</w:t>
                  </w:r>
                </w:p>
              </w:tc>
              <w:tc>
                <w:tcPr>
                  <w:tcW w:w="312" w:type="pct"/>
                  <w:tcBorders>
                    <w:tl2br w:val="nil"/>
                    <w:tr2bl w:val="nil"/>
                  </w:tcBorders>
                  <w:vAlign w:val="center"/>
                </w:tcPr>
                <w:p w14:paraId="3C201D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cs="Times New Roman"/>
                      <w:i w:val="0"/>
                      <w:iCs w:val="0"/>
                      <w:color w:val="auto"/>
                      <w:kern w:val="0"/>
                      <w:sz w:val="21"/>
                      <w:szCs w:val="21"/>
                      <w:u w:val="none"/>
                      <w:lang w:val="en-US" w:eastAsia="zh-CN" w:bidi="ar"/>
                    </w:rPr>
                    <w:t>3</w:t>
                  </w:r>
                </w:p>
              </w:tc>
              <w:tc>
                <w:tcPr>
                  <w:tcW w:w="483" w:type="pct"/>
                  <w:tcBorders>
                    <w:tl2br w:val="nil"/>
                    <w:tr2bl w:val="nil"/>
                  </w:tcBorders>
                  <w:vAlign w:val="center"/>
                </w:tcPr>
                <w:p w14:paraId="108343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781EF64C">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0CFD09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42</w:t>
                  </w:r>
                </w:p>
              </w:tc>
              <w:tc>
                <w:tcPr>
                  <w:tcW w:w="274" w:type="pct"/>
                  <w:tcBorders>
                    <w:tl2br w:val="nil"/>
                    <w:tr2bl w:val="nil"/>
                  </w:tcBorders>
                  <w:vAlign w:val="center"/>
                </w:tcPr>
                <w:p w14:paraId="49330F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620F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4601590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w:t>
                  </w:r>
                </w:p>
              </w:tc>
              <w:tc>
                <w:tcPr>
                  <w:tcW w:w="665" w:type="pct"/>
                  <w:tcBorders>
                    <w:tl2br w:val="nil"/>
                    <w:tr2bl w:val="nil"/>
                  </w:tcBorders>
                  <w:vAlign w:val="center"/>
                </w:tcPr>
                <w:p w14:paraId="78AE59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油炸机</w:t>
                  </w:r>
                </w:p>
              </w:tc>
              <w:tc>
                <w:tcPr>
                  <w:tcW w:w="495" w:type="pct"/>
                  <w:tcBorders>
                    <w:tl2br w:val="nil"/>
                    <w:tr2bl w:val="nil"/>
                  </w:tcBorders>
                  <w:vAlign w:val="center"/>
                </w:tcPr>
                <w:p w14:paraId="5167AFC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1AB07A76">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3E3DC1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77.8</w:t>
                  </w:r>
                </w:p>
              </w:tc>
              <w:tc>
                <w:tcPr>
                  <w:tcW w:w="429" w:type="pct"/>
                  <w:tcBorders>
                    <w:tl2br w:val="nil"/>
                    <w:tr2bl w:val="nil"/>
                  </w:tcBorders>
                  <w:vAlign w:val="center"/>
                </w:tcPr>
                <w:p w14:paraId="19DE954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2.8</w:t>
                  </w:r>
                </w:p>
              </w:tc>
              <w:tc>
                <w:tcPr>
                  <w:tcW w:w="212" w:type="pct"/>
                  <w:tcBorders>
                    <w:tl2br w:val="nil"/>
                    <w:tr2bl w:val="nil"/>
                  </w:tcBorders>
                  <w:vAlign w:val="center"/>
                </w:tcPr>
                <w:p w14:paraId="21B0319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0A23B15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2.8</w:t>
                  </w:r>
                </w:p>
              </w:tc>
              <w:tc>
                <w:tcPr>
                  <w:tcW w:w="312" w:type="pct"/>
                  <w:tcBorders>
                    <w:tl2br w:val="nil"/>
                    <w:tr2bl w:val="nil"/>
                  </w:tcBorders>
                  <w:vAlign w:val="center"/>
                </w:tcPr>
                <w:p w14:paraId="5E07F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63</w:t>
                  </w:r>
                </w:p>
              </w:tc>
              <w:tc>
                <w:tcPr>
                  <w:tcW w:w="483" w:type="pct"/>
                  <w:tcBorders>
                    <w:tl2br w:val="nil"/>
                    <w:tr2bl w:val="nil"/>
                  </w:tcBorders>
                  <w:vAlign w:val="center"/>
                </w:tcPr>
                <w:p w14:paraId="1294C2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2E9DCE35">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490FC2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2</w:t>
                  </w:r>
                </w:p>
              </w:tc>
              <w:tc>
                <w:tcPr>
                  <w:tcW w:w="274" w:type="pct"/>
                  <w:tcBorders>
                    <w:tl2br w:val="nil"/>
                    <w:tr2bl w:val="nil"/>
                  </w:tcBorders>
                  <w:vAlign w:val="center"/>
                </w:tcPr>
                <w:p w14:paraId="4DBA7A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2F46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3A86D22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w:t>
                  </w:r>
                </w:p>
              </w:tc>
              <w:tc>
                <w:tcPr>
                  <w:tcW w:w="665" w:type="pct"/>
                  <w:tcBorders>
                    <w:tl2br w:val="nil"/>
                    <w:tr2bl w:val="nil"/>
                  </w:tcBorders>
                  <w:vAlign w:val="center"/>
                </w:tcPr>
                <w:p w14:paraId="4DD8CE1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泡沫箱打包机</w:t>
                  </w:r>
                </w:p>
              </w:tc>
              <w:tc>
                <w:tcPr>
                  <w:tcW w:w="495" w:type="pct"/>
                  <w:tcBorders>
                    <w:tl2br w:val="nil"/>
                    <w:tr2bl w:val="nil"/>
                  </w:tcBorders>
                  <w:vAlign w:val="center"/>
                </w:tcPr>
                <w:p w14:paraId="56229EB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70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1DDC23F3">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03447A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63.9</w:t>
                  </w:r>
                </w:p>
              </w:tc>
              <w:tc>
                <w:tcPr>
                  <w:tcW w:w="429" w:type="pct"/>
                  <w:tcBorders>
                    <w:tl2br w:val="nil"/>
                    <w:tr2bl w:val="nil"/>
                  </w:tcBorders>
                  <w:vAlign w:val="center"/>
                </w:tcPr>
                <w:p w14:paraId="249A289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16.3</w:t>
                  </w:r>
                </w:p>
              </w:tc>
              <w:tc>
                <w:tcPr>
                  <w:tcW w:w="212" w:type="pct"/>
                  <w:tcBorders>
                    <w:tl2br w:val="nil"/>
                    <w:tr2bl w:val="nil"/>
                  </w:tcBorders>
                  <w:vAlign w:val="center"/>
                </w:tcPr>
                <w:p w14:paraId="52790C3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13DE4A0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10.2</w:t>
                  </w:r>
                </w:p>
              </w:tc>
              <w:tc>
                <w:tcPr>
                  <w:tcW w:w="312" w:type="pct"/>
                  <w:tcBorders>
                    <w:tl2br w:val="nil"/>
                    <w:tr2bl w:val="nil"/>
                  </w:tcBorders>
                  <w:vAlign w:val="center"/>
                </w:tcPr>
                <w:p w14:paraId="3B3F75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52</w:t>
                  </w:r>
                </w:p>
              </w:tc>
              <w:tc>
                <w:tcPr>
                  <w:tcW w:w="483" w:type="pct"/>
                  <w:tcBorders>
                    <w:tl2br w:val="nil"/>
                    <w:tr2bl w:val="nil"/>
                  </w:tcBorders>
                  <w:vAlign w:val="center"/>
                </w:tcPr>
                <w:p w14:paraId="38427E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4FD7909A">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09CBE3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r>
                    <w:rPr>
                      <w:rFonts w:hint="eastAsia" w:cs="Times New Roman"/>
                      <w:i w:val="0"/>
                      <w:iCs w:val="0"/>
                      <w:color w:val="auto"/>
                      <w:kern w:val="0"/>
                      <w:sz w:val="21"/>
                      <w:szCs w:val="21"/>
                      <w:u w:val="none"/>
                      <w:lang w:val="en-US" w:eastAsia="zh-CN" w:bidi="ar"/>
                    </w:rPr>
                    <w:t>1</w:t>
                  </w:r>
                </w:p>
              </w:tc>
              <w:tc>
                <w:tcPr>
                  <w:tcW w:w="274" w:type="pct"/>
                  <w:tcBorders>
                    <w:tl2br w:val="nil"/>
                    <w:tr2bl w:val="nil"/>
                  </w:tcBorders>
                  <w:vAlign w:val="center"/>
                </w:tcPr>
                <w:p w14:paraId="2935F3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7E57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7A4A72D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9</w:t>
                  </w:r>
                </w:p>
              </w:tc>
              <w:tc>
                <w:tcPr>
                  <w:tcW w:w="665" w:type="pct"/>
                  <w:tcBorders>
                    <w:tl2br w:val="nil"/>
                    <w:tr2bl w:val="nil"/>
                  </w:tcBorders>
                  <w:vAlign w:val="center"/>
                </w:tcPr>
                <w:p w14:paraId="24C7370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 w:val="21"/>
                      <w:szCs w:val="21"/>
                    </w:rPr>
                    <w:t>净水器</w:t>
                  </w:r>
                </w:p>
              </w:tc>
              <w:tc>
                <w:tcPr>
                  <w:tcW w:w="495" w:type="pct"/>
                  <w:tcBorders>
                    <w:tl2br w:val="nil"/>
                    <w:tr2bl w:val="nil"/>
                  </w:tcBorders>
                  <w:vAlign w:val="center"/>
                </w:tcPr>
                <w:p w14:paraId="0D4DF15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26E0E588">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15F9E7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53.4</w:t>
                  </w:r>
                </w:p>
              </w:tc>
              <w:tc>
                <w:tcPr>
                  <w:tcW w:w="429" w:type="pct"/>
                  <w:tcBorders>
                    <w:tl2br w:val="nil"/>
                    <w:tr2bl w:val="nil"/>
                  </w:tcBorders>
                  <w:vAlign w:val="center"/>
                </w:tcPr>
                <w:p w14:paraId="3413DB5F">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6.8</w:t>
                  </w:r>
                </w:p>
              </w:tc>
              <w:tc>
                <w:tcPr>
                  <w:tcW w:w="212" w:type="pct"/>
                  <w:tcBorders>
                    <w:tl2br w:val="nil"/>
                    <w:tr2bl w:val="nil"/>
                  </w:tcBorders>
                  <w:vAlign w:val="center"/>
                </w:tcPr>
                <w:p w14:paraId="127E3EF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6C49B06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6.8</w:t>
                  </w:r>
                </w:p>
              </w:tc>
              <w:tc>
                <w:tcPr>
                  <w:tcW w:w="312" w:type="pct"/>
                  <w:tcBorders>
                    <w:tl2br w:val="nil"/>
                    <w:tr2bl w:val="nil"/>
                  </w:tcBorders>
                  <w:vAlign w:val="center"/>
                </w:tcPr>
                <w:p w14:paraId="14924F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62</w:t>
                  </w:r>
                </w:p>
              </w:tc>
              <w:tc>
                <w:tcPr>
                  <w:tcW w:w="483" w:type="pct"/>
                  <w:tcBorders>
                    <w:tl2br w:val="nil"/>
                    <w:tr2bl w:val="nil"/>
                  </w:tcBorders>
                  <w:vAlign w:val="center"/>
                </w:tcPr>
                <w:p w14:paraId="7B528E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5C0BA7BE">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7C6A28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eastAsia" w:cs="Times New Roman"/>
                      <w:i w:val="0"/>
                      <w:iCs w:val="0"/>
                      <w:color w:val="auto"/>
                      <w:kern w:val="0"/>
                      <w:sz w:val="21"/>
                      <w:szCs w:val="21"/>
                      <w:u w:val="none"/>
                      <w:lang w:val="en-US" w:eastAsia="zh-CN" w:bidi="ar"/>
                    </w:rPr>
                    <w:t>1</w:t>
                  </w:r>
                </w:p>
              </w:tc>
              <w:tc>
                <w:tcPr>
                  <w:tcW w:w="274" w:type="pct"/>
                  <w:tcBorders>
                    <w:tl2br w:val="nil"/>
                    <w:tr2bl w:val="nil"/>
                  </w:tcBorders>
                  <w:vAlign w:val="center"/>
                </w:tcPr>
                <w:p w14:paraId="0E857B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641C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4274E14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665" w:type="pct"/>
                  <w:tcBorders>
                    <w:tl2br w:val="nil"/>
                    <w:tr2bl w:val="nil"/>
                  </w:tcBorders>
                  <w:vAlign w:val="center"/>
                </w:tcPr>
                <w:p w14:paraId="6A73B3F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cs="Times New Roman" w:eastAsiaTheme="minorEastAsia"/>
                      <w:i w:val="0"/>
                      <w:iCs w:val="0"/>
                      <w:color w:val="auto"/>
                      <w:kern w:val="0"/>
                      <w:sz w:val="21"/>
                      <w:szCs w:val="21"/>
                      <w:u w:val="none"/>
                      <w:lang w:val="en-US" w:eastAsia="zh-CN" w:bidi="ar"/>
                    </w:rPr>
                  </w:pPr>
                  <w:r>
                    <w:rPr>
                      <w:rFonts w:hint="eastAsia" w:cs="Times New Roman"/>
                      <w:color w:val="auto"/>
                      <w:sz w:val="21"/>
                      <w:szCs w:val="21"/>
                      <w:lang w:val="en-US" w:eastAsia="zh-CN"/>
                    </w:rPr>
                    <w:t>包装机</w:t>
                  </w:r>
                </w:p>
              </w:tc>
              <w:tc>
                <w:tcPr>
                  <w:tcW w:w="495" w:type="pct"/>
                  <w:tcBorders>
                    <w:tl2br w:val="nil"/>
                    <w:tr2bl w:val="nil"/>
                  </w:tcBorders>
                  <w:vAlign w:val="center"/>
                </w:tcPr>
                <w:p w14:paraId="3A5510E2">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70</w:t>
                  </w:r>
                  <w:r>
                    <w:rPr>
                      <w:rFonts w:hint="default" w:ascii="Times New Roman" w:hAnsi="Times New Roman" w:cs="Times New Roman"/>
                      <w:color w:val="auto"/>
                      <w:sz w:val="21"/>
                      <w:szCs w:val="21"/>
                    </w:rPr>
                    <w:t>/1</w:t>
                  </w:r>
                </w:p>
              </w:tc>
              <w:tc>
                <w:tcPr>
                  <w:tcW w:w="418" w:type="pct"/>
                  <w:vMerge w:val="continue"/>
                  <w:tcBorders>
                    <w:tl2br w:val="nil"/>
                    <w:tr2bl w:val="nil"/>
                  </w:tcBorders>
                  <w:vAlign w:val="center"/>
                </w:tcPr>
                <w:p w14:paraId="684F8115">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451A574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66.9</w:t>
                  </w:r>
                </w:p>
              </w:tc>
              <w:tc>
                <w:tcPr>
                  <w:tcW w:w="429" w:type="pct"/>
                  <w:tcBorders>
                    <w:tl2br w:val="nil"/>
                    <w:tr2bl w:val="nil"/>
                  </w:tcBorders>
                  <w:vAlign w:val="center"/>
                </w:tcPr>
                <w:p w14:paraId="67603AD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16.3</w:t>
                  </w:r>
                </w:p>
              </w:tc>
              <w:tc>
                <w:tcPr>
                  <w:tcW w:w="212" w:type="pct"/>
                  <w:tcBorders>
                    <w:tl2br w:val="nil"/>
                    <w:tr2bl w:val="nil"/>
                  </w:tcBorders>
                  <w:vAlign w:val="center"/>
                </w:tcPr>
                <w:p w14:paraId="0885DFC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6337FEF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10.2</w:t>
                  </w:r>
                </w:p>
              </w:tc>
              <w:tc>
                <w:tcPr>
                  <w:tcW w:w="312" w:type="pct"/>
                  <w:tcBorders>
                    <w:tl2br w:val="nil"/>
                    <w:tr2bl w:val="nil"/>
                  </w:tcBorders>
                  <w:vAlign w:val="center"/>
                </w:tcPr>
                <w:p w14:paraId="45571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52</w:t>
                  </w:r>
                </w:p>
              </w:tc>
              <w:tc>
                <w:tcPr>
                  <w:tcW w:w="483" w:type="pct"/>
                  <w:tcBorders>
                    <w:tl2br w:val="nil"/>
                    <w:tr2bl w:val="nil"/>
                  </w:tcBorders>
                  <w:vAlign w:val="center"/>
                </w:tcPr>
                <w:p w14:paraId="0F7AB5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3BA14005">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21B5E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r>
                    <w:rPr>
                      <w:rFonts w:hint="eastAsia" w:cs="Times New Roman"/>
                      <w:i w:val="0"/>
                      <w:iCs w:val="0"/>
                      <w:color w:val="auto"/>
                      <w:kern w:val="0"/>
                      <w:sz w:val="21"/>
                      <w:szCs w:val="21"/>
                      <w:u w:val="none"/>
                      <w:lang w:val="en-US" w:eastAsia="zh-CN" w:bidi="ar"/>
                    </w:rPr>
                    <w:t>1</w:t>
                  </w:r>
                </w:p>
              </w:tc>
              <w:tc>
                <w:tcPr>
                  <w:tcW w:w="274" w:type="pct"/>
                  <w:tcBorders>
                    <w:tl2br w:val="nil"/>
                    <w:tr2bl w:val="nil"/>
                  </w:tcBorders>
                  <w:vAlign w:val="center"/>
                </w:tcPr>
                <w:p w14:paraId="6CE5655B">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r>
            <w:tr w14:paraId="2857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48" w:type="pct"/>
                  <w:tcBorders>
                    <w:tl2br w:val="nil"/>
                    <w:tr2bl w:val="nil"/>
                  </w:tcBorders>
                  <w:vAlign w:val="center"/>
                </w:tcPr>
                <w:p w14:paraId="76D0BAA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11</w:t>
                  </w:r>
                </w:p>
              </w:tc>
              <w:tc>
                <w:tcPr>
                  <w:tcW w:w="665" w:type="pct"/>
                  <w:tcBorders>
                    <w:tl2br w:val="nil"/>
                    <w:tr2bl w:val="nil"/>
                  </w:tcBorders>
                  <w:vAlign w:val="center"/>
                </w:tcPr>
                <w:p w14:paraId="2802015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cs="Times New Roman"/>
                      <w:color w:val="auto"/>
                      <w:sz w:val="21"/>
                      <w:szCs w:val="21"/>
                      <w:lang w:val="en-US" w:eastAsia="zh-CN"/>
                    </w:rPr>
                  </w:pPr>
                  <w:r>
                    <w:rPr>
                      <w:rFonts w:hint="eastAsia" w:cs="Times New Roman"/>
                      <w:color w:val="auto"/>
                      <w:kern w:val="2"/>
                      <w:sz w:val="21"/>
                      <w:szCs w:val="21"/>
                      <w:lang w:val="en-US" w:eastAsia="zh-CN" w:bidi="ar-SA"/>
                    </w:rPr>
                    <w:t>油烟净化器</w:t>
                  </w:r>
                  <w:r>
                    <w:rPr>
                      <w:rFonts w:hint="default" w:ascii="Times New Roman" w:hAnsi="Times New Roman" w:eastAsia="宋体" w:cs="Times New Roman"/>
                      <w:color w:val="auto"/>
                      <w:kern w:val="2"/>
                      <w:sz w:val="21"/>
                      <w:szCs w:val="21"/>
                      <w:lang w:val="en-US" w:eastAsia="zh-CN" w:bidi="ar-SA"/>
                    </w:rPr>
                    <w:t>风机</w:t>
                  </w:r>
                </w:p>
              </w:tc>
              <w:tc>
                <w:tcPr>
                  <w:tcW w:w="495" w:type="pct"/>
                  <w:tcBorders>
                    <w:tl2br w:val="nil"/>
                    <w:tr2bl w:val="nil"/>
                  </w:tcBorders>
                  <w:vAlign w:val="center"/>
                </w:tcPr>
                <w:p w14:paraId="0074579D">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r>
                    <w:rPr>
                      <w:rFonts w:hint="eastAsia" w:cs="Times New Roman"/>
                      <w:color w:val="auto"/>
                      <w:kern w:val="2"/>
                      <w:sz w:val="21"/>
                      <w:szCs w:val="21"/>
                      <w:lang w:val="en-US" w:eastAsia="zh-CN" w:bidi="ar-SA"/>
                    </w:rPr>
                    <w:t>85</w:t>
                  </w:r>
                  <w:r>
                    <w:rPr>
                      <w:rFonts w:hint="default" w:ascii="Times New Roman" w:hAnsi="Times New Roman" w:eastAsia="宋体" w:cs="Times New Roman"/>
                      <w:color w:val="auto"/>
                      <w:kern w:val="2"/>
                      <w:sz w:val="21"/>
                      <w:szCs w:val="21"/>
                      <w:lang w:val="en-US" w:eastAsia="zh-CN" w:bidi="ar-SA"/>
                    </w:rPr>
                    <w:t>/1</w:t>
                  </w:r>
                </w:p>
              </w:tc>
              <w:tc>
                <w:tcPr>
                  <w:tcW w:w="418" w:type="pct"/>
                  <w:vMerge w:val="continue"/>
                  <w:tcBorders>
                    <w:tl2br w:val="nil"/>
                    <w:tr2bl w:val="nil"/>
                  </w:tcBorders>
                  <w:vAlign w:val="center"/>
                </w:tcPr>
                <w:p w14:paraId="4A66EE62">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lang w:val="en-US" w:eastAsia="zh-CN"/>
                    </w:rPr>
                  </w:pPr>
                </w:p>
              </w:tc>
              <w:tc>
                <w:tcPr>
                  <w:tcW w:w="451" w:type="pct"/>
                  <w:tcBorders>
                    <w:tl2br w:val="nil"/>
                    <w:tr2bl w:val="nil"/>
                  </w:tcBorders>
                  <w:vAlign w:val="center"/>
                </w:tcPr>
                <w:p w14:paraId="6FAA9E8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74.7</w:t>
                  </w:r>
                </w:p>
              </w:tc>
              <w:tc>
                <w:tcPr>
                  <w:tcW w:w="429" w:type="pct"/>
                  <w:tcBorders>
                    <w:tl2br w:val="nil"/>
                    <w:tr2bl w:val="nil"/>
                  </w:tcBorders>
                  <w:vAlign w:val="center"/>
                </w:tcPr>
                <w:p w14:paraId="4B4CAB7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auto"/>
                      <w:sz w:val="21"/>
                      <w:szCs w:val="21"/>
                      <w:lang w:val="en-US" w:eastAsia="zh-CN"/>
                    </w:rPr>
                  </w:pPr>
                  <w:r>
                    <w:rPr>
                      <w:rFonts w:hint="eastAsia" w:cs="Times New Roman"/>
                      <w:color w:val="auto"/>
                      <w:sz w:val="21"/>
                      <w:szCs w:val="21"/>
                      <w:lang w:val="en-US" w:eastAsia="zh-CN"/>
                    </w:rPr>
                    <w:t>2.8</w:t>
                  </w:r>
                </w:p>
              </w:tc>
              <w:tc>
                <w:tcPr>
                  <w:tcW w:w="212" w:type="pct"/>
                  <w:tcBorders>
                    <w:tl2br w:val="nil"/>
                    <w:tr2bl w:val="nil"/>
                  </w:tcBorders>
                  <w:vAlign w:val="center"/>
                </w:tcPr>
                <w:p w14:paraId="629464D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344" w:type="pct"/>
                  <w:tcBorders>
                    <w:tl2br w:val="nil"/>
                    <w:tr2bl w:val="nil"/>
                  </w:tcBorders>
                  <w:vAlign w:val="center"/>
                </w:tcPr>
                <w:p w14:paraId="5370917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2.8</w:t>
                  </w:r>
                </w:p>
              </w:tc>
              <w:tc>
                <w:tcPr>
                  <w:tcW w:w="312" w:type="pct"/>
                  <w:tcBorders>
                    <w:tl2br w:val="nil"/>
                    <w:tr2bl w:val="nil"/>
                  </w:tcBorders>
                  <w:vAlign w:val="center"/>
                </w:tcPr>
                <w:p w14:paraId="1F9140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68</w:t>
                  </w:r>
                </w:p>
              </w:tc>
              <w:tc>
                <w:tcPr>
                  <w:tcW w:w="483" w:type="pct"/>
                  <w:tcBorders>
                    <w:tl2br w:val="nil"/>
                    <w:tr2bl w:val="nil"/>
                  </w:tcBorders>
                  <w:vAlign w:val="center"/>
                </w:tcPr>
                <w:p w14:paraId="028C27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8</w:t>
                  </w:r>
                </w:p>
              </w:tc>
              <w:tc>
                <w:tcPr>
                  <w:tcW w:w="282" w:type="pct"/>
                  <w:tcBorders>
                    <w:tl2br w:val="nil"/>
                    <w:tr2bl w:val="nil"/>
                  </w:tcBorders>
                  <w:vAlign w:val="center"/>
                </w:tcPr>
                <w:p w14:paraId="4FF46802">
                  <w:pPr>
                    <w:pStyle w:val="49"/>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282" w:type="pct"/>
                  <w:tcBorders>
                    <w:tl2br w:val="nil"/>
                    <w:tr2bl w:val="nil"/>
                  </w:tcBorders>
                  <w:vAlign w:val="center"/>
                </w:tcPr>
                <w:p w14:paraId="51B91E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47</w:t>
                  </w:r>
                </w:p>
              </w:tc>
              <w:tc>
                <w:tcPr>
                  <w:tcW w:w="274" w:type="pct"/>
                  <w:tcBorders>
                    <w:tl2br w:val="nil"/>
                    <w:tr2bl w:val="nil"/>
                  </w:tcBorders>
                  <w:vAlign w:val="center"/>
                </w:tcPr>
                <w:p w14:paraId="41B5A974">
                  <w:pPr>
                    <w:pStyle w:val="49"/>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r>
            <w:tr w14:paraId="71BB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13"/>
                  <w:tcBorders>
                    <w:tl2br w:val="nil"/>
                    <w:tr2bl w:val="nil"/>
                  </w:tcBorders>
                  <w:vAlign w:val="center"/>
                </w:tcPr>
                <w:p w14:paraId="2B50AD9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kern w:val="2"/>
                      <w:sz w:val="21"/>
                      <w:szCs w:val="21"/>
                      <w:lang w:val="en-US" w:eastAsia="zh-CN" w:bidi="ar-SA"/>
                    </w:rPr>
                    <w:t>注：空间相对位置以</w:t>
                  </w:r>
                  <w:r>
                    <w:rPr>
                      <w:rFonts w:hint="eastAsia" w:cs="Times New Roman"/>
                      <w:color w:val="auto"/>
                      <w:kern w:val="2"/>
                      <w:sz w:val="21"/>
                      <w:szCs w:val="21"/>
                      <w:lang w:val="en-US" w:eastAsia="zh-CN" w:bidi="ar-SA"/>
                    </w:rPr>
                    <w:t>车间</w:t>
                  </w:r>
                  <w:r>
                    <w:rPr>
                      <w:rFonts w:hint="default" w:ascii="Times New Roman" w:hAnsi="Times New Roman" w:eastAsia="宋体" w:cs="Times New Roman"/>
                      <w:color w:val="auto"/>
                      <w:kern w:val="2"/>
                      <w:sz w:val="21"/>
                      <w:szCs w:val="21"/>
                      <w:lang w:val="en-US" w:eastAsia="zh-CN" w:bidi="ar-SA"/>
                    </w:rPr>
                    <w:t>西南角作为原点建立空间直角坐标系所得。</w:t>
                  </w:r>
                </w:p>
              </w:tc>
            </w:tr>
          </w:tbl>
          <w:p w14:paraId="149602D6">
            <w:pPr>
              <w:ind w:firstLine="482"/>
              <w:rPr>
                <w:rFonts w:hint="default" w:ascii="Times New Roman" w:hAnsi="Times New Roman" w:cs="Times New Roman"/>
                <w:b/>
                <w:bCs/>
                <w:color w:val="auto"/>
              </w:rPr>
            </w:pPr>
            <w:r>
              <w:rPr>
                <w:rFonts w:hint="eastAsia" w:cs="Times New Roman"/>
                <w:b/>
                <w:bCs/>
                <w:color w:val="auto"/>
                <w:lang w:eastAsia="zh-CN"/>
              </w:rPr>
              <w:t>2.</w:t>
            </w:r>
            <w:r>
              <w:rPr>
                <w:rFonts w:hint="default" w:ascii="Times New Roman" w:hAnsi="Times New Roman" w:cs="Times New Roman"/>
                <w:b/>
                <w:bCs/>
                <w:color w:val="auto"/>
              </w:rPr>
              <w:t>噪声预测</w:t>
            </w:r>
          </w:p>
          <w:p w14:paraId="259F4053">
            <w:pPr>
              <w:ind w:firstLine="480"/>
              <w:rPr>
                <w:rFonts w:hint="default" w:ascii="Times New Roman" w:hAnsi="Times New Roman" w:cs="Times New Roman"/>
                <w:color w:val="auto"/>
              </w:rPr>
            </w:pPr>
            <w:r>
              <w:rPr>
                <w:rFonts w:hint="default" w:ascii="Times New Roman" w:hAnsi="Times New Roman" w:cs="Times New Roman"/>
                <w:color w:val="auto"/>
              </w:rPr>
              <w:t>为说明项目运营过程中噪声对周围环境的影响程度，根据《环境影响评价技术导则 声环境》（HJ2.4-2021）的要求，本次评价采取导则上推荐模式进行预测</w:t>
            </w:r>
            <w:r>
              <w:rPr>
                <w:rFonts w:hint="eastAsia" w:cs="Times New Roman"/>
                <w:color w:val="auto"/>
                <w:lang w:eastAsia="zh-CN"/>
              </w:rPr>
              <w:t>，</w:t>
            </w:r>
            <w:r>
              <w:rPr>
                <w:rFonts w:hint="default" w:ascii="Times New Roman" w:hAnsi="Times New Roman" w:cs="Times New Roman"/>
                <w:color w:val="auto"/>
              </w:rPr>
              <w:t>公式为：</w:t>
            </w:r>
          </w:p>
          <w:p w14:paraId="5ABC4B25">
            <w:pPr>
              <w:ind w:firstLine="480"/>
              <w:rPr>
                <w:rFonts w:hint="default" w:ascii="Times New Roman" w:hAnsi="Times New Roman" w:cs="Times New Roman"/>
                <w:color w:val="auto"/>
              </w:rPr>
            </w:pPr>
            <w:r>
              <w:rPr>
                <w:rFonts w:hint="eastAsia" w:cs="Times New Roman"/>
                <w:color w:val="auto"/>
                <w:lang w:eastAsia="zh-CN"/>
              </w:rPr>
              <w:t>（</w:t>
            </w:r>
            <w:r>
              <w:rPr>
                <w:rFonts w:hint="eastAsia" w:cs="Times New Roman"/>
                <w:color w:val="auto"/>
                <w:lang w:val="en-US" w:eastAsia="zh-CN"/>
              </w:rPr>
              <w:t>1</w:t>
            </w:r>
            <w:r>
              <w:rPr>
                <w:rFonts w:hint="eastAsia" w:cs="Times New Roman"/>
                <w:color w:val="auto"/>
                <w:lang w:eastAsia="zh-CN"/>
              </w:rPr>
              <w:t>）</w:t>
            </w:r>
            <w:r>
              <w:rPr>
                <w:rFonts w:hint="default" w:ascii="Times New Roman" w:hAnsi="Times New Roman" w:cs="Times New Roman"/>
                <w:color w:val="auto"/>
              </w:rPr>
              <w:t>室外</w:t>
            </w:r>
            <w:r>
              <w:rPr>
                <w:rFonts w:hint="eastAsia" w:cs="Times New Roman"/>
                <w:color w:val="auto"/>
                <w:lang w:val="en-US" w:eastAsia="zh-CN"/>
              </w:rPr>
              <w:t>声源</w:t>
            </w:r>
            <w:r>
              <w:rPr>
                <w:rFonts w:hint="default" w:ascii="Times New Roman" w:hAnsi="Times New Roman" w:cs="Times New Roman"/>
                <w:color w:val="auto"/>
              </w:rPr>
              <w:t>预测</w:t>
            </w:r>
          </w:p>
          <w:p w14:paraId="64D893B0">
            <w:pPr>
              <w:ind w:firstLine="0" w:firstLineChars="0"/>
              <w:jc w:val="center"/>
              <w:rPr>
                <w:rFonts w:hint="default" w:ascii="Times New Roman" w:hAnsi="Times New Roman" w:cs="Times New Roman"/>
                <w:color w:val="auto"/>
              </w:rPr>
            </w:pPr>
            <w:r>
              <w:rPr>
                <w:rFonts w:hint="default" w:ascii="Times New Roman" w:hAnsi="Times New Roman" w:cs="Times New Roman"/>
                <w:color w:val="auto"/>
                <w:position w:val="-14"/>
              </w:rPr>
              <w:object>
                <v:shape id="_x0000_i1025" o:spt="75" type="#_x0000_t75" style="height:23.5pt;width:294.35pt;" o:ole="t" filled="f" o:preferrelative="t" stroked="f" coordsize="21600,21600">
                  <v:path/>
                  <v:fill on="f" focussize="0,0"/>
                  <v:stroke on="f" joinstyle="miter"/>
                  <v:imagedata r:id="rId23" o:title=""/>
                  <o:lock v:ext="edit" aspectratio="t"/>
                  <w10:wrap type="none"/>
                  <w10:anchorlock/>
                </v:shape>
                <o:OLEObject Type="Embed" ProgID="Equations" ShapeID="_x0000_i1025" DrawAspect="Content" ObjectID="_1468075725" r:id="rId22">
                  <o:LockedField>false</o:LockedField>
                </o:OLEObject>
              </w:object>
            </w:r>
          </w:p>
          <w:p w14:paraId="571668AA">
            <w:pPr>
              <w:ind w:firstLine="480"/>
              <w:rPr>
                <w:rFonts w:hint="default" w:ascii="Times New Roman" w:hAnsi="Times New Roman" w:cs="Times New Roman"/>
                <w:color w:val="auto"/>
              </w:rPr>
            </w:pPr>
            <w:r>
              <w:rPr>
                <w:rFonts w:hint="default" w:ascii="Times New Roman" w:hAnsi="Times New Roman" w:cs="Times New Roman"/>
                <w:color w:val="auto"/>
              </w:rPr>
              <w:t>式中：L</w:t>
            </w:r>
            <w:r>
              <w:rPr>
                <w:rFonts w:hint="default" w:ascii="Times New Roman" w:hAnsi="Times New Roman" w:cs="Times New Roman"/>
                <w:color w:val="auto"/>
                <w:vertAlign w:val="subscript"/>
              </w:rPr>
              <w:t>p</w:t>
            </w:r>
            <w:r>
              <w:rPr>
                <w:rFonts w:hint="eastAsia" w:cs="Times New Roman"/>
                <w:color w:val="auto"/>
                <w:lang w:eastAsia="zh-CN"/>
              </w:rPr>
              <w:t>（</w:t>
            </w:r>
            <w:r>
              <w:rPr>
                <w:rFonts w:hint="default" w:ascii="Times New Roman" w:hAnsi="Times New Roman" w:cs="Times New Roman"/>
                <w:color w:val="auto"/>
              </w:rPr>
              <w:t>r</w:t>
            </w:r>
            <w:r>
              <w:rPr>
                <w:rFonts w:hint="eastAsia" w:cs="Times New Roman"/>
                <w:color w:val="auto"/>
                <w:lang w:eastAsia="zh-CN"/>
              </w:rPr>
              <w:t>）</w:t>
            </w:r>
            <w:r>
              <w:rPr>
                <w:rFonts w:hint="default" w:ascii="Times New Roman" w:hAnsi="Times New Roman" w:cs="Times New Roman"/>
                <w:color w:val="auto"/>
              </w:rPr>
              <w:t>——预测点处声压级，dB；</w:t>
            </w:r>
          </w:p>
          <w:p w14:paraId="7339AB85">
            <w:pPr>
              <w:ind w:firstLine="480"/>
              <w:rPr>
                <w:rFonts w:hint="default" w:ascii="Times New Roman" w:hAnsi="Times New Roman" w:cs="Times New Roman"/>
                <w:color w:val="auto"/>
              </w:rPr>
            </w:pPr>
            <w:r>
              <w:rPr>
                <w:rFonts w:hint="default" w:ascii="Times New Roman" w:hAnsi="Times New Roman" w:cs="Times New Roman"/>
                <w:color w:val="auto"/>
              </w:rPr>
              <w:t>L</w:t>
            </w:r>
            <w:r>
              <w:rPr>
                <w:rFonts w:hint="default" w:ascii="Times New Roman" w:hAnsi="Times New Roman" w:cs="Times New Roman"/>
                <w:color w:val="auto"/>
                <w:vertAlign w:val="subscript"/>
              </w:rPr>
              <w:t>w</w:t>
            </w:r>
            <w:r>
              <w:rPr>
                <w:rFonts w:hint="default" w:ascii="Times New Roman" w:hAnsi="Times New Roman" w:cs="Times New Roman"/>
                <w:color w:val="auto"/>
              </w:rPr>
              <w:t>——由点声源产生的声功率级（A计权或倍频带），dB；</w:t>
            </w:r>
          </w:p>
          <w:p w14:paraId="7313D879">
            <w:pPr>
              <w:ind w:firstLine="480"/>
              <w:rPr>
                <w:rFonts w:hint="default" w:ascii="Times New Roman" w:hAnsi="Times New Roman" w:cs="Times New Roman"/>
                <w:color w:val="auto"/>
              </w:rPr>
            </w:pPr>
            <w:r>
              <w:rPr>
                <w:rFonts w:hint="default" w:ascii="Times New Roman" w:hAnsi="Times New Roman" w:cs="Times New Roman"/>
                <w:color w:val="auto"/>
              </w:rPr>
              <w:t>D</w:t>
            </w:r>
            <w:r>
              <w:rPr>
                <w:rFonts w:hint="default" w:ascii="Times New Roman" w:hAnsi="Times New Roman" w:cs="Times New Roman"/>
                <w:color w:val="auto"/>
                <w:vertAlign w:val="subscript"/>
              </w:rPr>
              <w:t>C</w:t>
            </w:r>
            <w:r>
              <w:rPr>
                <w:rFonts w:hint="default" w:ascii="Times New Roman" w:hAnsi="Times New Roman" w:cs="Times New Roman"/>
                <w:color w:val="auto"/>
              </w:rPr>
              <w:t>——指向性校正，它描述点声源的等效连续声压级与产生声功率级Lw的全向点声源在规定方 向的声级的偏差程度，dB；</w:t>
            </w:r>
          </w:p>
          <w:p w14:paraId="048C6C86">
            <w:pPr>
              <w:ind w:firstLine="480"/>
              <w:rPr>
                <w:rFonts w:hint="default" w:ascii="Times New Roman" w:hAnsi="Times New Roman" w:cs="Times New Roman"/>
                <w:color w:val="auto"/>
              </w:rPr>
            </w:pPr>
            <w:r>
              <w:rPr>
                <w:rFonts w:hint="default" w:ascii="Times New Roman" w:hAnsi="Times New Roman" w:cs="Times New Roman"/>
                <w:color w:val="auto"/>
              </w:rPr>
              <w:t>A</w:t>
            </w:r>
            <w:r>
              <w:rPr>
                <w:rFonts w:hint="default" w:ascii="Times New Roman" w:hAnsi="Times New Roman" w:cs="Times New Roman"/>
                <w:color w:val="auto"/>
                <w:vertAlign w:val="subscript"/>
              </w:rPr>
              <w:t>div</w:t>
            </w:r>
            <w:r>
              <w:rPr>
                <w:rFonts w:hint="default" w:ascii="Times New Roman" w:hAnsi="Times New Roman" w:cs="Times New Roman"/>
                <w:color w:val="auto"/>
              </w:rPr>
              <w:t>——几何发散引起的衰减，dB；</w:t>
            </w:r>
          </w:p>
          <w:p w14:paraId="721B58D8">
            <w:pPr>
              <w:ind w:firstLine="480"/>
              <w:rPr>
                <w:rFonts w:hint="default" w:ascii="Times New Roman" w:hAnsi="Times New Roman" w:cs="Times New Roman"/>
                <w:color w:val="auto"/>
              </w:rPr>
            </w:pPr>
            <w:r>
              <w:rPr>
                <w:rFonts w:hint="default" w:ascii="Times New Roman" w:hAnsi="Times New Roman" w:cs="Times New Roman"/>
                <w:color w:val="auto"/>
              </w:rPr>
              <w:t>A</w:t>
            </w:r>
            <w:r>
              <w:rPr>
                <w:rFonts w:hint="default" w:ascii="Times New Roman" w:hAnsi="Times New Roman" w:cs="Times New Roman"/>
                <w:color w:val="auto"/>
                <w:vertAlign w:val="subscript"/>
              </w:rPr>
              <w:t>atm</w:t>
            </w:r>
            <w:r>
              <w:rPr>
                <w:rFonts w:hint="default" w:ascii="Times New Roman" w:hAnsi="Times New Roman" w:cs="Times New Roman"/>
                <w:color w:val="auto"/>
              </w:rPr>
              <w:t>——大气吸收引起的衰减，dB；</w:t>
            </w:r>
          </w:p>
          <w:p w14:paraId="5E871812">
            <w:pPr>
              <w:ind w:firstLine="480"/>
              <w:rPr>
                <w:rFonts w:hint="default" w:ascii="Times New Roman" w:hAnsi="Times New Roman" w:cs="Times New Roman"/>
                <w:color w:val="auto"/>
              </w:rPr>
            </w:pPr>
            <w:r>
              <w:rPr>
                <w:rFonts w:hint="default" w:ascii="Times New Roman" w:hAnsi="Times New Roman" w:cs="Times New Roman"/>
                <w:color w:val="auto"/>
              </w:rPr>
              <w:t>A</w:t>
            </w:r>
            <w:r>
              <w:rPr>
                <w:rFonts w:hint="default" w:ascii="Times New Roman" w:hAnsi="Times New Roman" w:cs="Times New Roman"/>
                <w:color w:val="auto"/>
                <w:vertAlign w:val="subscript"/>
              </w:rPr>
              <w:t>gr</w:t>
            </w:r>
            <w:r>
              <w:rPr>
                <w:rFonts w:hint="default" w:ascii="Times New Roman" w:hAnsi="Times New Roman" w:cs="Times New Roman"/>
                <w:color w:val="auto"/>
              </w:rPr>
              <w:t>——地面效应引起的衰减，dB；</w:t>
            </w:r>
          </w:p>
          <w:p w14:paraId="34AEE655">
            <w:pPr>
              <w:ind w:firstLine="480"/>
              <w:rPr>
                <w:rFonts w:hint="default" w:ascii="Times New Roman" w:hAnsi="Times New Roman" w:cs="Times New Roman"/>
                <w:color w:val="auto"/>
              </w:rPr>
            </w:pPr>
            <w:r>
              <w:rPr>
                <w:rFonts w:hint="default" w:ascii="Times New Roman" w:hAnsi="Times New Roman" w:cs="Times New Roman"/>
                <w:color w:val="auto"/>
              </w:rPr>
              <w:t>A</w:t>
            </w:r>
            <w:r>
              <w:rPr>
                <w:rFonts w:hint="default" w:ascii="Times New Roman" w:hAnsi="Times New Roman" w:cs="Times New Roman"/>
                <w:color w:val="auto"/>
                <w:vertAlign w:val="subscript"/>
              </w:rPr>
              <w:t>bar</w:t>
            </w:r>
            <w:r>
              <w:rPr>
                <w:rFonts w:hint="default" w:ascii="Times New Roman" w:hAnsi="Times New Roman" w:cs="Times New Roman"/>
                <w:color w:val="auto"/>
              </w:rPr>
              <w:t>——障碍物屏蔽引起的衰减，dB；</w:t>
            </w:r>
          </w:p>
          <w:p w14:paraId="369955F8">
            <w:pPr>
              <w:ind w:firstLine="480"/>
              <w:rPr>
                <w:rFonts w:hint="default" w:ascii="Times New Roman" w:hAnsi="Times New Roman" w:cs="Times New Roman"/>
                <w:color w:val="auto"/>
              </w:rPr>
            </w:pPr>
            <w:r>
              <w:rPr>
                <w:rFonts w:hint="default" w:ascii="Times New Roman" w:hAnsi="Times New Roman" w:cs="Times New Roman"/>
                <w:color w:val="auto"/>
              </w:rPr>
              <w:t>A</w:t>
            </w:r>
            <w:r>
              <w:rPr>
                <w:rFonts w:hint="default" w:ascii="Times New Roman" w:hAnsi="Times New Roman" w:cs="Times New Roman"/>
                <w:color w:val="auto"/>
                <w:vertAlign w:val="subscript"/>
              </w:rPr>
              <w:t>misc</w:t>
            </w:r>
            <w:r>
              <w:rPr>
                <w:rFonts w:hint="default" w:ascii="Times New Roman" w:hAnsi="Times New Roman" w:cs="Times New Roman"/>
                <w:color w:val="auto"/>
              </w:rPr>
              <w:t>——其他多方面效应引起的衰减，dB。</w:t>
            </w:r>
          </w:p>
          <w:p w14:paraId="737D5A3B">
            <w:pPr>
              <w:ind w:firstLine="480"/>
              <w:rPr>
                <w:rFonts w:hint="eastAsia" w:ascii="Times New Roman" w:hAnsi="Times New Roman" w:eastAsia="宋体" w:cs="Times New Roman"/>
                <w:color w:val="auto"/>
                <w:lang w:val="en-US" w:eastAsia="zh-CN"/>
              </w:rPr>
            </w:pPr>
            <w:r>
              <w:rPr>
                <w:rFonts w:hint="eastAsia" w:cs="Times New Roman"/>
                <w:color w:val="auto"/>
                <w:lang w:eastAsia="zh-CN"/>
              </w:rPr>
              <w:t>（</w:t>
            </w:r>
            <w:r>
              <w:rPr>
                <w:rFonts w:hint="eastAsia" w:cs="Times New Roman"/>
                <w:color w:val="auto"/>
                <w:lang w:val="en-US" w:eastAsia="zh-CN"/>
              </w:rPr>
              <w:t>1</w:t>
            </w:r>
            <w:r>
              <w:rPr>
                <w:rFonts w:hint="eastAsia" w:cs="Times New Roman"/>
                <w:color w:val="auto"/>
                <w:lang w:eastAsia="zh-CN"/>
              </w:rPr>
              <w:t>）</w:t>
            </w:r>
            <w:r>
              <w:rPr>
                <w:rFonts w:hint="default" w:ascii="Times New Roman" w:hAnsi="Times New Roman" w:cs="Times New Roman"/>
                <w:color w:val="auto"/>
              </w:rPr>
              <w:t>室内声源</w:t>
            </w:r>
            <w:r>
              <w:rPr>
                <w:rFonts w:hint="eastAsia" w:ascii="Times New Roman" w:hAnsi="Times New Roman" w:cs="Times New Roman"/>
                <w:color w:val="auto"/>
                <w:lang w:val="en-US" w:eastAsia="zh-CN"/>
              </w:rPr>
              <w:t>预测</w:t>
            </w:r>
          </w:p>
          <w:p w14:paraId="12195745">
            <w:pPr>
              <w:ind w:firstLine="480"/>
              <w:rPr>
                <w:bCs/>
                <w:color w:val="auto"/>
                <w:sz w:val="24"/>
              </w:rPr>
            </w:pPr>
            <w:r>
              <w:rPr>
                <w:color w:val="auto"/>
                <w:sz w:val="24"/>
              </w:rPr>
              <w:t>某一室内声源靠近围护结构处产生的倍频带声压级或A声级：</w:t>
            </w:r>
          </w:p>
          <w:p w14:paraId="5BEB582D">
            <w:pPr>
              <w:adjustRightInd w:val="0"/>
              <w:snapToGrid w:val="0"/>
              <w:spacing w:line="360" w:lineRule="auto"/>
              <w:ind w:firstLine="482"/>
              <w:jc w:val="center"/>
              <w:rPr>
                <w:bCs/>
                <w:color w:val="auto"/>
                <w:sz w:val="24"/>
              </w:rPr>
            </w:pPr>
            <w:r>
              <w:rPr>
                <w:color w:val="auto"/>
                <w:szCs w:val="21"/>
              </w:rPr>
              <w:drawing>
                <wp:inline distT="0" distB="0" distL="114300" distR="114300">
                  <wp:extent cx="1953895" cy="455930"/>
                  <wp:effectExtent l="0" t="0" r="8255" b="127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24"/>
                          <a:stretch>
                            <a:fillRect/>
                          </a:stretch>
                        </pic:blipFill>
                        <pic:spPr>
                          <a:xfrm>
                            <a:off x="0" y="0"/>
                            <a:ext cx="1953895" cy="455930"/>
                          </a:xfrm>
                          <a:prstGeom prst="rect">
                            <a:avLst/>
                          </a:prstGeom>
                          <a:noFill/>
                          <a:ln>
                            <a:noFill/>
                          </a:ln>
                        </pic:spPr>
                      </pic:pic>
                    </a:graphicData>
                  </a:graphic>
                </wp:inline>
              </w:drawing>
            </w:r>
          </w:p>
          <w:p w14:paraId="70F09E83">
            <w:pPr>
              <w:adjustRightInd w:val="0"/>
              <w:snapToGrid w:val="0"/>
              <w:spacing w:line="360" w:lineRule="auto"/>
              <w:ind w:firstLine="480" w:firstLineChars="200"/>
              <w:rPr>
                <w:color w:val="auto"/>
                <w:sz w:val="24"/>
              </w:rPr>
            </w:pPr>
            <w:r>
              <w:rPr>
                <w:color w:val="auto"/>
                <w:sz w:val="24"/>
              </w:rPr>
              <w:t>式中：L</w:t>
            </w:r>
            <w:r>
              <w:rPr>
                <w:color w:val="auto"/>
                <w:sz w:val="24"/>
                <w:vertAlign w:val="subscript"/>
              </w:rPr>
              <w:t>p1</w:t>
            </w:r>
            <w:r>
              <w:rPr>
                <w:color w:val="auto"/>
                <w:sz w:val="24"/>
              </w:rPr>
              <w:t>—靠近开口处（或窗户）室内某倍频带的声压级或A声级，dB；</w:t>
            </w:r>
          </w:p>
          <w:p w14:paraId="17A2474F">
            <w:pPr>
              <w:adjustRightInd w:val="0"/>
              <w:snapToGrid w:val="0"/>
              <w:spacing w:line="360" w:lineRule="auto"/>
              <w:ind w:firstLine="1200" w:firstLineChars="500"/>
              <w:rPr>
                <w:color w:val="auto"/>
                <w:sz w:val="24"/>
              </w:rPr>
            </w:pPr>
            <w:r>
              <w:rPr>
                <w:color w:val="auto"/>
                <w:sz w:val="24"/>
              </w:rPr>
              <w:t>L</w:t>
            </w:r>
            <w:r>
              <w:rPr>
                <w:color w:val="auto"/>
                <w:sz w:val="24"/>
                <w:vertAlign w:val="subscript"/>
              </w:rPr>
              <w:t>w</w:t>
            </w:r>
            <w:r>
              <w:rPr>
                <w:color w:val="auto"/>
                <w:sz w:val="24"/>
              </w:rPr>
              <w:t>—点声源声功率级（A计权或倍频带），dB；</w:t>
            </w:r>
          </w:p>
          <w:p w14:paraId="43AC90FE">
            <w:pPr>
              <w:adjustRightInd w:val="0"/>
              <w:snapToGrid w:val="0"/>
              <w:spacing w:line="360" w:lineRule="auto"/>
              <w:ind w:firstLine="1200" w:firstLineChars="500"/>
              <w:rPr>
                <w:color w:val="auto"/>
                <w:sz w:val="24"/>
              </w:rPr>
            </w:pPr>
            <w:r>
              <w:rPr>
                <w:color w:val="auto"/>
                <w:sz w:val="24"/>
              </w:rPr>
              <w:t>Q—指向性因数；通常对无指向性声源，当声源放在房间中心时，Q=1；当放在一面墙的中心时，Q=2；当放在两面墙夹角处时，Q=4；当放在三面墙夹角处时，Q=8；</w:t>
            </w:r>
          </w:p>
          <w:p w14:paraId="2B80E2C0">
            <w:pPr>
              <w:adjustRightInd w:val="0"/>
              <w:snapToGrid w:val="0"/>
              <w:spacing w:line="360" w:lineRule="auto"/>
              <w:ind w:firstLine="1200" w:firstLineChars="500"/>
              <w:rPr>
                <w:rFonts w:hint="eastAsia"/>
                <w:color w:val="auto"/>
                <w:sz w:val="24"/>
              </w:rPr>
            </w:pPr>
            <w:r>
              <w:rPr>
                <w:color w:val="auto"/>
                <w:sz w:val="24"/>
              </w:rPr>
              <w:t>R—房间常数；R=Sα/</w:t>
            </w:r>
            <w:r>
              <w:rPr>
                <w:rFonts w:hint="eastAsia"/>
                <w:color w:val="auto"/>
                <w:sz w:val="24"/>
                <w:lang w:eastAsia="zh-CN"/>
              </w:rPr>
              <w:t>（</w:t>
            </w:r>
            <w:r>
              <w:rPr>
                <w:color w:val="auto"/>
                <w:sz w:val="24"/>
              </w:rPr>
              <w:t>1-α</w:t>
            </w:r>
            <w:r>
              <w:rPr>
                <w:rFonts w:hint="eastAsia"/>
                <w:color w:val="auto"/>
                <w:sz w:val="24"/>
                <w:lang w:eastAsia="zh-CN"/>
              </w:rPr>
              <w:t>）</w:t>
            </w:r>
            <w:r>
              <w:rPr>
                <w:color w:val="auto"/>
                <w:sz w:val="24"/>
              </w:rPr>
              <w:t>，S为房间内表面面积，m</w:t>
            </w:r>
            <w:r>
              <w:rPr>
                <w:color w:val="auto"/>
                <w:sz w:val="24"/>
                <w:vertAlign w:val="superscript"/>
              </w:rPr>
              <w:t>2</w:t>
            </w:r>
            <w:r>
              <w:rPr>
                <w:color w:val="auto"/>
                <w:sz w:val="24"/>
              </w:rPr>
              <w:t>；α为平均吸声系数，本次预测</w:t>
            </w:r>
            <w:r>
              <w:rPr>
                <w:rFonts w:hint="eastAsia"/>
                <w:color w:val="auto"/>
                <w:sz w:val="24"/>
              </w:rPr>
              <w:t>，</w:t>
            </w:r>
            <w:r>
              <w:rPr>
                <w:color w:val="auto"/>
                <w:sz w:val="24"/>
              </w:rPr>
              <w:t>α取</w:t>
            </w:r>
            <w:r>
              <w:rPr>
                <w:rFonts w:hint="eastAsia"/>
                <w:color w:val="auto"/>
                <w:sz w:val="24"/>
              </w:rPr>
              <w:t>0.01</w:t>
            </w:r>
            <w:r>
              <w:rPr>
                <w:color w:val="auto"/>
                <w:sz w:val="24"/>
              </w:rPr>
              <w:t>；</w:t>
            </w:r>
          </w:p>
          <w:p w14:paraId="5CEB0503">
            <w:pPr>
              <w:ind w:firstLine="1200" w:firstLineChars="500"/>
              <w:rPr>
                <w:rFonts w:hint="default" w:ascii="Times New Roman" w:hAnsi="Times New Roman" w:cs="Times New Roman"/>
                <w:color w:val="auto"/>
              </w:rPr>
            </w:pPr>
            <w:r>
              <w:rPr>
                <w:color w:val="auto"/>
                <w:sz w:val="24"/>
              </w:rPr>
              <w:t>r—声源到靠近围护结构某点处的距离，m。</w:t>
            </w:r>
          </w:p>
          <w:p w14:paraId="287BF119">
            <w:pPr>
              <w:ind w:firstLine="480"/>
              <w:rPr>
                <w:rFonts w:hint="default" w:ascii="Times New Roman" w:hAnsi="Times New Roman" w:cs="Times New Roman"/>
                <w:color w:val="auto"/>
              </w:rPr>
            </w:pPr>
            <w:r>
              <w:rPr>
                <w:rFonts w:hint="default" w:ascii="Times New Roman" w:hAnsi="Times New Roman" w:cs="Times New Roman"/>
                <w:color w:val="auto"/>
              </w:rPr>
              <w:t>声源位于室内，室内声源可采用等效室外声源声功率级法进行计算。设靠近开口处（或窗户）室内、室外某倍频带的声压级或A声级分别为L</w:t>
            </w:r>
            <w:r>
              <w:rPr>
                <w:rFonts w:hint="default" w:ascii="Times New Roman" w:hAnsi="Times New Roman" w:cs="Times New Roman"/>
                <w:color w:val="auto"/>
                <w:vertAlign w:val="subscript"/>
              </w:rPr>
              <w:t>p1</w:t>
            </w:r>
            <w:r>
              <w:rPr>
                <w:rFonts w:hint="default" w:ascii="Times New Roman" w:hAnsi="Times New Roman" w:cs="Times New Roman"/>
                <w:color w:val="auto"/>
              </w:rPr>
              <w:t>和L</w:t>
            </w:r>
            <w:r>
              <w:rPr>
                <w:rFonts w:hint="default" w:ascii="Times New Roman" w:hAnsi="Times New Roman" w:cs="Times New Roman"/>
                <w:color w:val="auto"/>
                <w:vertAlign w:val="subscript"/>
              </w:rPr>
              <w:t>p2</w:t>
            </w:r>
            <w:r>
              <w:rPr>
                <w:rFonts w:hint="default" w:ascii="Times New Roman" w:hAnsi="Times New Roman" w:cs="Times New Roman"/>
                <w:color w:val="auto"/>
              </w:rPr>
              <w:t>。若声源所在室内声场为近似扩散声场，则室外的倍频带声压级可按下列公式近似求出：</w:t>
            </w:r>
          </w:p>
          <w:p w14:paraId="05324F36">
            <w:pPr>
              <w:pStyle w:val="51"/>
              <w:ind w:firstLine="0" w:firstLineChars="0"/>
              <w:jc w:val="center"/>
              <w:rPr>
                <w:rFonts w:hint="default" w:ascii="Times New Roman" w:hAnsi="Times New Roman" w:cs="Times New Roman"/>
                <w:color w:val="auto"/>
              </w:rPr>
            </w:pPr>
            <w:r>
              <w:rPr>
                <w:rFonts w:hint="default" w:ascii="Times New Roman" w:hAnsi="Times New Roman" w:cs="Times New Roman"/>
                <w:color w:val="auto"/>
                <w:position w:val="-14"/>
              </w:rPr>
              <w:object>
                <v:shape id="_x0000_i1026" o:spt="75" type="#_x0000_t75" style="height:19pt;width:96pt;" o:ole="t" filled="f" o:preferrelative="t" stroked="f" coordsize="21600,21600">
                  <v:path/>
                  <v:fill on="f" focussize="0,0"/>
                  <v:stroke on="f" joinstyle="miter"/>
                  <v:imagedata r:id="rId26" o:title=""/>
                  <o:lock v:ext="edit" aspectratio="t"/>
                  <w10:wrap type="none"/>
                  <w10:anchorlock/>
                </v:shape>
                <o:OLEObject Type="Embed" ProgID="Equations" ShapeID="_x0000_i1026" DrawAspect="Content" ObjectID="_1468075726" r:id="rId25">
                  <o:LockedField>false</o:LockedField>
                </o:OLEObject>
              </w:object>
            </w:r>
          </w:p>
          <w:p w14:paraId="18A7A333">
            <w:pPr>
              <w:pStyle w:val="51"/>
              <w:ind w:firstLine="480"/>
              <w:rPr>
                <w:rFonts w:hint="default" w:ascii="Times New Roman" w:hAnsi="Times New Roman" w:cs="Times New Roman"/>
                <w:color w:val="auto"/>
              </w:rPr>
            </w:pPr>
            <w:r>
              <w:rPr>
                <w:rFonts w:hint="default" w:ascii="Times New Roman" w:hAnsi="Times New Roman" w:cs="Times New Roman"/>
                <w:color w:val="auto"/>
              </w:rPr>
              <w:t>式中：</w:t>
            </w:r>
          </w:p>
          <w:p w14:paraId="04034E0C">
            <w:pPr>
              <w:pStyle w:val="51"/>
              <w:ind w:firstLine="480"/>
              <w:rPr>
                <w:rFonts w:hint="default" w:ascii="Times New Roman" w:hAnsi="Times New Roman" w:cs="Times New Roman"/>
                <w:color w:val="auto"/>
              </w:rPr>
            </w:pPr>
            <w:r>
              <w:rPr>
                <w:rFonts w:hint="default" w:ascii="Times New Roman" w:hAnsi="Times New Roman" w:cs="Times New Roman"/>
                <w:color w:val="auto"/>
              </w:rPr>
              <w:t>L</w:t>
            </w:r>
            <w:r>
              <w:rPr>
                <w:rFonts w:hint="default" w:ascii="Times New Roman" w:hAnsi="Times New Roman" w:cs="Times New Roman"/>
                <w:color w:val="auto"/>
                <w:vertAlign w:val="subscript"/>
              </w:rPr>
              <w:t>p1</w:t>
            </w:r>
            <w:r>
              <w:rPr>
                <w:rFonts w:hint="default" w:ascii="Times New Roman" w:hAnsi="Times New Roman" w:cs="Times New Roman"/>
                <w:color w:val="auto"/>
              </w:rPr>
              <w:t>——靠近开口处（或窗户）室内某倍频带的声压级或A声级，dB；</w:t>
            </w:r>
          </w:p>
          <w:p w14:paraId="6338CA34">
            <w:pPr>
              <w:pStyle w:val="51"/>
              <w:ind w:left="480" w:leftChars="200" w:firstLine="0" w:firstLineChars="0"/>
              <w:rPr>
                <w:rFonts w:hint="default" w:ascii="Times New Roman" w:hAnsi="Times New Roman" w:cs="Times New Roman"/>
                <w:color w:val="auto"/>
              </w:rPr>
            </w:pPr>
            <w:r>
              <w:rPr>
                <w:rFonts w:hint="default" w:ascii="Times New Roman" w:hAnsi="Times New Roman" w:cs="Times New Roman"/>
                <w:color w:val="auto"/>
              </w:rPr>
              <w:t>L</w:t>
            </w:r>
            <w:r>
              <w:rPr>
                <w:rFonts w:hint="default" w:ascii="Times New Roman" w:hAnsi="Times New Roman" w:cs="Times New Roman"/>
                <w:color w:val="auto"/>
                <w:vertAlign w:val="subscript"/>
              </w:rPr>
              <w:t>p2</w:t>
            </w:r>
            <w:r>
              <w:rPr>
                <w:rFonts w:hint="default" w:ascii="Times New Roman" w:hAnsi="Times New Roman" w:cs="Times New Roman"/>
                <w:color w:val="auto"/>
              </w:rPr>
              <w:t xml:space="preserve">——靠近开口处（或窗户）室外某倍频带的声压级或A声级，dB； </w:t>
            </w:r>
          </w:p>
          <w:p w14:paraId="57708311">
            <w:pPr>
              <w:pStyle w:val="51"/>
              <w:keepNext w:val="0"/>
              <w:keepLines w:val="0"/>
              <w:pageBreakBefore w:val="0"/>
              <w:widowControl w:val="0"/>
              <w:kinsoku/>
              <w:wordWrap/>
              <w:overflowPunct/>
              <w:topLinePunct w:val="0"/>
              <w:autoSpaceDE/>
              <w:autoSpaceDN/>
              <w:bidi w:val="0"/>
              <w:adjustRightInd/>
              <w:snapToGrid/>
              <w:spacing w:line="360" w:lineRule="auto"/>
              <w:ind w:left="480" w:leftChars="200" w:firstLine="0" w:firstLineChars="0"/>
              <w:textAlignment w:val="auto"/>
              <w:rPr>
                <w:rFonts w:hint="default" w:ascii="Times New Roman" w:hAnsi="Times New Roman" w:cs="Times New Roman"/>
                <w:color w:val="auto"/>
              </w:rPr>
            </w:pPr>
            <w:r>
              <w:rPr>
                <w:rFonts w:hint="default" w:ascii="Times New Roman" w:hAnsi="Times New Roman" w:cs="Times New Roman"/>
                <w:color w:val="auto"/>
              </w:rPr>
              <w:t>TL——隔墙（或窗户）倍频带或A声级的隔声量，dB。</w:t>
            </w:r>
          </w:p>
          <w:p w14:paraId="0FC915D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rPr>
            </w:pPr>
            <w:r>
              <w:rPr>
                <w:rFonts w:hint="default" w:ascii="Times New Roman" w:hAnsi="Times New Roman" w:cs="Times New Roman"/>
                <w:color w:val="auto"/>
              </w:rPr>
              <w:t>拟建工程声源对预测点产生的贡献值：</w:t>
            </w:r>
          </w:p>
          <w:p w14:paraId="0EBD684C">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rPr>
            </w:pPr>
            <w:r>
              <w:rPr>
                <w:rFonts w:hint="default" w:ascii="Times New Roman" w:hAnsi="Times New Roman" w:cs="Times New Roman"/>
                <w:color w:val="auto"/>
              </w:rPr>
              <w:t>设第i个室外声源在预测点产生的A声级为L</w:t>
            </w:r>
            <w:r>
              <w:rPr>
                <w:rFonts w:hint="default" w:ascii="Times New Roman" w:hAnsi="Times New Roman" w:cs="Times New Roman"/>
                <w:color w:val="auto"/>
                <w:vertAlign w:val="subscript"/>
              </w:rPr>
              <w:t>Ai</w:t>
            </w:r>
            <w:r>
              <w:rPr>
                <w:rFonts w:hint="default" w:ascii="Times New Roman" w:hAnsi="Times New Roman" w:cs="Times New Roman"/>
                <w:color w:val="auto"/>
              </w:rPr>
              <w:t>，在T时间内该声源工作时间为t</w:t>
            </w:r>
            <w:r>
              <w:rPr>
                <w:rFonts w:hint="default" w:ascii="Times New Roman" w:hAnsi="Times New Roman" w:cs="Times New Roman"/>
                <w:color w:val="auto"/>
                <w:vertAlign w:val="subscript"/>
              </w:rPr>
              <w:t>i</w:t>
            </w:r>
            <w:r>
              <w:rPr>
                <w:rFonts w:hint="default" w:ascii="Times New Roman" w:hAnsi="Times New Roman" w:cs="Times New Roman"/>
                <w:color w:val="auto"/>
              </w:rPr>
              <w:t>；第j个等效室外声源在预测点产生的A声级为L</w:t>
            </w:r>
            <w:r>
              <w:rPr>
                <w:rFonts w:hint="default" w:ascii="Times New Roman" w:hAnsi="Times New Roman" w:cs="Times New Roman"/>
                <w:color w:val="auto"/>
                <w:vertAlign w:val="subscript"/>
              </w:rPr>
              <w:t>Aj</w:t>
            </w:r>
            <w:r>
              <w:rPr>
                <w:rFonts w:hint="default" w:ascii="Times New Roman" w:hAnsi="Times New Roman" w:cs="Times New Roman"/>
                <w:color w:val="auto"/>
              </w:rPr>
              <w:t>，在T时间内该声源工作时间为t</w:t>
            </w:r>
            <w:r>
              <w:rPr>
                <w:rFonts w:hint="default" w:ascii="Times New Roman" w:hAnsi="Times New Roman" w:cs="Times New Roman"/>
                <w:color w:val="auto"/>
                <w:vertAlign w:val="subscript"/>
              </w:rPr>
              <w:t>j</w:t>
            </w:r>
            <w:r>
              <w:rPr>
                <w:rFonts w:hint="default" w:ascii="Times New Roman" w:hAnsi="Times New Roman" w:cs="Times New Roman"/>
                <w:color w:val="auto"/>
              </w:rPr>
              <w:t>，则拟建工程声源对预测点产生的贡献值（L</w:t>
            </w:r>
            <w:r>
              <w:rPr>
                <w:rFonts w:hint="default" w:ascii="Times New Roman" w:hAnsi="Times New Roman" w:cs="Times New Roman"/>
                <w:color w:val="auto"/>
                <w:vertAlign w:val="subscript"/>
              </w:rPr>
              <w:t>eqg</w:t>
            </w:r>
            <w:r>
              <w:rPr>
                <w:rFonts w:hint="default" w:ascii="Times New Roman" w:hAnsi="Times New Roman" w:cs="Times New Roman"/>
                <w:color w:val="auto"/>
              </w:rPr>
              <w:t>）为：</w:t>
            </w:r>
          </w:p>
          <w:p w14:paraId="6ED9B468">
            <w:pPr>
              <w:pStyle w:val="52"/>
              <w:ind w:firstLine="0" w:firstLineChars="0"/>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3160395" cy="643890"/>
                  <wp:effectExtent l="0" t="0" r="1905" b="3810"/>
                  <wp:docPr id="13" name="图片 13" descr="00bfccc322dae943472501e27b862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0bfccc322dae943472501e27b8625c"/>
                          <pic:cNvPicPr>
                            <a:picLocks noChangeAspect="1"/>
                          </pic:cNvPicPr>
                        </pic:nvPicPr>
                        <pic:blipFill>
                          <a:blip r:embed="rId27"/>
                          <a:stretch>
                            <a:fillRect/>
                          </a:stretch>
                        </pic:blipFill>
                        <pic:spPr>
                          <a:xfrm>
                            <a:off x="0" y="0"/>
                            <a:ext cx="3160395" cy="643890"/>
                          </a:xfrm>
                          <a:prstGeom prst="rect">
                            <a:avLst/>
                          </a:prstGeom>
                        </pic:spPr>
                      </pic:pic>
                    </a:graphicData>
                  </a:graphic>
                </wp:inline>
              </w:drawing>
            </w:r>
          </w:p>
          <w:p w14:paraId="0818F5DF">
            <w:pPr>
              <w:ind w:firstLine="480"/>
              <w:rPr>
                <w:rFonts w:hint="default" w:ascii="Times New Roman" w:hAnsi="Times New Roman" w:cs="Times New Roman"/>
                <w:color w:val="auto"/>
              </w:rPr>
            </w:pPr>
            <w:r>
              <w:rPr>
                <w:rFonts w:hint="default" w:ascii="Times New Roman" w:hAnsi="Times New Roman" w:cs="Times New Roman"/>
                <w:color w:val="auto"/>
              </w:rPr>
              <w:t>式中：L</w:t>
            </w:r>
            <w:r>
              <w:rPr>
                <w:rFonts w:hint="default" w:ascii="Times New Roman" w:hAnsi="Times New Roman" w:cs="Times New Roman"/>
                <w:color w:val="auto"/>
                <w:vertAlign w:val="subscript"/>
              </w:rPr>
              <w:t>eqg</w:t>
            </w:r>
            <w:r>
              <w:rPr>
                <w:rFonts w:hint="default" w:ascii="Times New Roman" w:hAnsi="Times New Roman" w:cs="Times New Roman"/>
                <w:color w:val="auto"/>
              </w:rPr>
              <w:t>——建设项目声源在预测点产生的噪声贡献值，dB；</w:t>
            </w:r>
          </w:p>
          <w:p w14:paraId="3F5698C5">
            <w:pPr>
              <w:ind w:firstLine="1200" w:firstLineChars="500"/>
              <w:rPr>
                <w:rFonts w:hint="default" w:ascii="Times New Roman" w:hAnsi="Times New Roman" w:cs="Times New Roman"/>
                <w:color w:val="auto"/>
              </w:rPr>
            </w:pPr>
            <w:r>
              <w:rPr>
                <w:rFonts w:hint="default" w:ascii="Times New Roman" w:hAnsi="Times New Roman" w:cs="Times New Roman"/>
                <w:color w:val="auto"/>
              </w:rPr>
              <w:t>T——用于计算等效声级的时间，s；</w:t>
            </w:r>
          </w:p>
          <w:p w14:paraId="58FE5824">
            <w:pPr>
              <w:ind w:firstLine="1200" w:firstLineChars="500"/>
              <w:rPr>
                <w:rFonts w:hint="default" w:ascii="Times New Roman" w:hAnsi="Times New Roman" w:cs="Times New Roman"/>
                <w:color w:val="auto"/>
              </w:rPr>
            </w:pPr>
            <w:r>
              <w:rPr>
                <w:rFonts w:hint="default" w:ascii="Times New Roman" w:hAnsi="Times New Roman" w:cs="Times New Roman"/>
                <w:color w:val="auto"/>
              </w:rPr>
              <w:t>N——室外声源个数；</w:t>
            </w:r>
          </w:p>
          <w:p w14:paraId="69392A3D">
            <w:pPr>
              <w:ind w:firstLine="1200" w:firstLineChars="500"/>
              <w:rPr>
                <w:rFonts w:hint="default" w:ascii="Times New Roman" w:hAnsi="Times New Roman" w:cs="Times New Roman"/>
                <w:color w:val="auto"/>
              </w:rPr>
            </w:pPr>
            <w:r>
              <w:rPr>
                <w:rFonts w:hint="default" w:ascii="Times New Roman" w:hAnsi="Times New Roman" w:cs="Times New Roman"/>
                <w:color w:val="auto"/>
              </w:rPr>
              <w:t>t</w:t>
            </w:r>
            <w:r>
              <w:rPr>
                <w:rFonts w:hint="default" w:ascii="Times New Roman" w:hAnsi="Times New Roman" w:cs="Times New Roman"/>
                <w:color w:val="auto"/>
                <w:vertAlign w:val="subscript"/>
              </w:rPr>
              <w:t>i</w:t>
            </w:r>
            <w:r>
              <w:rPr>
                <w:rFonts w:hint="default" w:ascii="Times New Roman" w:hAnsi="Times New Roman" w:cs="Times New Roman"/>
                <w:color w:val="auto"/>
              </w:rPr>
              <w:t>——在T时间内i声源工作时间，s；</w:t>
            </w:r>
          </w:p>
          <w:p w14:paraId="5993349E">
            <w:pPr>
              <w:ind w:firstLine="1200" w:firstLineChars="500"/>
              <w:rPr>
                <w:rFonts w:hint="default" w:ascii="Times New Roman" w:hAnsi="Times New Roman" w:cs="Times New Roman"/>
                <w:color w:val="auto"/>
              </w:rPr>
            </w:pPr>
            <w:r>
              <w:rPr>
                <w:rFonts w:hint="default" w:ascii="Times New Roman" w:hAnsi="Times New Roman" w:cs="Times New Roman"/>
                <w:color w:val="auto"/>
              </w:rPr>
              <w:t>M——等效室外声源个数；</w:t>
            </w:r>
          </w:p>
          <w:p w14:paraId="4D7B5EBB">
            <w:pPr>
              <w:ind w:firstLine="1200" w:firstLineChars="500"/>
              <w:rPr>
                <w:rFonts w:hint="default" w:ascii="Times New Roman" w:hAnsi="Times New Roman" w:cs="Times New Roman"/>
                <w:color w:val="auto"/>
              </w:rPr>
            </w:pPr>
            <w:r>
              <w:rPr>
                <w:rFonts w:hint="default" w:ascii="Times New Roman" w:hAnsi="Times New Roman" w:cs="Times New Roman"/>
                <w:color w:val="auto"/>
              </w:rPr>
              <w:t>t</w:t>
            </w:r>
            <w:r>
              <w:rPr>
                <w:rFonts w:hint="default" w:ascii="Times New Roman" w:hAnsi="Times New Roman" w:cs="Times New Roman"/>
                <w:color w:val="auto"/>
                <w:vertAlign w:val="subscript"/>
              </w:rPr>
              <w:t>j</w:t>
            </w:r>
            <w:r>
              <w:rPr>
                <w:rFonts w:hint="default" w:ascii="Times New Roman" w:hAnsi="Times New Roman" w:cs="Times New Roman"/>
                <w:color w:val="auto"/>
              </w:rPr>
              <w:t>——在T时间内j声源工作时间，s。</w:t>
            </w:r>
          </w:p>
          <w:p w14:paraId="1EA00360">
            <w:pPr>
              <w:ind w:firstLine="480"/>
              <w:rPr>
                <w:rFonts w:hint="default" w:ascii="Times New Roman" w:hAnsi="Times New Roman" w:cs="Times New Roman"/>
                <w:color w:val="auto"/>
              </w:rPr>
            </w:pPr>
            <w:r>
              <w:rPr>
                <w:rFonts w:hint="default" w:ascii="Times New Roman" w:hAnsi="Times New Roman" w:cs="Times New Roman"/>
                <w:color w:val="auto"/>
              </w:rPr>
              <w:t>项目厂界噪声预测结果见表4-</w:t>
            </w:r>
            <w:r>
              <w:rPr>
                <w:rFonts w:hint="eastAsia" w:cs="Times New Roman"/>
                <w:color w:val="auto"/>
                <w:lang w:val="en-US" w:eastAsia="zh-CN"/>
              </w:rPr>
              <w:t>11</w:t>
            </w:r>
            <w:r>
              <w:rPr>
                <w:rFonts w:hint="default" w:ascii="Times New Roman" w:hAnsi="Times New Roman" w:cs="Times New Roman"/>
                <w:color w:val="auto"/>
              </w:rPr>
              <w:t>。</w:t>
            </w:r>
          </w:p>
          <w:p w14:paraId="1A6CF675">
            <w:pPr>
              <w:pStyle w:val="50"/>
              <w:rPr>
                <w:rFonts w:hint="eastAsia" w:ascii="Times New Roman" w:hAnsi="Times New Roman" w:eastAsia="宋体" w:cs="Times New Roman"/>
                <w:color w:val="auto"/>
                <w:lang w:eastAsia="zh-CN"/>
              </w:rPr>
            </w:pPr>
            <w:r>
              <w:rPr>
                <w:rFonts w:hint="default" w:ascii="Times New Roman" w:hAnsi="Times New Roman" w:cs="Times New Roman"/>
                <w:color w:val="auto"/>
              </w:rPr>
              <w:t>表4</w:t>
            </w:r>
            <w:r>
              <w:rPr>
                <w:rFonts w:hint="eastAsia" w:cs="Times New Roman"/>
                <w:color w:val="auto"/>
                <w:lang w:val="en-US" w:eastAsia="zh-CN"/>
              </w:rPr>
              <w:t xml:space="preserve">-11 </w:t>
            </w:r>
            <w:r>
              <w:rPr>
                <w:rFonts w:hint="default" w:ascii="Times New Roman" w:hAnsi="Times New Roman" w:cs="Times New Roman"/>
                <w:color w:val="auto"/>
              </w:rPr>
              <w:t xml:space="preserve"> 噪声预测结果    单位：dB</w:t>
            </w:r>
            <w:r>
              <w:rPr>
                <w:rFonts w:hint="eastAsia" w:cs="Times New Roman"/>
                <w:color w:val="auto"/>
                <w:lang w:eastAsia="zh-CN"/>
              </w:rPr>
              <w:t>（</w:t>
            </w:r>
            <w:r>
              <w:rPr>
                <w:rFonts w:hint="default" w:ascii="Times New Roman" w:hAnsi="Times New Roman" w:cs="Times New Roman"/>
                <w:color w:val="auto"/>
              </w:rPr>
              <w:t>A</w:t>
            </w:r>
            <w:r>
              <w:rPr>
                <w:rFonts w:hint="eastAsia" w:cs="Times New Roman"/>
                <w:color w:val="auto"/>
                <w:lang w:eastAsia="zh-CN"/>
              </w:rPr>
              <w:t>）</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1"/>
              <w:gridCol w:w="2227"/>
              <w:gridCol w:w="2354"/>
              <w:gridCol w:w="2245"/>
            </w:tblGrid>
            <w:tr w14:paraId="3D56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52" w:type="pct"/>
                  <w:vMerge w:val="restart"/>
                  <w:vAlign w:val="center"/>
                </w:tcPr>
                <w:p w14:paraId="68EB359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点位</w:t>
                  </w:r>
                </w:p>
              </w:tc>
              <w:tc>
                <w:tcPr>
                  <w:tcW w:w="1189" w:type="pct"/>
                  <w:vAlign w:val="center"/>
                </w:tcPr>
                <w:p w14:paraId="28EBAB4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贡献值</w:t>
                  </w:r>
                </w:p>
              </w:tc>
              <w:tc>
                <w:tcPr>
                  <w:tcW w:w="1257" w:type="pct"/>
                  <w:vAlign w:val="center"/>
                </w:tcPr>
                <w:p w14:paraId="5FDB366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标准限值</w:t>
                  </w:r>
                </w:p>
              </w:tc>
              <w:tc>
                <w:tcPr>
                  <w:tcW w:w="1199" w:type="pct"/>
                  <w:vMerge w:val="restart"/>
                  <w:vAlign w:val="center"/>
                </w:tcPr>
                <w:p w14:paraId="08BEE2C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是否达标</w:t>
                  </w:r>
                </w:p>
              </w:tc>
            </w:tr>
            <w:tr w14:paraId="1F49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352" w:type="pct"/>
                  <w:vMerge w:val="continue"/>
                  <w:vAlign w:val="center"/>
                </w:tcPr>
                <w:p w14:paraId="75BF9CC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c>
                <w:tcPr>
                  <w:tcW w:w="1189" w:type="pct"/>
                  <w:vAlign w:val="center"/>
                </w:tcPr>
                <w:p w14:paraId="44FE1B7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昼间</w:t>
                  </w:r>
                </w:p>
              </w:tc>
              <w:tc>
                <w:tcPr>
                  <w:tcW w:w="1257" w:type="pct"/>
                  <w:vAlign w:val="center"/>
                </w:tcPr>
                <w:p w14:paraId="4EFF243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昼间</w:t>
                  </w:r>
                </w:p>
              </w:tc>
              <w:tc>
                <w:tcPr>
                  <w:tcW w:w="1199" w:type="pct"/>
                  <w:vMerge w:val="continue"/>
                  <w:vAlign w:val="center"/>
                </w:tcPr>
                <w:p w14:paraId="4FA2C52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r>
            <w:tr w14:paraId="0045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352" w:type="pct"/>
                  <w:vAlign w:val="center"/>
                </w:tcPr>
                <w:p w14:paraId="774AAAF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东厂界</w:t>
                  </w:r>
                </w:p>
              </w:tc>
              <w:tc>
                <w:tcPr>
                  <w:tcW w:w="1189" w:type="pct"/>
                  <w:vAlign w:val="center"/>
                </w:tcPr>
                <w:p w14:paraId="74D98C9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57</w:t>
                  </w:r>
                </w:p>
              </w:tc>
              <w:tc>
                <w:tcPr>
                  <w:tcW w:w="1257" w:type="pct"/>
                  <w:vAlign w:val="center"/>
                </w:tcPr>
                <w:p w14:paraId="0636D8E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65</w:t>
                  </w:r>
                </w:p>
              </w:tc>
              <w:tc>
                <w:tcPr>
                  <w:tcW w:w="1199" w:type="pct"/>
                  <w:vAlign w:val="center"/>
                </w:tcPr>
                <w:p w14:paraId="4BD04C5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7987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352" w:type="pct"/>
                  <w:vAlign w:val="center"/>
                </w:tcPr>
                <w:p w14:paraId="21E9157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南厂界</w:t>
                  </w:r>
                </w:p>
              </w:tc>
              <w:tc>
                <w:tcPr>
                  <w:tcW w:w="1189" w:type="pct"/>
                  <w:vAlign w:val="center"/>
                </w:tcPr>
                <w:p w14:paraId="6AB8D50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63</w:t>
                  </w:r>
                </w:p>
              </w:tc>
              <w:tc>
                <w:tcPr>
                  <w:tcW w:w="1257" w:type="pct"/>
                  <w:vAlign w:val="center"/>
                </w:tcPr>
                <w:p w14:paraId="5D37ACB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65</w:t>
                  </w:r>
                </w:p>
              </w:tc>
              <w:tc>
                <w:tcPr>
                  <w:tcW w:w="1199" w:type="pct"/>
                  <w:vAlign w:val="center"/>
                </w:tcPr>
                <w:p w14:paraId="0C1E656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1A4C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352" w:type="pct"/>
                  <w:vAlign w:val="center"/>
                </w:tcPr>
                <w:p w14:paraId="1123987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西厂界</w:t>
                  </w:r>
                </w:p>
              </w:tc>
              <w:tc>
                <w:tcPr>
                  <w:tcW w:w="1189" w:type="pct"/>
                  <w:vAlign w:val="center"/>
                </w:tcPr>
                <w:p w14:paraId="1428152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57</w:t>
                  </w:r>
                </w:p>
              </w:tc>
              <w:tc>
                <w:tcPr>
                  <w:tcW w:w="1257" w:type="pct"/>
                  <w:vAlign w:val="center"/>
                </w:tcPr>
                <w:p w14:paraId="3837317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65</w:t>
                  </w:r>
                </w:p>
              </w:tc>
              <w:tc>
                <w:tcPr>
                  <w:tcW w:w="1199" w:type="pct"/>
                  <w:vAlign w:val="center"/>
                </w:tcPr>
                <w:p w14:paraId="5394259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0160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52" w:type="pct"/>
                  <w:vAlign w:val="center"/>
                </w:tcPr>
                <w:p w14:paraId="1325A81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北厂界</w:t>
                  </w:r>
                </w:p>
              </w:tc>
              <w:tc>
                <w:tcPr>
                  <w:tcW w:w="1189" w:type="pct"/>
                  <w:vAlign w:val="center"/>
                </w:tcPr>
                <w:p w14:paraId="55E92BE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62</w:t>
                  </w:r>
                </w:p>
              </w:tc>
              <w:tc>
                <w:tcPr>
                  <w:tcW w:w="1257" w:type="pct"/>
                  <w:vAlign w:val="center"/>
                </w:tcPr>
                <w:p w14:paraId="0188183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65</w:t>
                  </w:r>
                </w:p>
              </w:tc>
              <w:tc>
                <w:tcPr>
                  <w:tcW w:w="1199" w:type="pct"/>
                  <w:vAlign w:val="center"/>
                </w:tcPr>
                <w:p w14:paraId="4F53030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bl>
          <w:p w14:paraId="21040AEE">
            <w:pPr>
              <w:ind w:firstLine="480"/>
              <w:rPr>
                <w:rFonts w:hint="default" w:ascii="Times New Roman" w:hAnsi="Times New Roman" w:cs="Times New Roman"/>
                <w:color w:val="auto"/>
              </w:rPr>
            </w:pPr>
            <w:r>
              <w:rPr>
                <w:rFonts w:hint="default" w:ascii="Times New Roman" w:hAnsi="Times New Roman" w:cs="Times New Roman"/>
                <w:color w:val="auto"/>
              </w:rPr>
              <w:t>本项目</w:t>
            </w:r>
            <w:r>
              <w:rPr>
                <w:rFonts w:hint="eastAsia" w:cs="Times New Roman"/>
                <w:color w:val="auto"/>
                <w:lang w:val="en-US" w:eastAsia="zh-CN"/>
              </w:rPr>
              <w:t>夜间不生产，</w:t>
            </w:r>
            <w:r>
              <w:rPr>
                <w:rFonts w:hint="default" w:ascii="Times New Roman" w:hAnsi="Times New Roman" w:cs="Times New Roman"/>
                <w:color w:val="auto"/>
              </w:rPr>
              <w:t>运营期产噪设备采取基础减振、柔性连接、厂房隔声等措施后，经预测厂界处</w:t>
            </w:r>
            <w:r>
              <w:rPr>
                <w:rFonts w:hint="eastAsia" w:cs="Times New Roman"/>
                <w:color w:val="auto"/>
                <w:lang w:val="en-US" w:eastAsia="zh-CN"/>
              </w:rPr>
              <w:t>昼间噪声</w:t>
            </w:r>
            <w:r>
              <w:rPr>
                <w:rFonts w:hint="default" w:ascii="Times New Roman" w:hAnsi="Times New Roman" w:cs="Times New Roman"/>
                <w:color w:val="auto"/>
              </w:rPr>
              <w:t>贡献值可满足《工业企业厂界环境噪声排放标准》（GB12348-2008）3类标准要求。</w:t>
            </w:r>
          </w:p>
          <w:p w14:paraId="6AF754B7">
            <w:pPr>
              <w:ind w:firstLine="482"/>
              <w:rPr>
                <w:rFonts w:hint="default" w:ascii="Times New Roman" w:hAnsi="Times New Roman" w:cs="Times New Roman"/>
                <w:b/>
                <w:bCs/>
                <w:color w:val="auto"/>
              </w:rPr>
            </w:pPr>
            <w:r>
              <w:rPr>
                <w:rFonts w:hint="eastAsia" w:cs="Times New Roman"/>
                <w:b/>
                <w:bCs/>
                <w:color w:val="auto"/>
                <w:lang w:eastAsia="zh-CN"/>
              </w:rPr>
              <w:t>3.</w:t>
            </w:r>
            <w:r>
              <w:rPr>
                <w:rFonts w:hint="default" w:ascii="Times New Roman" w:hAnsi="Times New Roman" w:cs="Times New Roman"/>
                <w:b/>
                <w:bCs/>
                <w:color w:val="auto"/>
              </w:rPr>
              <w:t>监测要求</w:t>
            </w:r>
          </w:p>
          <w:p w14:paraId="317E9733">
            <w:pPr>
              <w:ind w:firstLine="480"/>
              <w:rPr>
                <w:rFonts w:hint="default" w:ascii="Times New Roman" w:hAnsi="Times New Roman" w:cs="Times New Roman"/>
                <w:color w:val="auto"/>
              </w:rPr>
            </w:pPr>
            <w:r>
              <w:rPr>
                <w:rFonts w:hint="default" w:ascii="Times New Roman" w:hAnsi="Times New Roman" w:cs="Times New Roman"/>
                <w:color w:val="auto"/>
              </w:rPr>
              <w:t>根据《排污单位自行监测技术指南 总则》（HJ</w:t>
            </w:r>
            <w:r>
              <w:rPr>
                <w:rFonts w:hint="eastAsia" w:cs="Times New Roman"/>
                <w:color w:val="auto"/>
                <w:lang w:val="en-US" w:eastAsia="zh-CN"/>
              </w:rPr>
              <w:t>819</w:t>
            </w:r>
            <w:r>
              <w:rPr>
                <w:rFonts w:hint="default" w:ascii="Times New Roman" w:hAnsi="Times New Roman" w:cs="Times New Roman"/>
                <w:color w:val="auto"/>
              </w:rPr>
              <w:t>-20</w:t>
            </w:r>
            <w:r>
              <w:rPr>
                <w:rFonts w:hint="eastAsia" w:cs="Times New Roman"/>
                <w:color w:val="auto"/>
                <w:lang w:val="en-US" w:eastAsia="zh-CN"/>
              </w:rPr>
              <w:t>17</w:t>
            </w:r>
            <w:r>
              <w:rPr>
                <w:rFonts w:hint="default" w:ascii="Times New Roman" w:hAnsi="Times New Roman" w:cs="Times New Roman"/>
                <w:color w:val="auto"/>
              </w:rPr>
              <w:t>）</w:t>
            </w:r>
            <w:r>
              <w:rPr>
                <w:rFonts w:hint="eastAsia" w:cs="Times New Roman"/>
                <w:color w:val="auto"/>
                <w:lang w:eastAsia="zh-CN"/>
              </w:rPr>
              <w:t>、</w:t>
            </w:r>
            <w:r>
              <w:rPr>
                <w:rFonts w:hint="default" w:ascii="Times New Roman" w:hAnsi="Times New Roman" w:cs="Times New Roman"/>
                <w:color w:val="auto"/>
              </w:rPr>
              <w:t xml:space="preserve">《排污单位自行监测技术指南 </w:t>
            </w:r>
            <w:r>
              <w:rPr>
                <w:rFonts w:hint="eastAsia" w:cs="Times New Roman"/>
                <w:color w:val="auto"/>
                <w:lang w:val="en-US" w:eastAsia="zh-CN"/>
              </w:rPr>
              <w:t>农副食品加工业</w:t>
            </w:r>
            <w:r>
              <w:rPr>
                <w:rFonts w:hint="default" w:ascii="Times New Roman" w:hAnsi="Times New Roman" w:cs="Times New Roman"/>
                <w:color w:val="auto"/>
              </w:rPr>
              <w:t>》（HJ</w:t>
            </w:r>
            <w:r>
              <w:rPr>
                <w:rFonts w:hint="eastAsia" w:cs="Times New Roman"/>
                <w:color w:val="auto"/>
                <w:lang w:val="en-US" w:eastAsia="zh-CN"/>
              </w:rPr>
              <w:t>986</w:t>
            </w:r>
            <w:r>
              <w:rPr>
                <w:rFonts w:hint="default" w:ascii="Times New Roman" w:hAnsi="Times New Roman" w:cs="Times New Roman"/>
                <w:color w:val="auto"/>
              </w:rPr>
              <w:t>-20</w:t>
            </w:r>
            <w:r>
              <w:rPr>
                <w:rFonts w:hint="eastAsia" w:cs="Times New Roman"/>
                <w:color w:val="auto"/>
                <w:lang w:val="en-US" w:eastAsia="zh-CN"/>
              </w:rPr>
              <w:t>18</w:t>
            </w:r>
            <w:r>
              <w:rPr>
                <w:rFonts w:hint="default" w:ascii="Times New Roman" w:hAnsi="Times New Roman" w:cs="Times New Roman"/>
                <w:color w:val="auto"/>
              </w:rPr>
              <w:t>）进行噪声监测。噪声自行监测点位、监测指标及监测频次具体见下表。</w:t>
            </w:r>
          </w:p>
          <w:p w14:paraId="412834B9">
            <w:pPr>
              <w:pStyle w:val="50"/>
              <w:rPr>
                <w:rFonts w:hint="default" w:ascii="Times New Roman" w:hAnsi="Times New Roman" w:cs="Times New Roman"/>
                <w:color w:val="auto"/>
              </w:rPr>
            </w:pPr>
            <w:r>
              <w:rPr>
                <w:rFonts w:hint="default" w:ascii="Times New Roman" w:hAnsi="Times New Roman" w:cs="Times New Roman"/>
                <w:color w:val="auto"/>
              </w:rPr>
              <w:t>表4-</w:t>
            </w:r>
            <w:r>
              <w:rPr>
                <w:rFonts w:hint="eastAsia" w:cs="Times New Roman"/>
                <w:color w:val="auto"/>
                <w:lang w:val="en-US" w:eastAsia="zh-CN"/>
              </w:rPr>
              <w:t xml:space="preserve">12 </w:t>
            </w:r>
            <w:r>
              <w:rPr>
                <w:rFonts w:hint="default" w:ascii="Times New Roman" w:hAnsi="Times New Roman" w:cs="Times New Roman"/>
                <w:color w:val="auto"/>
              </w:rPr>
              <w:t xml:space="preserve"> 项目噪声监测计划一览表</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Layout w:type="autofit"/>
              <w:tblCellMar>
                <w:top w:w="0" w:type="dxa"/>
                <w:left w:w="108" w:type="dxa"/>
                <w:bottom w:w="0" w:type="dxa"/>
                <w:right w:w="108" w:type="dxa"/>
              </w:tblCellMar>
            </w:tblPr>
            <w:tblGrid>
              <w:gridCol w:w="2017"/>
              <w:gridCol w:w="1405"/>
              <w:gridCol w:w="1820"/>
              <w:gridCol w:w="4108"/>
            </w:tblGrid>
            <w:tr w14:paraId="6894C0A3">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503" w:hRule="atLeast"/>
                <w:jc w:val="center"/>
              </w:trPr>
              <w:tc>
                <w:tcPr>
                  <w:tcW w:w="1078" w:type="pct"/>
                  <w:tcBorders>
                    <w:tl2br w:val="nil"/>
                    <w:tr2bl w:val="nil"/>
                  </w:tcBorders>
                  <w:vAlign w:val="center"/>
                </w:tcPr>
                <w:p w14:paraId="63D435FC">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监测点位</w:t>
                  </w:r>
                </w:p>
              </w:tc>
              <w:tc>
                <w:tcPr>
                  <w:tcW w:w="751" w:type="pct"/>
                  <w:tcBorders>
                    <w:tl2br w:val="nil"/>
                    <w:tr2bl w:val="nil"/>
                  </w:tcBorders>
                  <w:vAlign w:val="center"/>
                </w:tcPr>
                <w:p w14:paraId="788264B7">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监测指标</w:t>
                  </w:r>
                </w:p>
              </w:tc>
              <w:tc>
                <w:tcPr>
                  <w:tcW w:w="973" w:type="pct"/>
                  <w:tcBorders>
                    <w:tl2br w:val="nil"/>
                    <w:tr2bl w:val="nil"/>
                  </w:tcBorders>
                  <w:vAlign w:val="center"/>
                </w:tcPr>
                <w:p w14:paraId="4976F477">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监测频次</w:t>
                  </w:r>
                </w:p>
              </w:tc>
              <w:tc>
                <w:tcPr>
                  <w:tcW w:w="2196" w:type="pct"/>
                  <w:tcBorders>
                    <w:tl2br w:val="nil"/>
                    <w:tr2bl w:val="nil"/>
                  </w:tcBorders>
                  <w:vAlign w:val="center"/>
                </w:tcPr>
                <w:p w14:paraId="0263F842">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执行排放标准</w:t>
                  </w:r>
                </w:p>
              </w:tc>
            </w:tr>
            <w:tr w14:paraId="519D548A">
              <w:tblPrEx>
                <w:tblBorders>
                  <w:top w:val="single" w:color="auto" w:sz="4" w:space="0"/>
                  <w:left w:val="single" w:color="auto" w:sz="4" w:space="0"/>
                  <w:bottom w:val="single" w:color="auto" w:sz="4" w:space="0"/>
                  <w:right w:val="single" w:color="auto" w:sz="4" w:space="0"/>
                  <w:insideH w:val="single" w:color="auto" w:sz="8" w:space="0"/>
                  <w:insideV w:val="single" w:color="auto" w:sz="8" w:space="0"/>
                </w:tblBorders>
                <w:tblCellMar>
                  <w:top w:w="0" w:type="dxa"/>
                  <w:left w:w="108" w:type="dxa"/>
                  <w:bottom w:w="0" w:type="dxa"/>
                  <w:right w:w="108" w:type="dxa"/>
                </w:tblCellMar>
              </w:tblPrEx>
              <w:trPr>
                <w:trHeight w:val="890" w:hRule="atLeast"/>
                <w:jc w:val="center"/>
              </w:trPr>
              <w:tc>
                <w:tcPr>
                  <w:tcW w:w="1078" w:type="pct"/>
                  <w:tcBorders>
                    <w:tl2br w:val="nil"/>
                    <w:tr2bl w:val="nil"/>
                  </w:tcBorders>
                  <w:vAlign w:val="center"/>
                </w:tcPr>
                <w:p w14:paraId="36009C17">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项目厂界四周1m处</w:t>
                  </w:r>
                </w:p>
              </w:tc>
              <w:tc>
                <w:tcPr>
                  <w:tcW w:w="751" w:type="pct"/>
                  <w:tcBorders>
                    <w:tl2br w:val="nil"/>
                    <w:tr2bl w:val="nil"/>
                  </w:tcBorders>
                  <w:vAlign w:val="center"/>
                </w:tcPr>
                <w:p w14:paraId="7C1A5018">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等效连续A声级</w:t>
                  </w:r>
                </w:p>
              </w:tc>
              <w:tc>
                <w:tcPr>
                  <w:tcW w:w="973" w:type="pct"/>
                  <w:tcBorders>
                    <w:tl2br w:val="nil"/>
                    <w:tr2bl w:val="nil"/>
                  </w:tcBorders>
                  <w:vAlign w:val="center"/>
                </w:tcPr>
                <w:p w14:paraId="0F685BDB">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1次/季度（昼间</w:t>
                  </w:r>
                  <w:r>
                    <w:rPr>
                      <w:rFonts w:hint="eastAsia" w:cs="Times New Roman"/>
                      <w:color w:val="auto"/>
                      <w:kern w:val="2"/>
                      <w:sz w:val="21"/>
                      <w:szCs w:val="21"/>
                      <w:lang w:val="en-US" w:eastAsia="zh-CN" w:bidi="ar-SA"/>
                    </w:rPr>
                    <w:t>监测</w:t>
                  </w:r>
                  <w:r>
                    <w:rPr>
                      <w:rFonts w:hint="default" w:ascii="Times New Roman" w:hAnsi="Times New Roman" w:eastAsia="宋体" w:cs="Times New Roman"/>
                      <w:color w:val="auto"/>
                      <w:kern w:val="2"/>
                      <w:sz w:val="21"/>
                      <w:szCs w:val="21"/>
                      <w:lang w:val="en-US" w:eastAsia="zh-CN" w:bidi="ar-SA"/>
                    </w:rPr>
                    <w:t>1次）</w:t>
                  </w:r>
                </w:p>
              </w:tc>
              <w:tc>
                <w:tcPr>
                  <w:tcW w:w="2196" w:type="pct"/>
                  <w:tcBorders>
                    <w:tl2br w:val="nil"/>
                    <w:tr2bl w:val="nil"/>
                  </w:tcBorders>
                  <w:vAlign w:val="center"/>
                </w:tcPr>
                <w:p w14:paraId="5A21FAA4">
                  <w:pPr>
                    <w:widowControl w:val="0"/>
                    <w:adjustRightInd w:val="0"/>
                    <w:snapToGrid w:val="0"/>
                    <w:spacing w:line="360" w:lineRule="exact"/>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《工业企业厂界环境噪声排放标准》（GB12348-2008）3类标准</w:t>
                  </w:r>
                </w:p>
              </w:tc>
            </w:tr>
          </w:tbl>
          <w:p w14:paraId="6FE0844C">
            <w:pPr>
              <w:ind w:firstLine="482"/>
              <w:rPr>
                <w:rFonts w:hint="default" w:ascii="Times New Roman" w:hAnsi="Times New Roman" w:cs="Times New Roman"/>
                <w:b/>
                <w:bCs/>
                <w:color w:val="auto"/>
              </w:rPr>
            </w:pPr>
            <w:r>
              <w:rPr>
                <w:rFonts w:hint="default" w:ascii="Times New Roman" w:hAnsi="Times New Roman" w:cs="Times New Roman"/>
                <w:b/>
                <w:bCs/>
                <w:color w:val="auto"/>
              </w:rPr>
              <w:t>四、固体废物</w:t>
            </w:r>
          </w:p>
          <w:p w14:paraId="299851FA">
            <w:pPr>
              <w:ind w:firstLine="480"/>
              <w:rPr>
                <w:rFonts w:hint="default" w:ascii="Times New Roman" w:hAnsi="Times New Roman" w:cs="Times New Roman"/>
                <w:color w:val="auto"/>
              </w:rPr>
            </w:pPr>
            <w:r>
              <w:rPr>
                <w:rFonts w:hint="default" w:ascii="Times New Roman" w:hAnsi="Times New Roman" w:cs="Times New Roman"/>
                <w:color w:val="auto"/>
              </w:rPr>
              <w:t>本项目运营期产生的固体废物主要为</w:t>
            </w:r>
            <w:r>
              <w:rPr>
                <w:rFonts w:hint="eastAsia" w:cs="Times New Roman"/>
                <w:color w:val="auto"/>
                <w:lang w:val="en-US" w:eastAsia="zh-CN"/>
              </w:rPr>
              <w:t>筛选废料、</w:t>
            </w:r>
            <w:r>
              <w:rPr>
                <w:rFonts w:hint="default" w:ascii="Times New Roman" w:hAnsi="Times New Roman" w:cs="Times New Roman"/>
                <w:color w:val="auto"/>
              </w:rPr>
              <w:t>废包装材料、</w:t>
            </w:r>
            <w:r>
              <w:rPr>
                <w:rFonts w:hint="eastAsia"/>
                <w:color w:val="auto"/>
                <w:lang w:val="en-US" w:eastAsia="zh-CN"/>
              </w:rPr>
              <w:t>废油脂</w:t>
            </w:r>
            <w:r>
              <w:rPr>
                <w:rFonts w:hint="default" w:ascii="Times New Roman" w:hAnsi="Times New Roman" w:cs="Times New Roman"/>
                <w:color w:val="auto"/>
              </w:rPr>
              <w:t>、</w:t>
            </w:r>
            <w:r>
              <w:rPr>
                <w:rFonts w:hint="eastAsia" w:cs="Times New Roman"/>
                <w:color w:val="auto"/>
                <w:lang w:val="en-US" w:eastAsia="zh-CN"/>
              </w:rPr>
              <w:t>污泥、</w:t>
            </w:r>
            <w:r>
              <w:rPr>
                <w:rFonts w:hint="default" w:ascii="Times New Roman" w:hAnsi="Times New Roman" w:cs="Times New Roman"/>
                <w:color w:val="auto"/>
              </w:rPr>
              <w:t>废</w:t>
            </w:r>
            <w:r>
              <w:rPr>
                <w:rFonts w:hint="eastAsia" w:cs="Times New Roman"/>
                <w:color w:val="auto"/>
                <w:lang w:val="en-US" w:eastAsia="zh-CN"/>
              </w:rPr>
              <w:t>导热油及生活垃圾</w:t>
            </w:r>
            <w:r>
              <w:rPr>
                <w:rFonts w:hint="default" w:ascii="Times New Roman" w:hAnsi="Times New Roman" w:cs="Times New Roman"/>
                <w:color w:val="auto"/>
              </w:rPr>
              <w:t>。</w:t>
            </w:r>
          </w:p>
          <w:p w14:paraId="1EF3A023">
            <w:pPr>
              <w:pStyle w:val="50"/>
              <w:rPr>
                <w:rFonts w:hint="default" w:ascii="Times New Roman" w:hAnsi="Times New Roman" w:cs="Times New Roman"/>
                <w:color w:val="auto"/>
              </w:rPr>
            </w:pPr>
            <w:r>
              <w:rPr>
                <w:rFonts w:hint="default" w:ascii="Times New Roman" w:hAnsi="Times New Roman" w:cs="Times New Roman"/>
                <w:color w:val="auto"/>
              </w:rPr>
              <w:t>表4-1</w:t>
            </w:r>
            <w:r>
              <w:rPr>
                <w:rFonts w:hint="eastAsia" w:cs="Times New Roman"/>
                <w:color w:val="auto"/>
                <w:lang w:val="en-US" w:eastAsia="zh-CN"/>
              </w:rPr>
              <w:t xml:space="preserve">3 </w:t>
            </w:r>
            <w:r>
              <w:rPr>
                <w:rFonts w:hint="default" w:ascii="Times New Roman" w:hAnsi="Times New Roman" w:cs="Times New Roman"/>
                <w:color w:val="auto"/>
              </w:rPr>
              <w:t xml:space="preserve"> 固体废物基本情况一览表</w:t>
            </w:r>
          </w:p>
          <w:tbl>
            <w:tblPr>
              <w:tblStyle w:val="21"/>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046"/>
              <w:gridCol w:w="1218"/>
              <w:gridCol w:w="1608"/>
              <w:gridCol w:w="708"/>
              <w:gridCol w:w="747"/>
              <w:gridCol w:w="871"/>
              <w:gridCol w:w="1456"/>
              <w:gridCol w:w="1043"/>
            </w:tblGrid>
            <w:tr w14:paraId="1064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6" w:type="pct"/>
                  <w:vAlign w:val="center"/>
                </w:tcPr>
                <w:p w14:paraId="1CE0F56B">
                  <w:pPr>
                    <w:pStyle w:val="53"/>
                    <w:rPr>
                      <w:rFonts w:hint="default" w:ascii="Times New Roman" w:hAnsi="Times New Roman" w:cs="Times New Roman"/>
                      <w:color w:val="auto"/>
                    </w:rPr>
                  </w:pPr>
                  <w:r>
                    <w:rPr>
                      <w:rFonts w:hint="default" w:ascii="Times New Roman" w:hAnsi="Times New Roman" w:cs="Times New Roman"/>
                      <w:color w:val="auto"/>
                    </w:rPr>
                    <w:t>序号</w:t>
                  </w:r>
                </w:p>
              </w:tc>
              <w:tc>
                <w:tcPr>
                  <w:tcW w:w="564" w:type="pct"/>
                  <w:vAlign w:val="center"/>
                </w:tcPr>
                <w:p w14:paraId="29EE9700">
                  <w:pPr>
                    <w:pStyle w:val="53"/>
                    <w:rPr>
                      <w:rFonts w:hint="default" w:ascii="Times New Roman" w:hAnsi="Times New Roman" w:cs="Times New Roman"/>
                      <w:color w:val="auto"/>
                    </w:rPr>
                  </w:pPr>
                  <w:r>
                    <w:rPr>
                      <w:rFonts w:hint="default" w:ascii="Times New Roman" w:hAnsi="Times New Roman" w:cs="Times New Roman"/>
                      <w:color w:val="auto"/>
                    </w:rPr>
                    <w:t>名称</w:t>
                  </w:r>
                </w:p>
              </w:tc>
              <w:tc>
                <w:tcPr>
                  <w:tcW w:w="657" w:type="pct"/>
                  <w:vAlign w:val="center"/>
                </w:tcPr>
                <w:p w14:paraId="1E9B359B">
                  <w:pPr>
                    <w:pStyle w:val="53"/>
                    <w:rPr>
                      <w:rFonts w:hint="default" w:ascii="Times New Roman" w:hAnsi="Times New Roman" w:cs="Times New Roman"/>
                      <w:color w:val="auto"/>
                    </w:rPr>
                  </w:pPr>
                  <w:r>
                    <w:rPr>
                      <w:rFonts w:hint="default" w:ascii="Times New Roman" w:hAnsi="Times New Roman" w:cs="Times New Roman"/>
                      <w:color w:val="auto"/>
                    </w:rPr>
                    <w:t>产污环节</w:t>
                  </w:r>
                </w:p>
              </w:tc>
              <w:tc>
                <w:tcPr>
                  <w:tcW w:w="867" w:type="pct"/>
                  <w:vAlign w:val="center"/>
                </w:tcPr>
                <w:p w14:paraId="7A6CC8B1">
                  <w:pPr>
                    <w:pStyle w:val="53"/>
                    <w:rPr>
                      <w:rFonts w:hint="default" w:ascii="Times New Roman" w:hAnsi="Times New Roman" w:cs="Times New Roman"/>
                      <w:color w:val="auto"/>
                    </w:rPr>
                  </w:pPr>
                  <w:r>
                    <w:rPr>
                      <w:rFonts w:hint="default" w:ascii="Times New Roman" w:hAnsi="Times New Roman" w:cs="Times New Roman"/>
                      <w:color w:val="auto"/>
                    </w:rPr>
                    <w:t>属性</w:t>
                  </w:r>
                </w:p>
              </w:tc>
              <w:tc>
                <w:tcPr>
                  <w:tcW w:w="382" w:type="pct"/>
                  <w:vAlign w:val="center"/>
                </w:tcPr>
                <w:p w14:paraId="1CB55111">
                  <w:pPr>
                    <w:pStyle w:val="53"/>
                    <w:rPr>
                      <w:rFonts w:hint="default" w:ascii="Times New Roman" w:hAnsi="Times New Roman" w:cs="Times New Roman"/>
                      <w:color w:val="auto"/>
                    </w:rPr>
                  </w:pPr>
                  <w:r>
                    <w:rPr>
                      <w:rFonts w:hint="default" w:ascii="Times New Roman" w:hAnsi="Times New Roman" w:cs="Times New Roman"/>
                      <w:color w:val="auto"/>
                    </w:rPr>
                    <w:t>物理特性</w:t>
                  </w:r>
                </w:p>
              </w:tc>
              <w:tc>
                <w:tcPr>
                  <w:tcW w:w="403" w:type="pct"/>
                  <w:vAlign w:val="center"/>
                </w:tcPr>
                <w:p w14:paraId="3810FD6B">
                  <w:pPr>
                    <w:pStyle w:val="53"/>
                    <w:rPr>
                      <w:rFonts w:hint="default" w:ascii="Times New Roman" w:hAnsi="Times New Roman" w:cs="Times New Roman"/>
                      <w:color w:val="auto"/>
                    </w:rPr>
                  </w:pPr>
                  <w:r>
                    <w:rPr>
                      <w:rFonts w:hint="default" w:ascii="Times New Roman" w:hAnsi="Times New Roman" w:cs="Times New Roman"/>
                      <w:color w:val="auto"/>
                    </w:rPr>
                    <w:t>环境危险性</w:t>
                  </w:r>
                </w:p>
              </w:tc>
              <w:tc>
                <w:tcPr>
                  <w:tcW w:w="470" w:type="pct"/>
                  <w:vAlign w:val="center"/>
                </w:tcPr>
                <w:p w14:paraId="3F42A3E6">
                  <w:pPr>
                    <w:pStyle w:val="53"/>
                    <w:rPr>
                      <w:rFonts w:hint="default" w:ascii="Times New Roman" w:hAnsi="Times New Roman" w:cs="Times New Roman"/>
                      <w:color w:val="auto"/>
                    </w:rPr>
                  </w:pPr>
                  <w:r>
                    <w:rPr>
                      <w:rFonts w:hint="default" w:ascii="Times New Roman" w:hAnsi="Times New Roman" w:cs="Times New Roman"/>
                      <w:color w:val="auto"/>
                    </w:rPr>
                    <w:t>产生量t/a</w:t>
                  </w:r>
                </w:p>
              </w:tc>
              <w:tc>
                <w:tcPr>
                  <w:tcW w:w="785" w:type="pct"/>
                  <w:vAlign w:val="center"/>
                </w:tcPr>
                <w:p w14:paraId="559444E5">
                  <w:pPr>
                    <w:pStyle w:val="53"/>
                    <w:rPr>
                      <w:rFonts w:hint="default" w:ascii="Times New Roman" w:hAnsi="Times New Roman" w:cs="Times New Roman"/>
                      <w:color w:val="auto"/>
                    </w:rPr>
                  </w:pPr>
                  <w:r>
                    <w:rPr>
                      <w:rFonts w:hint="default" w:ascii="Times New Roman" w:hAnsi="Times New Roman" w:cs="Times New Roman"/>
                      <w:color w:val="auto"/>
                    </w:rPr>
                    <w:t>贮存方式</w:t>
                  </w:r>
                </w:p>
              </w:tc>
              <w:tc>
                <w:tcPr>
                  <w:tcW w:w="562" w:type="pct"/>
                  <w:vAlign w:val="center"/>
                </w:tcPr>
                <w:p w14:paraId="3428FA12">
                  <w:pPr>
                    <w:pStyle w:val="53"/>
                    <w:rPr>
                      <w:rFonts w:hint="default" w:ascii="Times New Roman" w:hAnsi="Times New Roman" w:cs="Times New Roman"/>
                      <w:color w:val="auto"/>
                    </w:rPr>
                  </w:pPr>
                  <w:r>
                    <w:rPr>
                      <w:rFonts w:hint="default" w:ascii="Times New Roman" w:hAnsi="Times New Roman" w:cs="Times New Roman"/>
                      <w:color w:val="auto"/>
                    </w:rPr>
                    <w:t>处理方式</w:t>
                  </w:r>
                </w:p>
              </w:tc>
            </w:tr>
            <w:tr w14:paraId="4390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6" w:type="pct"/>
                  <w:vAlign w:val="center"/>
                </w:tcPr>
                <w:p w14:paraId="3D00EACA">
                  <w:pPr>
                    <w:pStyle w:val="53"/>
                    <w:rPr>
                      <w:rFonts w:hint="default" w:ascii="Times New Roman" w:hAnsi="Times New Roman" w:cs="Times New Roman"/>
                      <w:color w:val="auto"/>
                    </w:rPr>
                  </w:pPr>
                  <w:r>
                    <w:rPr>
                      <w:rFonts w:hint="default" w:ascii="Times New Roman" w:hAnsi="Times New Roman" w:cs="Times New Roman"/>
                      <w:color w:val="auto"/>
                    </w:rPr>
                    <w:t>1</w:t>
                  </w:r>
                </w:p>
              </w:tc>
              <w:tc>
                <w:tcPr>
                  <w:tcW w:w="564" w:type="pct"/>
                  <w:vAlign w:val="center"/>
                </w:tcPr>
                <w:p w14:paraId="21BAC232">
                  <w:pPr>
                    <w:pStyle w:val="53"/>
                    <w:rPr>
                      <w:rFonts w:hint="eastAsia" w:ascii="Times New Roman" w:hAnsi="Times New Roman" w:eastAsia="宋体" w:cs="Times New Roman"/>
                      <w:color w:val="auto"/>
                      <w:lang w:eastAsia="zh-CN"/>
                    </w:rPr>
                  </w:pPr>
                  <w:r>
                    <w:rPr>
                      <w:rFonts w:hint="eastAsia" w:cs="Times New Roman"/>
                      <w:color w:val="auto"/>
                      <w:lang w:val="en-US" w:eastAsia="zh-CN"/>
                    </w:rPr>
                    <w:t>筛选废料</w:t>
                  </w:r>
                </w:p>
              </w:tc>
              <w:tc>
                <w:tcPr>
                  <w:tcW w:w="657" w:type="pct"/>
                  <w:vAlign w:val="center"/>
                </w:tcPr>
                <w:p w14:paraId="4A515168">
                  <w:pPr>
                    <w:pStyle w:val="53"/>
                    <w:rPr>
                      <w:rFonts w:hint="eastAsia" w:ascii="Times New Roman" w:hAnsi="Times New Roman" w:eastAsia="宋体" w:cs="Times New Roman"/>
                      <w:color w:val="auto"/>
                      <w:lang w:eastAsia="zh-CN"/>
                    </w:rPr>
                  </w:pPr>
                  <w:r>
                    <w:rPr>
                      <w:rFonts w:hint="eastAsia" w:cs="Times New Roman"/>
                      <w:color w:val="auto"/>
                      <w:lang w:val="en-US" w:eastAsia="zh-CN"/>
                    </w:rPr>
                    <w:t>筛选</w:t>
                  </w:r>
                </w:p>
              </w:tc>
              <w:tc>
                <w:tcPr>
                  <w:tcW w:w="867" w:type="pct"/>
                  <w:vAlign w:val="center"/>
                </w:tcPr>
                <w:p w14:paraId="7704E26A">
                  <w:pPr>
                    <w:pStyle w:val="53"/>
                    <w:rPr>
                      <w:rFonts w:hint="default" w:ascii="Times New Roman" w:hAnsi="Times New Roman" w:cs="Times New Roman"/>
                      <w:color w:val="auto"/>
                      <w:lang w:val="en-US"/>
                    </w:rPr>
                  </w:pPr>
                  <w:r>
                    <w:rPr>
                      <w:rFonts w:hint="default" w:ascii="Times New Roman" w:hAnsi="Times New Roman" w:cs="Times New Roman"/>
                      <w:color w:val="auto"/>
                    </w:rPr>
                    <w:t>一般固体废物</w:t>
                  </w:r>
                  <w:r>
                    <w:rPr>
                      <w:rFonts w:hint="eastAsia" w:cs="Times New Roman"/>
                      <w:color w:val="auto"/>
                      <w:lang w:val="en-US" w:eastAsia="zh-CN"/>
                    </w:rPr>
                    <w:t>900</w:t>
                  </w:r>
                  <w:r>
                    <w:rPr>
                      <w:rFonts w:hint="default" w:ascii="Times New Roman" w:hAnsi="Times New Roman" w:cs="Times New Roman"/>
                      <w:color w:val="auto"/>
                    </w:rPr>
                    <w:t>-00</w:t>
                  </w:r>
                  <w:r>
                    <w:rPr>
                      <w:rFonts w:hint="eastAsia" w:cs="Times New Roman"/>
                      <w:color w:val="auto"/>
                      <w:lang w:val="en-US" w:eastAsia="zh-CN"/>
                    </w:rPr>
                    <w:t>2</w:t>
                  </w:r>
                  <w:r>
                    <w:rPr>
                      <w:rFonts w:hint="default" w:ascii="Times New Roman" w:hAnsi="Times New Roman" w:cs="Times New Roman"/>
                      <w:color w:val="auto"/>
                    </w:rPr>
                    <w:t>-</w:t>
                  </w:r>
                  <w:r>
                    <w:rPr>
                      <w:rFonts w:hint="eastAsia" w:cs="Times New Roman"/>
                      <w:color w:val="auto"/>
                      <w:lang w:val="en-US" w:eastAsia="zh-CN"/>
                    </w:rPr>
                    <w:t>S61</w:t>
                  </w:r>
                </w:p>
              </w:tc>
              <w:tc>
                <w:tcPr>
                  <w:tcW w:w="382" w:type="pct"/>
                  <w:vAlign w:val="center"/>
                </w:tcPr>
                <w:p w14:paraId="0EA7E0F8">
                  <w:pPr>
                    <w:pStyle w:val="53"/>
                    <w:rPr>
                      <w:rFonts w:hint="default" w:ascii="Times New Roman" w:hAnsi="Times New Roman" w:cs="Times New Roman"/>
                      <w:color w:val="auto"/>
                    </w:rPr>
                  </w:pPr>
                  <w:r>
                    <w:rPr>
                      <w:rFonts w:hint="default" w:ascii="Times New Roman" w:hAnsi="Times New Roman" w:cs="Times New Roman"/>
                      <w:color w:val="auto"/>
                    </w:rPr>
                    <w:t>S</w:t>
                  </w:r>
                </w:p>
              </w:tc>
              <w:tc>
                <w:tcPr>
                  <w:tcW w:w="403" w:type="pct"/>
                  <w:vAlign w:val="center"/>
                </w:tcPr>
                <w:p w14:paraId="2A6B8147">
                  <w:pPr>
                    <w:pStyle w:val="53"/>
                    <w:rPr>
                      <w:rFonts w:hint="default" w:ascii="Times New Roman" w:hAnsi="Times New Roman" w:cs="Times New Roman"/>
                      <w:color w:val="auto"/>
                    </w:rPr>
                  </w:pPr>
                  <w:r>
                    <w:rPr>
                      <w:rFonts w:hint="default" w:ascii="Times New Roman" w:hAnsi="Times New Roman" w:cs="Times New Roman"/>
                      <w:color w:val="auto"/>
                    </w:rPr>
                    <w:t>/</w:t>
                  </w:r>
                </w:p>
              </w:tc>
              <w:tc>
                <w:tcPr>
                  <w:tcW w:w="470" w:type="pct"/>
                  <w:vAlign w:val="center"/>
                </w:tcPr>
                <w:p w14:paraId="431E07F5">
                  <w:pPr>
                    <w:pStyle w:val="53"/>
                    <w:rPr>
                      <w:rFonts w:hint="default" w:ascii="Times New Roman" w:hAnsi="Times New Roman" w:cs="Times New Roman"/>
                      <w:color w:val="auto"/>
                      <w:lang w:val="en-US"/>
                    </w:rPr>
                  </w:pPr>
                  <w:r>
                    <w:rPr>
                      <w:rFonts w:hint="eastAsia" w:cs="Times New Roman"/>
                      <w:color w:val="auto"/>
                      <w:lang w:val="en-US" w:eastAsia="zh-CN"/>
                    </w:rPr>
                    <w:t>5.0</w:t>
                  </w:r>
                </w:p>
              </w:tc>
              <w:tc>
                <w:tcPr>
                  <w:tcW w:w="785" w:type="pct"/>
                  <w:vMerge w:val="restart"/>
                  <w:vAlign w:val="center"/>
                </w:tcPr>
                <w:p w14:paraId="15C913AE">
                  <w:pPr>
                    <w:pStyle w:val="53"/>
                    <w:rPr>
                      <w:rFonts w:hint="default" w:ascii="Times New Roman" w:hAnsi="Times New Roman" w:cs="Times New Roman"/>
                      <w:color w:val="auto"/>
                    </w:rPr>
                  </w:pPr>
                  <w:r>
                    <w:rPr>
                      <w:rFonts w:hint="default" w:ascii="Times New Roman" w:hAnsi="Times New Roman" w:cs="Times New Roman"/>
                      <w:color w:val="auto"/>
                    </w:rPr>
                    <w:t>一般固废暂存区</w:t>
                  </w:r>
                </w:p>
              </w:tc>
              <w:tc>
                <w:tcPr>
                  <w:tcW w:w="562" w:type="pct"/>
                  <w:vMerge w:val="restart"/>
                  <w:vAlign w:val="center"/>
                </w:tcPr>
                <w:p w14:paraId="332FB55B">
                  <w:pPr>
                    <w:pStyle w:val="53"/>
                    <w:rPr>
                      <w:rFonts w:hint="default" w:ascii="Times New Roman" w:hAnsi="Times New Roman" w:cs="Times New Roman"/>
                      <w:color w:val="auto"/>
                    </w:rPr>
                  </w:pPr>
                  <w:r>
                    <w:rPr>
                      <w:rFonts w:hint="default" w:ascii="Times New Roman" w:hAnsi="Times New Roman" w:cs="Times New Roman"/>
                      <w:color w:val="auto"/>
                    </w:rPr>
                    <w:t>收集后外售</w:t>
                  </w:r>
                </w:p>
              </w:tc>
            </w:tr>
            <w:tr w14:paraId="0CC3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6" w:type="pct"/>
                  <w:vAlign w:val="center"/>
                </w:tcPr>
                <w:p w14:paraId="27EF00DD">
                  <w:pPr>
                    <w:pStyle w:val="53"/>
                    <w:rPr>
                      <w:rFonts w:hint="default" w:ascii="Times New Roman" w:hAnsi="Times New Roman" w:cs="Times New Roman"/>
                      <w:color w:val="auto"/>
                    </w:rPr>
                  </w:pPr>
                  <w:r>
                    <w:rPr>
                      <w:rFonts w:hint="default" w:ascii="Times New Roman" w:hAnsi="Times New Roman" w:cs="Times New Roman"/>
                      <w:color w:val="auto"/>
                    </w:rPr>
                    <w:t>2</w:t>
                  </w:r>
                </w:p>
              </w:tc>
              <w:tc>
                <w:tcPr>
                  <w:tcW w:w="564" w:type="pct"/>
                  <w:vAlign w:val="center"/>
                </w:tcPr>
                <w:p w14:paraId="6C91734B">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废包装材料</w:t>
                  </w:r>
                </w:p>
              </w:tc>
              <w:tc>
                <w:tcPr>
                  <w:tcW w:w="657" w:type="pct"/>
                  <w:vAlign w:val="center"/>
                </w:tcPr>
                <w:p w14:paraId="72D9094B">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原辅料使用</w:t>
                  </w:r>
                </w:p>
              </w:tc>
              <w:tc>
                <w:tcPr>
                  <w:tcW w:w="867" w:type="pct"/>
                  <w:vAlign w:val="center"/>
                </w:tcPr>
                <w:p w14:paraId="7920031C">
                  <w:pPr>
                    <w:pStyle w:val="53"/>
                    <w:rPr>
                      <w:rFonts w:hint="default" w:ascii="Times New Roman" w:hAnsi="Times New Roman" w:cs="Times New Roman"/>
                      <w:color w:val="auto"/>
                    </w:rPr>
                  </w:pPr>
                  <w:r>
                    <w:rPr>
                      <w:rFonts w:hint="default" w:ascii="Times New Roman" w:hAnsi="Times New Roman" w:cs="Times New Roman"/>
                      <w:color w:val="auto"/>
                    </w:rPr>
                    <w:t>一般固体废物</w:t>
                  </w:r>
                  <w:r>
                    <w:rPr>
                      <w:rFonts w:hint="eastAsia" w:cs="Times New Roman"/>
                      <w:color w:val="auto"/>
                      <w:lang w:val="en-US" w:eastAsia="zh-CN"/>
                    </w:rPr>
                    <w:t>900</w:t>
                  </w:r>
                  <w:r>
                    <w:rPr>
                      <w:rFonts w:hint="default" w:ascii="Times New Roman" w:hAnsi="Times New Roman" w:cs="Times New Roman"/>
                      <w:color w:val="auto"/>
                    </w:rPr>
                    <w:t>-00</w:t>
                  </w:r>
                  <w:r>
                    <w:rPr>
                      <w:rFonts w:hint="eastAsia" w:cs="Times New Roman"/>
                      <w:color w:val="auto"/>
                      <w:lang w:val="en-US" w:eastAsia="zh-CN"/>
                    </w:rPr>
                    <w:t>3</w:t>
                  </w:r>
                  <w:r>
                    <w:rPr>
                      <w:rFonts w:hint="default" w:ascii="Times New Roman" w:hAnsi="Times New Roman" w:cs="Times New Roman"/>
                      <w:color w:val="auto"/>
                    </w:rPr>
                    <w:t>-</w:t>
                  </w:r>
                  <w:r>
                    <w:rPr>
                      <w:rFonts w:hint="eastAsia" w:cs="Times New Roman"/>
                      <w:color w:val="auto"/>
                      <w:lang w:val="en-US" w:eastAsia="zh-CN"/>
                    </w:rPr>
                    <w:t>S17</w:t>
                  </w:r>
                </w:p>
              </w:tc>
              <w:tc>
                <w:tcPr>
                  <w:tcW w:w="382" w:type="pct"/>
                  <w:vAlign w:val="center"/>
                </w:tcPr>
                <w:p w14:paraId="647B9CCB">
                  <w:pPr>
                    <w:pStyle w:val="53"/>
                    <w:rPr>
                      <w:rFonts w:hint="default" w:ascii="Times New Roman" w:hAnsi="Times New Roman" w:cs="Times New Roman"/>
                      <w:color w:val="auto"/>
                    </w:rPr>
                  </w:pPr>
                  <w:r>
                    <w:rPr>
                      <w:rFonts w:hint="default" w:ascii="Times New Roman" w:hAnsi="Times New Roman" w:cs="Times New Roman"/>
                      <w:color w:val="auto"/>
                    </w:rPr>
                    <w:t>S</w:t>
                  </w:r>
                </w:p>
              </w:tc>
              <w:tc>
                <w:tcPr>
                  <w:tcW w:w="403" w:type="pct"/>
                  <w:vAlign w:val="center"/>
                </w:tcPr>
                <w:p w14:paraId="062A97E1">
                  <w:pPr>
                    <w:pStyle w:val="53"/>
                    <w:rPr>
                      <w:rFonts w:hint="default" w:ascii="Times New Roman" w:hAnsi="Times New Roman" w:cs="Times New Roman"/>
                      <w:color w:val="auto"/>
                    </w:rPr>
                  </w:pPr>
                  <w:r>
                    <w:rPr>
                      <w:rFonts w:hint="default" w:ascii="Times New Roman" w:hAnsi="Times New Roman" w:cs="Times New Roman"/>
                      <w:color w:val="auto"/>
                    </w:rPr>
                    <w:t>/</w:t>
                  </w:r>
                </w:p>
              </w:tc>
              <w:tc>
                <w:tcPr>
                  <w:tcW w:w="470" w:type="pct"/>
                  <w:vAlign w:val="center"/>
                </w:tcPr>
                <w:p w14:paraId="2CE5D62B">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0.5</w:t>
                  </w:r>
                </w:p>
              </w:tc>
              <w:tc>
                <w:tcPr>
                  <w:tcW w:w="785" w:type="pct"/>
                  <w:vMerge w:val="continue"/>
                  <w:vAlign w:val="center"/>
                </w:tcPr>
                <w:p w14:paraId="004DDCDB">
                  <w:pPr>
                    <w:pStyle w:val="53"/>
                    <w:rPr>
                      <w:rFonts w:hint="default" w:ascii="Times New Roman" w:hAnsi="Times New Roman" w:cs="Times New Roman"/>
                      <w:color w:val="auto"/>
                    </w:rPr>
                  </w:pPr>
                </w:p>
              </w:tc>
              <w:tc>
                <w:tcPr>
                  <w:tcW w:w="562" w:type="pct"/>
                  <w:vMerge w:val="continue"/>
                  <w:vAlign w:val="center"/>
                </w:tcPr>
                <w:p w14:paraId="5777253C">
                  <w:pPr>
                    <w:pStyle w:val="53"/>
                    <w:rPr>
                      <w:rFonts w:hint="default" w:ascii="Times New Roman" w:hAnsi="Times New Roman" w:cs="Times New Roman"/>
                      <w:color w:val="auto"/>
                    </w:rPr>
                  </w:pPr>
                </w:p>
              </w:tc>
            </w:tr>
            <w:tr w14:paraId="6BB7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306" w:type="pct"/>
                  <w:shd w:val="clear" w:color="auto" w:fill="auto"/>
                  <w:vAlign w:val="center"/>
                </w:tcPr>
                <w:p w14:paraId="0E94E4E0">
                  <w:pPr>
                    <w:pStyle w:val="53"/>
                    <w:ind w:firstLine="0" w:firstLineChars="0"/>
                    <w:rPr>
                      <w:rFonts w:hint="default" w:ascii="Times New Roman" w:hAnsi="Times New Roman" w:eastAsia="宋体" w:cs="Times New Roman"/>
                      <w:snapToGrid w:val="0"/>
                      <w:color w:val="auto"/>
                      <w:kern w:val="2"/>
                      <w:sz w:val="21"/>
                      <w:szCs w:val="21"/>
                      <w:lang w:val="en-US" w:eastAsia="zh-CN" w:bidi="ar-SA"/>
                    </w:rPr>
                  </w:pPr>
                  <w:r>
                    <w:rPr>
                      <w:rFonts w:hint="default" w:ascii="Times New Roman" w:hAnsi="Times New Roman" w:cs="Times New Roman"/>
                      <w:color w:val="auto"/>
                    </w:rPr>
                    <w:t>3</w:t>
                  </w:r>
                </w:p>
              </w:tc>
              <w:tc>
                <w:tcPr>
                  <w:tcW w:w="564" w:type="pct"/>
                  <w:vAlign w:val="center"/>
                </w:tcPr>
                <w:p w14:paraId="641EEBB9">
                  <w:pPr>
                    <w:pStyle w:val="53"/>
                    <w:rPr>
                      <w:rFonts w:hint="eastAsia" w:cs="Times New Roman"/>
                      <w:color w:val="auto"/>
                      <w:lang w:val="en-US" w:eastAsia="zh-CN"/>
                    </w:rPr>
                  </w:pPr>
                  <w:r>
                    <w:rPr>
                      <w:rFonts w:hint="eastAsia"/>
                      <w:color w:val="auto"/>
                      <w:lang w:val="en-US" w:eastAsia="zh-CN"/>
                    </w:rPr>
                    <w:t>废油脂</w:t>
                  </w:r>
                </w:p>
              </w:tc>
              <w:tc>
                <w:tcPr>
                  <w:tcW w:w="657" w:type="pct"/>
                  <w:vAlign w:val="center"/>
                </w:tcPr>
                <w:p w14:paraId="2546BD70">
                  <w:pPr>
                    <w:pStyle w:val="53"/>
                    <w:rPr>
                      <w:rFonts w:hint="default" w:cs="Times New Roman"/>
                      <w:color w:val="auto"/>
                      <w:lang w:val="en-US" w:eastAsia="zh-CN"/>
                    </w:rPr>
                  </w:pPr>
                  <w:r>
                    <w:rPr>
                      <w:rFonts w:hint="eastAsia" w:cs="Times New Roman"/>
                      <w:color w:val="auto"/>
                      <w:lang w:val="en-US" w:eastAsia="zh-CN"/>
                    </w:rPr>
                    <w:t>油炸、油烟净化器、隔油沉淀池</w:t>
                  </w:r>
                </w:p>
              </w:tc>
              <w:tc>
                <w:tcPr>
                  <w:tcW w:w="867" w:type="pct"/>
                  <w:vAlign w:val="center"/>
                </w:tcPr>
                <w:p w14:paraId="0861C989">
                  <w:pPr>
                    <w:pStyle w:val="53"/>
                    <w:rPr>
                      <w:rFonts w:hint="default" w:ascii="Times New Roman" w:hAnsi="Times New Roman" w:cs="Times New Roman"/>
                      <w:color w:val="auto"/>
                    </w:rPr>
                  </w:pPr>
                  <w:r>
                    <w:rPr>
                      <w:rFonts w:hint="default" w:ascii="Times New Roman" w:hAnsi="Times New Roman" w:cs="Times New Roman"/>
                      <w:color w:val="auto"/>
                    </w:rPr>
                    <w:t>一般固体废物</w:t>
                  </w:r>
                  <w:r>
                    <w:rPr>
                      <w:rFonts w:hint="eastAsia" w:cs="Times New Roman"/>
                      <w:color w:val="auto"/>
                      <w:lang w:val="en-US" w:eastAsia="zh-CN"/>
                    </w:rPr>
                    <w:t>900</w:t>
                  </w:r>
                  <w:r>
                    <w:rPr>
                      <w:rFonts w:hint="default" w:ascii="Times New Roman" w:hAnsi="Times New Roman" w:cs="Times New Roman"/>
                      <w:color w:val="auto"/>
                    </w:rPr>
                    <w:t>-00</w:t>
                  </w:r>
                  <w:r>
                    <w:rPr>
                      <w:rFonts w:hint="eastAsia" w:cs="Times New Roman"/>
                      <w:color w:val="auto"/>
                      <w:lang w:val="en-US" w:eastAsia="zh-CN"/>
                    </w:rPr>
                    <w:t>2</w:t>
                  </w:r>
                  <w:r>
                    <w:rPr>
                      <w:rFonts w:hint="default" w:ascii="Times New Roman" w:hAnsi="Times New Roman" w:cs="Times New Roman"/>
                      <w:color w:val="auto"/>
                    </w:rPr>
                    <w:t>-</w:t>
                  </w:r>
                  <w:r>
                    <w:rPr>
                      <w:rFonts w:hint="eastAsia" w:cs="Times New Roman"/>
                      <w:color w:val="auto"/>
                      <w:lang w:val="en-US" w:eastAsia="zh-CN"/>
                    </w:rPr>
                    <w:t>S61</w:t>
                  </w:r>
                </w:p>
              </w:tc>
              <w:tc>
                <w:tcPr>
                  <w:tcW w:w="382" w:type="pct"/>
                  <w:vAlign w:val="center"/>
                </w:tcPr>
                <w:p w14:paraId="049D1E46">
                  <w:pPr>
                    <w:pStyle w:val="53"/>
                    <w:rPr>
                      <w:rFonts w:hint="default" w:ascii="Times New Roman" w:hAnsi="Times New Roman" w:cs="Times New Roman"/>
                      <w:color w:val="auto"/>
                    </w:rPr>
                  </w:pPr>
                  <w:r>
                    <w:rPr>
                      <w:rFonts w:hint="default" w:ascii="Times New Roman" w:hAnsi="Times New Roman" w:cs="Times New Roman"/>
                      <w:color w:val="auto"/>
                    </w:rPr>
                    <w:t>S</w:t>
                  </w:r>
                </w:p>
              </w:tc>
              <w:tc>
                <w:tcPr>
                  <w:tcW w:w="403" w:type="pct"/>
                  <w:vAlign w:val="center"/>
                </w:tcPr>
                <w:p w14:paraId="4C7FC352">
                  <w:pPr>
                    <w:pStyle w:val="53"/>
                    <w:rPr>
                      <w:rFonts w:hint="eastAsia" w:ascii="Times New Roman" w:hAnsi="Times New Roman" w:eastAsia="宋体" w:cs="Times New Roman"/>
                      <w:color w:val="auto"/>
                      <w:lang w:val="en-US" w:eastAsia="zh-CN"/>
                    </w:rPr>
                  </w:pPr>
                  <w:r>
                    <w:rPr>
                      <w:rFonts w:hint="eastAsia" w:cs="Times New Roman"/>
                      <w:color w:val="auto"/>
                      <w:lang w:val="en-US" w:eastAsia="zh-CN"/>
                    </w:rPr>
                    <w:t>/</w:t>
                  </w:r>
                </w:p>
              </w:tc>
              <w:tc>
                <w:tcPr>
                  <w:tcW w:w="470" w:type="pct"/>
                  <w:vAlign w:val="center"/>
                </w:tcPr>
                <w:p w14:paraId="4E73F167">
                  <w:pPr>
                    <w:pStyle w:val="53"/>
                    <w:rPr>
                      <w:rFonts w:hint="default" w:cs="Times New Roman"/>
                      <w:color w:val="auto"/>
                      <w:lang w:val="en-US" w:eastAsia="zh-CN"/>
                    </w:rPr>
                  </w:pPr>
                  <w:r>
                    <w:rPr>
                      <w:rFonts w:hint="eastAsia" w:cs="Times New Roman"/>
                      <w:color w:val="auto"/>
                      <w:lang w:val="en-US" w:eastAsia="zh-CN"/>
                    </w:rPr>
                    <w:t>4.3</w:t>
                  </w:r>
                </w:p>
              </w:tc>
              <w:tc>
                <w:tcPr>
                  <w:tcW w:w="785" w:type="pct"/>
                  <w:vMerge w:val="continue"/>
                  <w:vAlign w:val="center"/>
                </w:tcPr>
                <w:p w14:paraId="01277F78">
                  <w:pPr>
                    <w:pStyle w:val="53"/>
                    <w:rPr>
                      <w:rFonts w:hint="default" w:ascii="Times New Roman" w:hAnsi="Times New Roman" w:cs="Times New Roman"/>
                      <w:color w:val="auto"/>
                    </w:rPr>
                  </w:pPr>
                </w:p>
              </w:tc>
              <w:tc>
                <w:tcPr>
                  <w:tcW w:w="562" w:type="pct"/>
                  <w:vAlign w:val="center"/>
                </w:tcPr>
                <w:p w14:paraId="5E57188C">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交由专门的回收单位处置</w:t>
                  </w:r>
                </w:p>
              </w:tc>
            </w:tr>
            <w:tr w14:paraId="59F2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6" w:type="pct"/>
                  <w:shd w:val="clear" w:color="auto" w:fill="auto"/>
                  <w:vAlign w:val="center"/>
                </w:tcPr>
                <w:p w14:paraId="3355A509">
                  <w:pPr>
                    <w:pStyle w:val="53"/>
                    <w:ind w:firstLine="0" w:firstLineChars="0"/>
                    <w:rPr>
                      <w:rFonts w:hint="default" w:ascii="Times New Roman" w:hAnsi="Times New Roman" w:cs="Times New Roman"/>
                      <w:color w:val="auto"/>
                    </w:rPr>
                  </w:pPr>
                  <w:r>
                    <w:rPr>
                      <w:rFonts w:hint="default" w:ascii="Times New Roman" w:hAnsi="Times New Roman" w:cs="Times New Roman"/>
                      <w:color w:val="auto"/>
                    </w:rPr>
                    <w:t>4</w:t>
                  </w:r>
                </w:p>
              </w:tc>
              <w:tc>
                <w:tcPr>
                  <w:tcW w:w="564" w:type="pct"/>
                  <w:shd w:val="clear" w:color="auto" w:fill="auto"/>
                  <w:vAlign w:val="center"/>
                </w:tcPr>
                <w:p w14:paraId="08CE59FC">
                  <w:pPr>
                    <w:pStyle w:val="53"/>
                    <w:ind w:firstLine="0" w:firstLineChars="0"/>
                    <w:rPr>
                      <w:rFonts w:hint="eastAsia" w:ascii="Times New Roman" w:hAnsi="Times New Roman" w:eastAsia="宋体" w:cs="Times New Roman"/>
                      <w:color w:val="auto"/>
                      <w:lang w:val="en-US" w:eastAsia="zh-CN"/>
                    </w:rPr>
                  </w:pPr>
                  <w:r>
                    <w:rPr>
                      <w:rFonts w:hint="eastAsia" w:cs="Times New Roman"/>
                      <w:color w:val="auto"/>
                      <w:lang w:val="en-US" w:eastAsia="zh-CN"/>
                    </w:rPr>
                    <w:t>污泥（脱水后）</w:t>
                  </w:r>
                </w:p>
              </w:tc>
              <w:tc>
                <w:tcPr>
                  <w:tcW w:w="657" w:type="pct"/>
                  <w:shd w:val="clear" w:color="auto" w:fill="auto"/>
                  <w:vAlign w:val="center"/>
                </w:tcPr>
                <w:p w14:paraId="64745BE5">
                  <w:pPr>
                    <w:pStyle w:val="53"/>
                    <w:ind w:firstLine="0" w:firstLineChars="0"/>
                    <w:rPr>
                      <w:rFonts w:hint="default" w:cs="Times New Roman"/>
                      <w:color w:val="auto"/>
                      <w:lang w:val="en-US" w:eastAsia="zh-CN"/>
                    </w:rPr>
                  </w:pPr>
                  <w:r>
                    <w:rPr>
                      <w:rFonts w:hint="eastAsia" w:cs="Times New Roman"/>
                      <w:color w:val="auto"/>
                      <w:lang w:val="en-US" w:eastAsia="zh-CN"/>
                    </w:rPr>
                    <w:t>隔油沉淀池</w:t>
                  </w:r>
                </w:p>
              </w:tc>
              <w:tc>
                <w:tcPr>
                  <w:tcW w:w="867" w:type="pct"/>
                  <w:shd w:val="clear" w:color="auto" w:fill="auto"/>
                  <w:vAlign w:val="center"/>
                </w:tcPr>
                <w:p w14:paraId="5855B4F3">
                  <w:pPr>
                    <w:pStyle w:val="53"/>
                    <w:ind w:firstLine="0" w:firstLineChars="0"/>
                    <w:rPr>
                      <w:rFonts w:hint="default" w:ascii="Times New Roman" w:hAnsi="Times New Roman" w:cs="Times New Roman"/>
                      <w:color w:val="auto"/>
                    </w:rPr>
                  </w:pPr>
                  <w:r>
                    <w:rPr>
                      <w:color w:val="auto"/>
                      <w:sz w:val="21"/>
                      <w:szCs w:val="21"/>
                    </w:rPr>
                    <w:t>一般固体废物</w:t>
                  </w:r>
                  <w:r>
                    <w:rPr>
                      <w:rFonts w:hint="eastAsia"/>
                      <w:color w:val="auto"/>
                      <w:sz w:val="21"/>
                      <w:szCs w:val="21"/>
                    </w:rPr>
                    <w:t>900-099-S07</w:t>
                  </w:r>
                </w:p>
              </w:tc>
              <w:tc>
                <w:tcPr>
                  <w:tcW w:w="382" w:type="pct"/>
                  <w:shd w:val="clear" w:color="auto" w:fill="auto"/>
                  <w:vAlign w:val="center"/>
                </w:tcPr>
                <w:p w14:paraId="7B56278E">
                  <w:pPr>
                    <w:pStyle w:val="53"/>
                    <w:ind w:firstLine="0" w:firstLineChars="0"/>
                    <w:rPr>
                      <w:rFonts w:hint="default" w:ascii="Times New Roman" w:hAnsi="Times New Roman" w:cs="Times New Roman"/>
                      <w:color w:val="auto"/>
                    </w:rPr>
                  </w:pPr>
                  <w:r>
                    <w:rPr>
                      <w:rFonts w:hint="default" w:ascii="Times New Roman" w:hAnsi="Times New Roman" w:cs="Times New Roman"/>
                      <w:color w:val="auto"/>
                    </w:rPr>
                    <w:t>S</w:t>
                  </w:r>
                </w:p>
              </w:tc>
              <w:tc>
                <w:tcPr>
                  <w:tcW w:w="403" w:type="pct"/>
                  <w:shd w:val="clear" w:color="auto" w:fill="auto"/>
                  <w:vAlign w:val="center"/>
                </w:tcPr>
                <w:p w14:paraId="5E3CF4E1">
                  <w:pPr>
                    <w:pStyle w:val="53"/>
                    <w:ind w:firstLine="0" w:firstLineChars="0"/>
                    <w:rPr>
                      <w:rFonts w:hint="default" w:cs="Times New Roman"/>
                      <w:color w:val="auto"/>
                      <w:lang w:val="en-US" w:eastAsia="zh-CN"/>
                    </w:rPr>
                  </w:pPr>
                  <w:r>
                    <w:rPr>
                      <w:rFonts w:hint="eastAsia" w:cs="Times New Roman"/>
                      <w:color w:val="auto"/>
                      <w:lang w:val="en-US" w:eastAsia="zh-CN"/>
                    </w:rPr>
                    <w:t>/</w:t>
                  </w:r>
                </w:p>
              </w:tc>
              <w:tc>
                <w:tcPr>
                  <w:tcW w:w="470" w:type="pct"/>
                  <w:shd w:val="clear" w:color="auto" w:fill="auto"/>
                  <w:vAlign w:val="center"/>
                </w:tcPr>
                <w:p w14:paraId="735A3FE3">
                  <w:pPr>
                    <w:pStyle w:val="53"/>
                    <w:ind w:firstLine="0" w:firstLineChars="0"/>
                    <w:rPr>
                      <w:rFonts w:hint="default" w:cs="Times New Roman"/>
                      <w:color w:val="auto"/>
                      <w:lang w:val="en-US" w:eastAsia="zh-CN"/>
                    </w:rPr>
                  </w:pPr>
                  <w:r>
                    <w:rPr>
                      <w:rFonts w:hint="eastAsia" w:cs="Times New Roman"/>
                      <w:color w:val="auto"/>
                      <w:lang w:val="en-US" w:eastAsia="zh-CN"/>
                    </w:rPr>
                    <w:t>5.0</w:t>
                  </w:r>
                </w:p>
              </w:tc>
              <w:tc>
                <w:tcPr>
                  <w:tcW w:w="785" w:type="pct"/>
                  <w:vMerge w:val="continue"/>
                  <w:vAlign w:val="center"/>
                </w:tcPr>
                <w:p w14:paraId="2E9E096D">
                  <w:pPr>
                    <w:pStyle w:val="53"/>
                    <w:rPr>
                      <w:rFonts w:hint="default" w:ascii="Times New Roman" w:hAnsi="Times New Roman" w:cs="Times New Roman"/>
                      <w:color w:val="auto"/>
                    </w:rPr>
                  </w:pPr>
                </w:p>
              </w:tc>
              <w:tc>
                <w:tcPr>
                  <w:tcW w:w="562" w:type="pct"/>
                  <w:vAlign w:val="center"/>
                </w:tcPr>
                <w:p w14:paraId="0568573A">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脱水</w:t>
                  </w:r>
                  <w:r>
                    <w:rPr>
                      <w:rFonts w:hint="default" w:ascii="Times New Roman" w:hAnsi="Times New Roman" w:cs="Times New Roman"/>
                      <w:color w:val="auto"/>
                    </w:rPr>
                    <w:t>后</w:t>
                  </w:r>
                  <w:r>
                    <w:rPr>
                      <w:rFonts w:hint="eastAsia" w:cs="Times New Roman"/>
                      <w:color w:val="auto"/>
                      <w:lang w:val="en-US" w:eastAsia="zh-CN"/>
                    </w:rPr>
                    <w:t>委外处置</w:t>
                  </w:r>
                </w:p>
              </w:tc>
            </w:tr>
            <w:tr w14:paraId="64BA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6" w:type="pct"/>
                  <w:shd w:val="clear" w:color="auto" w:fill="auto"/>
                  <w:vAlign w:val="center"/>
                </w:tcPr>
                <w:p w14:paraId="6244599D">
                  <w:pPr>
                    <w:pStyle w:val="53"/>
                    <w:ind w:firstLine="0" w:firstLineChars="0"/>
                    <w:rPr>
                      <w:rFonts w:hint="default" w:ascii="Times New Roman" w:hAnsi="Times New Roman" w:eastAsia="宋体" w:cs="Times New Roman"/>
                      <w:snapToGrid w:val="0"/>
                      <w:color w:val="auto"/>
                      <w:kern w:val="2"/>
                      <w:sz w:val="21"/>
                      <w:szCs w:val="21"/>
                      <w:lang w:val="en-US" w:eastAsia="zh-CN" w:bidi="ar-SA"/>
                    </w:rPr>
                  </w:pPr>
                  <w:r>
                    <w:rPr>
                      <w:rFonts w:hint="eastAsia" w:cs="Times New Roman"/>
                      <w:color w:val="auto"/>
                      <w:lang w:val="en-US" w:eastAsia="zh-CN"/>
                    </w:rPr>
                    <w:t>5</w:t>
                  </w:r>
                </w:p>
              </w:tc>
              <w:tc>
                <w:tcPr>
                  <w:tcW w:w="564" w:type="pct"/>
                  <w:vAlign w:val="center"/>
                </w:tcPr>
                <w:p w14:paraId="32E1AB32">
                  <w:pPr>
                    <w:pStyle w:val="53"/>
                    <w:rPr>
                      <w:rFonts w:hint="default" w:ascii="Times New Roman" w:hAnsi="Times New Roman" w:eastAsia="宋体" w:cs="Times New Roman"/>
                      <w:color w:val="auto"/>
                      <w:lang w:val="en-US" w:eastAsia="zh-CN"/>
                    </w:rPr>
                  </w:pPr>
                  <w:r>
                    <w:rPr>
                      <w:rFonts w:hint="default" w:ascii="Times New Roman" w:hAnsi="Times New Roman" w:cs="Times New Roman"/>
                      <w:color w:val="auto"/>
                    </w:rPr>
                    <w:t>废</w:t>
                  </w:r>
                  <w:r>
                    <w:rPr>
                      <w:rFonts w:hint="eastAsia" w:cs="Times New Roman"/>
                      <w:color w:val="auto"/>
                      <w:lang w:val="en-US" w:eastAsia="zh-CN"/>
                    </w:rPr>
                    <w:t>导热油</w:t>
                  </w:r>
                </w:p>
              </w:tc>
              <w:tc>
                <w:tcPr>
                  <w:tcW w:w="657" w:type="pct"/>
                  <w:vAlign w:val="center"/>
                </w:tcPr>
                <w:p w14:paraId="76DEBAE5">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导热油炉</w:t>
                  </w:r>
                </w:p>
              </w:tc>
              <w:tc>
                <w:tcPr>
                  <w:tcW w:w="867" w:type="pct"/>
                  <w:vAlign w:val="center"/>
                </w:tcPr>
                <w:p w14:paraId="16F93EB3">
                  <w:pPr>
                    <w:pStyle w:val="53"/>
                    <w:rPr>
                      <w:rFonts w:hint="default" w:ascii="Times New Roman" w:hAnsi="Times New Roman" w:eastAsia="宋体" w:cs="Times New Roman"/>
                      <w:color w:val="auto"/>
                      <w:lang w:val="en-US" w:eastAsia="zh-CN"/>
                    </w:rPr>
                  </w:pPr>
                  <w:r>
                    <w:rPr>
                      <w:rFonts w:hint="default" w:ascii="Times New Roman" w:hAnsi="Times New Roman" w:cs="Times New Roman"/>
                      <w:color w:val="auto"/>
                    </w:rPr>
                    <w:t>危险废物HW</w:t>
                  </w:r>
                  <w:r>
                    <w:rPr>
                      <w:rFonts w:hint="eastAsia" w:cs="Times New Roman"/>
                      <w:color w:val="auto"/>
                      <w:lang w:val="en-US" w:eastAsia="zh-CN"/>
                    </w:rPr>
                    <w:t>08</w:t>
                  </w:r>
                  <w:r>
                    <w:rPr>
                      <w:rFonts w:hint="default" w:ascii="Times New Roman" w:hAnsi="Times New Roman" w:cs="Times New Roman"/>
                      <w:color w:val="auto"/>
                    </w:rPr>
                    <w:t xml:space="preserve"> 900-</w:t>
                  </w:r>
                  <w:r>
                    <w:rPr>
                      <w:rFonts w:hint="eastAsia" w:cs="Times New Roman"/>
                      <w:color w:val="auto"/>
                      <w:lang w:val="en-US" w:eastAsia="zh-CN"/>
                    </w:rPr>
                    <w:t>249</w:t>
                  </w:r>
                  <w:r>
                    <w:rPr>
                      <w:rFonts w:hint="default" w:ascii="Times New Roman" w:hAnsi="Times New Roman" w:cs="Times New Roman"/>
                      <w:color w:val="auto"/>
                    </w:rPr>
                    <w:t>-</w:t>
                  </w:r>
                  <w:r>
                    <w:rPr>
                      <w:rFonts w:hint="eastAsia" w:cs="Times New Roman"/>
                      <w:color w:val="auto"/>
                      <w:lang w:val="en-US" w:eastAsia="zh-CN"/>
                    </w:rPr>
                    <w:t>08</w:t>
                  </w:r>
                </w:p>
              </w:tc>
              <w:tc>
                <w:tcPr>
                  <w:tcW w:w="382" w:type="pct"/>
                  <w:vAlign w:val="center"/>
                </w:tcPr>
                <w:p w14:paraId="402248C4">
                  <w:pPr>
                    <w:pStyle w:val="53"/>
                    <w:rPr>
                      <w:rFonts w:hint="default" w:ascii="Times New Roman" w:hAnsi="Times New Roman" w:cs="Times New Roman"/>
                      <w:color w:val="auto"/>
                    </w:rPr>
                  </w:pPr>
                  <w:r>
                    <w:rPr>
                      <w:rFonts w:hint="default" w:ascii="Times New Roman" w:hAnsi="Times New Roman" w:cs="Times New Roman"/>
                      <w:color w:val="auto"/>
                    </w:rPr>
                    <w:t>L</w:t>
                  </w:r>
                </w:p>
              </w:tc>
              <w:tc>
                <w:tcPr>
                  <w:tcW w:w="403" w:type="pct"/>
                  <w:vAlign w:val="center"/>
                </w:tcPr>
                <w:p w14:paraId="26E83F87">
                  <w:pPr>
                    <w:pStyle w:val="53"/>
                    <w:rPr>
                      <w:rFonts w:hint="default" w:ascii="Times New Roman" w:hAnsi="Times New Roman" w:cs="Times New Roman"/>
                      <w:color w:val="auto"/>
                    </w:rPr>
                  </w:pPr>
                  <w:r>
                    <w:rPr>
                      <w:rFonts w:hint="default" w:ascii="Times New Roman" w:hAnsi="Times New Roman" w:cs="Times New Roman"/>
                      <w:color w:val="auto"/>
                    </w:rPr>
                    <w:t>T，I</w:t>
                  </w:r>
                </w:p>
              </w:tc>
              <w:tc>
                <w:tcPr>
                  <w:tcW w:w="470" w:type="pct"/>
                  <w:vAlign w:val="center"/>
                </w:tcPr>
                <w:p w14:paraId="3AF115D6">
                  <w:pPr>
                    <w:pStyle w:val="53"/>
                    <w:rPr>
                      <w:rFonts w:hint="default" w:cs="Times New Roman"/>
                      <w:color w:val="auto"/>
                      <w:lang w:val="en-US" w:eastAsia="zh-CN"/>
                    </w:rPr>
                  </w:pPr>
                  <w:r>
                    <w:rPr>
                      <w:rFonts w:hint="eastAsia" w:cs="Times New Roman"/>
                      <w:color w:val="auto"/>
                      <w:sz w:val="21"/>
                      <w:szCs w:val="21"/>
                      <w:lang w:val="en-US" w:eastAsia="zh-CN"/>
                    </w:rPr>
                    <w:t>2.0t/5a</w:t>
                  </w:r>
                </w:p>
              </w:tc>
              <w:tc>
                <w:tcPr>
                  <w:tcW w:w="785" w:type="pct"/>
                  <w:vAlign w:val="center"/>
                </w:tcPr>
                <w:p w14:paraId="3828BEDF">
                  <w:pPr>
                    <w:pStyle w:val="53"/>
                    <w:rPr>
                      <w:rFonts w:hint="default" w:ascii="Times New Roman" w:hAnsi="Times New Roman" w:cs="Times New Roman"/>
                      <w:color w:val="auto"/>
                    </w:rPr>
                  </w:pPr>
                  <w:r>
                    <w:rPr>
                      <w:rFonts w:hint="default" w:ascii="Times New Roman" w:hAnsi="Times New Roman" w:cs="Times New Roman"/>
                      <w:color w:val="auto"/>
                    </w:rPr>
                    <w:t>专用容器</w:t>
                  </w:r>
                  <w:r>
                    <w:rPr>
                      <w:rFonts w:hint="eastAsia" w:cs="Times New Roman"/>
                      <w:color w:val="auto"/>
                      <w:lang w:eastAsia="zh-CN"/>
                    </w:rPr>
                    <w:t>，</w:t>
                  </w:r>
                  <w:r>
                    <w:rPr>
                      <w:rFonts w:hint="eastAsia" w:cs="Times New Roman"/>
                      <w:color w:val="auto"/>
                      <w:lang w:val="en-US" w:eastAsia="zh-CN"/>
                    </w:rPr>
                    <w:t>依托租赁方</w:t>
                  </w:r>
                  <w:r>
                    <w:rPr>
                      <w:rFonts w:hint="default" w:ascii="Times New Roman" w:hAnsi="Times New Roman" w:cs="Times New Roman"/>
                      <w:color w:val="auto"/>
                    </w:rPr>
                    <w:t>危险废物</w:t>
                  </w:r>
                  <w:r>
                    <w:rPr>
                      <w:rFonts w:hint="eastAsia" w:ascii="Times New Roman" w:hAnsi="Times New Roman" w:cs="Times New Roman"/>
                      <w:color w:val="auto"/>
                      <w:lang w:eastAsia="zh-CN"/>
                    </w:rPr>
                    <w:t>贮</w:t>
                  </w:r>
                  <w:r>
                    <w:rPr>
                      <w:rFonts w:hint="default" w:ascii="Times New Roman" w:hAnsi="Times New Roman" w:cs="Times New Roman"/>
                      <w:color w:val="auto"/>
                    </w:rPr>
                    <w:t>存库</w:t>
                  </w:r>
                </w:p>
              </w:tc>
              <w:tc>
                <w:tcPr>
                  <w:tcW w:w="562" w:type="pct"/>
                  <w:vAlign w:val="center"/>
                </w:tcPr>
                <w:p w14:paraId="3A1BE854">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交由危险废物资质单位处置</w:t>
                  </w:r>
                </w:p>
              </w:tc>
            </w:tr>
            <w:tr w14:paraId="32D7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6" w:type="pct"/>
                  <w:shd w:val="clear" w:color="auto" w:fill="auto"/>
                  <w:vAlign w:val="center"/>
                </w:tcPr>
                <w:p w14:paraId="15794182">
                  <w:pPr>
                    <w:pStyle w:val="53"/>
                    <w:ind w:firstLine="0" w:firstLineChars="0"/>
                    <w:rPr>
                      <w:rFonts w:hint="default" w:ascii="Times New Roman" w:hAnsi="Times New Roman" w:eastAsia="宋体" w:cs="Times New Roman"/>
                      <w:snapToGrid w:val="0"/>
                      <w:color w:val="auto"/>
                      <w:kern w:val="2"/>
                      <w:sz w:val="21"/>
                      <w:szCs w:val="21"/>
                      <w:lang w:val="en-US" w:eastAsia="zh-CN" w:bidi="ar-SA"/>
                    </w:rPr>
                  </w:pPr>
                  <w:r>
                    <w:rPr>
                      <w:rFonts w:hint="eastAsia" w:cs="Times New Roman"/>
                      <w:color w:val="auto"/>
                      <w:lang w:val="en-US" w:eastAsia="zh-CN"/>
                    </w:rPr>
                    <w:t>6</w:t>
                  </w:r>
                </w:p>
              </w:tc>
              <w:tc>
                <w:tcPr>
                  <w:tcW w:w="564" w:type="pct"/>
                  <w:vAlign w:val="center"/>
                </w:tcPr>
                <w:p w14:paraId="0A041CD6">
                  <w:pPr>
                    <w:pStyle w:val="53"/>
                    <w:rPr>
                      <w:rFonts w:hint="eastAsia" w:ascii="Times New Roman" w:hAnsi="Times New Roman" w:eastAsia="宋体" w:cs="Times New Roman"/>
                      <w:color w:val="auto"/>
                      <w:lang w:val="en-US" w:eastAsia="zh-CN"/>
                    </w:rPr>
                  </w:pPr>
                  <w:r>
                    <w:rPr>
                      <w:rFonts w:hint="eastAsia" w:cs="Times New Roman"/>
                      <w:color w:val="auto"/>
                      <w:lang w:val="en-US" w:eastAsia="zh-CN"/>
                    </w:rPr>
                    <w:t>生活垃圾</w:t>
                  </w:r>
                </w:p>
              </w:tc>
              <w:tc>
                <w:tcPr>
                  <w:tcW w:w="657" w:type="pct"/>
                  <w:vAlign w:val="center"/>
                </w:tcPr>
                <w:p w14:paraId="0F343751">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员工生活</w:t>
                  </w:r>
                </w:p>
              </w:tc>
              <w:tc>
                <w:tcPr>
                  <w:tcW w:w="867" w:type="pct"/>
                  <w:vAlign w:val="center"/>
                </w:tcPr>
                <w:p w14:paraId="50EE6803">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生活垃圾900</w:t>
                  </w:r>
                  <w:r>
                    <w:rPr>
                      <w:rFonts w:hint="default" w:ascii="Times New Roman" w:hAnsi="Times New Roman" w:cs="Times New Roman"/>
                      <w:color w:val="auto"/>
                    </w:rPr>
                    <w:t>-00</w:t>
                  </w:r>
                  <w:r>
                    <w:rPr>
                      <w:rFonts w:hint="eastAsia" w:cs="Times New Roman"/>
                      <w:color w:val="auto"/>
                      <w:lang w:val="en-US" w:eastAsia="zh-CN"/>
                    </w:rPr>
                    <w:t>2</w:t>
                  </w:r>
                  <w:r>
                    <w:rPr>
                      <w:rFonts w:hint="default" w:ascii="Times New Roman" w:hAnsi="Times New Roman" w:cs="Times New Roman"/>
                      <w:color w:val="auto"/>
                    </w:rPr>
                    <w:t>-</w:t>
                  </w:r>
                  <w:r>
                    <w:rPr>
                      <w:rFonts w:hint="eastAsia" w:cs="Times New Roman"/>
                      <w:color w:val="auto"/>
                      <w:lang w:val="en-US" w:eastAsia="zh-CN"/>
                    </w:rPr>
                    <w:t>S64</w:t>
                  </w:r>
                </w:p>
              </w:tc>
              <w:tc>
                <w:tcPr>
                  <w:tcW w:w="382" w:type="pct"/>
                  <w:vAlign w:val="center"/>
                </w:tcPr>
                <w:p w14:paraId="26AA05FE">
                  <w:pPr>
                    <w:pStyle w:val="53"/>
                    <w:rPr>
                      <w:rFonts w:hint="default" w:ascii="Times New Roman" w:hAnsi="Times New Roman" w:cs="Times New Roman"/>
                      <w:color w:val="auto"/>
                    </w:rPr>
                  </w:pPr>
                  <w:r>
                    <w:rPr>
                      <w:rFonts w:hint="default" w:ascii="Times New Roman" w:hAnsi="Times New Roman" w:cs="Times New Roman"/>
                      <w:color w:val="auto"/>
                    </w:rPr>
                    <w:t>S</w:t>
                  </w:r>
                </w:p>
              </w:tc>
              <w:tc>
                <w:tcPr>
                  <w:tcW w:w="403" w:type="pct"/>
                  <w:vAlign w:val="center"/>
                </w:tcPr>
                <w:p w14:paraId="6F8C79EF">
                  <w:pPr>
                    <w:pStyle w:val="53"/>
                    <w:rPr>
                      <w:rFonts w:hint="eastAsia" w:ascii="Times New Roman" w:hAnsi="Times New Roman" w:eastAsia="宋体" w:cs="Times New Roman"/>
                      <w:color w:val="auto"/>
                      <w:lang w:val="en-US" w:eastAsia="zh-CN"/>
                    </w:rPr>
                  </w:pPr>
                  <w:r>
                    <w:rPr>
                      <w:rFonts w:hint="eastAsia" w:cs="Times New Roman"/>
                      <w:color w:val="auto"/>
                      <w:lang w:val="en-US" w:eastAsia="zh-CN"/>
                    </w:rPr>
                    <w:t>/</w:t>
                  </w:r>
                </w:p>
              </w:tc>
              <w:tc>
                <w:tcPr>
                  <w:tcW w:w="470" w:type="pct"/>
                  <w:vAlign w:val="center"/>
                </w:tcPr>
                <w:p w14:paraId="2B9A944F">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2.25</w:t>
                  </w:r>
                </w:p>
              </w:tc>
              <w:tc>
                <w:tcPr>
                  <w:tcW w:w="785" w:type="pct"/>
                  <w:vAlign w:val="center"/>
                </w:tcPr>
                <w:p w14:paraId="52281811">
                  <w:pPr>
                    <w:pStyle w:val="53"/>
                    <w:rPr>
                      <w:rFonts w:hint="eastAsia" w:ascii="Times New Roman" w:hAnsi="Times New Roman" w:eastAsia="宋体" w:cs="Times New Roman"/>
                      <w:color w:val="auto"/>
                      <w:lang w:val="en-US" w:eastAsia="zh-CN"/>
                    </w:rPr>
                  </w:pPr>
                  <w:r>
                    <w:rPr>
                      <w:rFonts w:hint="eastAsia" w:cs="Times New Roman"/>
                      <w:color w:val="auto"/>
                      <w:lang w:val="en-US" w:eastAsia="zh-CN"/>
                    </w:rPr>
                    <w:t>垃圾桶</w:t>
                  </w:r>
                </w:p>
              </w:tc>
              <w:tc>
                <w:tcPr>
                  <w:tcW w:w="562" w:type="pct"/>
                  <w:vAlign w:val="center"/>
                </w:tcPr>
                <w:p w14:paraId="52204325">
                  <w:pPr>
                    <w:pStyle w:val="53"/>
                    <w:rPr>
                      <w:rFonts w:hint="default" w:ascii="Times New Roman" w:hAnsi="Times New Roman" w:eastAsia="宋体" w:cs="Times New Roman"/>
                      <w:color w:val="auto"/>
                      <w:lang w:val="en-US" w:eastAsia="zh-CN"/>
                    </w:rPr>
                  </w:pPr>
                  <w:r>
                    <w:rPr>
                      <w:rFonts w:hint="eastAsia" w:cs="Times New Roman"/>
                      <w:color w:val="auto"/>
                      <w:lang w:val="en-US" w:eastAsia="zh-CN"/>
                    </w:rPr>
                    <w:t>交环卫部门处理</w:t>
                  </w:r>
                </w:p>
              </w:tc>
            </w:tr>
          </w:tbl>
          <w:p w14:paraId="040086AD">
            <w:pPr>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Times New Roman" w:hAnsi="Times New Roman" w:eastAsia="宋体" w:cs="Times New Roman"/>
                <w:b/>
                <w:bCs/>
                <w:color w:val="auto"/>
                <w:lang w:val="en-US" w:eastAsia="zh-CN"/>
              </w:rPr>
            </w:pPr>
            <w:r>
              <w:rPr>
                <w:rFonts w:hint="default" w:ascii="Times New Roman" w:hAnsi="Times New Roman" w:cs="Times New Roman"/>
                <w:b/>
                <w:bCs/>
                <w:color w:val="auto"/>
              </w:rPr>
              <w:t>管理要求</w:t>
            </w:r>
            <w:r>
              <w:rPr>
                <w:rFonts w:hint="eastAsia" w:cs="Times New Roman"/>
                <w:b/>
                <w:bCs/>
                <w:color w:val="auto"/>
                <w:lang w:val="en-US" w:eastAsia="zh-CN"/>
              </w:rPr>
              <w:t>:</w:t>
            </w:r>
          </w:p>
          <w:p w14:paraId="4259E19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lang w:val="en-US" w:eastAsia="zh-CN"/>
              </w:rPr>
            </w:pPr>
            <w:r>
              <w:rPr>
                <w:rFonts w:hint="eastAsia" w:ascii="Times New Roman" w:hAnsi="Times New Roman" w:eastAsia="宋体" w:cs="Times New Roman"/>
                <w:color w:val="auto"/>
                <w:kern w:val="2"/>
                <w:sz w:val="24"/>
                <w:szCs w:val="24"/>
                <w:lang w:val="en-US" w:eastAsia="zh-CN" w:bidi="ar-SA"/>
              </w:rPr>
              <w:t>（1）</w:t>
            </w:r>
            <w:r>
              <w:rPr>
                <w:rFonts w:hint="eastAsia" w:cs="Times New Roman"/>
                <w:color w:val="auto"/>
                <w:lang w:val="en-US" w:eastAsia="zh-CN"/>
              </w:rPr>
              <w:t>一般固体废物</w:t>
            </w:r>
          </w:p>
          <w:p w14:paraId="0707CFB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lang w:val="en-US"/>
              </w:rPr>
            </w:pPr>
            <w:r>
              <w:rPr>
                <w:rFonts w:hint="default" w:ascii="Times New Roman" w:hAnsi="Times New Roman" w:cs="Times New Roman"/>
                <w:color w:val="auto"/>
              </w:rPr>
              <w:t>项目</w:t>
            </w:r>
            <w:r>
              <w:rPr>
                <w:rFonts w:hint="eastAsia" w:cs="Times New Roman"/>
                <w:color w:val="auto"/>
                <w:lang w:val="en-US" w:eastAsia="zh-CN"/>
              </w:rPr>
              <w:t>筛选废料、</w:t>
            </w:r>
            <w:r>
              <w:rPr>
                <w:rFonts w:hint="default" w:ascii="Times New Roman" w:hAnsi="Times New Roman" w:cs="Times New Roman"/>
                <w:color w:val="auto"/>
              </w:rPr>
              <w:t>废包装材料</w:t>
            </w:r>
            <w:r>
              <w:rPr>
                <w:rFonts w:hint="eastAsia"/>
                <w:color w:val="auto"/>
                <w:lang w:eastAsia="zh-CN"/>
              </w:rPr>
              <w:t>集中收集后</w:t>
            </w:r>
            <w:r>
              <w:rPr>
                <w:rFonts w:hint="eastAsia"/>
                <w:color w:val="auto"/>
                <w:lang w:val="en-US" w:eastAsia="zh-CN"/>
              </w:rPr>
              <w:t>暂存于车间东南角的一般固废暂存区，外售处理；废油脂由专用容器收集后</w:t>
            </w:r>
            <w:r>
              <w:rPr>
                <w:rFonts w:hint="eastAsia" w:cs="Times New Roman"/>
                <w:color w:val="auto"/>
                <w:lang w:val="en-US" w:eastAsia="zh-CN"/>
              </w:rPr>
              <w:t>交由专门的回收单位处置；污泥依托租赁方废水处理站的叠螺脱水机脱水后委外处置。</w:t>
            </w:r>
          </w:p>
          <w:p w14:paraId="280C7753">
            <w:pPr>
              <w:keepNext w:val="0"/>
              <w:keepLines w:val="0"/>
              <w:pageBreakBefore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color w:val="auto"/>
                <w:kern w:val="0"/>
              </w:rPr>
            </w:pPr>
            <w:r>
              <w:rPr>
                <w:rFonts w:hint="default" w:ascii="Times New Roman" w:hAnsi="Times New Roman" w:cs="Times New Roman"/>
                <w:b/>
                <w:color w:val="auto"/>
              </w:rPr>
              <w:t>一般固体废物管理要求：</w:t>
            </w:r>
            <w:r>
              <w:rPr>
                <w:rFonts w:hint="default" w:ascii="Times New Roman" w:hAnsi="Times New Roman" w:cs="Times New Roman"/>
                <w:bCs/>
                <w:color w:val="auto"/>
              </w:rPr>
              <w:t>根据《中华人民共和国固体废物污染环境防治法》（2020年9月1日）等相关法律法规的要</w:t>
            </w:r>
            <w:r>
              <w:rPr>
                <w:rFonts w:hint="default" w:ascii="Times New Roman" w:hAnsi="Times New Roman" w:cs="Times New Roman"/>
                <w:color w:val="auto"/>
                <w:kern w:val="0"/>
              </w:rPr>
              <w:t>求，针对项目一般工业固废贮存提出如下要求：</w:t>
            </w:r>
          </w:p>
          <w:p w14:paraId="5071B30D">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kern w:val="0"/>
              </w:rPr>
            </w:pPr>
            <w:r>
              <w:rPr>
                <w:rFonts w:hint="default" w:ascii="Times New Roman" w:hAnsi="Times New Roman" w:cs="Times New Roman"/>
                <w:color w:val="auto"/>
                <w:kern w:val="0"/>
              </w:rPr>
              <w:t>①贮存场所</w:t>
            </w:r>
            <w:r>
              <w:rPr>
                <w:rFonts w:hint="eastAsia" w:cs="Times New Roman"/>
                <w:color w:val="auto"/>
                <w:kern w:val="0"/>
                <w:lang w:val="en-US" w:eastAsia="zh-CN"/>
              </w:rPr>
              <w:t>位于车间内，</w:t>
            </w:r>
            <w:r>
              <w:rPr>
                <w:rFonts w:hint="default" w:ascii="Times New Roman" w:hAnsi="Times New Roman" w:cs="Times New Roman"/>
                <w:color w:val="auto"/>
                <w:kern w:val="0"/>
              </w:rPr>
              <w:t>地面硬化，达到防扬散、防流失、防渗漏等要求，不得擅自倾倒、堆放、丢弃、遗撒固体废物；</w:t>
            </w:r>
          </w:p>
          <w:p w14:paraId="5E23FBBF">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kern w:val="0"/>
              </w:rPr>
            </w:pPr>
            <w:r>
              <w:rPr>
                <w:rFonts w:hint="default" w:ascii="Times New Roman" w:hAnsi="Times New Roman" w:cs="Times New Roman"/>
                <w:color w:val="auto"/>
                <w:kern w:val="0"/>
              </w:rPr>
              <w:t>②</w:t>
            </w:r>
            <w:r>
              <w:rPr>
                <w:rFonts w:hint="default" w:ascii="Times New Roman" w:hAnsi="Times New Roman" w:cs="Times New Roman"/>
                <w:bCs/>
                <w:color w:val="auto"/>
              </w:rPr>
              <w:t>贮存</w:t>
            </w:r>
            <w:r>
              <w:rPr>
                <w:rFonts w:hint="default" w:ascii="Times New Roman" w:hAnsi="Times New Roman" w:cs="Times New Roman"/>
                <w:color w:val="auto"/>
                <w:kern w:val="0"/>
              </w:rPr>
              <w:t>场所应按《环境保护图形标志-固体废物贮存（处置）场》（GB15562.2-1995）设置环境保护图形标志，并定期检查和维护；</w:t>
            </w:r>
          </w:p>
          <w:p w14:paraId="4F539C17">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kern w:val="0"/>
              </w:rPr>
            </w:pPr>
            <w:r>
              <w:rPr>
                <w:rFonts w:hint="default" w:ascii="Times New Roman" w:hAnsi="Times New Roman" w:cs="Times New Roman"/>
                <w:color w:val="auto"/>
                <w:kern w:val="0"/>
              </w:rPr>
              <w:t>③</w:t>
            </w:r>
            <w:r>
              <w:rPr>
                <w:rFonts w:hint="default" w:ascii="Times New Roman" w:hAnsi="Times New Roman" w:cs="Times New Roman"/>
                <w:bCs/>
                <w:color w:val="auto"/>
              </w:rPr>
              <w:t>贮存</w:t>
            </w:r>
            <w:r>
              <w:rPr>
                <w:rFonts w:hint="default" w:ascii="Times New Roman" w:hAnsi="Times New Roman" w:cs="Times New Roman"/>
                <w:color w:val="auto"/>
                <w:kern w:val="0"/>
              </w:rPr>
              <w:t>场所应制定运行计划；</w:t>
            </w:r>
          </w:p>
          <w:p w14:paraId="026F5F4E">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kern w:val="0"/>
              </w:rPr>
            </w:pPr>
            <w:r>
              <w:rPr>
                <w:rFonts w:hint="default" w:ascii="Times New Roman" w:hAnsi="Times New Roman" w:cs="Times New Roman"/>
                <w:color w:val="auto"/>
                <w:kern w:val="0"/>
              </w:rPr>
              <w:t>④落实一般工业固体废物处置方案，签订协议，尽可能及时外运，避免长期堆存；</w:t>
            </w:r>
          </w:p>
          <w:p w14:paraId="18332A25">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kern w:val="0"/>
              </w:rPr>
            </w:pPr>
            <w:r>
              <w:rPr>
                <w:rFonts w:hint="default" w:ascii="Times New Roman" w:hAnsi="Times New Roman" w:cs="Times New Roman"/>
                <w:color w:val="auto"/>
                <w:kern w:val="0"/>
              </w:rPr>
              <w:t>⑤一般工业固体废物贮存、处置场所，禁止危险废物和生活垃圾混入。</w:t>
            </w:r>
          </w:p>
          <w:p w14:paraId="4BA95C4F">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s="Times New Roman"/>
                <w:color w:val="auto"/>
                <w:lang w:eastAsia="zh-CN"/>
              </w:rPr>
            </w:pPr>
            <w:r>
              <w:rPr>
                <w:rFonts w:hint="eastAsia" w:ascii="Times New Roman" w:hAnsi="Times New Roman" w:eastAsia="宋体" w:cs="Times New Roman"/>
                <w:color w:val="auto"/>
                <w:kern w:val="2"/>
                <w:sz w:val="24"/>
                <w:szCs w:val="24"/>
                <w:lang w:val="en-US" w:eastAsia="zh-CN" w:bidi="ar-SA"/>
              </w:rPr>
              <w:t>（2）</w:t>
            </w:r>
            <w:r>
              <w:rPr>
                <w:rFonts w:hint="eastAsia" w:cs="Times New Roman"/>
                <w:color w:val="auto"/>
                <w:lang w:eastAsia="zh-CN"/>
              </w:rPr>
              <w:t>危险废物</w:t>
            </w:r>
          </w:p>
          <w:p w14:paraId="1ED120C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rPr>
              <w:t>项目产生</w:t>
            </w:r>
            <w:r>
              <w:rPr>
                <w:rFonts w:hint="default" w:ascii="Times New Roman" w:hAnsi="Times New Roman" w:cs="Times New Roman"/>
                <w:snapToGrid w:val="0"/>
                <w:color w:val="auto"/>
              </w:rPr>
              <w:t>的</w:t>
            </w:r>
            <w:r>
              <w:rPr>
                <w:rFonts w:hint="default" w:ascii="Times New Roman" w:hAnsi="Times New Roman" w:cs="Times New Roman"/>
                <w:color w:val="auto"/>
              </w:rPr>
              <w:t>废</w:t>
            </w:r>
            <w:r>
              <w:rPr>
                <w:rFonts w:hint="eastAsia" w:cs="Times New Roman"/>
                <w:color w:val="auto"/>
                <w:lang w:val="en-US" w:eastAsia="zh-CN"/>
              </w:rPr>
              <w:t>导热油</w:t>
            </w:r>
            <w:r>
              <w:rPr>
                <w:rFonts w:hint="default" w:ascii="Times New Roman" w:hAnsi="Times New Roman" w:cs="Times New Roman"/>
                <w:color w:val="auto"/>
              </w:rPr>
              <w:t>属于危险废物，统一收集后，暂存于</w:t>
            </w:r>
            <w:r>
              <w:rPr>
                <w:rFonts w:hint="eastAsia" w:cs="Times New Roman"/>
                <w:color w:val="auto"/>
                <w:lang w:eastAsia="zh-CN"/>
              </w:rPr>
              <w:t>危险废物贮存库，</w:t>
            </w:r>
            <w:r>
              <w:rPr>
                <w:rFonts w:hint="default" w:ascii="Times New Roman" w:hAnsi="Times New Roman" w:cs="Times New Roman"/>
                <w:color w:val="auto"/>
              </w:rPr>
              <w:t>定期交由有资质的单位处置。</w:t>
            </w:r>
          </w:p>
          <w:p w14:paraId="1B0AD7D9">
            <w:pPr>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cs="Times New Roman"/>
                <w:color w:val="auto"/>
                <w:lang w:val="en-US" w:eastAsia="zh-CN"/>
              </w:rPr>
            </w:pPr>
            <w:r>
              <w:rPr>
                <w:rFonts w:hint="default" w:ascii="Times New Roman" w:hAnsi="Times New Roman" w:cs="Times New Roman"/>
                <w:b/>
                <w:bCs/>
                <w:color w:val="auto"/>
              </w:rPr>
              <w:t>危险废物管理要求：</w:t>
            </w:r>
            <w:r>
              <w:rPr>
                <w:rFonts w:hint="eastAsia"/>
                <w:b w:val="0"/>
                <w:bCs/>
                <w:color w:val="auto"/>
                <w:sz w:val="24"/>
                <w:szCs w:val="24"/>
                <w:lang w:val="en-US" w:eastAsia="zh-CN"/>
              </w:rPr>
              <w:t>本项目</w:t>
            </w:r>
            <w:r>
              <w:rPr>
                <w:rFonts w:hint="eastAsia" w:cs="Times New Roman"/>
                <w:color w:val="auto"/>
                <w:lang w:val="en-US" w:eastAsia="zh-CN"/>
              </w:rPr>
              <w:t>导热油5年更换一次，除废导热油外日常生产无危废产生，项目不新建危废贮存库，</w:t>
            </w:r>
            <w:r>
              <w:rPr>
                <w:rFonts w:hint="eastAsia"/>
                <w:b w:val="0"/>
                <w:bCs/>
                <w:color w:val="auto"/>
                <w:sz w:val="24"/>
                <w:szCs w:val="24"/>
                <w:lang w:val="en-US" w:eastAsia="zh-CN"/>
              </w:rPr>
              <w:t>依托租赁方的危险废物</w:t>
            </w:r>
            <w:r>
              <w:rPr>
                <w:rFonts w:hint="eastAsia" w:cs="Times New Roman"/>
                <w:color w:val="auto"/>
                <w:lang w:eastAsia="zh-CN"/>
              </w:rPr>
              <w:t>贮存库</w:t>
            </w:r>
            <w:r>
              <w:rPr>
                <w:rFonts w:hint="eastAsia"/>
                <w:b w:val="0"/>
                <w:bCs/>
                <w:color w:val="auto"/>
                <w:sz w:val="24"/>
                <w:szCs w:val="24"/>
                <w:lang w:val="en-US" w:eastAsia="zh-CN"/>
              </w:rPr>
              <w:t>。依托危险废物</w:t>
            </w:r>
            <w:r>
              <w:rPr>
                <w:rFonts w:hint="eastAsia" w:cs="Times New Roman"/>
                <w:color w:val="auto"/>
                <w:lang w:eastAsia="zh-CN"/>
              </w:rPr>
              <w:t>贮存库</w:t>
            </w:r>
            <w:r>
              <w:rPr>
                <w:rFonts w:hint="eastAsia"/>
                <w:b w:val="0"/>
                <w:bCs/>
                <w:color w:val="auto"/>
                <w:sz w:val="24"/>
                <w:szCs w:val="24"/>
                <w:lang w:val="en-US" w:eastAsia="zh-CN"/>
              </w:rPr>
              <w:t>位于厂区北侧，面积为9m</w:t>
            </w:r>
            <w:r>
              <w:rPr>
                <w:rFonts w:hint="eastAsia"/>
                <w:b w:val="0"/>
                <w:bCs/>
                <w:color w:val="auto"/>
                <w:sz w:val="24"/>
                <w:szCs w:val="24"/>
                <w:vertAlign w:val="superscript"/>
                <w:lang w:val="en-US" w:eastAsia="zh-CN"/>
              </w:rPr>
              <w:t>2</w:t>
            </w:r>
            <w:r>
              <w:rPr>
                <w:rFonts w:hint="eastAsia"/>
                <w:b w:val="0"/>
                <w:bCs/>
                <w:color w:val="auto"/>
                <w:sz w:val="24"/>
                <w:szCs w:val="24"/>
                <w:lang w:val="en-US" w:eastAsia="zh-CN"/>
              </w:rPr>
              <w:t>，租赁方的危险废物</w:t>
            </w:r>
            <w:r>
              <w:rPr>
                <w:rFonts w:hint="eastAsia" w:cs="Times New Roman"/>
                <w:color w:val="auto"/>
                <w:lang w:eastAsia="zh-CN"/>
              </w:rPr>
              <w:t>贮存库</w:t>
            </w:r>
            <w:r>
              <w:rPr>
                <w:rFonts w:hint="eastAsia" w:cs="Times New Roman"/>
                <w:color w:val="auto"/>
                <w:lang w:val="en-US" w:eastAsia="zh-CN"/>
              </w:rPr>
              <w:t>正在进行环保竣工验收，已</w:t>
            </w:r>
            <w:r>
              <w:rPr>
                <w:rFonts w:hint="default" w:ascii="Times New Roman" w:hAnsi="Times New Roman" w:cs="Times New Roman"/>
                <w:color w:val="auto"/>
                <w:sz w:val="24"/>
              </w:rPr>
              <w:t>设置危险废物贮存设施标志、危险废物贮存分区标志和危险废物标签等危险废物识别标志</w:t>
            </w:r>
            <w:r>
              <w:rPr>
                <w:rFonts w:hint="eastAsia" w:cs="Times New Roman"/>
                <w:color w:val="auto"/>
                <w:sz w:val="24"/>
                <w:lang w:eastAsia="zh-CN"/>
              </w:rPr>
              <w:t>，</w:t>
            </w:r>
            <w:r>
              <w:rPr>
                <w:rFonts w:hint="eastAsia" w:cs="Times New Roman"/>
                <w:color w:val="auto"/>
                <w:lang w:val="en-US" w:eastAsia="zh-CN"/>
              </w:rPr>
              <w:t>地面已采取防渗措施，并按危废种类进行分区，其危废种类包含</w:t>
            </w:r>
            <w:r>
              <w:rPr>
                <w:rFonts w:hint="default" w:ascii="Times New Roman" w:hAnsi="Times New Roman" w:cs="Times New Roman"/>
                <w:color w:val="auto"/>
              </w:rPr>
              <w:t>HW</w:t>
            </w:r>
            <w:r>
              <w:rPr>
                <w:rFonts w:hint="eastAsia" w:cs="Times New Roman"/>
                <w:color w:val="auto"/>
                <w:lang w:val="en-US" w:eastAsia="zh-CN"/>
              </w:rPr>
              <w:t>08，可满足项目贮存要求，项目依托</w:t>
            </w:r>
            <w:r>
              <w:rPr>
                <w:rFonts w:hint="eastAsia"/>
                <w:b w:val="0"/>
                <w:bCs/>
                <w:color w:val="auto"/>
                <w:sz w:val="24"/>
                <w:szCs w:val="24"/>
                <w:lang w:val="en-US" w:eastAsia="zh-CN"/>
              </w:rPr>
              <w:t>租赁方的危险废物</w:t>
            </w:r>
            <w:r>
              <w:rPr>
                <w:rFonts w:hint="eastAsia" w:cs="Times New Roman"/>
                <w:color w:val="auto"/>
                <w:lang w:eastAsia="zh-CN"/>
              </w:rPr>
              <w:t>贮存库</w:t>
            </w:r>
            <w:r>
              <w:rPr>
                <w:rFonts w:hint="eastAsia" w:cs="Times New Roman"/>
                <w:color w:val="auto"/>
                <w:lang w:val="en-US" w:eastAsia="zh-CN"/>
              </w:rPr>
              <w:t>可行</w:t>
            </w:r>
            <w:r>
              <w:rPr>
                <w:rFonts w:hint="eastAsia"/>
                <w:b w:val="0"/>
                <w:bCs/>
                <w:color w:val="auto"/>
                <w:sz w:val="24"/>
                <w:szCs w:val="24"/>
                <w:lang w:val="en-US" w:eastAsia="zh-CN"/>
              </w:rPr>
              <w:t>。</w:t>
            </w:r>
          </w:p>
          <w:p w14:paraId="2D6E5A4B">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cs="Times New Roman"/>
                <w:color w:val="auto"/>
                <w:lang w:val="en-US" w:eastAsia="zh-CN"/>
              </w:rPr>
            </w:pPr>
            <w:r>
              <w:rPr>
                <w:rFonts w:hint="default" w:ascii="Times New Roman" w:hAnsi="Times New Roman" w:cs="Times New Roman"/>
                <w:color w:val="auto"/>
              </w:rPr>
              <w:t>（</w:t>
            </w:r>
            <w:r>
              <w:rPr>
                <w:rFonts w:hint="eastAsia" w:ascii="Times New Roman" w:hAnsi="Times New Roman" w:cs="Times New Roman"/>
                <w:color w:val="auto"/>
                <w:lang w:val="en-US" w:eastAsia="zh-CN"/>
              </w:rPr>
              <w:t>3</w:t>
            </w:r>
            <w:r>
              <w:rPr>
                <w:rFonts w:hint="default" w:ascii="Times New Roman" w:hAnsi="Times New Roman" w:cs="Times New Roman"/>
                <w:color w:val="auto"/>
              </w:rPr>
              <w:t>）</w:t>
            </w:r>
            <w:r>
              <w:rPr>
                <w:rFonts w:hint="eastAsia" w:ascii="Times New Roman" w:hAnsi="Times New Roman" w:cs="Times New Roman"/>
                <w:color w:val="auto"/>
                <w:lang w:val="en-US" w:eastAsia="zh-CN"/>
              </w:rPr>
              <w:t>生活垃圾</w:t>
            </w:r>
          </w:p>
          <w:p w14:paraId="0335E4E0">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rPr>
              <w:t>项目</w:t>
            </w:r>
            <w:r>
              <w:rPr>
                <w:rFonts w:hint="eastAsia" w:ascii="Times New Roman" w:hAnsi="Times New Roman" w:cs="Times New Roman"/>
                <w:color w:val="auto"/>
                <w:lang w:val="en-US" w:eastAsia="zh-CN"/>
              </w:rPr>
              <w:t>生活垃圾由垃圾桶分类收集，交由环卫部门处理。</w:t>
            </w:r>
          </w:p>
          <w:p w14:paraId="0255DBF5">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color w:val="auto"/>
              </w:rPr>
            </w:pPr>
            <w:r>
              <w:rPr>
                <w:rFonts w:hint="eastAsia"/>
                <w:color w:val="auto"/>
                <w:kern w:val="32"/>
                <w:lang w:val="en-US" w:eastAsia="zh-CN"/>
              </w:rPr>
              <w:t>综上所述，</w:t>
            </w:r>
            <w:r>
              <w:rPr>
                <w:color w:val="auto"/>
                <w:sz w:val="24"/>
              </w:rPr>
              <w:t>本项目产生的固体废物均能得到妥善处理。</w:t>
            </w:r>
          </w:p>
          <w:p w14:paraId="148F1495">
            <w:pPr>
              <w:keepNext w:val="0"/>
              <w:keepLines w:val="0"/>
              <w:pageBreakBefore w:val="0"/>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五、地下水、土壤</w:t>
            </w:r>
          </w:p>
          <w:p w14:paraId="2E040A2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color w:val="auto"/>
                <w:spacing w:val="-3"/>
                <w:sz w:val="24"/>
                <w:szCs w:val="24"/>
                <w:lang w:val="en-US" w:eastAsia="zh-CN"/>
              </w:rPr>
            </w:pPr>
            <w:r>
              <w:rPr>
                <w:rFonts w:hint="default" w:ascii="Times New Roman" w:hAnsi="Times New Roman" w:cs="Times New Roman"/>
                <w:color w:val="auto"/>
              </w:rPr>
              <w:t>项目</w:t>
            </w:r>
            <w:r>
              <w:rPr>
                <w:color w:val="auto"/>
                <w:spacing w:val="4"/>
                <w:sz w:val="24"/>
                <w:szCs w:val="24"/>
              </w:rPr>
              <w:t>对地下水</w:t>
            </w:r>
            <w:r>
              <w:rPr>
                <w:rFonts w:hint="eastAsia"/>
                <w:color w:val="auto"/>
                <w:spacing w:val="-3"/>
                <w:sz w:val="24"/>
                <w:szCs w:val="24"/>
                <w:lang w:val="en-US" w:eastAsia="zh-CN"/>
              </w:rPr>
              <w:t>和</w:t>
            </w:r>
            <w:r>
              <w:rPr>
                <w:color w:val="auto"/>
                <w:spacing w:val="-3"/>
                <w:sz w:val="24"/>
                <w:szCs w:val="24"/>
              </w:rPr>
              <w:t>土壤</w:t>
            </w:r>
            <w:r>
              <w:rPr>
                <w:color w:val="auto"/>
                <w:spacing w:val="4"/>
                <w:sz w:val="24"/>
                <w:szCs w:val="24"/>
              </w:rPr>
              <w:t>环境的影响因素主要为</w:t>
            </w:r>
            <w:r>
              <w:rPr>
                <w:rFonts w:hint="eastAsia"/>
                <w:color w:val="auto"/>
                <w:spacing w:val="4"/>
                <w:sz w:val="24"/>
                <w:szCs w:val="24"/>
                <w:lang w:val="en-US" w:eastAsia="zh-CN"/>
              </w:rPr>
              <w:t>导热油泄漏、隔油沉淀池的池体泄漏</w:t>
            </w:r>
            <w:r>
              <w:rPr>
                <w:color w:val="auto"/>
                <w:spacing w:val="4"/>
                <w:sz w:val="24"/>
                <w:szCs w:val="24"/>
              </w:rPr>
              <w:t>等下渗对地</w:t>
            </w:r>
            <w:r>
              <w:rPr>
                <w:color w:val="auto"/>
                <w:spacing w:val="-3"/>
                <w:sz w:val="24"/>
                <w:szCs w:val="24"/>
              </w:rPr>
              <w:t>下水</w:t>
            </w:r>
            <w:r>
              <w:rPr>
                <w:rFonts w:hint="eastAsia"/>
                <w:color w:val="auto"/>
                <w:spacing w:val="-3"/>
                <w:sz w:val="24"/>
                <w:szCs w:val="24"/>
                <w:lang w:val="en-US" w:eastAsia="zh-CN"/>
              </w:rPr>
              <w:t>和土壤的影响</w:t>
            </w:r>
            <w:r>
              <w:rPr>
                <w:color w:val="auto"/>
                <w:spacing w:val="-3"/>
                <w:sz w:val="24"/>
                <w:szCs w:val="24"/>
              </w:rPr>
              <w:t>。</w:t>
            </w:r>
            <w:r>
              <w:rPr>
                <w:rFonts w:hint="eastAsia"/>
                <w:color w:val="auto"/>
                <w:spacing w:val="-3"/>
                <w:sz w:val="24"/>
                <w:szCs w:val="24"/>
                <w:lang w:val="en-US" w:eastAsia="zh-CN"/>
              </w:rPr>
              <w:t>为降低对</w:t>
            </w:r>
            <w:r>
              <w:rPr>
                <w:color w:val="auto"/>
                <w:spacing w:val="4"/>
                <w:sz w:val="24"/>
                <w:szCs w:val="24"/>
              </w:rPr>
              <w:t>地</w:t>
            </w:r>
            <w:r>
              <w:rPr>
                <w:color w:val="auto"/>
                <w:spacing w:val="-3"/>
                <w:sz w:val="24"/>
                <w:szCs w:val="24"/>
              </w:rPr>
              <w:t>下水</w:t>
            </w:r>
            <w:r>
              <w:rPr>
                <w:rFonts w:hint="eastAsia"/>
                <w:color w:val="auto"/>
                <w:spacing w:val="-3"/>
                <w:sz w:val="24"/>
                <w:szCs w:val="24"/>
                <w:lang w:val="en-US" w:eastAsia="zh-CN"/>
              </w:rPr>
              <w:t>和土壤的污染，项目采取分区防渗措施，具体如下：</w:t>
            </w:r>
          </w:p>
          <w:p w14:paraId="3CC04FBA">
            <w:pPr>
              <w:keepNext w:val="0"/>
              <w:keepLines w:val="0"/>
              <w:pageBreakBefore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lang w:val="en-US" w:eastAsia="zh-CN"/>
              </w:rPr>
              <w:t>①</w:t>
            </w:r>
            <w:r>
              <w:rPr>
                <w:rFonts w:hint="eastAsia" w:ascii="Times New Roman" w:hAnsi="Times New Roman" w:eastAsia="宋体" w:cs="Times New Roman"/>
                <w:color w:val="auto"/>
                <w:lang w:val="en-US" w:eastAsia="zh-CN"/>
              </w:rPr>
              <w:t>重点防渗区：</w:t>
            </w:r>
            <w:r>
              <w:rPr>
                <w:rFonts w:hint="eastAsia"/>
                <w:color w:val="auto"/>
                <w:spacing w:val="4"/>
                <w:sz w:val="24"/>
                <w:szCs w:val="24"/>
                <w:lang w:val="en-US" w:eastAsia="zh-CN"/>
              </w:rPr>
              <w:t>隔油沉淀池</w:t>
            </w:r>
            <w:r>
              <w:rPr>
                <w:rFonts w:hint="eastAsia" w:cs="Times New Roman"/>
                <w:color w:val="auto"/>
                <w:lang w:val="en-US" w:eastAsia="zh-CN"/>
              </w:rPr>
              <w:t>和导热油加热间采取重点防渗，要求</w:t>
            </w:r>
            <w:r>
              <w:rPr>
                <w:rFonts w:hint="default" w:ascii="Times New Roman" w:hAnsi="Times New Roman" w:cs="Times New Roman"/>
                <w:color w:val="auto"/>
                <w:sz w:val="24"/>
                <w:szCs w:val="24"/>
              </w:rPr>
              <w:t>等效黏土防渗层Mb≥6.0m，K≤1×10</w:t>
            </w:r>
            <w:r>
              <w:rPr>
                <w:rFonts w:hint="default" w:ascii="Times New Roman" w:hAnsi="Times New Roman" w:cs="Times New Roman"/>
                <w:color w:val="auto"/>
                <w:sz w:val="24"/>
                <w:szCs w:val="24"/>
                <w:vertAlign w:val="superscript"/>
              </w:rPr>
              <w:t>-7</w:t>
            </w:r>
            <w:r>
              <w:rPr>
                <w:rFonts w:hint="default" w:ascii="Times New Roman" w:hAnsi="Times New Roman" w:cs="Times New Roman"/>
                <w:color w:val="auto"/>
                <w:sz w:val="24"/>
                <w:szCs w:val="24"/>
              </w:rPr>
              <w:t>cm/s；</w:t>
            </w:r>
          </w:p>
          <w:p w14:paraId="1D5AB3CF">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②</w:t>
            </w:r>
            <w:r>
              <w:rPr>
                <w:rFonts w:hint="eastAsia" w:ascii="Times New Roman" w:hAnsi="Times New Roman" w:eastAsia="宋体" w:cs="Times New Roman"/>
                <w:color w:val="auto"/>
                <w:lang w:val="en-US" w:eastAsia="zh-CN"/>
              </w:rPr>
              <w:t>一般防渗区：项目生产</w:t>
            </w:r>
            <w:r>
              <w:rPr>
                <w:rFonts w:hint="eastAsia" w:cs="Times New Roman"/>
                <w:color w:val="auto"/>
                <w:lang w:val="en-US" w:eastAsia="zh-CN"/>
              </w:rPr>
              <w:t>区</w:t>
            </w:r>
            <w:r>
              <w:rPr>
                <w:rFonts w:hint="eastAsia" w:ascii="Times New Roman" w:hAnsi="Times New Roman" w:eastAsia="宋体" w:cs="Times New Roman"/>
                <w:color w:val="auto"/>
                <w:lang w:val="en-US" w:eastAsia="zh-CN"/>
              </w:rPr>
              <w:t>采取一般防渗，</w:t>
            </w:r>
            <w:r>
              <w:rPr>
                <w:rFonts w:hint="eastAsia" w:cs="Times New Roman"/>
                <w:color w:val="auto"/>
                <w:lang w:val="en-US" w:eastAsia="zh-CN"/>
              </w:rPr>
              <w:t>要求</w:t>
            </w:r>
            <w:r>
              <w:rPr>
                <w:rFonts w:hint="default" w:ascii="Times New Roman" w:hAnsi="Times New Roman" w:cs="Times New Roman"/>
                <w:color w:val="auto"/>
                <w:sz w:val="24"/>
                <w:szCs w:val="24"/>
              </w:rPr>
              <w:t>等效黏土防渗层Mb≥</w:t>
            </w:r>
            <w:r>
              <w:rPr>
                <w:rFonts w:hint="eastAsia" w:ascii="Times New Roman" w:hAnsi="Times New Roman" w:cs="Times New Roman"/>
                <w:color w:val="auto"/>
                <w:sz w:val="24"/>
                <w:szCs w:val="24"/>
                <w:lang w:val="en-US" w:eastAsia="zh-CN"/>
              </w:rPr>
              <w:t>1.5</w:t>
            </w:r>
            <w:r>
              <w:rPr>
                <w:rFonts w:hint="default" w:ascii="Times New Roman" w:hAnsi="Times New Roman" w:cs="Times New Roman"/>
                <w:color w:val="auto"/>
                <w:sz w:val="24"/>
                <w:szCs w:val="24"/>
              </w:rPr>
              <w:t>m，K≤1×10</w:t>
            </w:r>
            <w:r>
              <w:rPr>
                <w:rFonts w:hint="default" w:ascii="Times New Roman" w:hAnsi="Times New Roman" w:cs="Times New Roman"/>
                <w:color w:val="auto"/>
                <w:sz w:val="24"/>
                <w:szCs w:val="24"/>
                <w:vertAlign w:val="superscript"/>
              </w:rPr>
              <w:t>-7</w:t>
            </w:r>
            <w:r>
              <w:rPr>
                <w:rFonts w:hint="default" w:ascii="Times New Roman" w:hAnsi="Times New Roman" w:cs="Times New Roman"/>
                <w:color w:val="auto"/>
                <w:sz w:val="24"/>
                <w:szCs w:val="24"/>
              </w:rPr>
              <w:t>cm/s</w:t>
            </w:r>
            <w:r>
              <w:rPr>
                <w:rFonts w:hint="eastAsia" w:cs="Times New Roman"/>
                <w:color w:val="auto"/>
                <w:sz w:val="24"/>
                <w:szCs w:val="24"/>
                <w:lang w:val="en-US" w:eastAsia="zh-CN"/>
              </w:rPr>
              <w:t>；</w:t>
            </w:r>
          </w:p>
          <w:p w14:paraId="126B1418">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③</w:t>
            </w:r>
            <w:r>
              <w:rPr>
                <w:rFonts w:hint="eastAsia" w:ascii="Times New Roman" w:hAnsi="Times New Roman" w:eastAsia="宋体" w:cs="Times New Roman"/>
                <w:color w:val="auto"/>
                <w:lang w:val="en-US" w:eastAsia="zh-CN"/>
              </w:rPr>
              <w:t>简单防渗区：项目办公区采取简单防渗。</w:t>
            </w:r>
          </w:p>
          <w:p w14:paraId="763BF50C">
            <w:pPr>
              <w:pStyle w:val="50"/>
              <w:rPr>
                <w:rFonts w:hint="default" w:ascii="Times New Roman" w:hAnsi="Times New Roman" w:cs="Times New Roman"/>
                <w:bCs/>
                <w:color w:val="auto"/>
                <w:szCs w:val="21"/>
              </w:rPr>
            </w:pPr>
            <w:r>
              <w:rPr>
                <w:rFonts w:hint="default" w:ascii="Times New Roman" w:hAnsi="Times New Roman" w:cs="Times New Roman"/>
                <w:color w:val="auto"/>
              </w:rPr>
              <w:t>表4-1</w:t>
            </w:r>
            <w:r>
              <w:rPr>
                <w:rFonts w:hint="eastAsia" w:cs="Times New Roman"/>
                <w:color w:val="auto"/>
                <w:lang w:val="en-US" w:eastAsia="zh-CN"/>
              </w:rPr>
              <w:t>4</w:t>
            </w:r>
            <w:r>
              <w:rPr>
                <w:rFonts w:hint="default" w:ascii="Times New Roman" w:hAnsi="Times New Roman" w:cs="Times New Roman"/>
                <w:bCs/>
                <w:color w:val="auto"/>
                <w:szCs w:val="21"/>
              </w:rPr>
              <w:t xml:space="preserve">  </w:t>
            </w:r>
            <w:r>
              <w:rPr>
                <w:rFonts w:hint="eastAsia" w:cs="Times New Roman"/>
                <w:bCs/>
                <w:color w:val="auto"/>
                <w:szCs w:val="21"/>
                <w:lang w:val="en-US" w:eastAsia="zh-CN"/>
              </w:rPr>
              <w:t>项目分区防渗</w:t>
            </w:r>
            <w:r>
              <w:rPr>
                <w:rFonts w:hint="default" w:ascii="Times New Roman" w:hAnsi="Times New Roman" w:cs="Times New Roman"/>
                <w:bCs/>
                <w:color w:val="auto"/>
                <w:szCs w:val="21"/>
              </w:rPr>
              <w:t>一览表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5"/>
              <w:gridCol w:w="1899"/>
              <w:gridCol w:w="5037"/>
            </w:tblGrid>
            <w:tr w14:paraId="78BA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295" w:type="pct"/>
                  <w:noWrap w:val="0"/>
                  <w:vAlign w:val="center"/>
                </w:tcPr>
                <w:p w14:paraId="3E8E31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场地名称</w:t>
                  </w:r>
                </w:p>
              </w:tc>
              <w:tc>
                <w:tcPr>
                  <w:tcW w:w="1014" w:type="pct"/>
                  <w:noWrap w:val="0"/>
                  <w:vAlign w:val="center"/>
                </w:tcPr>
                <w:p w14:paraId="106E55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防渗分区</w:t>
                  </w:r>
                </w:p>
              </w:tc>
              <w:tc>
                <w:tcPr>
                  <w:tcW w:w="2690" w:type="pct"/>
                  <w:noWrap w:val="0"/>
                  <w:vAlign w:val="center"/>
                </w:tcPr>
                <w:p w14:paraId="6CB9DC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防渗技术要求</w:t>
                  </w:r>
                </w:p>
              </w:tc>
            </w:tr>
            <w:tr w14:paraId="28FB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95" w:type="pct"/>
                  <w:noWrap w:val="0"/>
                  <w:vAlign w:val="center"/>
                </w:tcPr>
                <w:p w14:paraId="0B26A6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隔油沉淀池</w:t>
                  </w:r>
                  <w:r>
                    <w:rPr>
                      <w:rFonts w:hint="eastAsia" w:cs="Times New Roman"/>
                      <w:color w:val="auto"/>
                      <w:sz w:val="21"/>
                      <w:szCs w:val="21"/>
                      <w:lang w:val="en-US" w:eastAsia="zh-CN"/>
                    </w:rPr>
                    <w:t>、导热油加热间</w:t>
                  </w:r>
                </w:p>
              </w:tc>
              <w:tc>
                <w:tcPr>
                  <w:tcW w:w="1014" w:type="pct"/>
                  <w:noWrap w:val="0"/>
                  <w:vAlign w:val="center"/>
                </w:tcPr>
                <w:p w14:paraId="446D67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重点防渗区</w:t>
                  </w:r>
                </w:p>
              </w:tc>
              <w:tc>
                <w:tcPr>
                  <w:tcW w:w="2690" w:type="pct"/>
                  <w:noWrap w:val="0"/>
                  <w:vAlign w:val="center"/>
                </w:tcPr>
                <w:p w14:paraId="2EE6B7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等效黏土防渗层Mb≥6.0m，K≤1×10</w:t>
                  </w:r>
                  <w:r>
                    <w:rPr>
                      <w:rFonts w:hint="default" w:ascii="Times New Roman" w:hAnsi="Times New Roman" w:cs="Times New Roman"/>
                      <w:color w:val="auto"/>
                      <w:sz w:val="21"/>
                      <w:szCs w:val="21"/>
                      <w:vertAlign w:val="superscript"/>
                    </w:rPr>
                    <w:t>-7</w:t>
                  </w:r>
                  <w:r>
                    <w:rPr>
                      <w:rFonts w:hint="default" w:ascii="Times New Roman" w:hAnsi="Times New Roman" w:cs="Times New Roman"/>
                      <w:color w:val="auto"/>
                      <w:sz w:val="21"/>
                      <w:szCs w:val="21"/>
                    </w:rPr>
                    <w:t>cm/s；或参照GB18598执行</w:t>
                  </w:r>
                </w:p>
              </w:tc>
            </w:tr>
            <w:tr w14:paraId="42C6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1295" w:type="pct"/>
                  <w:noWrap w:val="0"/>
                  <w:vAlign w:val="center"/>
                </w:tcPr>
                <w:p w14:paraId="15B693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生产</w:t>
                  </w:r>
                  <w:r>
                    <w:rPr>
                      <w:rFonts w:hint="eastAsia" w:cs="Times New Roman"/>
                      <w:color w:val="auto"/>
                      <w:sz w:val="21"/>
                      <w:szCs w:val="21"/>
                      <w:lang w:val="en-US" w:eastAsia="zh-CN"/>
                    </w:rPr>
                    <w:t>区</w:t>
                  </w:r>
                </w:p>
              </w:tc>
              <w:tc>
                <w:tcPr>
                  <w:tcW w:w="1014" w:type="pct"/>
                  <w:noWrap w:val="0"/>
                  <w:vAlign w:val="center"/>
                </w:tcPr>
                <w:p w14:paraId="0D20E0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一般防渗区</w:t>
                  </w:r>
                </w:p>
              </w:tc>
              <w:tc>
                <w:tcPr>
                  <w:tcW w:w="2690" w:type="pct"/>
                  <w:noWrap w:val="0"/>
                  <w:vAlign w:val="center"/>
                </w:tcPr>
                <w:p w14:paraId="16C95F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等效黏土防渗层Mb≥1.5m，K≤1×10</w:t>
                  </w:r>
                  <w:r>
                    <w:rPr>
                      <w:rFonts w:hint="default" w:ascii="Times New Roman" w:hAnsi="Times New Roman" w:cs="Times New Roman"/>
                      <w:color w:val="auto"/>
                      <w:sz w:val="21"/>
                      <w:szCs w:val="21"/>
                      <w:vertAlign w:val="superscript"/>
                    </w:rPr>
                    <w:t>-7</w:t>
                  </w:r>
                  <w:r>
                    <w:rPr>
                      <w:rFonts w:hint="default" w:ascii="Times New Roman" w:hAnsi="Times New Roman" w:cs="Times New Roman"/>
                      <w:color w:val="auto"/>
                      <w:sz w:val="21"/>
                      <w:szCs w:val="21"/>
                    </w:rPr>
                    <w:t>cm/s；或参照GB16889执行</w:t>
                  </w:r>
                </w:p>
              </w:tc>
            </w:tr>
            <w:tr w14:paraId="445C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1295" w:type="pct"/>
                  <w:noWrap w:val="0"/>
                  <w:vAlign w:val="center"/>
                </w:tcPr>
                <w:p w14:paraId="073F5B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办公区</w:t>
                  </w:r>
                </w:p>
              </w:tc>
              <w:tc>
                <w:tcPr>
                  <w:tcW w:w="1014" w:type="pct"/>
                  <w:noWrap w:val="0"/>
                  <w:vAlign w:val="center"/>
                </w:tcPr>
                <w:p w14:paraId="02170A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简单防渗区</w:t>
                  </w:r>
                </w:p>
              </w:tc>
              <w:tc>
                <w:tcPr>
                  <w:tcW w:w="2690" w:type="pct"/>
                  <w:noWrap w:val="0"/>
                  <w:vAlign w:val="center"/>
                </w:tcPr>
                <w:p w14:paraId="01271B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一般地面硬化</w:t>
                  </w:r>
                </w:p>
              </w:tc>
            </w:tr>
          </w:tbl>
          <w:p w14:paraId="188BA77D">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color w:val="auto"/>
                <w:spacing w:val="-3"/>
                <w:sz w:val="24"/>
                <w:szCs w:val="24"/>
                <w:lang w:val="en-US" w:eastAsia="zh-CN"/>
              </w:rPr>
            </w:pPr>
            <w:r>
              <w:rPr>
                <w:rFonts w:hint="eastAsia" w:ascii="Times New Roman" w:hAnsi="Times New Roman" w:cs="Times New Roman"/>
                <w:color w:val="auto"/>
                <w:lang w:val="en-US" w:eastAsia="zh-CN"/>
              </w:rPr>
              <w:t>环评要求建设单位运行期加强管理，定期对</w:t>
            </w:r>
            <w:r>
              <w:rPr>
                <w:rFonts w:hint="eastAsia" w:cs="Times New Roman"/>
                <w:color w:val="auto"/>
                <w:lang w:val="en-US" w:eastAsia="zh-CN"/>
              </w:rPr>
              <w:t>导热油炉</w:t>
            </w:r>
            <w:r>
              <w:rPr>
                <w:rFonts w:hint="eastAsia" w:ascii="Times New Roman" w:hAnsi="Times New Roman" w:cs="Times New Roman"/>
                <w:color w:val="auto"/>
                <w:lang w:val="en-US" w:eastAsia="zh-CN"/>
              </w:rPr>
              <w:t>和</w:t>
            </w:r>
            <w:r>
              <w:rPr>
                <w:rFonts w:hint="eastAsia" w:cs="Times New Roman"/>
                <w:color w:val="auto"/>
                <w:lang w:val="en-US" w:eastAsia="zh-CN"/>
              </w:rPr>
              <w:t>池体</w:t>
            </w:r>
            <w:r>
              <w:rPr>
                <w:rFonts w:hint="eastAsia" w:ascii="Times New Roman" w:hAnsi="Times New Roman" w:cs="Times New Roman"/>
                <w:color w:val="auto"/>
                <w:lang w:val="en-US" w:eastAsia="zh-CN"/>
              </w:rPr>
              <w:t>进行检查，避免发生泄漏，采取以上措施后，可切断</w:t>
            </w:r>
            <w:r>
              <w:rPr>
                <w:rFonts w:hint="default" w:ascii="Times New Roman" w:hAnsi="Times New Roman" w:cs="Times New Roman"/>
                <w:color w:val="auto"/>
              </w:rPr>
              <w:t>地下水和土壤的污染途径</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项目对</w:t>
            </w:r>
            <w:r>
              <w:rPr>
                <w:color w:val="auto"/>
                <w:spacing w:val="4"/>
                <w:sz w:val="24"/>
                <w:szCs w:val="24"/>
              </w:rPr>
              <w:t>地下水</w:t>
            </w:r>
            <w:r>
              <w:rPr>
                <w:rFonts w:hint="eastAsia"/>
                <w:color w:val="auto"/>
                <w:spacing w:val="-3"/>
                <w:sz w:val="24"/>
                <w:szCs w:val="24"/>
                <w:lang w:val="en-US" w:eastAsia="zh-CN"/>
              </w:rPr>
              <w:t>和</w:t>
            </w:r>
            <w:r>
              <w:rPr>
                <w:color w:val="auto"/>
                <w:spacing w:val="-3"/>
                <w:sz w:val="24"/>
                <w:szCs w:val="24"/>
              </w:rPr>
              <w:t>土壤</w:t>
            </w:r>
            <w:r>
              <w:rPr>
                <w:rFonts w:hint="eastAsia"/>
                <w:color w:val="auto"/>
                <w:spacing w:val="-3"/>
                <w:sz w:val="24"/>
                <w:szCs w:val="24"/>
                <w:lang w:val="en-US" w:eastAsia="zh-CN"/>
              </w:rPr>
              <w:t>的影响较小。</w:t>
            </w:r>
          </w:p>
          <w:p w14:paraId="765FCF45">
            <w:pPr>
              <w:keepNext w:val="0"/>
              <w:keepLines w:val="0"/>
              <w:pageBreakBefore w:val="0"/>
              <w:widowControl w:val="0"/>
              <w:kinsoku/>
              <w:wordWrap/>
              <w:overflowPunct/>
              <w:topLinePunct w:val="0"/>
              <w:autoSpaceDE/>
              <w:autoSpaceDN/>
              <w:bidi w:val="0"/>
              <w:adjustRightInd w:val="0"/>
              <w:snapToGrid w:val="0"/>
              <w:spacing w:line="360" w:lineRule="auto"/>
              <w:ind w:firstLine="442"/>
              <w:textAlignment w:val="auto"/>
              <w:rPr>
                <w:rFonts w:hint="default" w:ascii="Times New Roman" w:hAnsi="Times New Roman" w:cs="Times New Roman"/>
                <w:b/>
                <w:color w:val="auto"/>
                <w:spacing w:val="-10"/>
                <w:szCs w:val="21"/>
              </w:rPr>
            </w:pPr>
            <w:r>
              <w:rPr>
                <w:rFonts w:hint="default" w:ascii="Times New Roman" w:hAnsi="Times New Roman" w:cs="Times New Roman"/>
                <w:b/>
                <w:color w:val="auto"/>
                <w:spacing w:val="-10"/>
                <w:szCs w:val="21"/>
              </w:rPr>
              <w:t>六、环境风险</w:t>
            </w:r>
          </w:p>
          <w:p w14:paraId="50880C59">
            <w:pPr>
              <w:keepNext w:val="0"/>
              <w:keepLines w:val="0"/>
              <w:pageBreakBefore w:val="0"/>
              <w:widowControl w:val="0"/>
              <w:kinsoku/>
              <w:wordWrap/>
              <w:overflowPunct/>
              <w:topLinePunct w:val="0"/>
              <w:autoSpaceDE/>
              <w:autoSpaceDN/>
              <w:bidi w:val="0"/>
              <w:adjustRightInd w:val="0"/>
              <w:snapToGrid w:val="0"/>
              <w:spacing w:line="360" w:lineRule="auto"/>
              <w:ind w:firstLine="442"/>
              <w:textAlignment w:val="auto"/>
              <w:rPr>
                <w:rFonts w:hint="default" w:ascii="Times New Roman" w:hAnsi="Times New Roman" w:cs="Times New Roman"/>
                <w:b/>
                <w:color w:val="auto"/>
                <w:spacing w:val="-10"/>
                <w:szCs w:val="21"/>
              </w:rPr>
            </w:pPr>
            <w:r>
              <w:rPr>
                <w:rFonts w:hint="eastAsia" w:cs="Times New Roman"/>
                <w:b/>
                <w:color w:val="auto"/>
                <w:spacing w:val="-10"/>
                <w:szCs w:val="21"/>
                <w:lang w:eastAsia="zh-CN"/>
              </w:rPr>
              <w:t>1.</w:t>
            </w:r>
            <w:r>
              <w:rPr>
                <w:rFonts w:hint="default" w:ascii="Times New Roman" w:hAnsi="Times New Roman" w:cs="Times New Roman"/>
                <w:b/>
                <w:color w:val="auto"/>
                <w:spacing w:val="-10"/>
                <w:szCs w:val="21"/>
              </w:rPr>
              <w:t>风险物质及风险源</w:t>
            </w:r>
          </w:p>
          <w:p w14:paraId="1BBA8FE5">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黑体" w:cs="Times New Roman"/>
                <w:bCs/>
                <w:color w:val="auto"/>
              </w:rPr>
            </w:pPr>
            <w:r>
              <w:rPr>
                <w:rFonts w:hint="default" w:ascii="Times New Roman" w:hAnsi="Times New Roman" w:cs="Times New Roman"/>
                <w:color w:val="auto"/>
              </w:rPr>
              <w:t>根据《建设项目环境风险评价技术导则》（HJ169-2018）、《企业突发环境事件风险分级方法》（HJ941-2018），本项目涉及突发环境事件风险物质为</w:t>
            </w:r>
            <w:r>
              <w:rPr>
                <w:rFonts w:hint="eastAsia" w:cs="Times New Roman"/>
                <w:color w:val="auto"/>
                <w:lang w:val="en-US" w:eastAsia="zh-CN"/>
              </w:rPr>
              <w:t>导热油、天然气、</w:t>
            </w:r>
            <w:r>
              <w:rPr>
                <w:rFonts w:hint="default" w:ascii="Times New Roman" w:hAnsi="Times New Roman" w:cs="Times New Roman"/>
                <w:color w:val="auto"/>
              </w:rPr>
              <w:t>废</w:t>
            </w:r>
            <w:r>
              <w:rPr>
                <w:rFonts w:hint="eastAsia" w:cs="Times New Roman"/>
                <w:color w:val="auto"/>
                <w:lang w:val="en-US" w:eastAsia="zh-CN"/>
              </w:rPr>
              <w:t>导热油</w:t>
            </w:r>
            <w:r>
              <w:rPr>
                <w:rFonts w:hint="default" w:ascii="Times New Roman" w:hAnsi="Times New Roman" w:cs="Times New Roman"/>
                <w:color w:val="auto"/>
              </w:rPr>
              <w:t>。危险物质临界量参考《建设项目环境风险评价技术导则》（HJ169-2018）附录B，详见表4-1</w:t>
            </w:r>
            <w:r>
              <w:rPr>
                <w:rFonts w:hint="eastAsia" w:cs="Times New Roman"/>
                <w:color w:val="auto"/>
                <w:lang w:val="en-US" w:eastAsia="zh-CN"/>
              </w:rPr>
              <w:t>5</w:t>
            </w:r>
            <w:r>
              <w:rPr>
                <w:rFonts w:hint="default" w:ascii="Times New Roman" w:hAnsi="Times New Roman" w:cs="Times New Roman"/>
                <w:color w:val="auto"/>
              </w:rPr>
              <w:t>。</w:t>
            </w:r>
          </w:p>
          <w:p w14:paraId="136F0FCD">
            <w:pPr>
              <w:pStyle w:val="50"/>
              <w:rPr>
                <w:rFonts w:hint="default" w:ascii="Times New Roman" w:hAnsi="Times New Roman" w:cs="Times New Roman"/>
                <w:bCs/>
                <w:color w:val="auto"/>
                <w:szCs w:val="21"/>
              </w:rPr>
            </w:pPr>
            <w:r>
              <w:rPr>
                <w:rFonts w:hint="default" w:ascii="Times New Roman" w:hAnsi="Times New Roman" w:cs="Times New Roman"/>
                <w:color w:val="auto"/>
              </w:rPr>
              <w:t>表4-1</w:t>
            </w:r>
            <w:r>
              <w:rPr>
                <w:rFonts w:hint="eastAsia" w:cs="Times New Roman"/>
                <w:color w:val="auto"/>
                <w:lang w:val="en-US" w:eastAsia="zh-CN"/>
              </w:rPr>
              <w:t>5</w:t>
            </w:r>
            <w:r>
              <w:rPr>
                <w:rFonts w:hint="default" w:ascii="Times New Roman" w:hAnsi="Times New Roman" w:cs="Times New Roman"/>
                <w:bCs/>
                <w:color w:val="auto"/>
                <w:szCs w:val="21"/>
              </w:rPr>
              <w:t xml:space="preserve">  危险品最大贮存量及其临界量一览表</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1542"/>
              <w:gridCol w:w="1686"/>
              <w:gridCol w:w="1686"/>
              <w:gridCol w:w="1894"/>
              <w:gridCol w:w="1531"/>
            </w:tblGrid>
            <w:tr w14:paraId="5069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43" w:type="pct"/>
                  <w:vAlign w:val="center"/>
                </w:tcPr>
                <w:p w14:paraId="24F4CA9A">
                  <w:pPr>
                    <w:pStyle w:val="49"/>
                    <w:jc w:val="center"/>
                    <w:rPr>
                      <w:rFonts w:hint="default" w:ascii="Times New Roman" w:hAnsi="Times New Roman" w:cs="Times New Roman"/>
                      <w:color w:val="auto"/>
                    </w:rPr>
                  </w:pPr>
                  <w:r>
                    <w:rPr>
                      <w:rFonts w:hint="default" w:ascii="Times New Roman" w:hAnsi="Times New Roman" w:cs="Times New Roman"/>
                      <w:color w:val="auto"/>
                    </w:rPr>
                    <w:t>序号</w:t>
                  </w:r>
                </w:p>
              </w:tc>
              <w:tc>
                <w:tcPr>
                  <w:tcW w:w="824" w:type="pct"/>
                  <w:vAlign w:val="center"/>
                </w:tcPr>
                <w:p w14:paraId="28895899">
                  <w:pPr>
                    <w:pStyle w:val="49"/>
                    <w:jc w:val="center"/>
                    <w:rPr>
                      <w:rFonts w:hint="default" w:ascii="Times New Roman" w:hAnsi="Times New Roman" w:cs="Times New Roman"/>
                      <w:color w:val="auto"/>
                    </w:rPr>
                  </w:pPr>
                  <w:r>
                    <w:rPr>
                      <w:rFonts w:hint="default" w:ascii="Times New Roman" w:hAnsi="Times New Roman" w:cs="Times New Roman"/>
                      <w:color w:val="auto"/>
                    </w:rPr>
                    <w:t>物质</w:t>
                  </w:r>
                </w:p>
              </w:tc>
              <w:tc>
                <w:tcPr>
                  <w:tcW w:w="901" w:type="pct"/>
                  <w:vAlign w:val="center"/>
                </w:tcPr>
                <w:p w14:paraId="0C227686">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CAS</w:t>
                  </w:r>
                </w:p>
              </w:tc>
              <w:tc>
                <w:tcPr>
                  <w:tcW w:w="901" w:type="pct"/>
                  <w:vAlign w:val="center"/>
                </w:tcPr>
                <w:p w14:paraId="673CE945">
                  <w:pPr>
                    <w:pStyle w:val="49"/>
                    <w:jc w:val="center"/>
                    <w:rPr>
                      <w:rFonts w:hint="default" w:ascii="Times New Roman" w:hAnsi="Times New Roman" w:cs="Times New Roman"/>
                      <w:color w:val="auto"/>
                    </w:rPr>
                  </w:pPr>
                  <w:r>
                    <w:rPr>
                      <w:rFonts w:hint="default" w:ascii="Times New Roman" w:hAnsi="Times New Roman" w:cs="Times New Roman"/>
                      <w:color w:val="auto"/>
                    </w:rPr>
                    <w:t>最大暂存量（t）</w:t>
                  </w:r>
                </w:p>
              </w:tc>
              <w:tc>
                <w:tcPr>
                  <w:tcW w:w="1011" w:type="pct"/>
                  <w:vAlign w:val="center"/>
                </w:tcPr>
                <w:p w14:paraId="6F7ECE20">
                  <w:pPr>
                    <w:pStyle w:val="49"/>
                    <w:jc w:val="center"/>
                    <w:rPr>
                      <w:rFonts w:hint="default" w:ascii="Times New Roman" w:hAnsi="Times New Roman" w:cs="Times New Roman"/>
                      <w:color w:val="auto"/>
                    </w:rPr>
                  </w:pPr>
                  <w:r>
                    <w:rPr>
                      <w:rFonts w:hint="default" w:ascii="Times New Roman" w:hAnsi="Times New Roman" w:cs="Times New Roman"/>
                      <w:color w:val="auto"/>
                    </w:rPr>
                    <w:t>临界量（t）</w:t>
                  </w:r>
                </w:p>
              </w:tc>
              <w:tc>
                <w:tcPr>
                  <w:tcW w:w="818" w:type="pct"/>
                  <w:vAlign w:val="center"/>
                </w:tcPr>
                <w:p w14:paraId="4C5B61A8">
                  <w:pPr>
                    <w:pStyle w:val="49"/>
                    <w:jc w:val="center"/>
                    <w:rPr>
                      <w:rFonts w:hint="default" w:ascii="Times New Roman" w:hAnsi="Times New Roman" w:cs="Times New Roman"/>
                      <w:color w:val="auto"/>
                    </w:rPr>
                  </w:pPr>
                  <w:r>
                    <w:rPr>
                      <w:rFonts w:hint="default" w:ascii="Times New Roman" w:hAnsi="Times New Roman" w:cs="Times New Roman"/>
                      <w:color w:val="auto"/>
                    </w:rPr>
                    <w:t>Q值</w:t>
                  </w:r>
                </w:p>
              </w:tc>
            </w:tr>
            <w:tr w14:paraId="7E50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43" w:type="pct"/>
                  <w:vAlign w:val="center"/>
                </w:tcPr>
                <w:p w14:paraId="6540B92F">
                  <w:pPr>
                    <w:pStyle w:val="49"/>
                    <w:ind w:firstLine="0" w:firstLineChars="0"/>
                    <w:jc w:val="center"/>
                    <w:rPr>
                      <w:rFonts w:hint="eastAsia" w:ascii="Times New Roman" w:hAnsi="Times New Roman" w:eastAsia="宋体" w:cs="Times New Roman"/>
                      <w:color w:val="auto"/>
                      <w:lang w:val="en-US" w:eastAsia="zh-CN"/>
                    </w:rPr>
                  </w:pPr>
                  <w:r>
                    <w:rPr>
                      <w:rFonts w:hint="default" w:ascii="Times New Roman" w:hAnsi="Times New Roman" w:cs="Times New Roman"/>
                      <w:color w:val="auto"/>
                    </w:rPr>
                    <w:t>1</w:t>
                  </w:r>
                </w:p>
              </w:tc>
              <w:tc>
                <w:tcPr>
                  <w:tcW w:w="824" w:type="pct"/>
                  <w:vAlign w:val="center"/>
                </w:tcPr>
                <w:p w14:paraId="00D4B1FC">
                  <w:pPr>
                    <w:pStyle w:val="49"/>
                    <w:jc w:val="center"/>
                    <w:rPr>
                      <w:rFonts w:hint="default" w:ascii="Times New Roman" w:hAnsi="Times New Roman" w:cs="Times New Roman"/>
                      <w:color w:val="auto"/>
                      <w:lang w:val="en-US"/>
                    </w:rPr>
                  </w:pPr>
                  <w:r>
                    <w:rPr>
                      <w:rFonts w:hint="eastAsia" w:cs="Times New Roman"/>
                      <w:color w:val="auto"/>
                      <w:lang w:val="en-US" w:eastAsia="zh-CN"/>
                    </w:rPr>
                    <w:t>导热油</w:t>
                  </w:r>
                </w:p>
              </w:tc>
              <w:tc>
                <w:tcPr>
                  <w:tcW w:w="901" w:type="pct"/>
                  <w:vAlign w:val="center"/>
                </w:tcPr>
                <w:p w14:paraId="5D58F745">
                  <w:pPr>
                    <w:pStyle w:val="49"/>
                    <w:jc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p>
              </w:tc>
              <w:tc>
                <w:tcPr>
                  <w:tcW w:w="901" w:type="pct"/>
                  <w:vAlign w:val="center"/>
                </w:tcPr>
                <w:p w14:paraId="637CD84E">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2.0</w:t>
                  </w:r>
                </w:p>
              </w:tc>
              <w:tc>
                <w:tcPr>
                  <w:tcW w:w="1011" w:type="pct"/>
                  <w:vAlign w:val="center"/>
                </w:tcPr>
                <w:p w14:paraId="63FB9676">
                  <w:pPr>
                    <w:pStyle w:val="49"/>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2500</w:t>
                  </w:r>
                </w:p>
              </w:tc>
              <w:tc>
                <w:tcPr>
                  <w:tcW w:w="818" w:type="pct"/>
                  <w:vAlign w:val="center"/>
                </w:tcPr>
                <w:p w14:paraId="2748F5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0.0008</w:t>
                  </w:r>
                </w:p>
              </w:tc>
            </w:tr>
            <w:tr w14:paraId="0AD8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43" w:type="pct"/>
                  <w:vAlign w:val="center"/>
                </w:tcPr>
                <w:p w14:paraId="5C28CF4E">
                  <w:pPr>
                    <w:pStyle w:val="49"/>
                    <w:ind w:firstLine="0" w:firstLineChars="0"/>
                    <w:jc w:val="center"/>
                    <w:rPr>
                      <w:rFonts w:hint="eastAsia" w:cs="Times New Roman"/>
                      <w:color w:val="auto"/>
                      <w:lang w:val="en-US" w:eastAsia="zh-CN"/>
                    </w:rPr>
                  </w:pPr>
                  <w:r>
                    <w:rPr>
                      <w:rFonts w:hint="eastAsia" w:cs="Times New Roman"/>
                      <w:color w:val="auto"/>
                      <w:lang w:val="en-US" w:eastAsia="zh-CN"/>
                    </w:rPr>
                    <w:t>2</w:t>
                  </w:r>
                </w:p>
              </w:tc>
              <w:tc>
                <w:tcPr>
                  <w:tcW w:w="824" w:type="pct"/>
                  <w:vAlign w:val="center"/>
                </w:tcPr>
                <w:p w14:paraId="73170B68">
                  <w:pPr>
                    <w:pStyle w:val="49"/>
                    <w:jc w:val="center"/>
                    <w:rPr>
                      <w:rFonts w:hint="default" w:cs="Times New Roman"/>
                      <w:color w:val="auto"/>
                      <w:lang w:val="en-US" w:eastAsia="zh-CN"/>
                    </w:rPr>
                  </w:pPr>
                  <w:r>
                    <w:rPr>
                      <w:rFonts w:hint="eastAsia" w:cs="Times New Roman"/>
                      <w:color w:val="auto"/>
                      <w:lang w:val="en-US" w:eastAsia="zh-CN"/>
                    </w:rPr>
                    <w:t>天然气</w:t>
                  </w:r>
                </w:p>
              </w:tc>
              <w:tc>
                <w:tcPr>
                  <w:tcW w:w="901" w:type="pct"/>
                  <w:vAlign w:val="center"/>
                </w:tcPr>
                <w:p w14:paraId="6769E63B">
                  <w:pPr>
                    <w:pStyle w:val="49"/>
                    <w:jc w:val="center"/>
                    <w:rPr>
                      <w:rFonts w:hint="default" w:cs="Times New Roman"/>
                      <w:color w:val="auto"/>
                      <w:lang w:val="en-US" w:eastAsia="zh-CN"/>
                    </w:rPr>
                  </w:pPr>
                  <w:r>
                    <w:rPr>
                      <w:rFonts w:hint="eastAsia" w:cs="Times New Roman"/>
                      <w:color w:val="auto"/>
                      <w:lang w:val="en-US" w:eastAsia="zh-CN"/>
                    </w:rPr>
                    <w:t>74-82-8</w:t>
                  </w:r>
                </w:p>
              </w:tc>
              <w:tc>
                <w:tcPr>
                  <w:tcW w:w="901" w:type="pct"/>
                  <w:vAlign w:val="center"/>
                </w:tcPr>
                <w:p w14:paraId="0B9C2750">
                  <w:pPr>
                    <w:pStyle w:val="49"/>
                    <w:jc w:val="center"/>
                    <w:rPr>
                      <w:rFonts w:hint="default" w:cs="Times New Roman"/>
                      <w:color w:val="auto"/>
                      <w:lang w:val="en-US" w:eastAsia="zh-CN"/>
                    </w:rPr>
                  </w:pPr>
                  <w:r>
                    <w:rPr>
                      <w:rFonts w:hint="eastAsia" w:cs="Times New Roman"/>
                      <w:color w:val="auto"/>
                      <w:lang w:val="en-US" w:eastAsia="zh-CN"/>
                    </w:rPr>
                    <w:t>0.0006</w:t>
                  </w:r>
                </w:p>
              </w:tc>
              <w:tc>
                <w:tcPr>
                  <w:tcW w:w="1011" w:type="pct"/>
                  <w:vAlign w:val="center"/>
                </w:tcPr>
                <w:p w14:paraId="1BF1477F">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10</w:t>
                  </w:r>
                </w:p>
              </w:tc>
              <w:tc>
                <w:tcPr>
                  <w:tcW w:w="818" w:type="pct"/>
                  <w:vAlign w:val="center"/>
                </w:tcPr>
                <w:p w14:paraId="2118B8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0.00006</w:t>
                  </w:r>
                </w:p>
              </w:tc>
            </w:tr>
            <w:tr w14:paraId="2321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543" w:type="pct"/>
                  <w:vAlign w:val="center"/>
                </w:tcPr>
                <w:p w14:paraId="178D0FBE">
                  <w:pPr>
                    <w:pStyle w:val="49"/>
                    <w:ind w:firstLine="0" w:firstLineChars="0"/>
                    <w:jc w:val="center"/>
                    <w:rPr>
                      <w:rFonts w:hint="default" w:cs="Times New Roman"/>
                      <w:color w:val="auto"/>
                      <w:lang w:val="en-US" w:eastAsia="zh-CN"/>
                    </w:rPr>
                  </w:pPr>
                  <w:r>
                    <w:rPr>
                      <w:rFonts w:hint="eastAsia" w:cs="Times New Roman"/>
                      <w:color w:val="auto"/>
                      <w:lang w:val="en-US" w:eastAsia="zh-CN"/>
                    </w:rPr>
                    <w:t>3</w:t>
                  </w:r>
                </w:p>
              </w:tc>
              <w:tc>
                <w:tcPr>
                  <w:tcW w:w="824" w:type="pct"/>
                  <w:vAlign w:val="center"/>
                </w:tcPr>
                <w:p w14:paraId="0E9E2233">
                  <w:pPr>
                    <w:pStyle w:val="49"/>
                    <w:jc w:val="center"/>
                    <w:rPr>
                      <w:rFonts w:hint="default" w:ascii="Times New Roman" w:hAnsi="Times New Roman" w:cs="Times New Roman"/>
                      <w:color w:val="auto"/>
                    </w:rPr>
                  </w:pPr>
                  <w:r>
                    <w:rPr>
                      <w:rFonts w:hint="default" w:cs="Times New Roman"/>
                      <w:color w:val="auto"/>
                      <w:lang w:val="en-US" w:eastAsia="zh-CN"/>
                    </w:rPr>
                    <w:t>废导热油</w:t>
                  </w:r>
                </w:p>
              </w:tc>
              <w:tc>
                <w:tcPr>
                  <w:tcW w:w="901" w:type="pct"/>
                  <w:vAlign w:val="center"/>
                </w:tcPr>
                <w:p w14:paraId="001C418D">
                  <w:pPr>
                    <w:pStyle w:val="49"/>
                    <w:jc w:val="center"/>
                    <w:rPr>
                      <w:rFonts w:hint="default" w:cs="Times New Roman"/>
                      <w:color w:val="auto"/>
                      <w:lang w:val="en-US" w:eastAsia="zh-CN"/>
                    </w:rPr>
                  </w:pPr>
                  <w:r>
                    <w:rPr>
                      <w:rFonts w:hint="eastAsia" w:cs="Times New Roman"/>
                      <w:color w:val="auto"/>
                      <w:lang w:val="en-US" w:eastAsia="zh-CN"/>
                    </w:rPr>
                    <w:t>/</w:t>
                  </w:r>
                </w:p>
              </w:tc>
              <w:tc>
                <w:tcPr>
                  <w:tcW w:w="901" w:type="pct"/>
                  <w:vAlign w:val="center"/>
                </w:tcPr>
                <w:p w14:paraId="51DFFD79">
                  <w:pPr>
                    <w:pStyle w:val="49"/>
                    <w:jc w:val="center"/>
                    <w:rPr>
                      <w:rFonts w:hint="default" w:ascii="Times New Roman" w:hAnsi="Times New Roman" w:eastAsia="宋体" w:cs="Times New Roman"/>
                      <w:color w:val="auto"/>
                      <w:lang w:val="en-US" w:eastAsia="zh-CN"/>
                    </w:rPr>
                  </w:pPr>
                  <w:r>
                    <w:rPr>
                      <w:rFonts w:hint="eastAsia" w:cs="Times New Roman"/>
                      <w:color w:val="auto"/>
                      <w:lang w:val="en-US" w:eastAsia="zh-CN"/>
                    </w:rPr>
                    <w:t>2.0</w:t>
                  </w:r>
                </w:p>
              </w:tc>
              <w:tc>
                <w:tcPr>
                  <w:tcW w:w="1011" w:type="pct"/>
                  <w:vAlign w:val="center"/>
                </w:tcPr>
                <w:p w14:paraId="56ECE930">
                  <w:pPr>
                    <w:pStyle w:val="49"/>
                    <w:jc w:val="center"/>
                    <w:rPr>
                      <w:rFonts w:hint="default" w:ascii="Times New Roman" w:hAnsi="Times New Roman" w:cs="Times New Roman"/>
                      <w:color w:val="auto"/>
                    </w:rPr>
                  </w:pPr>
                  <w:r>
                    <w:rPr>
                      <w:rFonts w:hint="default" w:ascii="Times New Roman" w:hAnsi="Times New Roman" w:cs="Times New Roman"/>
                      <w:color w:val="auto"/>
                    </w:rPr>
                    <w:t>50</w:t>
                  </w:r>
                </w:p>
              </w:tc>
              <w:tc>
                <w:tcPr>
                  <w:tcW w:w="818" w:type="pct"/>
                  <w:vAlign w:val="center"/>
                </w:tcPr>
                <w:p w14:paraId="6505C0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cs="Times New Roman"/>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4</w:t>
                  </w:r>
                </w:p>
              </w:tc>
            </w:tr>
            <w:tr w14:paraId="5F5B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181" w:type="pct"/>
                  <w:gridSpan w:val="5"/>
                  <w:vAlign w:val="center"/>
                </w:tcPr>
                <w:p w14:paraId="46745BF5">
                  <w:pPr>
                    <w:pStyle w:val="49"/>
                    <w:jc w:val="center"/>
                    <w:rPr>
                      <w:rFonts w:hint="default" w:ascii="Times New Roman" w:hAnsi="Times New Roman" w:cs="Times New Roman"/>
                      <w:color w:val="auto"/>
                    </w:rPr>
                  </w:pPr>
                  <w:r>
                    <w:rPr>
                      <w:rFonts w:hint="default" w:ascii="Times New Roman" w:hAnsi="Times New Roman" w:cs="Times New Roman"/>
                      <w:color w:val="auto"/>
                    </w:rPr>
                    <w:t>合计</w:t>
                  </w:r>
                </w:p>
              </w:tc>
              <w:tc>
                <w:tcPr>
                  <w:tcW w:w="818" w:type="pct"/>
                  <w:vAlign w:val="center"/>
                </w:tcPr>
                <w:p w14:paraId="09EC0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4086</w:t>
                  </w:r>
                </w:p>
              </w:tc>
            </w:tr>
          </w:tbl>
          <w:p w14:paraId="2B13A2F9">
            <w:pPr>
              <w:pStyle w:val="4"/>
              <w:spacing w:before="120" w:after="120"/>
              <w:ind w:firstLine="482" w:firstLineChars="200"/>
              <w:outlineLvl w:val="2"/>
              <w:rPr>
                <w:rFonts w:hint="default" w:ascii="Times New Roman" w:hAnsi="Times New Roman" w:cs="Times New Roman"/>
                <w:color w:val="auto"/>
              </w:rPr>
            </w:pPr>
            <w:r>
              <w:rPr>
                <w:rFonts w:hint="default" w:ascii="Times New Roman" w:hAnsi="Times New Roman" w:cs="Times New Roman"/>
                <w:color w:val="auto"/>
              </w:rPr>
              <w:t>根据以下公式计算并判断项目风险潜势：</w:t>
            </w:r>
          </w:p>
          <w:p w14:paraId="2C687225">
            <w:pPr>
              <w:spacing w:line="360" w:lineRule="auto"/>
              <w:ind w:firstLine="480"/>
              <w:jc w:val="center"/>
              <w:rPr>
                <w:rFonts w:hint="default" w:ascii="Times New Roman" w:hAnsi="Times New Roman" w:cs="Times New Roman"/>
                <w:color w:val="auto"/>
              </w:rPr>
            </w:pPr>
            <w:r>
              <w:rPr>
                <w:rFonts w:hint="default" w:ascii="Times New Roman" w:hAnsi="Times New Roman" w:cs="Times New Roman"/>
                <w:color w:val="auto"/>
              </w:rPr>
              <w:object>
                <v:shape id="_x0000_i1027" o:spt="75" type="#_x0000_t75" style="height:34pt;width:110pt;" o:ole="t" filled="f" o:preferrelative="t" stroked="f" coordsize="21600,21600">
                  <v:path/>
                  <v:fill on="f" focussize="0,0"/>
                  <v:stroke on="f" joinstyle="miter"/>
                  <v:imagedata r:id="rId29" o:title=""/>
                  <o:lock v:ext="edit" aspectratio="t"/>
                  <w10:wrap type="none"/>
                  <w10:anchorlock/>
                </v:shape>
                <o:OLEObject Type="Embed" ProgID="Equations" ShapeID="_x0000_i1027" DrawAspect="Content" ObjectID="_1468075727" r:id="rId28">
                  <o:LockedField>false</o:LockedField>
                </o:OLEObject>
              </w:object>
            </w:r>
          </w:p>
          <w:p w14:paraId="1BD41B7E">
            <w:pPr>
              <w:pStyle w:val="20"/>
              <w:ind w:firstLine="480"/>
              <w:rPr>
                <w:rFonts w:hint="default" w:ascii="Times New Roman" w:hAnsi="Times New Roman" w:cs="Times New Roman"/>
                <w:color w:val="auto"/>
              </w:rPr>
            </w:pPr>
            <w:r>
              <w:rPr>
                <w:rFonts w:hint="default" w:ascii="Times New Roman" w:hAnsi="Times New Roman" w:cs="Times New Roman"/>
                <w:color w:val="auto"/>
              </w:rPr>
              <w:t>式中：q</w:t>
            </w:r>
            <w:r>
              <w:rPr>
                <w:rFonts w:hint="default" w:ascii="Times New Roman" w:hAnsi="Times New Roman" w:cs="Times New Roman"/>
                <w:color w:val="auto"/>
                <w:vertAlign w:val="subscript"/>
              </w:rPr>
              <w:t>1</w:t>
            </w:r>
            <w:r>
              <w:rPr>
                <w:rFonts w:hint="default" w:ascii="Times New Roman" w:hAnsi="Times New Roman" w:cs="Times New Roman"/>
                <w:color w:val="auto"/>
              </w:rPr>
              <w:t>，q</w:t>
            </w:r>
            <w:r>
              <w:rPr>
                <w:rFonts w:hint="default" w:ascii="Times New Roman" w:hAnsi="Times New Roman" w:cs="Times New Roman"/>
                <w:color w:val="auto"/>
                <w:vertAlign w:val="subscript"/>
              </w:rPr>
              <w:t>2</w:t>
            </w:r>
            <w:r>
              <w:rPr>
                <w:rFonts w:hint="default" w:ascii="Times New Roman" w:hAnsi="Times New Roman" w:cs="Times New Roman"/>
                <w:color w:val="auto"/>
              </w:rPr>
              <w:t>，......，q</w:t>
            </w:r>
            <w:r>
              <w:rPr>
                <w:rFonts w:hint="default" w:ascii="Times New Roman" w:hAnsi="Times New Roman" w:cs="Times New Roman"/>
                <w:color w:val="auto"/>
                <w:vertAlign w:val="subscript"/>
              </w:rPr>
              <w:t>n</w:t>
            </w:r>
            <w:r>
              <w:rPr>
                <w:rFonts w:hint="default" w:ascii="Times New Roman" w:hAnsi="Times New Roman" w:cs="Times New Roman"/>
                <w:color w:val="auto"/>
              </w:rPr>
              <w:t>——每种危险物质的最大存在总量，t；</w:t>
            </w:r>
          </w:p>
          <w:p w14:paraId="67604DC2">
            <w:pPr>
              <w:pStyle w:val="20"/>
              <w:ind w:firstLine="1140" w:firstLineChars="475"/>
              <w:rPr>
                <w:rFonts w:hint="default" w:ascii="Times New Roman" w:hAnsi="Times New Roman" w:cs="Times New Roman"/>
                <w:color w:val="auto"/>
              </w:rPr>
            </w:pPr>
            <w:r>
              <w:rPr>
                <w:rFonts w:hint="default" w:ascii="Times New Roman" w:hAnsi="Times New Roman" w:cs="Times New Roman"/>
                <w:color w:val="auto"/>
              </w:rPr>
              <w:t>Q</w:t>
            </w:r>
            <w:r>
              <w:rPr>
                <w:rFonts w:hint="default" w:ascii="Times New Roman" w:hAnsi="Times New Roman" w:cs="Times New Roman"/>
                <w:color w:val="auto"/>
                <w:vertAlign w:val="subscript"/>
              </w:rPr>
              <w:t>1</w:t>
            </w:r>
            <w:r>
              <w:rPr>
                <w:rFonts w:hint="default" w:ascii="Times New Roman" w:hAnsi="Times New Roman" w:cs="Times New Roman"/>
                <w:color w:val="auto"/>
              </w:rPr>
              <w:t>，Q</w:t>
            </w:r>
            <w:r>
              <w:rPr>
                <w:rFonts w:hint="default" w:ascii="Times New Roman" w:hAnsi="Times New Roman" w:cs="Times New Roman"/>
                <w:color w:val="auto"/>
                <w:vertAlign w:val="subscript"/>
              </w:rPr>
              <w:t>2</w:t>
            </w:r>
            <w:r>
              <w:rPr>
                <w:rFonts w:hint="default" w:ascii="Times New Roman" w:hAnsi="Times New Roman" w:cs="Times New Roman"/>
                <w:color w:val="auto"/>
              </w:rPr>
              <w:t>，......，Q</w:t>
            </w:r>
            <w:r>
              <w:rPr>
                <w:rFonts w:hint="default" w:ascii="Times New Roman" w:hAnsi="Times New Roman" w:cs="Times New Roman"/>
                <w:color w:val="auto"/>
                <w:vertAlign w:val="subscript"/>
              </w:rPr>
              <w:t>n</w:t>
            </w:r>
            <w:r>
              <w:rPr>
                <w:rFonts w:hint="default" w:ascii="Times New Roman" w:hAnsi="Times New Roman" w:cs="Times New Roman"/>
                <w:color w:val="auto"/>
              </w:rPr>
              <w:t>——每种危险物质的临界量，t。</w:t>
            </w:r>
          </w:p>
          <w:p w14:paraId="20AEF414">
            <w:pPr>
              <w:pStyle w:val="20"/>
              <w:ind w:firstLine="480"/>
              <w:rPr>
                <w:rFonts w:hint="default" w:ascii="Times New Roman" w:hAnsi="Times New Roman" w:cs="Times New Roman"/>
                <w:color w:val="auto"/>
              </w:rPr>
            </w:pPr>
            <w:r>
              <w:rPr>
                <w:rFonts w:hint="default" w:ascii="Times New Roman" w:hAnsi="Times New Roman" w:cs="Times New Roman"/>
                <w:color w:val="auto"/>
              </w:rPr>
              <w:t>当Q＜1时，该项目环境风险潜势为Ⅰ。</w:t>
            </w:r>
          </w:p>
          <w:p w14:paraId="33CE89B0">
            <w:pPr>
              <w:pStyle w:val="20"/>
              <w:ind w:firstLine="480"/>
              <w:rPr>
                <w:rFonts w:hint="default" w:ascii="Times New Roman" w:hAnsi="Times New Roman" w:cs="Times New Roman"/>
                <w:color w:val="auto"/>
              </w:rPr>
            </w:pPr>
            <w:r>
              <w:rPr>
                <w:rFonts w:hint="default" w:ascii="Times New Roman" w:hAnsi="Times New Roman" w:cs="Times New Roman"/>
                <w:color w:val="auto"/>
              </w:rPr>
              <w:t>当Q≥1时，将Q值划分为：（1）1≤Q＜10；（2）10≤Q＜100；（3）Q≥100。</w:t>
            </w:r>
          </w:p>
          <w:p w14:paraId="473245DC">
            <w:pPr>
              <w:ind w:firstLine="480"/>
              <w:rPr>
                <w:rFonts w:hint="default" w:ascii="Times New Roman" w:hAnsi="Times New Roman" w:cs="Times New Roman"/>
                <w:color w:val="auto"/>
              </w:rPr>
            </w:pPr>
            <w:r>
              <w:rPr>
                <w:rFonts w:hint="default" w:ascii="Times New Roman" w:hAnsi="Times New Roman" w:cs="Times New Roman"/>
                <w:color w:val="auto"/>
              </w:rPr>
              <w:t>本项目Q=0.0</w:t>
            </w:r>
            <w:r>
              <w:rPr>
                <w:rFonts w:hint="eastAsia" w:cs="Times New Roman"/>
                <w:color w:val="auto"/>
                <w:lang w:val="en-US" w:eastAsia="zh-CN"/>
              </w:rPr>
              <w:t>4086</w:t>
            </w:r>
            <w:r>
              <w:rPr>
                <w:rFonts w:hint="default" w:ascii="Times New Roman" w:hAnsi="Times New Roman" w:cs="Times New Roman"/>
                <w:color w:val="auto"/>
              </w:rPr>
              <w:t>＜1，因此，环境风险潜势为Ⅰ，风险评级为“简单分析”。</w:t>
            </w:r>
          </w:p>
          <w:p w14:paraId="0876AC77">
            <w:pPr>
              <w:ind w:firstLine="480"/>
              <w:rPr>
                <w:rFonts w:hint="default" w:ascii="Times New Roman" w:hAnsi="Times New Roman" w:cs="Times New Roman"/>
                <w:bCs/>
                <w:color w:val="auto"/>
              </w:rPr>
            </w:pPr>
            <w:r>
              <w:rPr>
                <w:rFonts w:hint="default" w:ascii="Times New Roman" w:hAnsi="Times New Roman" w:cs="Times New Roman"/>
                <w:bCs/>
                <w:color w:val="auto"/>
              </w:rPr>
              <w:t>（1）危险物质的分布及可能影响的途径</w:t>
            </w:r>
          </w:p>
          <w:p w14:paraId="0532C339">
            <w:pPr>
              <w:ind w:firstLine="480"/>
              <w:rPr>
                <w:rFonts w:hint="default" w:ascii="Times New Roman" w:hAnsi="Times New Roman" w:cs="Times New Roman"/>
                <w:color w:val="auto"/>
              </w:rPr>
            </w:pPr>
            <w:r>
              <w:rPr>
                <w:rFonts w:hint="default" w:ascii="Times New Roman" w:hAnsi="Times New Roman" w:cs="Times New Roman"/>
                <w:color w:val="auto"/>
              </w:rPr>
              <w:t>本项目风险物质</w:t>
            </w:r>
            <w:r>
              <w:rPr>
                <w:rFonts w:hint="eastAsia" w:cs="Times New Roman"/>
                <w:bCs/>
                <w:color w:val="auto"/>
                <w:lang w:val="en-US" w:eastAsia="zh-CN"/>
              </w:rPr>
              <w:t>导热油存在于导热油炉内，天然气存在于天然气管道内，</w:t>
            </w:r>
            <w:r>
              <w:rPr>
                <w:rFonts w:hint="default" w:ascii="Times New Roman" w:hAnsi="Times New Roman" w:cs="Times New Roman"/>
                <w:color w:val="auto"/>
              </w:rPr>
              <w:t>废</w:t>
            </w:r>
            <w:r>
              <w:rPr>
                <w:rFonts w:hint="eastAsia" w:cs="Times New Roman"/>
                <w:color w:val="auto"/>
                <w:lang w:val="en-US" w:eastAsia="zh-CN"/>
              </w:rPr>
              <w:t>导热油暂存于危险废物贮存库</w:t>
            </w:r>
            <w:r>
              <w:rPr>
                <w:rFonts w:hint="default" w:ascii="Times New Roman" w:hAnsi="Times New Roman" w:cs="Times New Roman"/>
                <w:color w:val="auto"/>
              </w:rPr>
              <w:t>。</w:t>
            </w:r>
          </w:p>
          <w:p w14:paraId="32C3C438">
            <w:pPr>
              <w:ind w:firstLine="480"/>
              <w:rPr>
                <w:rFonts w:hint="default" w:ascii="Times New Roman" w:hAnsi="Times New Roman" w:cs="Times New Roman"/>
                <w:bCs/>
                <w:color w:val="auto"/>
              </w:rPr>
            </w:pPr>
            <w:r>
              <w:rPr>
                <w:rFonts w:hint="default" w:ascii="Times New Roman" w:hAnsi="Times New Roman" w:cs="Times New Roman"/>
                <w:bCs/>
                <w:color w:val="auto"/>
              </w:rPr>
              <w:t>可能影响途径主要包括</w:t>
            </w:r>
            <w:r>
              <w:rPr>
                <w:rFonts w:hint="eastAsia" w:cs="Times New Roman"/>
                <w:bCs/>
                <w:color w:val="auto"/>
                <w:lang w:eastAsia="zh-CN"/>
              </w:rPr>
              <w:t>：</w:t>
            </w:r>
            <w:r>
              <w:rPr>
                <w:rFonts w:hint="eastAsia" w:cs="Times New Roman"/>
                <w:bCs/>
                <w:color w:val="auto"/>
                <w:lang w:val="en-US" w:eastAsia="zh-CN"/>
              </w:rPr>
              <w:t>导热油炉的导热油、管道内的天然气以及</w:t>
            </w:r>
            <w:r>
              <w:rPr>
                <w:rFonts w:hint="default" w:ascii="Times New Roman" w:hAnsi="Times New Roman" w:cs="Times New Roman"/>
                <w:bCs/>
                <w:color w:val="auto"/>
                <w:lang w:val="en-GB"/>
              </w:rPr>
              <w:t>危险废物贮存库中的</w:t>
            </w:r>
            <w:r>
              <w:rPr>
                <w:rFonts w:hint="eastAsia" w:cs="Times New Roman"/>
                <w:bCs/>
                <w:color w:val="auto"/>
                <w:lang w:val="en-US" w:eastAsia="zh-CN"/>
              </w:rPr>
              <w:t>废油</w:t>
            </w:r>
            <w:r>
              <w:rPr>
                <w:rFonts w:hint="default" w:ascii="Times New Roman" w:hAnsi="Times New Roman" w:cs="Times New Roman"/>
                <w:bCs/>
                <w:color w:val="auto"/>
                <w:lang w:val="en-GB"/>
              </w:rPr>
              <w:t>等发生泄漏进入土壤</w:t>
            </w:r>
            <w:r>
              <w:rPr>
                <w:rFonts w:hint="eastAsia" w:cs="Times New Roman"/>
                <w:bCs/>
                <w:color w:val="auto"/>
                <w:lang w:val="en-GB" w:eastAsia="zh-CN"/>
              </w:rPr>
              <w:t>；</w:t>
            </w:r>
            <w:r>
              <w:rPr>
                <w:rFonts w:hint="eastAsia" w:cs="Times New Roman"/>
                <w:bCs/>
                <w:color w:val="auto"/>
                <w:lang w:val="en-US" w:eastAsia="zh-CN"/>
              </w:rPr>
              <w:t>泄漏的</w:t>
            </w:r>
            <w:r>
              <w:rPr>
                <w:rFonts w:hint="eastAsia" w:cs="Times New Roman"/>
                <w:color w:val="auto"/>
                <w:lang w:val="en-US" w:eastAsia="zh-CN"/>
              </w:rPr>
              <w:t>油类物质遇明火发生</w:t>
            </w:r>
            <w:r>
              <w:rPr>
                <w:rFonts w:hint="eastAsia" w:cs="Times New Roman"/>
                <w:bCs/>
                <w:color w:val="auto"/>
                <w:lang w:val="en-US" w:eastAsia="zh-CN"/>
              </w:rPr>
              <w:t>火灾、爆炸等引发的伴生/次生污染物进入大气环境</w:t>
            </w:r>
            <w:r>
              <w:rPr>
                <w:rFonts w:hint="default" w:ascii="Times New Roman" w:hAnsi="Times New Roman" w:cs="Times New Roman"/>
                <w:bCs/>
                <w:color w:val="auto"/>
                <w:lang w:val="en-GB"/>
              </w:rPr>
              <w:t>。</w:t>
            </w:r>
          </w:p>
          <w:p w14:paraId="7CDB35A2">
            <w:pPr>
              <w:ind w:firstLine="480"/>
              <w:rPr>
                <w:rFonts w:hint="default" w:ascii="Times New Roman" w:hAnsi="Times New Roman" w:cs="Times New Roman"/>
                <w:bCs/>
                <w:color w:val="auto"/>
              </w:rPr>
            </w:pPr>
            <w:r>
              <w:rPr>
                <w:rFonts w:hint="default" w:ascii="Times New Roman" w:hAnsi="Times New Roman" w:cs="Times New Roman"/>
                <w:bCs/>
                <w:color w:val="auto"/>
              </w:rPr>
              <w:t>⑵风险防范措施</w:t>
            </w:r>
          </w:p>
          <w:p w14:paraId="5C8D4093">
            <w:pPr>
              <w:ind w:firstLine="480"/>
              <w:rPr>
                <w:rFonts w:hint="default" w:ascii="Times New Roman" w:hAnsi="Times New Roman" w:cs="Times New Roman"/>
                <w:color w:val="auto"/>
              </w:rPr>
            </w:pPr>
            <w:r>
              <w:rPr>
                <w:rFonts w:hint="default" w:ascii="Times New Roman" w:hAnsi="Times New Roman" w:cs="Times New Roman"/>
                <w:bCs/>
                <w:color w:val="auto"/>
                <w:lang w:val="en-GB"/>
              </w:rPr>
              <w:t>①</w:t>
            </w:r>
            <w:r>
              <w:rPr>
                <w:rFonts w:hint="default" w:ascii="Times New Roman" w:hAnsi="Times New Roman" w:cs="Times New Roman"/>
                <w:color w:val="auto"/>
              </w:rPr>
              <w:t>项目定期检修生产设备</w:t>
            </w:r>
            <w:r>
              <w:rPr>
                <w:rFonts w:hint="eastAsia" w:cs="Times New Roman"/>
                <w:color w:val="auto"/>
                <w:lang w:val="en-US" w:eastAsia="zh-CN"/>
              </w:rPr>
              <w:t>和天然气管道</w:t>
            </w:r>
            <w:r>
              <w:rPr>
                <w:rFonts w:hint="default" w:ascii="Times New Roman" w:hAnsi="Times New Roman" w:cs="Times New Roman"/>
                <w:color w:val="auto"/>
              </w:rPr>
              <w:t>，增加</w:t>
            </w:r>
            <w:r>
              <w:rPr>
                <w:rFonts w:hint="eastAsia" w:cs="Times New Roman"/>
                <w:color w:val="auto"/>
                <w:lang w:val="en-US" w:eastAsia="zh-CN"/>
              </w:rPr>
              <w:t>设备、管道</w:t>
            </w:r>
            <w:r>
              <w:rPr>
                <w:rFonts w:hint="default" w:ascii="Times New Roman" w:hAnsi="Times New Roman" w:cs="Times New Roman"/>
                <w:color w:val="auto"/>
              </w:rPr>
              <w:t>泄漏检验频次，制定规范操作流程，以消除</w:t>
            </w:r>
            <w:r>
              <w:rPr>
                <w:rFonts w:hint="eastAsia" w:cs="Times New Roman"/>
                <w:color w:val="auto"/>
                <w:lang w:val="en-US" w:eastAsia="zh-CN"/>
              </w:rPr>
              <w:t>生产</w:t>
            </w:r>
            <w:r>
              <w:rPr>
                <w:rFonts w:hint="default" w:ascii="Times New Roman" w:hAnsi="Times New Roman" w:cs="Times New Roman"/>
                <w:color w:val="auto"/>
              </w:rPr>
              <w:t>单元的跑冒滴漏。</w:t>
            </w:r>
          </w:p>
          <w:p w14:paraId="59E82E54">
            <w:pPr>
              <w:ind w:firstLine="480"/>
              <w:rPr>
                <w:rFonts w:hint="default" w:ascii="Times New Roman" w:hAnsi="Times New Roman" w:cs="Times New Roman"/>
                <w:bCs/>
                <w:color w:val="auto"/>
                <w:lang w:val="en-GB"/>
              </w:rPr>
            </w:pPr>
            <w:r>
              <w:rPr>
                <w:rFonts w:hint="default" w:ascii="Times New Roman" w:hAnsi="Times New Roman" w:cs="Times New Roman"/>
                <w:bCs/>
                <w:color w:val="auto"/>
                <w:lang w:val="en-GB"/>
              </w:rPr>
              <w:t>②项目</w:t>
            </w:r>
            <w:r>
              <w:rPr>
                <w:rFonts w:hint="eastAsia" w:cs="Times New Roman"/>
                <w:color w:val="auto"/>
                <w:lang w:val="en-US" w:eastAsia="zh-CN"/>
              </w:rPr>
              <w:t>导热油加热间</w:t>
            </w:r>
            <w:r>
              <w:rPr>
                <w:rFonts w:hint="default" w:ascii="Times New Roman" w:hAnsi="Times New Roman" w:cs="Times New Roman"/>
                <w:bCs/>
                <w:color w:val="auto"/>
                <w:lang w:val="en-GB"/>
              </w:rPr>
              <w:t>应进行硬化和防渗处理。</w:t>
            </w:r>
          </w:p>
          <w:p w14:paraId="0B1F0E26">
            <w:pPr>
              <w:ind w:firstLine="480"/>
              <w:rPr>
                <w:rFonts w:hint="default" w:ascii="Times New Roman" w:hAnsi="Times New Roman" w:cs="Times New Roman"/>
                <w:bCs/>
                <w:color w:val="auto"/>
                <w:lang w:val="en-GB"/>
              </w:rPr>
            </w:pPr>
            <w:r>
              <w:rPr>
                <w:rFonts w:hint="default" w:ascii="Times New Roman" w:hAnsi="Times New Roman" w:cs="Times New Roman"/>
                <w:bCs/>
                <w:color w:val="auto"/>
                <w:lang w:val="en-GB"/>
              </w:rPr>
              <w:t>③</w:t>
            </w:r>
            <w:r>
              <w:rPr>
                <w:rFonts w:hint="default" w:ascii="Times New Roman" w:hAnsi="Times New Roman" w:cs="Times New Roman"/>
                <w:snapToGrid w:val="0"/>
                <w:color w:val="auto"/>
                <w:kern w:val="0"/>
              </w:rPr>
              <w:t>加强安全检查，禁止在</w:t>
            </w:r>
            <w:r>
              <w:rPr>
                <w:rFonts w:hint="eastAsia" w:cs="Times New Roman"/>
                <w:snapToGrid w:val="0"/>
                <w:color w:val="auto"/>
                <w:kern w:val="0"/>
                <w:lang w:val="en-US" w:eastAsia="zh-CN"/>
              </w:rPr>
              <w:t>风险物质</w:t>
            </w:r>
            <w:r>
              <w:rPr>
                <w:rFonts w:hint="default" w:ascii="Times New Roman" w:hAnsi="Times New Roman" w:cs="Times New Roman"/>
                <w:snapToGrid w:val="0"/>
                <w:color w:val="auto"/>
                <w:kern w:val="0"/>
              </w:rPr>
              <w:t>附近</w:t>
            </w:r>
            <w:r>
              <w:rPr>
                <w:rFonts w:hint="eastAsia" w:cs="Times New Roman"/>
                <w:snapToGrid w:val="0"/>
                <w:color w:val="auto"/>
                <w:kern w:val="0"/>
                <w:lang w:val="en-US" w:eastAsia="zh-CN"/>
              </w:rPr>
              <w:t>使用火源</w:t>
            </w:r>
            <w:r>
              <w:rPr>
                <w:rFonts w:hint="default" w:ascii="Times New Roman" w:hAnsi="Times New Roman" w:cs="Times New Roman"/>
                <w:snapToGrid w:val="0"/>
                <w:color w:val="auto"/>
                <w:kern w:val="0"/>
              </w:rPr>
              <w:t>，严格执行动火规章制度</w:t>
            </w:r>
            <w:r>
              <w:rPr>
                <w:rFonts w:hint="default" w:ascii="Times New Roman" w:hAnsi="Times New Roman" w:cs="Times New Roman"/>
                <w:bCs/>
                <w:color w:val="auto"/>
                <w:lang w:val="en-GB"/>
              </w:rPr>
              <w:t>。</w:t>
            </w:r>
          </w:p>
          <w:p w14:paraId="77AA3AAE">
            <w:pPr>
              <w:ind w:firstLine="480"/>
              <w:rPr>
                <w:rFonts w:hint="default" w:ascii="Times New Roman" w:hAnsi="Times New Roman" w:cs="Times New Roman"/>
                <w:bCs/>
                <w:color w:val="auto"/>
                <w:lang w:val="en-US" w:eastAsia="zh-CN"/>
              </w:rPr>
            </w:pPr>
            <w:r>
              <w:rPr>
                <w:rFonts w:hint="eastAsia" w:ascii="Times New Roman" w:hAnsi="Times New Roman" w:cs="Times New Roman"/>
                <w:bCs/>
                <w:color w:val="auto"/>
                <w:lang w:val="en-GB" w:eastAsia="zh-CN"/>
              </w:rPr>
              <w:t>④</w:t>
            </w:r>
            <w:r>
              <w:rPr>
                <w:rFonts w:hint="eastAsia" w:cs="Times New Roman"/>
                <w:bCs/>
                <w:color w:val="auto"/>
                <w:lang w:val="en-US" w:eastAsia="zh-CN"/>
              </w:rPr>
              <w:t>编制突发环境事件应急预案，并在当地主管部门备案，定期进行突发环境事件应急演练。</w:t>
            </w:r>
          </w:p>
          <w:p w14:paraId="55B592EB">
            <w:pPr>
              <w:ind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综上所述，本项目运营过程中，在各环境风险防范措施落实到位的情况下，将大大降低建设项目的环境风险，最大程度减少对环境可能造成的危害，项目的环境风险水平是可以接受的。</w:t>
            </w:r>
          </w:p>
          <w:p w14:paraId="48A74589">
            <w:pPr>
              <w:ind w:firstLine="480"/>
              <w:rPr>
                <w:rFonts w:hint="default" w:ascii="Times New Roman" w:hAnsi="Times New Roman" w:eastAsia="宋体" w:cs="Times New Roman"/>
                <w:color w:val="auto"/>
                <w:sz w:val="24"/>
                <w:szCs w:val="24"/>
              </w:rPr>
            </w:pPr>
          </w:p>
          <w:p w14:paraId="2F18F8C7">
            <w:pPr>
              <w:ind w:firstLine="480"/>
              <w:rPr>
                <w:rFonts w:hint="default" w:ascii="Times New Roman" w:hAnsi="Times New Roman" w:eastAsia="宋体" w:cs="Times New Roman"/>
                <w:color w:val="auto"/>
                <w:sz w:val="24"/>
                <w:szCs w:val="24"/>
              </w:rPr>
            </w:pPr>
          </w:p>
          <w:p w14:paraId="3A0CE378">
            <w:pPr>
              <w:ind w:firstLine="480"/>
              <w:rPr>
                <w:rFonts w:hint="default" w:ascii="Times New Roman" w:hAnsi="Times New Roman" w:eastAsia="宋体" w:cs="Times New Roman"/>
                <w:color w:val="auto"/>
                <w:sz w:val="24"/>
                <w:szCs w:val="24"/>
              </w:rPr>
            </w:pPr>
          </w:p>
          <w:p w14:paraId="64B93DDB">
            <w:pPr>
              <w:ind w:firstLine="480"/>
              <w:rPr>
                <w:rFonts w:hint="default" w:ascii="Times New Roman" w:hAnsi="Times New Roman" w:eastAsia="宋体" w:cs="Times New Roman"/>
                <w:color w:val="auto"/>
                <w:sz w:val="24"/>
                <w:szCs w:val="24"/>
              </w:rPr>
            </w:pPr>
          </w:p>
          <w:p w14:paraId="01211992">
            <w:pPr>
              <w:ind w:firstLine="480"/>
              <w:rPr>
                <w:rFonts w:hint="default" w:ascii="Times New Roman" w:hAnsi="Times New Roman" w:eastAsia="宋体" w:cs="Times New Roman"/>
                <w:color w:val="auto"/>
                <w:sz w:val="24"/>
                <w:szCs w:val="24"/>
              </w:rPr>
            </w:pPr>
          </w:p>
          <w:p w14:paraId="6BBA5F7C">
            <w:pPr>
              <w:ind w:firstLine="480"/>
              <w:rPr>
                <w:rFonts w:hint="default" w:ascii="Times New Roman" w:hAnsi="Times New Roman" w:eastAsia="宋体" w:cs="Times New Roman"/>
                <w:color w:val="auto"/>
                <w:sz w:val="24"/>
                <w:szCs w:val="24"/>
              </w:rPr>
            </w:pPr>
          </w:p>
          <w:p w14:paraId="60B3E306">
            <w:pPr>
              <w:ind w:firstLine="480"/>
              <w:rPr>
                <w:rFonts w:hint="default" w:ascii="Times New Roman" w:hAnsi="Times New Roman" w:eastAsia="宋体" w:cs="Times New Roman"/>
                <w:color w:val="auto"/>
                <w:sz w:val="24"/>
                <w:szCs w:val="24"/>
              </w:rPr>
            </w:pPr>
          </w:p>
          <w:p w14:paraId="19352317">
            <w:pPr>
              <w:ind w:firstLine="480"/>
              <w:rPr>
                <w:rFonts w:hint="default" w:ascii="Times New Roman" w:hAnsi="Times New Roman" w:eastAsia="宋体" w:cs="Times New Roman"/>
                <w:color w:val="auto"/>
                <w:sz w:val="24"/>
                <w:szCs w:val="24"/>
              </w:rPr>
            </w:pPr>
          </w:p>
          <w:p w14:paraId="67662D4B">
            <w:pPr>
              <w:ind w:firstLine="480"/>
              <w:rPr>
                <w:rFonts w:hint="default" w:ascii="Times New Roman" w:hAnsi="Times New Roman" w:eastAsia="宋体" w:cs="Times New Roman"/>
                <w:color w:val="auto"/>
                <w:sz w:val="24"/>
                <w:szCs w:val="24"/>
              </w:rPr>
            </w:pPr>
          </w:p>
          <w:p w14:paraId="635380C8">
            <w:pPr>
              <w:ind w:firstLine="480"/>
              <w:rPr>
                <w:rFonts w:hint="default" w:ascii="Times New Roman" w:hAnsi="Times New Roman" w:eastAsia="宋体" w:cs="Times New Roman"/>
                <w:color w:val="auto"/>
                <w:sz w:val="24"/>
                <w:szCs w:val="24"/>
              </w:rPr>
            </w:pPr>
          </w:p>
          <w:p w14:paraId="092A4E6F">
            <w:pPr>
              <w:ind w:firstLine="480"/>
              <w:rPr>
                <w:rFonts w:hint="default" w:ascii="Times New Roman" w:hAnsi="Times New Roman" w:eastAsia="宋体" w:cs="Times New Roman"/>
                <w:color w:val="auto"/>
                <w:sz w:val="24"/>
                <w:szCs w:val="24"/>
              </w:rPr>
            </w:pPr>
          </w:p>
          <w:p w14:paraId="41E4223A">
            <w:pPr>
              <w:ind w:firstLine="480"/>
              <w:rPr>
                <w:rFonts w:hint="default" w:ascii="Times New Roman" w:hAnsi="Times New Roman" w:eastAsia="宋体" w:cs="Times New Roman"/>
                <w:color w:val="auto"/>
                <w:sz w:val="24"/>
                <w:szCs w:val="24"/>
              </w:rPr>
            </w:pPr>
          </w:p>
          <w:p w14:paraId="2E6517FA">
            <w:pPr>
              <w:ind w:firstLine="480"/>
              <w:rPr>
                <w:rFonts w:hint="default" w:ascii="Times New Roman" w:hAnsi="Times New Roman" w:eastAsia="宋体" w:cs="Times New Roman"/>
                <w:color w:val="auto"/>
                <w:sz w:val="24"/>
                <w:szCs w:val="24"/>
              </w:rPr>
            </w:pPr>
          </w:p>
          <w:p w14:paraId="6D4135B3">
            <w:pPr>
              <w:ind w:left="0" w:leftChars="0" w:firstLine="0" w:firstLineChars="0"/>
              <w:rPr>
                <w:rFonts w:hint="default" w:ascii="Times New Roman" w:hAnsi="Times New Roman" w:eastAsia="宋体" w:cs="Times New Roman"/>
                <w:color w:val="auto"/>
                <w:sz w:val="24"/>
                <w:szCs w:val="24"/>
              </w:rPr>
            </w:pPr>
          </w:p>
        </w:tc>
      </w:tr>
    </w:tbl>
    <w:p w14:paraId="5346D739">
      <w:pPr>
        <w:ind w:firstLine="562"/>
        <w:rPr>
          <w:rFonts w:hint="default" w:ascii="Times New Roman" w:hAnsi="Times New Roman" w:cs="Times New Roman"/>
          <w:b/>
          <w:color w:val="auto"/>
          <w:kern w:val="0"/>
          <w:sz w:val="28"/>
          <w:szCs w:val="28"/>
        </w:rPr>
      </w:pPr>
      <w:r>
        <w:rPr>
          <w:rFonts w:hint="default" w:ascii="Times New Roman" w:hAnsi="Times New Roman" w:cs="Times New Roman"/>
          <w:b/>
          <w:color w:val="auto"/>
          <w:kern w:val="0"/>
          <w:sz w:val="28"/>
          <w:szCs w:val="28"/>
        </w:rPr>
        <w:br w:type="page"/>
      </w:r>
    </w:p>
    <w:p w14:paraId="0FF1AC35">
      <w:pPr>
        <w:ind w:firstLine="0" w:firstLineChars="0"/>
        <w:rPr>
          <w:rFonts w:hint="default" w:ascii="Times New Roman" w:hAnsi="Times New Roman" w:cs="Times New Roman"/>
          <w:b/>
          <w:color w:val="auto"/>
          <w:kern w:val="0"/>
          <w:sz w:val="28"/>
          <w:szCs w:val="28"/>
        </w:rPr>
        <w:sectPr>
          <w:pgSz w:w="11907" w:h="16840"/>
          <w:pgMar w:top="1440" w:right="1080" w:bottom="1440" w:left="1080" w:header="851" w:footer="851" w:gutter="0"/>
          <w:pgBorders>
            <w:top w:val="none" w:sz="0" w:space="0"/>
            <w:left w:val="none" w:sz="0" w:space="0"/>
            <w:bottom w:val="none" w:sz="0" w:space="0"/>
            <w:right w:val="none" w:sz="0" w:space="0"/>
          </w:pgBorders>
          <w:pgNumType w:fmt="decimal"/>
          <w:cols w:space="720" w:num="1"/>
          <w:docGrid w:linePitch="312" w:charSpace="0"/>
        </w:sectPr>
      </w:pPr>
    </w:p>
    <w:p w14:paraId="0BD6D97B">
      <w:pPr>
        <w:pStyle w:val="17"/>
        <w:ind w:firstLine="600"/>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五、</w:t>
      </w:r>
      <w:bookmarkStart w:id="8" w:name="_Hlk54167917"/>
      <w:r>
        <w:rPr>
          <w:rFonts w:hint="default" w:ascii="Times New Roman" w:hAnsi="Times New Roman" w:eastAsia="黑体" w:cs="Times New Roman"/>
          <w:snapToGrid w:val="0"/>
          <w:color w:val="auto"/>
          <w:sz w:val="30"/>
          <w:szCs w:val="30"/>
        </w:rPr>
        <w:t>环境保护措施监督检查清单</w:t>
      </w:r>
      <w:bookmarkEnd w:id="8"/>
    </w:p>
    <w:tbl>
      <w:tblPr>
        <w:tblStyle w:val="21"/>
        <w:tblW w:w="498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990"/>
        <w:gridCol w:w="1342"/>
        <w:gridCol w:w="1922"/>
        <w:gridCol w:w="2988"/>
      </w:tblGrid>
      <w:tr w14:paraId="7C973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3" w:type="pct"/>
            <w:tcBorders>
              <w:tl2br w:val="single" w:color="auto" w:sz="4" w:space="0"/>
            </w:tcBorders>
            <w:vAlign w:val="center"/>
          </w:tcPr>
          <w:p w14:paraId="3550A0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eastAsia"/>
                <w:color w:val="auto"/>
                <w:lang w:val="en-US" w:eastAsia="zh-CN"/>
              </w:rPr>
              <w:t xml:space="preserve">       </w:t>
            </w:r>
            <w:r>
              <w:rPr>
                <w:rFonts w:hint="default"/>
                <w:color w:val="auto"/>
              </w:rPr>
              <w:t>内容</w:t>
            </w:r>
          </w:p>
          <w:p w14:paraId="4B94BED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auto"/>
              </w:rPr>
            </w:pPr>
            <w:r>
              <w:rPr>
                <w:rFonts w:hint="default"/>
                <w:color w:val="auto"/>
              </w:rPr>
              <w:t>要素</w:t>
            </w:r>
          </w:p>
        </w:tc>
        <w:tc>
          <w:tcPr>
            <w:tcW w:w="1001" w:type="pct"/>
            <w:vAlign w:val="center"/>
          </w:tcPr>
          <w:p w14:paraId="044606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排放口</w:t>
            </w:r>
            <w:r>
              <w:rPr>
                <w:rFonts w:hint="eastAsia"/>
                <w:color w:val="auto"/>
                <w:lang w:eastAsia="zh-CN"/>
              </w:rPr>
              <w:t>（</w:t>
            </w:r>
            <w:r>
              <w:rPr>
                <w:rFonts w:hint="default"/>
                <w:color w:val="auto"/>
              </w:rPr>
              <w:t>编号、</w:t>
            </w:r>
          </w:p>
          <w:p w14:paraId="6E8728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名称</w:t>
            </w:r>
            <w:r>
              <w:rPr>
                <w:rFonts w:hint="eastAsia"/>
                <w:color w:val="auto"/>
                <w:lang w:eastAsia="zh-CN"/>
              </w:rPr>
              <w:t>）</w:t>
            </w:r>
            <w:r>
              <w:rPr>
                <w:rFonts w:hint="default"/>
                <w:color w:val="auto"/>
              </w:rPr>
              <w:t>/污染源</w:t>
            </w:r>
          </w:p>
        </w:tc>
        <w:tc>
          <w:tcPr>
            <w:tcW w:w="675" w:type="pct"/>
            <w:vAlign w:val="center"/>
          </w:tcPr>
          <w:p w14:paraId="4C1BE1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污染物项目</w:t>
            </w:r>
          </w:p>
        </w:tc>
        <w:tc>
          <w:tcPr>
            <w:tcW w:w="967" w:type="pct"/>
            <w:vAlign w:val="center"/>
          </w:tcPr>
          <w:p w14:paraId="0E57CB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环境保护措施</w:t>
            </w:r>
          </w:p>
        </w:tc>
        <w:tc>
          <w:tcPr>
            <w:tcW w:w="1503" w:type="pct"/>
            <w:vAlign w:val="center"/>
          </w:tcPr>
          <w:p w14:paraId="5F8417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执行标准</w:t>
            </w:r>
          </w:p>
        </w:tc>
      </w:tr>
      <w:tr w14:paraId="3F9128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853" w:type="pct"/>
            <w:vMerge w:val="restart"/>
            <w:vAlign w:val="center"/>
          </w:tcPr>
          <w:p w14:paraId="044D8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大气环境</w:t>
            </w:r>
          </w:p>
        </w:tc>
        <w:tc>
          <w:tcPr>
            <w:tcW w:w="1001" w:type="pct"/>
            <w:vAlign w:val="center"/>
          </w:tcPr>
          <w:p w14:paraId="65ECF5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DA001</w:t>
            </w:r>
            <w:r>
              <w:rPr>
                <w:rFonts w:hint="eastAsia"/>
                <w:color w:val="auto"/>
                <w:lang w:val="en-US" w:eastAsia="zh-CN"/>
              </w:rPr>
              <w:t>油炸</w:t>
            </w:r>
            <w:r>
              <w:rPr>
                <w:rFonts w:hint="default"/>
                <w:color w:val="auto"/>
              </w:rPr>
              <w:t>废气排放口</w:t>
            </w:r>
          </w:p>
        </w:tc>
        <w:tc>
          <w:tcPr>
            <w:tcW w:w="675" w:type="pct"/>
            <w:vAlign w:val="center"/>
          </w:tcPr>
          <w:p w14:paraId="00E37D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lang w:val="en-US" w:eastAsia="zh-CN"/>
              </w:rPr>
            </w:pPr>
            <w:r>
              <w:rPr>
                <w:rFonts w:hint="eastAsia"/>
                <w:color w:val="auto"/>
                <w:lang w:val="en-US" w:eastAsia="zh-CN"/>
              </w:rPr>
              <w:t>油烟</w:t>
            </w:r>
          </w:p>
        </w:tc>
        <w:tc>
          <w:tcPr>
            <w:tcW w:w="967" w:type="pct"/>
            <w:vAlign w:val="center"/>
          </w:tcPr>
          <w:p w14:paraId="0F0CE4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lang w:val="en-US" w:eastAsia="zh-CN"/>
              </w:rPr>
              <w:t>包围型集气设备</w:t>
            </w:r>
            <w:r>
              <w:rPr>
                <w:rFonts w:hint="default"/>
                <w:color w:val="auto"/>
              </w:rPr>
              <w:t>+</w:t>
            </w:r>
            <w:r>
              <w:rPr>
                <w:rFonts w:hint="default"/>
                <w:color w:val="auto"/>
                <w:lang w:val="en-US" w:eastAsia="zh-CN"/>
              </w:rPr>
              <w:t>静电式油烟净化器</w:t>
            </w:r>
            <w:r>
              <w:rPr>
                <w:rFonts w:hint="default"/>
                <w:color w:val="auto"/>
              </w:rPr>
              <w:t>+1根</w:t>
            </w:r>
            <w:r>
              <w:rPr>
                <w:rFonts w:hint="eastAsia"/>
                <w:color w:val="auto"/>
                <w:lang w:val="en-US" w:eastAsia="zh-CN"/>
              </w:rPr>
              <w:t>30.4</w:t>
            </w:r>
            <w:r>
              <w:rPr>
                <w:rFonts w:hint="default"/>
                <w:color w:val="auto"/>
              </w:rPr>
              <w:t>m</w:t>
            </w:r>
            <w:r>
              <w:rPr>
                <w:rFonts w:hint="eastAsia"/>
                <w:color w:val="auto"/>
                <w:lang w:val="en-US" w:eastAsia="zh-CN"/>
              </w:rPr>
              <w:t>高</w:t>
            </w:r>
            <w:r>
              <w:rPr>
                <w:rFonts w:hint="default"/>
                <w:color w:val="auto"/>
              </w:rPr>
              <w:t>排气筒（DA00</w:t>
            </w:r>
            <w:r>
              <w:rPr>
                <w:rFonts w:hint="eastAsia"/>
                <w:color w:val="auto"/>
                <w:lang w:val="en-US" w:eastAsia="zh-CN"/>
              </w:rPr>
              <w:t>1</w:t>
            </w:r>
            <w:r>
              <w:rPr>
                <w:rFonts w:hint="default"/>
                <w:color w:val="auto"/>
              </w:rPr>
              <w:t>）</w:t>
            </w:r>
          </w:p>
        </w:tc>
        <w:tc>
          <w:tcPr>
            <w:tcW w:w="1503" w:type="pct"/>
            <w:vAlign w:val="center"/>
          </w:tcPr>
          <w:p w14:paraId="7CDD0A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lang w:val="en-US"/>
              </w:rPr>
            </w:pPr>
            <w:r>
              <w:rPr>
                <w:rFonts w:hint="default"/>
                <w:color w:val="auto"/>
                <w:lang w:val="en-US" w:eastAsia="zh-CN"/>
              </w:rPr>
              <w:t>《饮食业油烟排放标准（试行）》（GB18483-2001）</w:t>
            </w:r>
          </w:p>
        </w:tc>
      </w:tr>
      <w:tr w14:paraId="54AF0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853" w:type="pct"/>
            <w:vMerge w:val="continue"/>
            <w:vAlign w:val="center"/>
          </w:tcPr>
          <w:p w14:paraId="769305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p>
        </w:tc>
        <w:tc>
          <w:tcPr>
            <w:tcW w:w="1001" w:type="pct"/>
            <w:vAlign w:val="center"/>
          </w:tcPr>
          <w:p w14:paraId="2EDC1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lang w:val="en-US" w:eastAsia="zh-CN"/>
              </w:rPr>
            </w:pPr>
            <w:r>
              <w:rPr>
                <w:rFonts w:hint="eastAsia" w:eastAsia="宋体"/>
                <w:color w:val="auto"/>
                <w:lang w:val="en-US" w:eastAsia="zh-CN"/>
              </w:rPr>
              <w:t>DA002导热油炉废气排放口</w:t>
            </w:r>
          </w:p>
        </w:tc>
        <w:tc>
          <w:tcPr>
            <w:tcW w:w="675" w:type="pct"/>
            <w:vAlign w:val="center"/>
          </w:tcPr>
          <w:p w14:paraId="6C758B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lang w:val="en-US" w:eastAsia="zh-CN"/>
              </w:rPr>
              <w:t>烟气黑度</w:t>
            </w:r>
            <w:r>
              <w:rPr>
                <w:rFonts w:hint="eastAsia"/>
                <w:color w:val="auto"/>
                <w:lang w:val="en-US" w:eastAsia="zh-CN"/>
              </w:rPr>
              <w:t>、颗粒物、SO</w:t>
            </w:r>
            <w:r>
              <w:rPr>
                <w:rFonts w:hint="eastAsia"/>
                <w:color w:val="auto"/>
                <w:vertAlign w:val="subscript"/>
                <w:lang w:val="en-US" w:eastAsia="zh-CN"/>
              </w:rPr>
              <w:t>2</w:t>
            </w:r>
            <w:r>
              <w:rPr>
                <w:rFonts w:hint="eastAsia"/>
                <w:color w:val="auto"/>
                <w:lang w:val="en-US" w:eastAsia="zh-CN"/>
              </w:rPr>
              <w:t>、NO</w:t>
            </w:r>
            <w:r>
              <w:rPr>
                <w:rFonts w:hint="eastAsia"/>
                <w:color w:val="auto"/>
                <w:vertAlign w:val="subscript"/>
                <w:lang w:val="en-US" w:eastAsia="zh-CN"/>
              </w:rPr>
              <w:t>X</w:t>
            </w:r>
          </w:p>
        </w:tc>
        <w:tc>
          <w:tcPr>
            <w:tcW w:w="967" w:type="pct"/>
            <w:vAlign w:val="center"/>
          </w:tcPr>
          <w:p w14:paraId="35B071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lang w:val="en-US" w:eastAsia="zh-CN"/>
              </w:rPr>
              <w:t>低氮燃烧器</w:t>
            </w:r>
            <w:r>
              <w:rPr>
                <w:rFonts w:hint="default"/>
                <w:color w:val="auto"/>
              </w:rPr>
              <w:t>+1根</w:t>
            </w:r>
            <w:r>
              <w:rPr>
                <w:rFonts w:hint="eastAsia"/>
                <w:color w:val="auto"/>
                <w:lang w:val="en-US" w:eastAsia="zh-CN"/>
              </w:rPr>
              <w:t>30.4</w:t>
            </w:r>
            <w:r>
              <w:rPr>
                <w:rFonts w:hint="default"/>
                <w:color w:val="auto"/>
              </w:rPr>
              <w:t>m</w:t>
            </w:r>
            <w:r>
              <w:rPr>
                <w:rFonts w:hint="eastAsia"/>
                <w:color w:val="auto"/>
                <w:lang w:val="en-US" w:eastAsia="zh-CN"/>
              </w:rPr>
              <w:t>高</w:t>
            </w:r>
            <w:r>
              <w:rPr>
                <w:rFonts w:hint="default"/>
                <w:color w:val="auto"/>
              </w:rPr>
              <w:t>排气筒（DA00</w:t>
            </w:r>
            <w:r>
              <w:rPr>
                <w:rFonts w:hint="eastAsia"/>
                <w:color w:val="auto"/>
                <w:lang w:val="en-US" w:eastAsia="zh-CN"/>
              </w:rPr>
              <w:t>1</w:t>
            </w:r>
            <w:r>
              <w:rPr>
                <w:rFonts w:hint="default"/>
                <w:color w:val="auto"/>
              </w:rPr>
              <w:t>）</w:t>
            </w:r>
          </w:p>
        </w:tc>
        <w:tc>
          <w:tcPr>
            <w:tcW w:w="1503" w:type="pct"/>
            <w:vAlign w:val="center"/>
          </w:tcPr>
          <w:p w14:paraId="55453B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lang w:val="en-US" w:eastAsia="zh-CN"/>
              </w:rPr>
            </w:pPr>
            <w:r>
              <w:rPr>
                <w:rFonts w:hint="default"/>
                <w:color w:val="auto"/>
                <w:lang w:val="en-US" w:eastAsia="zh-CN"/>
              </w:rPr>
              <w:t>《锅炉大气污染物排放标准》（DB61/1226-2018）</w:t>
            </w:r>
            <w:r>
              <w:rPr>
                <w:rFonts w:hint="eastAsia"/>
                <w:color w:val="auto"/>
                <w:lang w:val="en-US" w:eastAsia="zh-CN"/>
              </w:rPr>
              <w:t>、《西安市人民政府办公厅关于印发&lt;推进实现“十四五”空气质量目标暨大气污染治理专项行动2025年工作方案&gt;的通知》、《锅炉大气污染物排放标准》（GB13271-2014）</w:t>
            </w:r>
          </w:p>
        </w:tc>
      </w:tr>
      <w:tr w14:paraId="4FF3E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53" w:type="pct"/>
            <w:vMerge w:val="continue"/>
            <w:vAlign w:val="center"/>
          </w:tcPr>
          <w:p w14:paraId="254DC2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p>
        </w:tc>
        <w:tc>
          <w:tcPr>
            <w:tcW w:w="1001" w:type="pct"/>
            <w:vAlign w:val="center"/>
          </w:tcPr>
          <w:p w14:paraId="6438FD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eastAsia"/>
                <w:color w:val="auto"/>
                <w:lang w:val="en-US" w:eastAsia="zh-CN"/>
              </w:rPr>
              <w:t>清洗池</w:t>
            </w:r>
          </w:p>
        </w:tc>
        <w:tc>
          <w:tcPr>
            <w:tcW w:w="675" w:type="pct"/>
            <w:vAlign w:val="center"/>
          </w:tcPr>
          <w:p w14:paraId="333F0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lang w:val="en-US" w:eastAsia="zh-CN"/>
              </w:rPr>
              <w:t>臭气浓度</w:t>
            </w:r>
          </w:p>
        </w:tc>
        <w:tc>
          <w:tcPr>
            <w:tcW w:w="967" w:type="pct"/>
            <w:vAlign w:val="center"/>
          </w:tcPr>
          <w:p w14:paraId="29FD30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lang w:val="en-US"/>
              </w:rPr>
            </w:pPr>
            <w:r>
              <w:rPr>
                <w:rFonts w:hint="eastAsia"/>
                <w:color w:val="auto"/>
                <w:lang w:val="en-US" w:eastAsia="zh-CN"/>
              </w:rPr>
              <w:t>每天清洗、车间通风</w:t>
            </w:r>
          </w:p>
        </w:tc>
        <w:tc>
          <w:tcPr>
            <w:tcW w:w="1503" w:type="pct"/>
            <w:vAlign w:val="center"/>
          </w:tcPr>
          <w:p w14:paraId="388065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lang w:val="en-US" w:eastAsia="zh-CN"/>
              </w:rPr>
              <w:t>《恶臭污染物排放标准》（GB14554-93）</w:t>
            </w:r>
          </w:p>
        </w:tc>
      </w:tr>
      <w:tr w14:paraId="6556A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53" w:type="pct"/>
            <w:vMerge w:val="restart"/>
            <w:vAlign w:val="center"/>
          </w:tcPr>
          <w:p w14:paraId="555A86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地表水环境</w:t>
            </w:r>
          </w:p>
        </w:tc>
        <w:tc>
          <w:tcPr>
            <w:tcW w:w="1001" w:type="pct"/>
            <w:vAlign w:val="center"/>
          </w:tcPr>
          <w:p w14:paraId="268BDF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eastAsia"/>
                <w:color w:val="auto"/>
                <w:lang w:eastAsia="zh-CN"/>
              </w:rPr>
              <w:t>生活污水</w:t>
            </w:r>
          </w:p>
        </w:tc>
        <w:tc>
          <w:tcPr>
            <w:tcW w:w="675" w:type="pct"/>
            <w:vAlign w:val="center"/>
          </w:tcPr>
          <w:p w14:paraId="6EB8EB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lang w:val="en-US" w:eastAsia="zh-CN"/>
              </w:rPr>
            </w:pPr>
            <w:r>
              <w:rPr>
                <w:rFonts w:hint="default" w:ascii="Times New Roman" w:hAnsi="Times New Roman" w:cs="Times New Roman"/>
                <w:color w:val="auto"/>
              </w:rPr>
              <w:t>pH、COD、BOD</w:t>
            </w:r>
            <w:r>
              <w:rPr>
                <w:rFonts w:hint="default" w:ascii="Times New Roman" w:hAnsi="Times New Roman" w:cs="Times New Roman"/>
                <w:color w:val="auto"/>
                <w:vertAlign w:val="subscript"/>
              </w:rPr>
              <w:t>5</w:t>
            </w:r>
            <w:r>
              <w:rPr>
                <w:rFonts w:hint="default" w:ascii="Times New Roman" w:hAnsi="Times New Roman" w:cs="Times New Roman"/>
                <w:color w:val="auto"/>
              </w:rPr>
              <w:t>、SS、NH</w:t>
            </w:r>
            <w:r>
              <w:rPr>
                <w:rFonts w:hint="default" w:ascii="Times New Roman" w:hAnsi="Times New Roman" w:cs="Times New Roman"/>
                <w:color w:val="auto"/>
                <w:vertAlign w:val="subscript"/>
              </w:rPr>
              <w:t>3</w:t>
            </w:r>
            <w:r>
              <w:rPr>
                <w:rFonts w:hint="default" w:ascii="Times New Roman" w:hAnsi="Times New Roman" w:cs="Times New Roman"/>
                <w:color w:val="auto"/>
              </w:rPr>
              <w:t>-N</w:t>
            </w:r>
            <w:r>
              <w:rPr>
                <w:rFonts w:hint="eastAsia" w:cs="Times New Roman"/>
                <w:color w:val="auto"/>
                <w:lang w:eastAsia="zh-CN"/>
              </w:rPr>
              <w:t>、</w:t>
            </w:r>
            <w:r>
              <w:rPr>
                <w:rFonts w:hint="eastAsia" w:cs="Times New Roman"/>
                <w:color w:val="auto"/>
                <w:lang w:val="en-US" w:eastAsia="zh-CN"/>
              </w:rPr>
              <w:t>总磷、总氮</w:t>
            </w:r>
          </w:p>
        </w:tc>
        <w:tc>
          <w:tcPr>
            <w:tcW w:w="967" w:type="pct"/>
            <w:vAlign w:val="center"/>
          </w:tcPr>
          <w:p w14:paraId="0F0322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lang w:eastAsia="zh-CN"/>
              </w:rPr>
            </w:pPr>
            <w:r>
              <w:rPr>
                <w:rFonts w:hint="eastAsia"/>
                <w:color w:val="auto"/>
                <w:lang w:val="en-US" w:eastAsia="zh-CN"/>
              </w:rPr>
              <w:t>依托租赁方</w:t>
            </w:r>
            <w:r>
              <w:rPr>
                <w:rFonts w:hint="eastAsia"/>
                <w:color w:val="auto"/>
                <w:lang w:eastAsia="zh-CN"/>
              </w:rPr>
              <w:t>化粪池</w:t>
            </w:r>
          </w:p>
        </w:tc>
        <w:tc>
          <w:tcPr>
            <w:tcW w:w="1503" w:type="pct"/>
            <w:vMerge w:val="restart"/>
            <w:vAlign w:val="center"/>
          </w:tcPr>
          <w:p w14:paraId="68838B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《污水综合排放标准》（GB8978-1996）三级标准（标准中未作要求的执行《污水排入城镇下水道水质标准》（GB/T31962-2015）B级标准）</w:t>
            </w:r>
          </w:p>
        </w:tc>
      </w:tr>
      <w:tr w14:paraId="26251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53" w:type="pct"/>
            <w:vMerge w:val="continue"/>
            <w:vAlign w:val="center"/>
          </w:tcPr>
          <w:p w14:paraId="313991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p>
        </w:tc>
        <w:tc>
          <w:tcPr>
            <w:tcW w:w="1001" w:type="pct"/>
            <w:vMerge w:val="restart"/>
            <w:vAlign w:val="center"/>
          </w:tcPr>
          <w:p w14:paraId="575CD6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lang w:eastAsia="zh-CN"/>
              </w:rPr>
            </w:pPr>
            <w:r>
              <w:rPr>
                <w:rFonts w:hint="eastAsia" w:cs="Times New Roman"/>
                <w:color w:val="auto"/>
                <w:lang w:val="en-US" w:eastAsia="zh-CN"/>
              </w:rPr>
              <w:t>生产废水</w:t>
            </w:r>
          </w:p>
        </w:tc>
        <w:tc>
          <w:tcPr>
            <w:tcW w:w="675" w:type="pct"/>
            <w:vMerge w:val="restart"/>
            <w:vAlign w:val="center"/>
          </w:tcPr>
          <w:p w14:paraId="329A6D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eastAsia"/>
                <w:color w:val="auto"/>
                <w:sz w:val="24"/>
                <w:szCs w:val="24"/>
                <w:lang w:val="en-US" w:eastAsia="zh-CN"/>
              </w:rPr>
              <w:t>pH</w:t>
            </w:r>
            <w:r>
              <w:rPr>
                <w:rFonts w:hint="eastAsia" w:cs="Times New Roman"/>
                <w:color w:val="auto"/>
                <w:sz w:val="24"/>
                <w:szCs w:val="24"/>
                <w:lang w:val="en-US" w:eastAsia="zh-CN"/>
              </w:rPr>
              <w:t>、</w:t>
            </w:r>
            <w:r>
              <w:rPr>
                <w:rFonts w:hint="default"/>
                <w:color w:val="auto"/>
                <w:sz w:val="24"/>
                <w:szCs w:val="24"/>
                <w:lang w:val="en-US" w:eastAsia="zh-CN"/>
              </w:rPr>
              <w:t>COD</w:t>
            </w:r>
            <w:r>
              <w:rPr>
                <w:rFonts w:hint="eastAsia"/>
                <w:color w:val="auto"/>
                <w:sz w:val="24"/>
                <w:szCs w:val="24"/>
                <w:lang w:val="en-US" w:eastAsia="zh-CN"/>
              </w:rPr>
              <w:t>、</w:t>
            </w:r>
            <w:r>
              <w:rPr>
                <w:rFonts w:hint="default"/>
                <w:color w:val="auto"/>
                <w:sz w:val="24"/>
                <w:szCs w:val="24"/>
                <w:lang w:val="en-US" w:eastAsia="zh-CN"/>
              </w:rPr>
              <w:t>BOD</w:t>
            </w:r>
            <w:r>
              <w:rPr>
                <w:color w:val="auto"/>
                <w:sz w:val="24"/>
                <w:szCs w:val="24"/>
                <w:vertAlign w:val="subscript"/>
                <w:lang w:val="en-US" w:eastAsia="zh-CN"/>
              </w:rPr>
              <w:t>5</w:t>
            </w:r>
            <w:r>
              <w:rPr>
                <w:rFonts w:hint="eastAsia"/>
                <w:color w:val="auto"/>
                <w:sz w:val="24"/>
                <w:szCs w:val="24"/>
                <w:lang w:val="en-US" w:eastAsia="zh-CN"/>
              </w:rPr>
              <w:t>、</w:t>
            </w:r>
            <w:r>
              <w:rPr>
                <w:rFonts w:hint="default"/>
                <w:color w:val="auto"/>
                <w:sz w:val="24"/>
                <w:szCs w:val="24"/>
                <w:lang w:val="en-US" w:eastAsia="zh-CN"/>
              </w:rPr>
              <w:t>NH</w:t>
            </w:r>
            <w:r>
              <w:rPr>
                <w:color w:val="auto"/>
                <w:sz w:val="24"/>
                <w:szCs w:val="24"/>
                <w:vertAlign w:val="subscript"/>
                <w:lang w:val="en-US" w:eastAsia="zh-CN"/>
              </w:rPr>
              <w:t>3</w:t>
            </w:r>
            <w:r>
              <w:rPr>
                <w:rFonts w:hint="default"/>
                <w:color w:val="auto"/>
                <w:sz w:val="24"/>
                <w:szCs w:val="24"/>
                <w:lang w:val="en-US" w:eastAsia="zh-CN"/>
              </w:rPr>
              <w:t>-N</w:t>
            </w:r>
            <w:r>
              <w:rPr>
                <w:rFonts w:hint="eastAsia"/>
                <w:color w:val="auto"/>
                <w:sz w:val="24"/>
                <w:szCs w:val="24"/>
                <w:lang w:val="en-US" w:eastAsia="zh-CN"/>
              </w:rPr>
              <w:t>、</w:t>
            </w:r>
            <w:r>
              <w:rPr>
                <w:rFonts w:hint="default" w:ascii="Times New Roman" w:hAnsi="Times New Roman" w:cs="Times New Roman"/>
                <w:color w:val="auto"/>
              </w:rPr>
              <w:t>SS、</w:t>
            </w:r>
            <w:r>
              <w:rPr>
                <w:rFonts w:hint="eastAsia" w:cs="Times New Roman"/>
                <w:color w:val="auto"/>
                <w:lang w:val="en-US" w:eastAsia="zh-CN"/>
              </w:rPr>
              <w:t>总磷、</w:t>
            </w:r>
            <w:r>
              <w:rPr>
                <w:rFonts w:hint="eastAsia"/>
                <w:color w:val="auto"/>
                <w:sz w:val="24"/>
                <w:szCs w:val="24"/>
                <w:lang w:val="en-US" w:eastAsia="zh-CN"/>
              </w:rPr>
              <w:t>动植物油</w:t>
            </w:r>
          </w:p>
        </w:tc>
        <w:tc>
          <w:tcPr>
            <w:tcW w:w="967" w:type="pct"/>
            <w:vAlign w:val="center"/>
          </w:tcPr>
          <w:p w14:paraId="74D217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lang w:val="en-US" w:eastAsia="zh-CN"/>
              </w:rPr>
            </w:pPr>
            <w:r>
              <w:rPr>
                <w:rFonts w:hint="eastAsia"/>
                <w:bCs/>
                <w:color w:val="auto"/>
                <w:lang w:val="en-US" w:eastAsia="zh-CN"/>
              </w:rPr>
              <w:t>自建隔油沉淀池</w:t>
            </w:r>
            <w:r>
              <w:rPr>
                <w:rFonts w:hint="eastAsia"/>
                <w:color w:val="auto"/>
                <w:lang w:val="en-US" w:eastAsia="zh-CN"/>
              </w:rPr>
              <w:t>，</w:t>
            </w:r>
            <w:r>
              <w:rPr>
                <w:rFonts w:hint="eastAsia"/>
                <w:bCs/>
                <w:color w:val="auto"/>
                <w:lang w:val="en-US" w:eastAsia="zh-CN"/>
              </w:rPr>
              <w:t>处理规模为</w:t>
            </w:r>
            <w:r>
              <w:rPr>
                <w:rFonts w:hint="eastAsia" w:cs="Times New Roman"/>
                <w:color w:val="auto"/>
                <w:sz w:val="24"/>
                <w:szCs w:val="24"/>
                <w:lang w:val="en-US" w:eastAsia="zh-CN"/>
              </w:rPr>
              <w:t>60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d</w:t>
            </w:r>
          </w:p>
        </w:tc>
        <w:tc>
          <w:tcPr>
            <w:tcW w:w="1503" w:type="pct"/>
            <w:vMerge w:val="continue"/>
            <w:vAlign w:val="center"/>
          </w:tcPr>
          <w:p w14:paraId="78615D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lang w:val="en-US" w:eastAsia="zh-CN"/>
              </w:rPr>
            </w:pPr>
          </w:p>
        </w:tc>
      </w:tr>
      <w:tr w14:paraId="1A95E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53" w:type="pct"/>
            <w:vMerge w:val="continue"/>
            <w:vAlign w:val="center"/>
          </w:tcPr>
          <w:p w14:paraId="382B8C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p>
        </w:tc>
        <w:tc>
          <w:tcPr>
            <w:tcW w:w="1001" w:type="pct"/>
            <w:vMerge w:val="continue"/>
            <w:vAlign w:val="center"/>
          </w:tcPr>
          <w:p w14:paraId="1AEC00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lang w:val="en-US" w:eastAsia="zh-CN"/>
              </w:rPr>
            </w:pPr>
          </w:p>
        </w:tc>
        <w:tc>
          <w:tcPr>
            <w:tcW w:w="675" w:type="pct"/>
            <w:vMerge w:val="continue"/>
            <w:vAlign w:val="center"/>
          </w:tcPr>
          <w:p w14:paraId="173A67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4"/>
                <w:szCs w:val="24"/>
                <w:lang w:val="en-US" w:eastAsia="zh-CN"/>
              </w:rPr>
            </w:pPr>
          </w:p>
        </w:tc>
        <w:tc>
          <w:tcPr>
            <w:tcW w:w="967" w:type="pct"/>
            <w:vAlign w:val="center"/>
          </w:tcPr>
          <w:p w14:paraId="059F20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Cs/>
                <w:color w:val="auto"/>
                <w:lang w:val="en-US" w:eastAsia="zh-CN"/>
              </w:rPr>
            </w:pPr>
            <w:r>
              <w:rPr>
                <w:rFonts w:hint="eastAsia"/>
                <w:bCs/>
                <w:color w:val="auto"/>
                <w:lang w:val="en-US" w:eastAsia="zh-CN"/>
              </w:rPr>
              <w:t>依托租赁方废水处理站</w:t>
            </w:r>
          </w:p>
        </w:tc>
        <w:tc>
          <w:tcPr>
            <w:tcW w:w="1503" w:type="pct"/>
            <w:vMerge w:val="continue"/>
            <w:vAlign w:val="center"/>
          </w:tcPr>
          <w:p w14:paraId="79F7F2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lang w:val="en-US" w:eastAsia="zh-CN"/>
              </w:rPr>
            </w:pPr>
          </w:p>
        </w:tc>
      </w:tr>
      <w:tr w14:paraId="34455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3" w:type="pct"/>
            <w:vAlign w:val="center"/>
          </w:tcPr>
          <w:p w14:paraId="00174B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声环境</w:t>
            </w:r>
          </w:p>
        </w:tc>
        <w:tc>
          <w:tcPr>
            <w:tcW w:w="1001" w:type="pct"/>
            <w:vAlign w:val="center"/>
          </w:tcPr>
          <w:p w14:paraId="014A4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设备噪声</w:t>
            </w:r>
          </w:p>
        </w:tc>
        <w:tc>
          <w:tcPr>
            <w:tcW w:w="675" w:type="pct"/>
            <w:vAlign w:val="center"/>
          </w:tcPr>
          <w:p w14:paraId="30312E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噪声</w:t>
            </w:r>
          </w:p>
        </w:tc>
        <w:tc>
          <w:tcPr>
            <w:tcW w:w="967" w:type="pct"/>
            <w:vAlign w:val="center"/>
          </w:tcPr>
          <w:p w14:paraId="679AAF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厂房隔声、基础减振、柔性连接等措施</w:t>
            </w:r>
          </w:p>
        </w:tc>
        <w:tc>
          <w:tcPr>
            <w:tcW w:w="1503" w:type="pct"/>
            <w:vAlign w:val="center"/>
          </w:tcPr>
          <w:p w14:paraId="3E807A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《工业企业厂界环境噪声排放标准》（GB12348-2008）中3类标准</w:t>
            </w:r>
          </w:p>
        </w:tc>
      </w:tr>
      <w:tr w14:paraId="4AEE46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53" w:type="pct"/>
            <w:vAlign w:val="center"/>
          </w:tcPr>
          <w:p w14:paraId="2B09A3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电磁辐射</w:t>
            </w:r>
          </w:p>
        </w:tc>
        <w:tc>
          <w:tcPr>
            <w:tcW w:w="1001" w:type="pct"/>
            <w:vAlign w:val="center"/>
          </w:tcPr>
          <w:p w14:paraId="225AAF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w:t>
            </w:r>
          </w:p>
        </w:tc>
        <w:tc>
          <w:tcPr>
            <w:tcW w:w="675" w:type="pct"/>
            <w:vAlign w:val="center"/>
          </w:tcPr>
          <w:p w14:paraId="7B2660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w:t>
            </w:r>
          </w:p>
        </w:tc>
        <w:tc>
          <w:tcPr>
            <w:tcW w:w="967" w:type="pct"/>
            <w:vAlign w:val="center"/>
          </w:tcPr>
          <w:p w14:paraId="5E6AB5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w:t>
            </w:r>
          </w:p>
        </w:tc>
        <w:tc>
          <w:tcPr>
            <w:tcW w:w="1503" w:type="pct"/>
            <w:vAlign w:val="center"/>
          </w:tcPr>
          <w:p w14:paraId="54E313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w:t>
            </w:r>
          </w:p>
        </w:tc>
      </w:tr>
      <w:tr w14:paraId="1C8262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2" w:hRule="atLeast"/>
          <w:jc w:val="center"/>
        </w:trPr>
        <w:tc>
          <w:tcPr>
            <w:tcW w:w="853" w:type="pct"/>
            <w:vAlign w:val="center"/>
          </w:tcPr>
          <w:p w14:paraId="04516C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固体废物</w:t>
            </w:r>
          </w:p>
        </w:tc>
        <w:tc>
          <w:tcPr>
            <w:tcW w:w="4146" w:type="pct"/>
            <w:gridSpan w:val="4"/>
            <w:vAlign w:val="center"/>
          </w:tcPr>
          <w:p w14:paraId="41A991B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auto"/>
                <w:lang w:val="en-US" w:eastAsia="zh-CN"/>
              </w:rPr>
            </w:pPr>
            <w:r>
              <w:rPr>
                <w:rFonts w:hint="eastAsia" w:ascii="Times New Roman" w:hAnsi="Times New Roman" w:cs="Times New Roman"/>
                <w:color w:val="auto"/>
                <w:lang w:val="en-US" w:eastAsia="zh-CN"/>
              </w:rPr>
              <w:t>生活垃圾由垃圾桶分类收集，交由环卫部门处理；</w:t>
            </w:r>
            <w:r>
              <w:rPr>
                <w:rFonts w:hint="eastAsia" w:cs="Times New Roman"/>
                <w:color w:val="auto"/>
                <w:lang w:val="en-US" w:eastAsia="zh-CN"/>
              </w:rPr>
              <w:t>筛选废料、</w:t>
            </w:r>
            <w:r>
              <w:rPr>
                <w:rFonts w:hint="default" w:ascii="Times New Roman" w:hAnsi="Times New Roman" w:cs="Times New Roman"/>
                <w:color w:val="auto"/>
              </w:rPr>
              <w:t>废包装材料</w:t>
            </w:r>
            <w:r>
              <w:rPr>
                <w:rFonts w:hint="eastAsia" w:ascii="Times New Roman" w:hAnsi="Times New Roman" w:cs="Times New Roman"/>
                <w:color w:val="auto"/>
                <w:lang w:val="en-US" w:eastAsia="zh-CN"/>
              </w:rPr>
              <w:t>集中收集后定期外售，废油脂由专用容器收集后交由专门的回收单位处置，污泥</w:t>
            </w:r>
            <w:r>
              <w:rPr>
                <w:rFonts w:hint="eastAsia" w:cs="Times New Roman"/>
                <w:color w:val="auto"/>
                <w:lang w:val="en-US" w:eastAsia="zh-CN"/>
              </w:rPr>
              <w:t>依托租赁方</w:t>
            </w:r>
            <w:r>
              <w:rPr>
                <w:rFonts w:hint="eastAsia" w:ascii="Times New Roman" w:hAnsi="Times New Roman" w:cs="Times New Roman"/>
                <w:color w:val="auto"/>
                <w:lang w:val="en-US" w:eastAsia="zh-CN"/>
              </w:rPr>
              <w:t>废水处理站的叠螺脱水机脱水后委外处置</w:t>
            </w:r>
            <w:r>
              <w:rPr>
                <w:rFonts w:hint="eastAsia" w:cs="Times New Roman"/>
                <w:color w:val="auto"/>
                <w:lang w:val="en-US" w:eastAsia="zh-CN"/>
              </w:rPr>
              <w:t>；废导热油收集后暂存于租赁方危险废物贮存库，定期交由有资质的单位处置。</w:t>
            </w:r>
          </w:p>
        </w:tc>
      </w:tr>
      <w:tr w14:paraId="6DF83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3" w:type="pct"/>
            <w:vAlign w:val="center"/>
          </w:tcPr>
          <w:p w14:paraId="323398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土壤及地下水</w:t>
            </w:r>
          </w:p>
          <w:p w14:paraId="014F14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污染防治措施</w:t>
            </w:r>
          </w:p>
        </w:tc>
        <w:tc>
          <w:tcPr>
            <w:tcW w:w="4146" w:type="pct"/>
            <w:gridSpan w:val="4"/>
            <w:vAlign w:val="center"/>
          </w:tcPr>
          <w:p w14:paraId="027ED66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auto"/>
              </w:rPr>
            </w:pPr>
            <w:r>
              <w:rPr>
                <w:rFonts w:hint="eastAsia" w:ascii="Times New Roman" w:hAnsi="Times New Roman" w:eastAsia="宋体" w:cs="Times New Roman"/>
                <w:color w:val="auto"/>
                <w:lang w:val="en-US" w:eastAsia="zh-CN"/>
              </w:rPr>
              <w:t>项目</w:t>
            </w:r>
            <w:r>
              <w:rPr>
                <w:rFonts w:hint="eastAsia"/>
                <w:color w:val="auto"/>
                <w:spacing w:val="4"/>
                <w:sz w:val="24"/>
                <w:szCs w:val="24"/>
                <w:lang w:val="en-US" w:eastAsia="zh-CN"/>
              </w:rPr>
              <w:t>隔油沉淀池、</w:t>
            </w:r>
            <w:r>
              <w:rPr>
                <w:rFonts w:hint="eastAsia" w:cs="Times New Roman"/>
                <w:color w:val="auto"/>
                <w:lang w:val="en-US" w:eastAsia="zh-CN"/>
              </w:rPr>
              <w:t>导热油加热间采取重点防渗，</w:t>
            </w:r>
            <w:r>
              <w:rPr>
                <w:rFonts w:hint="eastAsia" w:ascii="Times New Roman" w:hAnsi="Times New Roman" w:eastAsia="宋体" w:cs="Times New Roman"/>
                <w:color w:val="auto"/>
                <w:lang w:val="en-US" w:eastAsia="zh-CN"/>
              </w:rPr>
              <w:t>生产</w:t>
            </w:r>
            <w:r>
              <w:rPr>
                <w:rFonts w:hint="eastAsia" w:cs="Times New Roman"/>
                <w:color w:val="auto"/>
                <w:lang w:val="en-US" w:eastAsia="zh-CN"/>
              </w:rPr>
              <w:t>区</w:t>
            </w:r>
            <w:r>
              <w:rPr>
                <w:rFonts w:hint="eastAsia" w:ascii="Times New Roman" w:hAnsi="Times New Roman" w:eastAsia="宋体" w:cs="Times New Roman"/>
                <w:color w:val="auto"/>
                <w:lang w:val="en-US" w:eastAsia="zh-CN"/>
              </w:rPr>
              <w:t>采取一般防渗，办公区采取简单防渗；</w:t>
            </w:r>
            <w:r>
              <w:rPr>
                <w:rFonts w:hint="eastAsia" w:ascii="Times New Roman" w:hAnsi="Times New Roman" w:cs="Times New Roman"/>
                <w:color w:val="auto"/>
                <w:lang w:val="en-US" w:eastAsia="zh-CN"/>
              </w:rPr>
              <w:t>要求建设单位运行期加强管理，定期对</w:t>
            </w:r>
            <w:r>
              <w:rPr>
                <w:rFonts w:hint="eastAsia" w:cs="Times New Roman"/>
                <w:color w:val="auto"/>
                <w:lang w:val="en-US" w:eastAsia="zh-CN"/>
              </w:rPr>
              <w:t>导热油炉、池体</w:t>
            </w:r>
            <w:r>
              <w:rPr>
                <w:rFonts w:hint="eastAsia" w:ascii="Times New Roman" w:hAnsi="Times New Roman" w:cs="Times New Roman"/>
                <w:color w:val="auto"/>
                <w:lang w:val="en-US" w:eastAsia="zh-CN"/>
              </w:rPr>
              <w:t>进行检查，避免发生泄漏</w:t>
            </w:r>
            <w:r>
              <w:rPr>
                <w:rFonts w:hint="eastAsia" w:cs="Times New Roman"/>
                <w:color w:val="auto"/>
                <w:lang w:val="en-US" w:eastAsia="zh-CN"/>
              </w:rPr>
              <w:t>。</w:t>
            </w:r>
          </w:p>
        </w:tc>
      </w:tr>
      <w:tr w14:paraId="322AFE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53" w:type="pct"/>
            <w:vAlign w:val="center"/>
          </w:tcPr>
          <w:p w14:paraId="7AE30D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生态保护措施</w:t>
            </w:r>
          </w:p>
        </w:tc>
        <w:tc>
          <w:tcPr>
            <w:tcW w:w="4146" w:type="pct"/>
            <w:gridSpan w:val="4"/>
            <w:vAlign w:val="center"/>
          </w:tcPr>
          <w:p w14:paraId="29DBD5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无</w:t>
            </w:r>
          </w:p>
        </w:tc>
      </w:tr>
      <w:tr w14:paraId="67F7C6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15" w:hRule="atLeast"/>
          <w:jc w:val="center"/>
        </w:trPr>
        <w:tc>
          <w:tcPr>
            <w:tcW w:w="853" w:type="pct"/>
            <w:vAlign w:val="center"/>
          </w:tcPr>
          <w:p w14:paraId="3EE482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环境风险</w:t>
            </w:r>
          </w:p>
          <w:p w14:paraId="27FA3D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防范措施</w:t>
            </w:r>
          </w:p>
        </w:tc>
        <w:tc>
          <w:tcPr>
            <w:tcW w:w="4146" w:type="pct"/>
            <w:gridSpan w:val="4"/>
            <w:vAlign w:val="center"/>
          </w:tcPr>
          <w:p w14:paraId="035244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r>
              <w:rPr>
                <w:rFonts w:hint="default"/>
                <w:color w:val="auto"/>
                <w:lang w:val="en-GB"/>
              </w:rPr>
              <w:t>①</w:t>
            </w:r>
            <w:r>
              <w:rPr>
                <w:rFonts w:hint="default"/>
                <w:color w:val="auto"/>
              </w:rPr>
              <w:t>项目定期检修生产设备</w:t>
            </w:r>
            <w:r>
              <w:rPr>
                <w:rFonts w:hint="default"/>
                <w:color w:val="auto"/>
                <w:lang w:val="en-US" w:eastAsia="zh-CN"/>
              </w:rPr>
              <w:t>和天然气管道</w:t>
            </w:r>
            <w:r>
              <w:rPr>
                <w:rFonts w:hint="default"/>
                <w:color w:val="auto"/>
              </w:rPr>
              <w:t>，增加</w:t>
            </w:r>
            <w:r>
              <w:rPr>
                <w:rFonts w:hint="default"/>
                <w:color w:val="auto"/>
                <w:lang w:val="en-US" w:eastAsia="zh-CN"/>
              </w:rPr>
              <w:t>设备、管道</w:t>
            </w:r>
            <w:r>
              <w:rPr>
                <w:rFonts w:hint="default"/>
                <w:color w:val="auto"/>
              </w:rPr>
              <w:t>泄漏检验频次，制定规范操作流程，以消除</w:t>
            </w:r>
            <w:r>
              <w:rPr>
                <w:rFonts w:hint="default"/>
                <w:color w:val="auto"/>
                <w:lang w:val="en-US" w:eastAsia="zh-CN"/>
              </w:rPr>
              <w:t>生产</w:t>
            </w:r>
            <w:r>
              <w:rPr>
                <w:rFonts w:hint="default"/>
                <w:color w:val="auto"/>
              </w:rPr>
              <w:t>单元的跑冒滴漏。</w:t>
            </w:r>
          </w:p>
          <w:p w14:paraId="1D7E30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lang w:val="en-GB"/>
              </w:rPr>
            </w:pPr>
            <w:r>
              <w:rPr>
                <w:rFonts w:hint="default"/>
                <w:color w:val="auto"/>
                <w:lang w:val="en-GB"/>
              </w:rPr>
              <w:t>②项目</w:t>
            </w:r>
            <w:r>
              <w:rPr>
                <w:rFonts w:hint="eastAsia" w:cs="Times New Roman"/>
                <w:color w:val="auto"/>
                <w:lang w:val="en-US" w:eastAsia="zh-CN"/>
              </w:rPr>
              <w:t>导热油加热间</w:t>
            </w:r>
            <w:r>
              <w:rPr>
                <w:rFonts w:hint="default"/>
                <w:color w:val="auto"/>
                <w:lang w:val="en-GB"/>
              </w:rPr>
              <w:t>应进行硬化和防渗处理。</w:t>
            </w:r>
          </w:p>
          <w:p w14:paraId="448734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lang w:val="en-GB"/>
              </w:rPr>
            </w:pPr>
            <w:r>
              <w:rPr>
                <w:rFonts w:hint="default"/>
                <w:color w:val="auto"/>
                <w:lang w:val="en-GB"/>
              </w:rPr>
              <w:t>③</w:t>
            </w:r>
            <w:r>
              <w:rPr>
                <w:rFonts w:hint="default"/>
                <w:color w:val="auto"/>
              </w:rPr>
              <w:t>加强安全检查，禁止在</w:t>
            </w:r>
            <w:r>
              <w:rPr>
                <w:rFonts w:hint="default"/>
                <w:color w:val="auto"/>
                <w:lang w:val="en-US" w:eastAsia="zh-CN"/>
              </w:rPr>
              <w:t>风险物质</w:t>
            </w:r>
            <w:r>
              <w:rPr>
                <w:rFonts w:hint="default"/>
                <w:color w:val="auto"/>
              </w:rPr>
              <w:t>附近</w:t>
            </w:r>
            <w:r>
              <w:rPr>
                <w:rFonts w:hint="default"/>
                <w:color w:val="auto"/>
                <w:lang w:val="en-US" w:eastAsia="zh-CN"/>
              </w:rPr>
              <w:t>使用火源</w:t>
            </w:r>
            <w:r>
              <w:rPr>
                <w:rFonts w:hint="default"/>
                <w:color w:val="auto"/>
              </w:rPr>
              <w:t>，严格执行动火规章制度</w:t>
            </w:r>
            <w:r>
              <w:rPr>
                <w:rFonts w:hint="default"/>
                <w:color w:val="auto"/>
                <w:lang w:val="en-GB"/>
              </w:rPr>
              <w:t>。</w:t>
            </w:r>
          </w:p>
          <w:p w14:paraId="497C2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r>
              <w:rPr>
                <w:rFonts w:hint="default"/>
                <w:color w:val="auto"/>
                <w:lang w:val="en-GB" w:eastAsia="zh-CN"/>
              </w:rPr>
              <w:t>④</w:t>
            </w:r>
            <w:r>
              <w:rPr>
                <w:rFonts w:hint="default"/>
                <w:color w:val="auto"/>
                <w:lang w:val="en-US" w:eastAsia="zh-CN"/>
              </w:rPr>
              <w:t>编制突发环境事件应急预案，并在当地主管部门备案，定期进行突发环境事件应急演练。</w:t>
            </w:r>
          </w:p>
        </w:tc>
      </w:tr>
      <w:tr w14:paraId="0B54C9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0" w:hRule="atLeast"/>
          <w:jc w:val="center"/>
        </w:trPr>
        <w:tc>
          <w:tcPr>
            <w:tcW w:w="853" w:type="pct"/>
            <w:vAlign w:val="center"/>
          </w:tcPr>
          <w:p w14:paraId="287970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其他环境</w:t>
            </w:r>
          </w:p>
          <w:p w14:paraId="2F98DC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rPr>
            </w:pPr>
            <w:r>
              <w:rPr>
                <w:rFonts w:hint="default"/>
                <w:color w:val="auto"/>
              </w:rPr>
              <w:t>管理要求</w:t>
            </w:r>
          </w:p>
        </w:tc>
        <w:tc>
          <w:tcPr>
            <w:tcW w:w="4146" w:type="pct"/>
            <w:gridSpan w:val="4"/>
            <w:vAlign w:val="center"/>
          </w:tcPr>
          <w:p w14:paraId="69C785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r>
              <w:rPr>
                <w:rFonts w:hint="eastAsia"/>
                <w:color w:val="auto"/>
                <w:lang w:eastAsia="zh-CN"/>
              </w:rPr>
              <w:t>1.</w:t>
            </w:r>
            <w:r>
              <w:rPr>
                <w:rFonts w:hint="default"/>
                <w:color w:val="auto"/>
              </w:rPr>
              <w:t>取得</w:t>
            </w:r>
            <w:r>
              <w:rPr>
                <w:rFonts w:hint="eastAsia"/>
                <w:color w:val="auto"/>
                <w:lang w:eastAsia="zh-CN"/>
              </w:rPr>
              <w:t>环评</w:t>
            </w:r>
            <w:r>
              <w:rPr>
                <w:rFonts w:hint="default"/>
                <w:color w:val="auto"/>
              </w:rPr>
              <w:t>批复</w:t>
            </w:r>
            <w:r>
              <w:rPr>
                <w:rFonts w:hint="eastAsia"/>
                <w:color w:val="auto"/>
                <w:lang w:eastAsia="zh-CN"/>
              </w:rPr>
              <w:t>并竣工</w:t>
            </w:r>
            <w:r>
              <w:rPr>
                <w:rFonts w:hint="default"/>
                <w:color w:val="auto"/>
              </w:rPr>
              <w:t>后尽快开展竣工环境保护验收工作；</w:t>
            </w:r>
          </w:p>
          <w:p w14:paraId="643CCB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r>
              <w:rPr>
                <w:rFonts w:hint="eastAsia"/>
                <w:color w:val="auto"/>
                <w:lang w:eastAsia="zh-CN"/>
              </w:rPr>
              <w:t>2.</w:t>
            </w:r>
            <w:r>
              <w:rPr>
                <w:rFonts w:hint="default"/>
                <w:color w:val="auto"/>
              </w:rPr>
              <w:t>按规范设置排污口；</w:t>
            </w:r>
          </w:p>
          <w:p w14:paraId="10EE31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r>
              <w:rPr>
                <w:rFonts w:hint="eastAsia"/>
                <w:color w:val="auto"/>
                <w:lang w:eastAsia="zh-CN"/>
              </w:rPr>
              <w:t>3.</w:t>
            </w:r>
            <w:r>
              <w:rPr>
                <w:rFonts w:hint="default"/>
                <w:color w:val="auto"/>
              </w:rPr>
              <w:t>及时进行排污许可申报事宜。</w:t>
            </w:r>
          </w:p>
          <w:p w14:paraId="31BFF8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0A4384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075AE6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38C0A0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7E992B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2A8C1D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77E7A5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5CAB0D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7BA90E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6EC060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olor w:val="auto"/>
              </w:rPr>
            </w:pPr>
          </w:p>
          <w:p w14:paraId="526DE9B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color w:val="auto"/>
              </w:rPr>
            </w:pPr>
          </w:p>
          <w:p w14:paraId="06B05B6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color w:val="auto"/>
              </w:rPr>
            </w:pPr>
          </w:p>
          <w:p w14:paraId="0EA0E2F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color w:val="auto"/>
              </w:rPr>
            </w:pPr>
          </w:p>
          <w:p w14:paraId="474C813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color w:val="auto"/>
              </w:rPr>
            </w:pPr>
          </w:p>
        </w:tc>
      </w:tr>
    </w:tbl>
    <w:p w14:paraId="09E67A0C">
      <w:pPr>
        <w:pStyle w:val="17"/>
        <w:ind w:firstLine="480"/>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r>
        <w:rPr>
          <w:rFonts w:hint="default" w:ascii="Times New Roman" w:hAnsi="Times New Roman" w:eastAsia="黑体" w:cs="Times New Roman"/>
          <w:snapToGrid w:val="0"/>
          <w:color w:val="auto"/>
          <w:sz w:val="30"/>
          <w:szCs w:val="30"/>
        </w:rPr>
        <w:t>六、结论</w:t>
      </w:r>
    </w:p>
    <w:tbl>
      <w:tblPr>
        <w:tblStyle w:val="2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27"/>
      </w:tblGrid>
      <w:tr w14:paraId="02BD0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9427" w:type="dxa"/>
          </w:tcPr>
          <w:p w14:paraId="5B8C2B82">
            <w:pPr>
              <w:ind w:firstLine="480"/>
              <w:rPr>
                <w:rFonts w:hint="default" w:ascii="Times New Roman" w:hAnsi="Times New Roman" w:cs="Times New Roman"/>
                <w:color w:val="auto"/>
              </w:rPr>
            </w:pPr>
            <w:r>
              <w:rPr>
                <w:rFonts w:hint="default" w:ascii="Times New Roman" w:hAnsi="Times New Roman" w:cs="Times New Roman"/>
                <w:color w:val="auto"/>
              </w:rPr>
              <w:t>从环境保护角度分析，该建设项目环境影响可行。</w:t>
            </w:r>
          </w:p>
        </w:tc>
      </w:tr>
    </w:tbl>
    <w:p w14:paraId="016FC215">
      <w:pPr>
        <w:ind w:firstLine="480"/>
        <w:rPr>
          <w:rFonts w:hint="default" w:ascii="Times New Roman" w:hAnsi="Times New Roman" w:cs="Times New Roman"/>
          <w:color w:val="auto"/>
        </w:rPr>
        <w:sectPr>
          <w:pgSz w:w="11906" w:h="16838"/>
          <w:pgMar w:top="1440" w:right="1080" w:bottom="1440" w:left="1080" w:header="851" w:footer="851" w:gutter="0"/>
          <w:pgBorders>
            <w:top w:val="none" w:sz="0" w:space="0"/>
            <w:left w:val="none" w:sz="0" w:space="0"/>
            <w:bottom w:val="none" w:sz="0" w:space="0"/>
            <w:right w:val="none" w:sz="0" w:space="0"/>
          </w:pgBorders>
          <w:pgNumType w:fmt="decimal"/>
          <w:cols w:space="720" w:num="1"/>
          <w:docGrid w:linePitch="312" w:charSpace="0"/>
        </w:sectPr>
      </w:pPr>
    </w:p>
    <w:p w14:paraId="48BBF114">
      <w:pPr>
        <w:pStyle w:val="17"/>
        <w:adjustRightInd w:val="0"/>
        <w:snapToGrid w:val="0"/>
        <w:spacing w:before="0" w:beforeAutospacing="0" w:after="0" w:afterAutospacing="0" w:line="240" w:lineRule="auto"/>
        <w:ind w:firstLine="640"/>
        <w:outlineLvl w:val="0"/>
        <w:rPr>
          <w:rFonts w:hint="default" w:ascii="Times New Roman" w:hAnsi="Times New Roman" w:eastAsia="黑体" w:cs="Times New Roman"/>
          <w:snapToGrid w:val="0"/>
          <w:color w:val="auto"/>
          <w:sz w:val="32"/>
          <w:szCs w:val="32"/>
        </w:rPr>
      </w:pPr>
      <w:r>
        <w:rPr>
          <w:rFonts w:hint="default" w:ascii="Times New Roman" w:hAnsi="Times New Roman" w:eastAsia="黑体" w:cs="Times New Roman"/>
          <w:snapToGrid w:val="0"/>
          <w:color w:val="auto"/>
          <w:sz w:val="32"/>
          <w:szCs w:val="32"/>
        </w:rPr>
        <w:t>附表</w:t>
      </w:r>
    </w:p>
    <w:p w14:paraId="437C89BA">
      <w:pPr>
        <w:pStyle w:val="17"/>
        <w:adjustRightInd w:val="0"/>
        <w:snapToGrid w:val="0"/>
        <w:spacing w:before="0" w:beforeAutospacing="0" w:after="0" w:afterAutospacing="0" w:line="240" w:lineRule="auto"/>
        <w:ind w:firstLine="0" w:firstLineChars="0"/>
        <w:jc w:val="center"/>
        <w:outlineLvl w:val="0"/>
        <w:rPr>
          <w:rFonts w:hint="default" w:ascii="Times New Roman" w:hAnsi="Times New Roman" w:eastAsia="方正小标宋_GBK" w:cs="Times New Roman"/>
          <w:snapToGrid w:val="0"/>
          <w:color w:val="auto"/>
          <w:sz w:val="38"/>
          <w:szCs w:val="38"/>
        </w:rPr>
      </w:pPr>
      <w:r>
        <w:rPr>
          <w:rFonts w:hint="default" w:ascii="Times New Roman" w:hAnsi="Times New Roman" w:eastAsia="方正小标宋_GBK" w:cs="Times New Roman"/>
          <w:snapToGrid w:val="0"/>
          <w:color w:val="auto"/>
          <w:sz w:val="38"/>
          <w:szCs w:val="38"/>
        </w:rPr>
        <w:t>建设项目污染物排放量汇总表</w:t>
      </w:r>
    </w:p>
    <w:tbl>
      <w:tblPr>
        <w:tblStyle w:val="21"/>
        <w:tblW w:w="4964"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77"/>
        <w:gridCol w:w="1620"/>
        <w:gridCol w:w="1532"/>
        <w:gridCol w:w="1159"/>
        <w:gridCol w:w="1687"/>
        <w:gridCol w:w="1459"/>
        <w:gridCol w:w="1663"/>
        <w:gridCol w:w="1853"/>
        <w:gridCol w:w="1245"/>
      </w:tblGrid>
      <w:tr w14:paraId="23C3DC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439" w:type="pct"/>
            <w:tcBorders>
              <w:tl2br w:val="single" w:color="auto" w:sz="4" w:space="0"/>
            </w:tcBorders>
            <w:tcMar>
              <w:left w:w="28" w:type="dxa"/>
              <w:right w:w="28" w:type="dxa"/>
            </w:tcMar>
            <w:vAlign w:val="center"/>
          </w:tcPr>
          <w:p w14:paraId="011B5C98">
            <w:pPr>
              <w:spacing w:line="240" w:lineRule="auto"/>
              <w:ind w:firstLine="0" w:firstLineChars="0"/>
              <w:jc w:val="right"/>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项目</w:t>
            </w:r>
          </w:p>
          <w:p w14:paraId="0CE9D82A">
            <w:pPr>
              <w:spacing w:line="240" w:lineRule="auto"/>
              <w:ind w:firstLine="0" w:firstLineChars="0"/>
              <w:jc w:val="left"/>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分类</w:t>
            </w:r>
          </w:p>
        </w:tc>
        <w:tc>
          <w:tcPr>
            <w:tcW w:w="604" w:type="pct"/>
            <w:tcMar>
              <w:left w:w="28" w:type="dxa"/>
              <w:right w:w="28" w:type="dxa"/>
            </w:tcMar>
            <w:vAlign w:val="center"/>
          </w:tcPr>
          <w:p w14:paraId="4C8137AD">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污染物名称</w:t>
            </w:r>
          </w:p>
        </w:tc>
        <w:tc>
          <w:tcPr>
            <w:tcW w:w="571" w:type="pct"/>
            <w:tcMar>
              <w:left w:w="28" w:type="dxa"/>
              <w:right w:w="28" w:type="dxa"/>
            </w:tcMar>
            <w:vAlign w:val="center"/>
          </w:tcPr>
          <w:p w14:paraId="75F5A7AB">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现有工程</w:t>
            </w:r>
          </w:p>
          <w:p w14:paraId="0E5F655D">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排放量（固体废物产生量）</w:t>
            </w:r>
            <w:r>
              <w:rPr>
                <w:rFonts w:hint="default" w:ascii="Times New Roman" w:hAnsi="Times New Roman" w:eastAsia="黑体" w:cs="Times New Roman"/>
                <w:snapToGrid w:val="0"/>
                <w:color w:val="auto"/>
                <w:spacing w:val="-6"/>
                <w:kern w:val="21"/>
                <w:sz w:val="21"/>
                <w:szCs w:val="21"/>
              </w:rPr>
              <w:fldChar w:fldCharType="begin"/>
            </w:r>
            <w:r>
              <w:rPr>
                <w:rFonts w:hint="default" w:ascii="Times New Roman" w:hAnsi="Times New Roman" w:eastAsia="黑体" w:cs="Times New Roman"/>
                <w:snapToGrid w:val="0"/>
                <w:color w:val="auto"/>
                <w:spacing w:val="-6"/>
                <w:kern w:val="21"/>
                <w:sz w:val="21"/>
                <w:szCs w:val="21"/>
              </w:rPr>
              <w:instrText xml:space="preserve"> = 1 \* GB3 \* MERGEFORMAT </w:instrText>
            </w:r>
            <w:r>
              <w:rPr>
                <w:rFonts w:hint="default" w:ascii="Times New Roman" w:hAnsi="Times New Roman" w:eastAsia="黑体" w:cs="Times New Roman"/>
                <w:snapToGrid w:val="0"/>
                <w:color w:val="auto"/>
                <w:spacing w:val="-6"/>
                <w:kern w:val="21"/>
                <w:sz w:val="21"/>
                <w:szCs w:val="21"/>
              </w:rPr>
              <w:fldChar w:fldCharType="separate"/>
            </w:r>
            <w:r>
              <w:rPr>
                <w:rFonts w:hint="default" w:ascii="Times New Roman" w:hAnsi="Times New Roman" w:eastAsia="黑体" w:cs="Times New Roman"/>
                <w:color w:val="auto"/>
                <w:sz w:val="21"/>
                <w:szCs w:val="21"/>
              </w:rPr>
              <w:t>①</w:t>
            </w:r>
            <w:r>
              <w:rPr>
                <w:rFonts w:hint="default" w:ascii="Times New Roman" w:hAnsi="Times New Roman" w:eastAsia="黑体" w:cs="Times New Roman"/>
                <w:snapToGrid w:val="0"/>
                <w:color w:val="auto"/>
                <w:spacing w:val="-6"/>
                <w:kern w:val="21"/>
                <w:sz w:val="21"/>
                <w:szCs w:val="21"/>
              </w:rPr>
              <w:fldChar w:fldCharType="end"/>
            </w:r>
          </w:p>
        </w:tc>
        <w:tc>
          <w:tcPr>
            <w:tcW w:w="432" w:type="pct"/>
            <w:tcMar>
              <w:left w:w="28" w:type="dxa"/>
              <w:right w:w="28" w:type="dxa"/>
            </w:tcMar>
            <w:vAlign w:val="center"/>
          </w:tcPr>
          <w:p w14:paraId="07F88C61">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现有工程</w:t>
            </w:r>
          </w:p>
          <w:p w14:paraId="39E26625">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许可排放量</w:t>
            </w:r>
            <w:r>
              <w:rPr>
                <w:rFonts w:hint="default" w:ascii="Times New Roman" w:hAnsi="Times New Roman" w:eastAsia="黑体" w:cs="Times New Roman"/>
                <w:snapToGrid w:val="0"/>
                <w:color w:val="auto"/>
                <w:spacing w:val="-6"/>
                <w:kern w:val="21"/>
                <w:sz w:val="21"/>
                <w:szCs w:val="21"/>
              </w:rPr>
              <w:fldChar w:fldCharType="begin"/>
            </w:r>
            <w:r>
              <w:rPr>
                <w:rFonts w:hint="default" w:ascii="Times New Roman" w:hAnsi="Times New Roman" w:eastAsia="黑体" w:cs="Times New Roman"/>
                <w:snapToGrid w:val="0"/>
                <w:color w:val="auto"/>
                <w:spacing w:val="-6"/>
                <w:kern w:val="21"/>
                <w:sz w:val="21"/>
                <w:szCs w:val="21"/>
              </w:rPr>
              <w:instrText xml:space="preserve"> = 2 \* GB3 \* MERGEFORMAT </w:instrText>
            </w:r>
            <w:r>
              <w:rPr>
                <w:rFonts w:hint="default" w:ascii="Times New Roman" w:hAnsi="Times New Roman" w:eastAsia="黑体" w:cs="Times New Roman"/>
                <w:snapToGrid w:val="0"/>
                <w:color w:val="auto"/>
                <w:spacing w:val="-6"/>
                <w:kern w:val="21"/>
                <w:sz w:val="21"/>
                <w:szCs w:val="21"/>
              </w:rPr>
              <w:fldChar w:fldCharType="separate"/>
            </w:r>
            <w:r>
              <w:rPr>
                <w:rFonts w:hint="default" w:ascii="Times New Roman" w:hAnsi="Times New Roman" w:eastAsia="黑体" w:cs="Times New Roman"/>
                <w:snapToGrid w:val="0"/>
                <w:color w:val="auto"/>
                <w:spacing w:val="-6"/>
                <w:kern w:val="21"/>
                <w:sz w:val="21"/>
                <w:szCs w:val="21"/>
              </w:rPr>
              <w:t>②</w:t>
            </w:r>
            <w:r>
              <w:rPr>
                <w:rFonts w:hint="default" w:ascii="Times New Roman" w:hAnsi="Times New Roman" w:eastAsia="黑体" w:cs="Times New Roman"/>
                <w:snapToGrid w:val="0"/>
                <w:color w:val="auto"/>
                <w:spacing w:val="-6"/>
                <w:kern w:val="21"/>
                <w:sz w:val="21"/>
                <w:szCs w:val="21"/>
              </w:rPr>
              <w:fldChar w:fldCharType="end"/>
            </w:r>
          </w:p>
        </w:tc>
        <w:tc>
          <w:tcPr>
            <w:tcW w:w="629" w:type="pct"/>
            <w:tcMar>
              <w:left w:w="28" w:type="dxa"/>
              <w:right w:w="28" w:type="dxa"/>
            </w:tcMar>
            <w:vAlign w:val="center"/>
          </w:tcPr>
          <w:p w14:paraId="2F368E9C">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在建工程</w:t>
            </w:r>
          </w:p>
          <w:p w14:paraId="685E70F7">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排放量（固体废物产生量）</w:t>
            </w:r>
            <w:r>
              <w:rPr>
                <w:rFonts w:hint="default" w:ascii="Times New Roman" w:hAnsi="Times New Roman" w:eastAsia="黑体" w:cs="Times New Roman"/>
                <w:snapToGrid w:val="0"/>
                <w:color w:val="auto"/>
                <w:spacing w:val="-6"/>
                <w:kern w:val="21"/>
                <w:sz w:val="21"/>
                <w:szCs w:val="21"/>
              </w:rPr>
              <w:fldChar w:fldCharType="begin"/>
            </w:r>
            <w:r>
              <w:rPr>
                <w:rFonts w:hint="default" w:ascii="Times New Roman" w:hAnsi="Times New Roman" w:eastAsia="黑体" w:cs="Times New Roman"/>
                <w:snapToGrid w:val="0"/>
                <w:color w:val="auto"/>
                <w:spacing w:val="-6"/>
                <w:kern w:val="21"/>
                <w:sz w:val="21"/>
                <w:szCs w:val="21"/>
              </w:rPr>
              <w:instrText xml:space="preserve"> = 3 \* GB3 \* MERGEFORMAT </w:instrText>
            </w:r>
            <w:r>
              <w:rPr>
                <w:rFonts w:hint="default" w:ascii="Times New Roman" w:hAnsi="Times New Roman" w:eastAsia="黑体" w:cs="Times New Roman"/>
                <w:snapToGrid w:val="0"/>
                <w:color w:val="auto"/>
                <w:spacing w:val="-6"/>
                <w:kern w:val="21"/>
                <w:sz w:val="21"/>
                <w:szCs w:val="21"/>
              </w:rPr>
              <w:fldChar w:fldCharType="separate"/>
            </w:r>
            <w:r>
              <w:rPr>
                <w:rFonts w:hint="default" w:ascii="Times New Roman" w:hAnsi="Times New Roman" w:eastAsia="黑体" w:cs="Times New Roman"/>
                <w:color w:val="auto"/>
                <w:sz w:val="21"/>
                <w:szCs w:val="21"/>
              </w:rPr>
              <w:t>③</w:t>
            </w:r>
            <w:r>
              <w:rPr>
                <w:rFonts w:hint="default" w:ascii="Times New Roman" w:hAnsi="Times New Roman" w:eastAsia="黑体" w:cs="Times New Roman"/>
                <w:snapToGrid w:val="0"/>
                <w:color w:val="auto"/>
                <w:spacing w:val="-6"/>
                <w:kern w:val="21"/>
                <w:sz w:val="21"/>
                <w:szCs w:val="21"/>
              </w:rPr>
              <w:fldChar w:fldCharType="end"/>
            </w:r>
          </w:p>
        </w:tc>
        <w:tc>
          <w:tcPr>
            <w:tcW w:w="544" w:type="pct"/>
            <w:tcMar>
              <w:left w:w="28" w:type="dxa"/>
              <w:right w:w="28" w:type="dxa"/>
            </w:tcMar>
            <w:vAlign w:val="center"/>
          </w:tcPr>
          <w:p w14:paraId="1F5B29DE">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本项目</w:t>
            </w:r>
          </w:p>
          <w:p w14:paraId="243668B6">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排放量（固体废物产生量）</w:t>
            </w:r>
            <w:r>
              <w:rPr>
                <w:rFonts w:hint="default" w:ascii="Times New Roman" w:hAnsi="Times New Roman" w:eastAsia="黑体" w:cs="Times New Roman"/>
                <w:snapToGrid w:val="0"/>
                <w:color w:val="auto"/>
                <w:spacing w:val="-6"/>
                <w:kern w:val="21"/>
                <w:sz w:val="21"/>
                <w:szCs w:val="21"/>
              </w:rPr>
              <w:fldChar w:fldCharType="begin"/>
            </w:r>
            <w:r>
              <w:rPr>
                <w:rFonts w:hint="default" w:ascii="Times New Roman" w:hAnsi="Times New Roman" w:eastAsia="黑体" w:cs="Times New Roman"/>
                <w:snapToGrid w:val="0"/>
                <w:color w:val="auto"/>
                <w:spacing w:val="-6"/>
                <w:kern w:val="21"/>
                <w:sz w:val="21"/>
                <w:szCs w:val="21"/>
              </w:rPr>
              <w:instrText xml:space="preserve"> = 4 \* GB3 \* MERGEFORMAT </w:instrText>
            </w:r>
            <w:r>
              <w:rPr>
                <w:rFonts w:hint="default" w:ascii="Times New Roman" w:hAnsi="Times New Roman" w:eastAsia="黑体" w:cs="Times New Roman"/>
                <w:snapToGrid w:val="0"/>
                <w:color w:val="auto"/>
                <w:spacing w:val="-6"/>
                <w:kern w:val="21"/>
                <w:sz w:val="21"/>
                <w:szCs w:val="21"/>
              </w:rPr>
              <w:fldChar w:fldCharType="separate"/>
            </w:r>
            <w:r>
              <w:rPr>
                <w:rFonts w:hint="default" w:ascii="Times New Roman" w:hAnsi="Times New Roman" w:eastAsia="黑体" w:cs="Times New Roman"/>
                <w:color w:val="auto"/>
                <w:sz w:val="21"/>
                <w:szCs w:val="21"/>
              </w:rPr>
              <w:t>④</w:t>
            </w:r>
            <w:r>
              <w:rPr>
                <w:rFonts w:hint="default" w:ascii="Times New Roman" w:hAnsi="Times New Roman" w:eastAsia="黑体" w:cs="Times New Roman"/>
                <w:snapToGrid w:val="0"/>
                <w:color w:val="auto"/>
                <w:spacing w:val="-6"/>
                <w:kern w:val="21"/>
                <w:sz w:val="21"/>
                <w:szCs w:val="21"/>
              </w:rPr>
              <w:fldChar w:fldCharType="end"/>
            </w:r>
          </w:p>
        </w:tc>
        <w:tc>
          <w:tcPr>
            <w:tcW w:w="620" w:type="pct"/>
            <w:tcMar>
              <w:left w:w="28" w:type="dxa"/>
              <w:right w:w="28" w:type="dxa"/>
            </w:tcMar>
            <w:vAlign w:val="center"/>
          </w:tcPr>
          <w:p w14:paraId="509E42C8">
            <w:pPr>
              <w:spacing w:line="240" w:lineRule="auto"/>
              <w:ind w:firstLine="0" w:firstLineChars="0"/>
              <w:jc w:val="center"/>
              <w:rPr>
                <w:rFonts w:hint="default" w:ascii="Times New Roman" w:hAnsi="Times New Roman" w:eastAsia="黑体" w:cs="Times New Roman"/>
                <w:snapToGrid w:val="0"/>
                <w:color w:val="auto"/>
                <w:spacing w:val="-16"/>
                <w:kern w:val="21"/>
                <w:sz w:val="21"/>
                <w:szCs w:val="21"/>
              </w:rPr>
            </w:pPr>
            <w:r>
              <w:rPr>
                <w:rFonts w:hint="default" w:ascii="Times New Roman" w:hAnsi="Times New Roman" w:eastAsia="黑体" w:cs="Times New Roman"/>
                <w:snapToGrid w:val="0"/>
                <w:color w:val="auto"/>
                <w:spacing w:val="-16"/>
                <w:kern w:val="21"/>
                <w:sz w:val="21"/>
                <w:szCs w:val="21"/>
              </w:rPr>
              <w:t>以新带老削减量</w:t>
            </w:r>
          </w:p>
          <w:p w14:paraId="68390948">
            <w:pPr>
              <w:spacing w:line="240" w:lineRule="auto"/>
              <w:ind w:firstLine="0" w:firstLineChars="0"/>
              <w:jc w:val="center"/>
              <w:rPr>
                <w:rFonts w:hint="default" w:ascii="Times New Roman" w:hAnsi="Times New Roman" w:eastAsia="黑体" w:cs="Times New Roman"/>
                <w:snapToGrid w:val="0"/>
                <w:color w:val="auto"/>
                <w:spacing w:val="-16"/>
                <w:kern w:val="21"/>
                <w:sz w:val="21"/>
                <w:szCs w:val="21"/>
              </w:rPr>
            </w:pPr>
            <w:r>
              <w:rPr>
                <w:rFonts w:hint="default" w:ascii="Times New Roman" w:hAnsi="Times New Roman" w:eastAsia="黑体" w:cs="Times New Roman"/>
                <w:snapToGrid w:val="0"/>
                <w:color w:val="auto"/>
                <w:spacing w:val="-16"/>
                <w:kern w:val="21"/>
                <w:sz w:val="21"/>
                <w:szCs w:val="21"/>
              </w:rPr>
              <w:t>（新建项目不填）</w:t>
            </w:r>
            <w:r>
              <w:rPr>
                <w:rFonts w:hint="default" w:ascii="Times New Roman" w:hAnsi="Times New Roman" w:eastAsia="黑体" w:cs="Times New Roman"/>
                <w:snapToGrid w:val="0"/>
                <w:color w:val="auto"/>
                <w:spacing w:val="-16"/>
                <w:kern w:val="21"/>
                <w:sz w:val="21"/>
                <w:szCs w:val="21"/>
              </w:rPr>
              <w:fldChar w:fldCharType="begin"/>
            </w:r>
            <w:r>
              <w:rPr>
                <w:rFonts w:hint="default" w:ascii="Times New Roman" w:hAnsi="Times New Roman" w:eastAsia="黑体" w:cs="Times New Roman"/>
                <w:snapToGrid w:val="0"/>
                <w:color w:val="auto"/>
                <w:spacing w:val="-16"/>
                <w:kern w:val="21"/>
                <w:sz w:val="21"/>
                <w:szCs w:val="21"/>
              </w:rPr>
              <w:instrText xml:space="preserve"> = 5 \* GB3 \* MERGEFORMAT </w:instrText>
            </w:r>
            <w:r>
              <w:rPr>
                <w:rFonts w:hint="default" w:ascii="Times New Roman" w:hAnsi="Times New Roman" w:eastAsia="黑体" w:cs="Times New Roman"/>
                <w:snapToGrid w:val="0"/>
                <w:color w:val="auto"/>
                <w:spacing w:val="-16"/>
                <w:kern w:val="21"/>
                <w:sz w:val="21"/>
                <w:szCs w:val="21"/>
              </w:rPr>
              <w:fldChar w:fldCharType="separate"/>
            </w:r>
            <w:r>
              <w:rPr>
                <w:rFonts w:hint="default" w:ascii="Times New Roman" w:hAnsi="Times New Roman" w:eastAsia="黑体" w:cs="Times New Roman"/>
                <w:color w:val="auto"/>
                <w:sz w:val="21"/>
                <w:szCs w:val="21"/>
              </w:rPr>
              <w:t>⑤</w:t>
            </w:r>
            <w:r>
              <w:rPr>
                <w:rFonts w:hint="default" w:ascii="Times New Roman" w:hAnsi="Times New Roman" w:eastAsia="黑体" w:cs="Times New Roman"/>
                <w:snapToGrid w:val="0"/>
                <w:color w:val="auto"/>
                <w:spacing w:val="-16"/>
                <w:kern w:val="21"/>
                <w:sz w:val="21"/>
                <w:szCs w:val="21"/>
              </w:rPr>
              <w:fldChar w:fldCharType="end"/>
            </w:r>
          </w:p>
        </w:tc>
        <w:tc>
          <w:tcPr>
            <w:tcW w:w="691" w:type="pct"/>
            <w:tcMar>
              <w:left w:w="28" w:type="dxa"/>
              <w:right w:w="28" w:type="dxa"/>
            </w:tcMar>
            <w:vAlign w:val="center"/>
          </w:tcPr>
          <w:p w14:paraId="5E601839">
            <w:pPr>
              <w:spacing w:line="240" w:lineRule="auto"/>
              <w:ind w:firstLine="0" w:firstLineChars="0"/>
              <w:jc w:val="center"/>
              <w:rPr>
                <w:rFonts w:hint="default" w:ascii="Times New Roman" w:hAnsi="Times New Roman" w:eastAsia="黑体" w:cs="Times New Roman"/>
                <w:snapToGrid w:val="0"/>
                <w:color w:val="auto"/>
                <w:spacing w:val="-16"/>
                <w:kern w:val="21"/>
                <w:sz w:val="21"/>
                <w:szCs w:val="21"/>
              </w:rPr>
            </w:pPr>
            <w:r>
              <w:rPr>
                <w:rFonts w:hint="default" w:ascii="Times New Roman" w:hAnsi="Times New Roman" w:eastAsia="黑体" w:cs="Times New Roman"/>
                <w:snapToGrid w:val="0"/>
                <w:color w:val="auto"/>
                <w:spacing w:val="-16"/>
                <w:kern w:val="21"/>
                <w:sz w:val="21"/>
                <w:szCs w:val="21"/>
              </w:rPr>
              <w:t>本项目建成后</w:t>
            </w:r>
          </w:p>
          <w:p w14:paraId="5ABF943A">
            <w:pPr>
              <w:spacing w:line="240" w:lineRule="auto"/>
              <w:ind w:firstLine="0" w:firstLineChars="0"/>
              <w:jc w:val="center"/>
              <w:rPr>
                <w:rFonts w:hint="default" w:ascii="Times New Roman" w:hAnsi="Times New Roman" w:eastAsia="黑体" w:cs="Times New Roman"/>
                <w:snapToGrid w:val="0"/>
                <w:color w:val="auto"/>
                <w:spacing w:val="-16"/>
                <w:kern w:val="21"/>
                <w:sz w:val="21"/>
                <w:szCs w:val="21"/>
              </w:rPr>
            </w:pPr>
            <w:r>
              <w:rPr>
                <w:rFonts w:hint="default" w:ascii="Times New Roman" w:hAnsi="Times New Roman" w:eastAsia="黑体" w:cs="Times New Roman"/>
                <w:snapToGrid w:val="0"/>
                <w:color w:val="auto"/>
                <w:spacing w:val="-16"/>
                <w:kern w:val="21"/>
                <w:sz w:val="21"/>
                <w:szCs w:val="21"/>
              </w:rPr>
              <w:t>全厂排放量（固体废物产生量）</w:t>
            </w:r>
            <w:r>
              <w:rPr>
                <w:rFonts w:hint="default" w:ascii="Times New Roman" w:hAnsi="Times New Roman" w:eastAsia="黑体" w:cs="Times New Roman"/>
                <w:snapToGrid w:val="0"/>
                <w:color w:val="auto"/>
                <w:spacing w:val="-16"/>
                <w:kern w:val="21"/>
                <w:sz w:val="21"/>
                <w:szCs w:val="21"/>
              </w:rPr>
              <w:fldChar w:fldCharType="begin"/>
            </w:r>
            <w:r>
              <w:rPr>
                <w:rFonts w:hint="default" w:ascii="Times New Roman" w:hAnsi="Times New Roman" w:eastAsia="黑体" w:cs="Times New Roman"/>
                <w:snapToGrid w:val="0"/>
                <w:color w:val="auto"/>
                <w:spacing w:val="-16"/>
                <w:kern w:val="21"/>
                <w:sz w:val="21"/>
                <w:szCs w:val="21"/>
              </w:rPr>
              <w:instrText xml:space="preserve"> = 6 \* GB3 \* MERGEFORMAT </w:instrText>
            </w:r>
            <w:r>
              <w:rPr>
                <w:rFonts w:hint="default" w:ascii="Times New Roman" w:hAnsi="Times New Roman" w:eastAsia="黑体" w:cs="Times New Roman"/>
                <w:snapToGrid w:val="0"/>
                <w:color w:val="auto"/>
                <w:spacing w:val="-16"/>
                <w:kern w:val="21"/>
                <w:sz w:val="21"/>
                <w:szCs w:val="21"/>
              </w:rPr>
              <w:fldChar w:fldCharType="separate"/>
            </w:r>
            <w:r>
              <w:rPr>
                <w:rFonts w:hint="default" w:ascii="Times New Roman" w:hAnsi="Times New Roman" w:eastAsia="黑体" w:cs="Times New Roman"/>
                <w:color w:val="auto"/>
                <w:sz w:val="21"/>
                <w:szCs w:val="21"/>
              </w:rPr>
              <w:t>⑥</w:t>
            </w:r>
            <w:r>
              <w:rPr>
                <w:rFonts w:hint="default" w:ascii="Times New Roman" w:hAnsi="Times New Roman" w:eastAsia="黑体" w:cs="Times New Roman"/>
                <w:snapToGrid w:val="0"/>
                <w:color w:val="auto"/>
                <w:spacing w:val="-16"/>
                <w:kern w:val="21"/>
                <w:sz w:val="21"/>
                <w:szCs w:val="21"/>
              </w:rPr>
              <w:fldChar w:fldCharType="end"/>
            </w:r>
          </w:p>
        </w:tc>
        <w:tc>
          <w:tcPr>
            <w:tcW w:w="464" w:type="pct"/>
            <w:tcMar>
              <w:left w:w="28" w:type="dxa"/>
              <w:right w:w="28" w:type="dxa"/>
            </w:tcMar>
            <w:vAlign w:val="center"/>
          </w:tcPr>
          <w:p w14:paraId="4FD22737">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t>变化量</w:t>
            </w:r>
          </w:p>
          <w:p w14:paraId="4F719843">
            <w:pPr>
              <w:spacing w:line="240" w:lineRule="auto"/>
              <w:ind w:firstLine="0" w:firstLineChars="0"/>
              <w:jc w:val="center"/>
              <w:rPr>
                <w:rFonts w:hint="default" w:ascii="Times New Roman" w:hAnsi="Times New Roman" w:eastAsia="黑体" w:cs="Times New Roman"/>
                <w:snapToGrid w:val="0"/>
                <w:color w:val="auto"/>
                <w:spacing w:val="-6"/>
                <w:kern w:val="21"/>
                <w:sz w:val="21"/>
                <w:szCs w:val="21"/>
              </w:rPr>
            </w:pPr>
            <w:r>
              <w:rPr>
                <w:rFonts w:hint="default" w:ascii="Times New Roman" w:hAnsi="Times New Roman" w:eastAsia="黑体" w:cs="Times New Roman"/>
                <w:snapToGrid w:val="0"/>
                <w:color w:val="auto"/>
                <w:spacing w:val="-6"/>
                <w:kern w:val="21"/>
                <w:sz w:val="21"/>
                <w:szCs w:val="21"/>
              </w:rPr>
              <w:fldChar w:fldCharType="begin"/>
            </w:r>
            <w:r>
              <w:rPr>
                <w:rFonts w:hint="default" w:ascii="Times New Roman" w:hAnsi="Times New Roman" w:eastAsia="黑体" w:cs="Times New Roman"/>
                <w:snapToGrid w:val="0"/>
                <w:color w:val="auto"/>
                <w:spacing w:val="-6"/>
                <w:kern w:val="21"/>
                <w:sz w:val="21"/>
                <w:szCs w:val="21"/>
              </w:rPr>
              <w:instrText xml:space="preserve"> = 7 \* GB3 \* MERGEFORMAT </w:instrText>
            </w:r>
            <w:r>
              <w:rPr>
                <w:rFonts w:hint="default" w:ascii="Times New Roman" w:hAnsi="Times New Roman" w:eastAsia="黑体" w:cs="Times New Roman"/>
                <w:snapToGrid w:val="0"/>
                <w:color w:val="auto"/>
                <w:spacing w:val="-6"/>
                <w:kern w:val="21"/>
                <w:sz w:val="21"/>
                <w:szCs w:val="21"/>
              </w:rPr>
              <w:fldChar w:fldCharType="separate"/>
            </w:r>
            <w:r>
              <w:rPr>
                <w:rFonts w:hint="default" w:ascii="Times New Roman" w:hAnsi="Times New Roman" w:eastAsia="黑体" w:cs="Times New Roman"/>
                <w:color w:val="auto"/>
                <w:sz w:val="21"/>
                <w:szCs w:val="21"/>
              </w:rPr>
              <w:t>⑦</w:t>
            </w:r>
            <w:r>
              <w:rPr>
                <w:rFonts w:hint="default" w:ascii="Times New Roman" w:hAnsi="Times New Roman" w:eastAsia="黑体" w:cs="Times New Roman"/>
                <w:snapToGrid w:val="0"/>
                <w:color w:val="auto"/>
                <w:spacing w:val="-6"/>
                <w:kern w:val="21"/>
                <w:sz w:val="21"/>
                <w:szCs w:val="21"/>
              </w:rPr>
              <w:fldChar w:fldCharType="end"/>
            </w:r>
          </w:p>
        </w:tc>
      </w:tr>
      <w:tr w14:paraId="213D72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restart"/>
            <w:vAlign w:val="center"/>
          </w:tcPr>
          <w:p w14:paraId="37121B39">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废气</w:t>
            </w:r>
          </w:p>
        </w:tc>
        <w:tc>
          <w:tcPr>
            <w:tcW w:w="604" w:type="pct"/>
            <w:vAlign w:val="center"/>
          </w:tcPr>
          <w:p w14:paraId="5D40F609">
            <w:pPr>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cs="Times New Roman"/>
                <w:color w:val="auto"/>
                <w:sz w:val="21"/>
                <w:szCs w:val="21"/>
                <w:lang w:val="en-US" w:eastAsia="zh-CN"/>
              </w:rPr>
              <w:t>油烟</w:t>
            </w:r>
          </w:p>
        </w:tc>
        <w:tc>
          <w:tcPr>
            <w:tcW w:w="571" w:type="pct"/>
            <w:vAlign w:val="center"/>
          </w:tcPr>
          <w:p w14:paraId="309B0520">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432" w:type="pct"/>
            <w:vAlign w:val="center"/>
          </w:tcPr>
          <w:p w14:paraId="6D8A5533">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29" w:type="pct"/>
            <w:vAlign w:val="center"/>
          </w:tcPr>
          <w:p w14:paraId="53D30B43">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544" w:type="pct"/>
            <w:vAlign w:val="center"/>
          </w:tcPr>
          <w:p w14:paraId="1236DD21">
            <w:pPr>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0.071t/a</w:t>
            </w:r>
          </w:p>
        </w:tc>
        <w:tc>
          <w:tcPr>
            <w:tcW w:w="620" w:type="pct"/>
            <w:vAlign w:val="center"/>
          </w:tcPr>
          <w:p w14:paraId="47049623">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91" w:type="pct"/>
            <w:vAlign w:val="center"/>
          </w:tcPr>
          <w:p w14:paraId="5B89C22C">
            <w:pPr>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0.071t/a</w:t>
            </w:r>
          </w:p>
        </w:tc>
        <w:tc>
          <w:tcPr>
            <w:tcW w:w="464" w:type="pct"/>
            <w:vAlign w:val="center"/>
          </w:tcPr>
          <w:p w14:paraId="0410DC74">
            <w:pPr>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+0.071t/a</w:t>
            </w:r>
          </w:p>
        </w:tc>
      </w:tr>
      <w:tr w14:paraId="5DC2A2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3BDC0B3D">
            <w:pPr>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6EDE8F6C">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颗粒物</w:t>
            </w:r>
          </w:p>
        </w:tc>
        <w:tc>
          <w:tcPr>
            <w:tcW w:w="571" w:type="pct"/>
            <w:vAlign w:val="center"/>
          </w:tcPr>
          <w:p w14:paraId="176FB7D3">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432" w:type="pct"/>
            <w:vAlign w:val="center"/>
          </w:tcPr>
          <w:p w14:paraId="657AD119">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629" w:type="pct"/>
            <w:vAlign w:val="center"/>
          </w:tcPr>
          <w:p w14:paraId="75C8F2C9">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544" w:type="pct"/>
            <w:vAlign w:val="center"/>
          </w:tcPr>
          <w:p w14:paraId="51758E9F">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0.002t/a</w:t>
            </w:r>
          </w:p>
        </w:tc>
        <w:tc>
          <w:tcPr>
            <w:tcW w:w="620" w:type="pct"/>
            <w:vAlign w:val="center"/>
          </w:tcPr>
          <w:p w14:paraId="35255D0E">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691" w:type="pct"/>
            <w:vAlign w:val="center"/>
          </w:tcPr>
          <w:p w14:paraId="583A1348">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0.002t/a</w:t>
            </w:r>
          </w:p>
        </w:tc>
        <w:tc>
          <w:tcPr>
            <w:tcW w:w="464" w:type="pct"/>
            <w:vAlign w:val="center"/>
          </w:tcPr>
          <w:p w14:paraId="0AD780C1">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+0.002t/a</w:t>
            </w:r>
          </w:p>
        </w:tc>
      </w:tr>
      <w:tr w14:paraId="1CC75E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vMerge w:val="continue"/>
            <w:vAlign w:val="center"/>
          </w:tcPr>
          <w:p w14:paraId="33387C8C">
            <w:pPr>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6B803CA2">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ascii="Times New Roman" w:hAnsi="Times New Roman" w:eastAsia="Times New Roman" w:cs="Times New Roman"/>
                <w:color w:val="auto"/>
                <w:spacing w:val="-1"/>
                <w:position w:val="1"/>
                <w:sz w:val="21"/>
                <w:szCs w:val="21"/>
              </w:rPr>
              <w:t>SO</w:t>
            </w:r>
            <w:r>
              <w:rPr>
                <w:rFonts w:ascii="Times New Roman" w:hAnsi="Times New Roman" w:eastAsia="Times New Roman" w:cs="Times New Roman"/>
                <w:color w:val="auto"/>
                <w:spacing w:val="-1"/>
                <w:position w:val="1"/>
                <w:sz w:val="21"/>
                <w:szCs w:val="21"/>
                <w:vertAlign w:val="subscript"/>
              </w:rPr>
              <w:t>2</w:t>
            </w:r>
          </w:p>
        </w:tc>
        <w:tc>
          <w:tcPr>
            <w:tcW w:w="571" w:type="pct"/>
            <w:vAlign w:val="center"/>
          </w:tcPr>
          <w:p w14:paraId="11251926">
            <w:pPr>
              <w:spacing w:line="240" w:lineRule="auto"/>
              <w:ind w:firstLine="0" w:firstLineChars="0"/>
              <w:jc w:val="center"/>
              <w:rPr>
                <w:rFonts w:hint="eastAsia"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432" w:type="pct"/>
            <w:vAlign w:val="center"/>
          </w:tcPr>
          <w:p w14:paraId="4C92D893">
            <w:pPr>
              <w:spacing w:line="240" w:lineRule="auto"/>
              <w:ind w:firstLine="0" w:firstLineChars="0"/>
              <w:jc w:val="center"/>
              <w:rPr>
                <w:rFonts w:hint="eastAsia"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629" w:type="pct"/>
            <w:vAlign w:val="center"/>
          </w:tcPr>
          <w:p w14:paraId="7BAFE6E3">
            <w:pPr>
              <w:spacing w:line="240" w:lineRule="auto"/>
              <w:ind w:firstLine="0" w:firstLineChars="0"/>
              <w:jc w:val="center"/>
              <w:rPr>
                <w:rFonts w:hint="eastAsia"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544" w:type="pct"/>
            <w:vAlign w:val="center"/>
          </w:tcPr>
          <w:p w14:paraId="703A42FE">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0.0008t/a</w:t>
            </w:r>
          </w:p>
        </w:tc>
        <w:tc>
          <w:tcPr>
            <w:tcW w:w="620" w:type="pct"/>
            <w:vAlign w:val="center"/>
          </w:tcPr>
          <w:p w14:paraId="226524F5">
            <w:pPr>
              <w:spacing w:line="240" w:lineRule="auto"/>
              <w:ind w:firstLine="0" w:firstLineChars="0"/>
              <w:jc w:val="center"/>
              <w:rPr>
                <w:rFonts w:hint="eastAsia" w:cs="Times New Roman"/>
                <w:snapToGrid w:val="0"/>
                <w:color w:val="auto"/>
                <w:kern w:val="21"/>
                <w:sz w:val="21"/>
                <w:szCs w:val="21"/>
                <w:lang w:val="en-US" w:eastAsia="zh-CN"/>
              </w:rPr>
            </w:pPr>
            <w:r>
              <w:rPr>
                <w:rFonts w:hint="default" w:ascii="Times New Roman" w:hAnsi="Times New Roman" w:cs="Times New Roman"/>
                <w:snapToGrid w:val="0"/>
                <w:color w:val="auto"/>
                <w:kern w:val="21"/>
                <w:sz w:val="21"/>
                <w:szCs w:val="21"/>
              </w:rPr>
              <w:t>/</w:t>
            </w:r>
          </w:p>
        </w:tc>
        <w:tc>
          <w:tcPr>
            <w:tcW w:w="691" w:type="pct"/>
            <w:vAlign w:val="center"/>
          </w:tcPr>
          <w:p w14:paraId="732A016D">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0.0008t/a</w:t>
            </w:r>
          </w:p>
        </w:tc>
        <w:tc>
          <w:tcPr>
            <w:tcW w:w="464" w:type="pct"/>
            <w:vAlign w:val="center"/>
          </w:tcPr>
          <w:p w14:paraId="32F439A4">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+0.0008t/a</w:t>
            </w:r>
          </w:p>
        </w:tc>
      </w:tr>
      <w:tr w14:paraId="76076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439" w:type="pct"/>
            <w:vMerge w:val="continue"/>
            <w:vAlign w:val="center"/>
          </w:tcPr>
          <w:p w14:paraId="7601F02B">
            <w:pPr>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4EE24A3B">
            <w:pPr>
              <w:spacing w:line="240" w:lineRule="auto"/>
              <w:ind w:firstLine="0" w:firstLineChars="0"/>
              <w:jc w:val="center"/>
              <w:rPr>
                <w:rFonts w:hint="eastAsia" w:ascii="Times New Roman" w:hAnsi="Times New Roman" w:eastAsia="宋体" w:cs="Times New Roman"/>
                <w:snapToGrid w:val="0"/>
                <w:color w:val="auto"/>
                <w:kern w:val="21"/>
                <w:sz w:val="21"/>
                <w:szCs w:val="21"/>
                <w:lang w:val="en-US" w:eastAsia="zh-CN"/>
              </w:rPr>
            </w:pPr>
            <w:r>
              <w:rPr>
                <w:rFonts w:ascii="Times New Roman" w:hAnsi="Times New Roman" w:eastAsia="Times New Roman" w:cs="Times New Roman"/>
                <w:color w:val="auto"/>
                <w:spacing w:val="7"/>
                <w:sz w:val="21"/>
                <w:szCs w:val="21"/>
              </w:rPr>
              <w:t>NO</w:t>
            </w:r>
            <w:r>
              <w:rPr>
                <w:rFonts w:ascii="Times New Roman" w:hAnsi="Times New Roman" w:eastAsia="Times New Roman" w:cs="Times New Roman"/>
                <w:color w:val="auto"/>
                <w:spacing w:val="7"/>
                <w:position w:val="-1"/>
                <w:sz w:val="21"/>
                <w:szCs w:val="21"/>
                <w:vertAlign w:val="subscript"/>
              </w:rPr>
              <w:t>X</w:t>
            </w:r>
          </w:p>
        </w:tc>
        <w:tc>
          <w:tcPr>
            <w:tcW w:w="571" w:type="pct"/>
            <w:vAlign w:val="center"/>
          </w:tcPr>
          <w:p w14:paraId="4D3A41B9">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432" w:type="pct"/>
            <w:vAlign w:val="center"/>
          </w:tcPr>
          <w:p w14:paraId="3A35D566">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629" w:type="pct"/>
            <w:vAlign w:val="center"/>
          </w:tcPr>
          <w:p w14:paraId="0928D9DB">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544" w:type="pct"/>
            <w:vAlign w:val="center"/>
          </w:tcPr>
          <w:p w14:paraId="56190CAB">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0.006t/a</w:t>
            </w:r>
          </w:p>
        </w:tc>
        <w:tc>
          <w:tcPr>
            <w:tcW w:w="620" w:type="pct"/>
            <w:vAlign w:val="center"/>
          </w:tcPr>
          <w:p w14:paraId="1430DC9F">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691" w:type="pct"/>
            <w:vAlign w:val="center"/>
          </w:tcPr>
          <w:p w14:paraId="6E99FB6E">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0.006t/a</w:t>
            </w:r>
          </w:p>
        </w:tc>
        <w:tc>
          <w:tcPr>
            <w:tcW w:w="464" w:type="pct"/>
            <w:vAlign w:val="center"/>
          </w:tcPr>
          <w:p w14:paraId="349270BD">
            <w:pPr>
              <w:spacing w:line="240" w:lineRule="auto"/>
              <w:ind w:firstLine="0" w:firstLineChars="0"/>
              <w:jc w:val="center"/>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+0.006t/a</w:t>
            </w:r>
          </w:p>
        </w:tc>
      </w:tr>
      <w:tr w14:paraId="11864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vMerge w:val="restart"/>
            <w:vAlign w:val="center"/>
          </w:tcPr>
          <w:p w14:paraId="7BD2F946">
            <w:pPr>
              <w:tabs>
                <w:tab w:val="left" w:pos="6240"/>
              </w:tabs>
              <w:spacing w:line="240" w:lineRule="auto"/>
              <w:ind w:firstLine="0" w:firstLineChars="0"/>
              <w:jc w:val="center"/>
              <w:rPr>
                <w:rFonts w:hint="eastAsia" w:ascii="Times New Roman" w:hAnsi="Times New Roman" w:eastAsia="宋体" w:cs="Times New Roman"/>
                <w:snapToGrid w:val="0"/>
                <w:color w:val="auto"/>
                <w:kern w:val="21"/>
                <w:sz w:val="21"/>
                <w:szCs w:val="21"/>
                <w:lang w:eastAsia="zh-CN"/>
              </w:rPr>
            </w:pPr>
            <w:r>
              <w:rPr>
                <w:snapToGrid w:val="0"/>
                <w:color w:val="auto"/>
                <w:kern w:val="21"/>
                <w:sz w:val="21"/>
                <w:szCs w:val="21"/>
              </w:rPr>
              <w:t>废水</w:t>
            </w:r>
          </w:p>
        </w:tc>
        <w:tc>
          <w:tcPr>
            <w:tcW w:w="604" w:type="pct"/>
            <w:vAlign w:val="center"/>
          </w:tcPr>
          <w:p w14:paraId="0EB8B94A">
            <w:pPr>
              <w:pStyle w:val="53"/>
              <w:rPr>
                <w:rFonts w:hint="default" w:ascii="Times New Roman" w:hAnsi="Times New Roman" w:cs="Times New Roman"/>
                <w:color w:val="auto"/>
              </w:rPr>
            </w:pPr>
            <w:r>
              <w:rPr>
                <w:rFonts w:hint="default" w:ascii="Times New Roman" w:hAnsi="Times New Roman" w:cs="Times New Roman"/>
                <w:color w:val="auto"/>
                <w:lang w:val="en-US" w:eastAsia="zh-CN"/>
              </w:rPr>
              <w:t>COD</w:t>
            </w:r>
          </w:p>
        </w:tc>
        <w:tc>
          <w:tcPr>
            <w:tcW w:w="571" w:type="pct"/>
            <w:vAlign w:val="center"/>
          </w:tcPr>
          <w:p w14:paraId="6EF21AE2">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432" w:type="pct"/>
            <w:vAlign w:val="center"/>
          </w:tcPr>
          <w:p w14:paraId="4181D633">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629" w:type="pct"/>
            <w:vAlign w:val="center"/>
          </w:tcPr>
          <w:p w14:paraId="0B913D09">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544" w:type="pct"/>
            <w:vAlign w:val="center"/>
          </w:tcPr>
          <w:p w14:paraId="0E1A86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1.415t/a</w:t>
            </w:r>
          </w:p>
        </w:tc>
        <w:tc>
          <w:tcPr>
            <w:tcW w:w="620" w:type="pct"/>
            <w:vAlign w:val="center"/>
          </w:tcPr>
          <w:p w14:paraId="006FB92F">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1853" w:type="dxa"/>
            <w:vAlign w:val="center"/>
          </w:tcPr>
          <w:p w14:paraId="324896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1.415t/a</w:t>
            </w:r>
          </w:p>
        </w:tc>
        <w:tc>
          <w:tcPr>
            <w:tcW w:w="1245" w:type="dxa"/>
            <w:vAlign w:val="center"/>
          </w:tcPr>
          <w:p w14:paraId="56DD1D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+1.415t/a</w:t>
            </w:r>
          </w:p>
        </w:tc>
      </w:tr>
      <w:tr w14:paraId="39A9B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vMerge w:val="continue"/>
            <w:vAlign w:val="center"/>
          </w:tcPr>
          <w:p w14:paraId="14EAFF1F">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085A9A72">
            <w:pPr>
              <w:pStyle w:val="53"/>
              <w:rPr>
                <w:rFonts w:hint="default" w:ascii="Times New Roman" w:hAnsi="Times New Roman" w:cs="Times New Roman"/>
                <w:color w:val="auto"/>
              </w:rPr>
            </w:pPr>
            <w:r>
              <w:rPr>
                <w:rFonts w:hint="eastAsia" w:ascii="Times New Roman" w:hAnsi="Times New Roman" w:cs="Times New Roman"/>
                <w:color w:val="auto"/>
                <w:lang w:val="en-US" w:eastAsia="zh-CN"/>
              </w:rPr>
              <w:t>NH</w:t>
            </w:r>
            <w:r>
              <w:rPr>
                <w:rFonts w:hint="eastAsia" w:ascii="Times New Roman" w:hAnsi="Times New Roman" w:cs="Times New Roman"/>
                <w:color w:val="auto"/>
                <w:vertAlign w:val="subscript"/>
                <w:lang w:val="en-US" w:eastAsia="zh-CN"/>
              </w:rPr>
              <w:t>3</w:t>
            </w:r>
            <w:r>
              <w:rPr>
                <w:rFonts w:hint="eastAsia" w:ascii="Times New Roman" w:hAnsi="Times New Roman" w:cs="Times New Roman"/>
                <w:color w:val="auto"/>
                <w:lang w:val="en-US" w:eastAsia="zh-CN"/>
              </w:rPr>
              <w:t>-N</w:t>
            </w:r>
          </w:p>
        </w:tc>
        <w:tc>
          <w:tcPr>
            <w:tcW w:w="571" w:type="pct"/>
            <w:vAlign w:val="center"/>
          </w:tcPr>
          <w:p w14:paraId="58F9E814">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432" w:type="pct"/>
            <w:vAlign w:val="center"/>
          </w:tcPr>
          <w:p w14:paraId="04EFC03E">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629" w:type="pct"/>
            <w:vAlign w:val="center"/>
          </w:tcPr>
          <w:p w14:paraId="0EB0F5EF">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544" w:type="pct"/>
            <w:vAlign w:val="center"/>
          </w:tcPr>
          <w:p w14:paraId="4528C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0.113t/a</w:t>
            </w:r>
          </w:p>
        </w:tc>
        <w:tc>
          <w:tcPr>
            <w:tcW w:w="620" w:type="pct"/>
            <w:vAlign w:val="center"/>
          </w:tcPr>
          <w:p w14:paraId="08FB8495">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1853" w:type="dxa"/>
            <w:vAlign w:val="center"/>
          </w:tcPr>
          <w:p w14:paraId="3B84DF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0.113t/a</w:t>
            </w:r>
          </w:p>
        </w:tc>
        <w:tc>
          <w:tcPr>
            <w:tcW w:w="1245" w:type="dxa"/>
            <w:vAlign w:val="center"/>
          </w:tcPr>
          <w:p w14:paraId="26A311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+0.113t/a</w:t>
            </w:r>
          </w:p>
        </w:tc>
      </w:tr>
      <w:tr w14:paraId="5D23F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vMerge w:val="continue"/>
            <w:vAlign w:val="center"/>
          </w:tcPr>
          <w:p w14:paraId="5BC32CFE">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71E9DB12">
            <w:pPr>
              <w:pStyle w:val="53"/>
              <w:rPr>
                <w:rFonts w:hint="default" w:ascii="Times New Roman" w:hAnsi="Times New Roman" w:cs="Times New Roman"/>
                <w:color w:val="auto"/>
              </w:rPr>
            </w:pPr>
            <w:r>
              <w:rPr>
                <w:rFonts w:hint="eastAsia" w:ascii="Times New Roman" w:hAnsi="Times New Roman" w:cs="Times New Roman"/>
                <w:color w:val="auto"/>
                <w:lang w:val="en-US" w:eastAsia="zh-CN"/>
              </w:rPr>
              <w:t>BOD</w:t>
            </w:r>
            <w:r>
              <w:rPr>
                <w:rFonts w:hint="eastAsia" w:ascii="Times New Roman" w:hAnsi="Times New Roman" w:cs="Times New Roman"/>
                <w:color w:val="auto"/>
                <w:vertAlign w:val="subscript"/>
                <w:lang w:val="en-US" w:eastAsia="zh-CN"/>
              </w:rPr>
              <w:t>5</w:t>
            </w:r>
          </w:p>
        </w:tc>
        <w:tc>
          <w:tcPr>
            <w:tcW w:w="571" w:type="pct"/>
            <w:vAlign w:val="center"/>
          </w:tcPr>
          <w:p w14:paraId="28090C2D">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432" w:type="pct"/>
            <w:vAlign w:val="center"/>
          </w:tcPr>
          <w:p w14:paraId="1C975991">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629" w:type="pct"/>
            <w:vAlign w:val="center"/>
          </w:tcPr>
          <w:p w14:paraId="36DBA09C">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544" w:type="pct"/>
            <w:vAlign w:val="center"/>
          </w:tcPr>
          <w:p w14:paraId="7CFEEE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0.635t/a</w:t>
            </w:r>
          </w:p>
        </w:tc>
        <w:tc>
          <w:tcPr>
            <w:tcW w:w="620" w:type="pct"/>
            <w:vAlign w:val="center"/>
          </w:tcPr>
          <w:p w14:paraId="226CDED3">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1853" w:type="dxa"/>
            <w:vAlign w:val="center"/>
          </w:tcPr>
          <w:p w14:paraId="7FB5FF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0.635t/a</w:t>
            </w:r>
          </w:p>
        </w:tc>
        <w:tc>
          <w:tcPr>
            <w:tcW w:w="1245" w:type="dxa"/>
            <w:vAlign w:val="center"/>
          </w:tcPr>
          <w:p w14:paraId="3985AB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+0.635t/a</w:t>
            </w:r>
          </w:p>
        </w:tc>
      </w:tr>
      <w:tr w14:paraId="010B5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39" w:type="pct"/>
            <w:vMerge w:val="continue"/>
            <w:vAlign w:val="center"/>
          </w:tcPr>
          <w:p w14:paraId="48E2324D">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56A19C80">
            <w:pPr>
              <w:pStyle w:val="53"/>
              <w:rPr>
                <w:rFonts w:hint="default" w:ascii="Times New Roman" w:hAnsi="Times New Roman" w:cs="Times New Roman"/>
                <w:color w:val="auto"/>
              </w:rPr>
            </w:pPr>
            <w:r>
              <w:rPr>
                <w:rFonts w:hint="eastAsia" w:ascii="Times New Roman" w:hAnsi="Times New Roman" w:cs="Times New Roman"/>
                <w:color w:val="auto"/>
                <w:lang w:val="en-US" w:eastAsia="zh-CN"/>
              </w:rPr>
              <w:t>SS</w:t>
            </w:r>
          </w:p>
        </w:tc>
        <w:tc>
          <w:tcPr>
            <w:tcW w:w="571" w:type="pct"/>
            <w:vAlign w:val="center"/>
          </w:tcPr>
          <w:p w14:paraId="48404BD7">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432" w:type="pct"/>
            <w:vAlign w:val="center"/>
          </w:tcPr>
          <w:p w14:paraId="7E69506A">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629" w:type="pct"/>
            <w:vAlign w:val="center"/>
          </w:tcPr>
          <w:p w14:paraId="1EFAE306">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544" w:type="pct"/>
            <w:vAlign w:val="center"/>
          </w:tcPr>
          <w:p w14:paraId="7BAF7F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1.008t/a</w:t>
            </w:r>
          </w:p>
        </w:tc>
        <w:tc>
          <w:tcPr>
            <w:tcW w:w="620" w:type="pct"/>
            <w:vAlign w:val="center"/>
          </w:tcPr>
          <w:p w14:paraId="7894B314">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r>
              <w:rPr>
                <w:rFonts w:hint="eastAsia"/>
                <w:snapToGrid w:val="0"/>
                <w:color w:val="auto"/>
                <w:kern w:val="21"/>
                <w:sz w:val="21"/>
                <w:szCs w:val="21"/>
              </w:rPr>
              <w:t>/</w:t>
            </w:r>
          </w:p>
        </w:tc>
        <w:tc>
          <w:tcPr>
            <w:tcW w:w="1853" w:type="dxa"/>
            <w:vAlign w:val="center"/>
          </w:tcPr>
          <w:p w14:paraId="50A9BC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1.008t/a</w:t>
            </w:r>
          </w:p>
        </w:tc>
        <w:tc>
          <w:tcPr>
            <w:tcW w:w="1245" w:type="dxa"/>
            <w:vAlign w:val="center"/>
          </w:tcPr>
          <w:p w14:paraId="31CE23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napToGrid w:val="0"/>
                <w:color w:val="auto"/>
                <w:kern w:val="21"/>
                <w:sz w:val="21"/>
                <w:szCs w:val="21"/>
              </w:rPr>
            </w:pPr>
            <w:r>
              <w:rPr>
                <w:rFonts w:hint="eastAsia" w:cs="Times New Roman"/>
                <w:snapToGrid w:val="0"/>
                <w:color w:val="auto"/>
                <w:kern w:val="21"/>
                <w:sz w:val="21"/>
                <w:szCs w:val="21"/>
                <w:lang w:val="en-US" w:eastAsia="zh-CN"/>
              </w:rPr>
              <w:t>+1.008t/a</w:t>
            </w:r>
          </w:p>
        </w:tc>
      </w:tr>
      <w:tr w14:paraId="18740C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19F761B2">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12FA95D0">
            <w:pPr>
              <w:pStyle w:val="53"/>
              <w:rPr>
                <w:rFonts w:hint="eastAsia" w:ascii="Times New Roman" w:hAnsi="Times New Roman" w:cs="Times New Roman"/>
                <w:color w:val="auto"/>
                <w:lang w:val="en-US" w:eastAsia="zh-CN"/>
              </w:rPr>
            </w:pPr>
            <w:r>
              <w:rPr>
                <w:rFonts w:hint="eastAsia"/>
                <w:color w:val="auto"/>
                <w:sz w:val="21"/>
                <w:szCs w:val="21"/>
                <w:lang w:val="en-US" w:eastAsia="zh-CN"/>
              </w:rPr>
              <w:t>总磷</w:t>
            </w:r>
          </w:p>
        </w:tc>
        <w:tc>
          <w:tcPr>
            <w:tcW w:w="571" w:type="pct"/>
            <w:vAlign w:val="center"/>
          </w:tcPr>
          <w:p w14:paraId="6891750D">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432" w:type="pct"/>
            <w:vAlign w:val="center"/>
          </w:tcPr>
          <w:p w14:paraId="1A8B5A31">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629" w:type="pct"/>
            <w:vAlign w:val="center"/>
          </w:tcPr>
          <w:p w14:paraId="7B2493E9">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544" w:type="pct"/>
            <w:vAlign w:val="center"/>
          </w:tcPr>
          <w:p w14:paraId="748A5F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0.020t/a</w:t>
            </w:r>
          </w:p>
        </w:tc>
        <w:tc>
          <w:tcPr>
            <w:tcW w:w="620" w:type="pct"/>
            <w:vAlign w:val="center"/>
          </w:tcPr>
          <w:p w14:paraId="700FA930">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1853" w:type="dxa"/>
            <w:vAlign w:val="center"/>
          </w:tcPr>
          <w:p w14:paraId="7DD771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rPr>
            </w:pPr>
            <w:r>
              <w:rPr>
                <w:rFonts w:hint="eastAsia" w:cs="Times New Roman"/>
                <w:snapToGrid w:val="0"/>
                <w:color w:val="auto"/>
                <w:kern w:val="21"/>
                <w:sz w:val="21"/>
                <w:szCs w:val="21"/>
                <w:lang w:val="en-US" w:eastAsia="zh-CN"/>
              </w:rPr>
              <w:t>0.020t/a</w:t>
            </w:r>
          </w:p>
        </w:tc>
        <w:tc>
          <w:tcPr>
            <w:tcW w:w="1245" w:type="dxa"/>
            <w:vAlign w:val="center"/>
          </w:tcPr>
          <w:p w14:paraId="00E95F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rPr>
            </w:pPr>
            <w:r>
              <w:rPr>
                <w:rFonts w:hint="eastAsia" w:cs="Times New Roman"/>
                <w:snapToGrid w:val="0"/>
                <w:color w:val="auto"/>
                <w:kern w:val="21"/>
                <w:sz w:val="21"/>
                <w:szCs w:val="21"/>
                <w:lang w:val="en-US" w:eastAsia="zh-CN"/>
              </w:rPr>
              <w:t>+0.020t/a</w:t>
            </w:r>
          </w:p>
        </w:tc>
      </w:tr>
      <w:tr w14:paraId="6190C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255A3D09">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485C2C2E">
            <w:pPr>
              <w:pStyle w:val="53"/>
              <w:rPr>
                <w:rFonts w:hint="eastAsia"/>
                <w:color w:val="auto"/>
                <w:sz w:val="21"/>
                <w:szCs w:val="21"/>
                <w:lang w:val="en-US" w:eastAsia="zh-CN"/>
              </w:rPr>
            </w:pPr>
            <w:r>
              <w:rPr>
                <w:rFonts w:hint="eastAsia"/>
                <w:color w:val="auto"/>
                <w:sz w:val="21"/>
                <w:szCs w:val="21"/>
                <w:lang w:val="en-US" w:eastAsia="zh-CN"/>
              </w:rPr>
              <w:t>总氮</w:t>
            </w:r>
          </w:p>
        </w:tc>
        <w:tc>
          <w:tcPr>
            <w:tcW w:w="571" w:type="pct"/>
            <w:vAlign w:val="center"/>
          </w:tcPr>
          <w:p w14:paraId="719D89AA">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432" w:type="pct"/>
            <w:vAlign w:val="center"/>
          </w:tcPr>
          <w:p w14:paraId="696253C0">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629" w:type="pct"/>
            <w:vAlign w:val="center"/>
          </w:tcPr>
          <w:p w14:paraId="2E7A0FDF">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544" w:type="pct"/>
            <w:vAlign w:val="center"/>
          </w:tcPr>
          <w:p w14:paraId="44C0C4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0.002t/a</w:t>
            </w:r>
          </w:p>
        </w:tc>
        <w:tc>
          <w:tcPr>
            <w:tcW w:w="620" w:type="pct"/>
            <w:vAlign w:val="center"/>
          </w:tcPr>
          <w:p w14:paraId="1B2E41C5">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1853" w:type="dxa"/>
            <w:vAlign w:val="center"/>
          </w:tcPr>
          <w:p w14:paraId="77B9BC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rPr>
            </w:pPr>
            <w:r>
              <w:rPr>
                <w:rFonts w:hint="eastAsia" w:cs="Times New Roman"/>
                <w:snapToGrid w:val="0"/>
                <w:color w:val="auto"/>
                <w:kern w:val="21"/>
                <w:sz w:val="21"/>
                <w:szCs w:val="21"/>
                <w:lang w:val="en-US" w:eastAsia="zh-CN"/>
              </w:rPr>
              <w:t>0.002t/a</w:t>
            </w:r>
          </w:p>
        </w:tc>
        <w:tc>
          <w:tcPr>
            <w:tcW w:w="1245" w:type="dxa"/>
            <w:vAlign w:val="center"/>
          </w:tcPr>
          <w:p w14:paraId="0D7C2D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rPr>
            </w:pPr>
            <w:r>
              <w:rPr>
                <w:rFonts w:hint="eastAsia" w:cs="Times New Roman"/>
                <w:snapToGrid w:val="0"/>
                <w:color w:val="auto"/>
                <w:kern w:val="21"/>
                <w:sz w:val="21"/>
                <w:szCs w:val="21"/>
                <w:lang w:val="en-US" w:eastAsia="zh-CN"/>
              </w:rPr>
              <w:t>+0.002t/a</w:t>
            </w:r>
          </w:p>
        </w:tc>
      </w:tr>
      <w:tr w14:paraId="6B1F5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4BBDBFCE">
            <w:pPr>
              <w:tabs>
                <w:tab w:val="left" w:pos="6240"/>
              </w:tabs>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0D47CE20">
            <w:pPr>
              <w:pStyle w:val="53"/>
              <w:rPr>
                <w:rFonts w:hint="default" w:ascii="Times New Roman" w:hAnsi="Times New Roman" w:cs="Times New Roman"/>
                <w:color w:val="auto"/>
                <w:lang w:val="en-US" w:eastAsia="zh-CN"/>
              </w:rPr>
            </w:pPr>
            <w:r>
              <w:rPr>
                <w:rFonts w:hint="eastAsia"/>
                <w:color w:val="auto"/>
                <w:sz w:val="21"/>
                <w:szCs w:val="21"/>
                <w:lang w:val="en-US" w:eastAsia="zh-CN"/>
              </w:rPr>
              <w:t>动植物油</w:t>
            </w:r>
          </w:p>
        </w:tc>
        <w:tc>
          <w:tcPr>
            <w:tcW w:w="571" w:type="pct"/>
            <w:vAlign w:val="center"/>
          </w:tcPr>
          <w:p w14:paraId="609C36E5">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432" w:type="pct"/>
            <w:vAlign w:val="center"/>
          </w:tcPr>
          <w:p w14:paraId="4DE1A58E">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629" w:type="pct"/>
            <w:vAlign w:val="center"/>
          </w:tcPr>
          <w:p w14:paraId="093D5632">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544" w:type="pct"/>
            <w:vAlign w:val="center"/>
          </w:tcPr>
          <w:p w14:paraId="4D5E37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lang w:val="en-US" w:eastAsia="zh-CN"/>
              </w:rPr>
            </w:pPr>
            <w:r>
              <w:rPr>
                <w:rFonts w:hint="eastAsia" w:cs="Times New Roman"/>
                <w:snapToGrid w:val="0"/>
                <w:color w:val="auto"/>
                <w:kern w:val="21"/>
                <w:sz w:val="21"/>
                <w:szCs w:val="21"/>
                <w:lang w:val="en-US" w:eastAsia="zh-CN"/>
              </w:rPr>
              <w:t>0.061t/a</w:t>
            </w:r>
          </w:p>
        </w:tc>
        <w:tc>
          <w:tcPr>
            <w:tcW w:w="620" w:type="pct"/>
            <w:vAlign w:val="center"/>
          </w:tcPr>
          <w:p w14:paraId="1AFD28F6">
            <w:pPr>
              <w:tabs>
                <w:tab w:val="left" w:pos="6240"/>
              </w:tabs>
              <w:spacing w:line="240" w:lineRule="auto"/>
              <w:ind w:firstLine="0" w:firstLineChars="0"/>
              <w:jc w:val="center"/>
              <w:rPr>
                <w:rFonts w:hint="eastAsia"/>
                <w:snapToGrid w:val="0"/>
                <w:color w:val="auto"/>
                <w:kern w:val="21"/>
                <w:sz w:val="21"/>
                <w:szCs w:val="21"/>
              </w:rPr>
            </w:pPr>
            <w:r>
              <w:rPr>
                <w:rFonts w:hint="eastAsia"/>
                <w:snapToGrid w:val="0"/>
                <w:color w:val="auto"/>
                <w:kern w:val="21"/>
                <w:sz w:val="21"/>
                <w:szCs w:val="21"/>
              </w:rPr>
              <w:t>/</w:t>
            </w:r>
          </w:p>
        </w:tc>
        <w:tc>
          <w:tcPr>
            <w:tcW w:w="1853" w:type="dxa"/>
            <w:vAlign w:val="center"/>
          </w:tcPr>
          <w:p w14:paraId="0A631F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lang w:val="en-US" w:eastAsia="zh-CN"/>
              </w:rPr>
            </w:pPr>
            <w:r>
              <w:rPr>
                <w:rFonts w:hint="eastAsia" w:cs="Times New Roman"/>
                <w:snapToGrid w:val="0"/>
                <w:color w:val="auto"/>
                <w:kern w:val="21"/>
                <w:sz w:val="21"/>
                <w:szCs w:val="21"/>
                <w:lang w:val="en-US" w:eastAsia="zh-CN"/>
              </w:rPr>
              <w:t>0.061t/a</w:t>
            </w:r>
          </w:p>
        </w:tc>
        <w:tc>
          <w:tcPr>
            <w:tcW w:w="1245" w:type="dxa"/>
            <w:vAlign w:val="center"/>
          </w:tcPr>
          <w:p w14:paraId="381014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napToGrid w:val="0"/>
                <w:color w:val="auto"/>
                <w:kern w:val="21"/>
                <w:sz w:val="21"/>
                <w:szCs w:val="21"/>
                <w:lang w:val="en-US" w:eastAsia="zh-CN"/>
              </w:rPr>
            </w:pPr>
            <w:r>
              <w:rPr>
                <w:rFonts w:hint="eastAsia" w:cs="Times New Roman"/>
                <w:snapToGrid w:val="0"/>
                <w:color w:val="auto"/>
                <w:kern w:val="21"/>
                <w:sz w:val="21"/>
                <w:szCs w:val="21"/>
                <w:lang w:val="en-US" w:eastAsia="zh-CN"/>
              </w:rPr>
              <w:t>+0.061t/a</w:t>
            </w:r>
          </w:p>
        </w:tc>
      </w:tr>
      <w:tr w14:paraId="19646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restart"/>
            <w:vAlign w:val="center"/>
          </w:tcPr>
          <w:p w14:paraId="2743C9B1">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一般工业固体废物</w:t>
            </w:r>
          </w:p>
        </w:tc>
        <w:tc>
          <w:tcPr>
            <w:tcW w:w="604" w:type="pct"/>
            <w:vAlign w:val="center"/>
          </w:tcPr>
          <w:p w14:paraId="08DCBCDD">
            <w:pPr>
              <w:pStyle w:val="53"/>
              <w:ind w:firstLine="0" w:firstLineChars="0"/>
              <w:rPr>
                <w:rFonts w:hint="default" w:ascii="Times New Roman" w:hAnsi="Times New Roman" w:cs="Times New Roman"/>
                <w:color w:val="auto"/>
                <w:kern w:val="21"/>
              </w:rPr>
            </w:pPr>
            <w:r>
              <w:rPr>
                <w:rFonts w:hint="eastAsia" w:cs="Times New Roman"/>
                <w:color w:val="auto"/>
                <w:lang w:val="en-US" w:eastAsia="zh-CN"/>
              </w:rPr>
              <w:t>筛选废料</w:t>
            </w:r>
          </w:p>
        </w:tc>
        <w:tc>
          <w:tcPr>
            <w:tcW w:w="571" w:type="pct"/>
            <w:vAlign w:val="center"/>
          </w:tcPr>
          <w:p w14:paraId="3B89CA70">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432" w:type="pct"/>
            <w:vAlign w:val="center"/>
          </w:tcPr>
          <w:p w14:paraId="0CB794CD">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29" w:type="pct"/>
            <w:vAlign w:val="center"/>
          </w:tcPr>
          <w:p w14:paraId="4EF748FF">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544" w:type="pct"/>
            <w:vAlign w:val="center"/>
          </w:tcPr>
          <w:p w14:paraId="2527A949">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lang w:val="en-US" w:eastAsia="zh-CN"/>
              </w:rPr>
              <w:t>5.0</w:t>
            </w:r>
            <w:r>
              <w:rPr>
                <w:rFonts w:hint="default" w:ascii="Times New Roman" w:hAnsi="Times New Roman" w:cs="Times New Roman"/>
                <w:snapToGrid w:val="0"/>
                <w:color w:val="auto"/>
                <w:kern w:val="21"/>
                <w:sz w:val="21"/>
                <w:szCs w:val="21"/>
              </w:rPr>
              <w:t>t/a</w:t>
            </w:r>
          </w:p>
        </w:tc>
        <w:tc>
          <w:tcPr>
            <w:tcW w:w="620" w:type="pct"/>
            <w:vAlign w:val="center"/>
          </w:tcPr>
          <w:p w14:paraId="2A2266D9">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91" w:type="pct"/>
            <w:vAlign w:val="center"/>
          </w:tcPr>
          <w:p w14:paraId="33424819">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lang w:val="en-US" w:eastAsia="zh-CN"/>
              </w:rPr>
              <w:t>5.0</w:t>
            </w:r>
            <w:r>
              <w:rPr>
                <w:rFonts w:hint="default" w:ascii="Times New Roman" w:hAnsi="Times New Roman" w:cs="Times New Roman"/>
                <w:snapToGrid w:val="0"/>
                <w:color w:val="auto"/>
                <w:kern w:val="21"/>
                <w:sz w:val="21"/>
                <w:szCs w:val="21"/>
              </w:rPr>
              <w:t>t/a</w:t>
            </w:r>
          </w:p>
        </w:tc>
        <w:tc>
          <w:tcPr>
            <w:tcW w:w="464" w:type="pct"/>
            <w:vAlign w:val="center"/>
          </w:tcPr>
          <w:p w14:paraId="638380CD">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lang w:val="en-US" w:eastAsia="zh-CN"/>
              </w:rPr>
              <w:t>+5.0</w:t>
            </w:r>
            <w:r>
              <w:rPr>
                <w:rFonts w:hint="default" w:ascii="Times New Roman" w:hAnsi="Times New Roman" w:cs="Times New Roman"/>
                <w:snapToGrid w:val="0"/>
                <w:color w:val="auto"/>
                <w:kern w:val="21"/>
                <w:sz w:val="21"/>
                <w:szCs w:val="21"/>
              </w:rPr>
              <w:t>t/a</w:t>
            </w:r>
          </w:p>
        </w:tc>
      </w:tr>
      <w:tr w14:paraId="59A4EC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0D110E52">
            <w:pPr>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5907CFF0">
            <w:pPr>
              <w:pStyle w:val="53"/>
              <w:ind w:firstLine="0" w:firstLineChars="0"/>
              <w:rPr>
                <w:rFonts w:hint="default" w:ascii="Times New Roman" w:hAnsi="Times New Roman" w:cs="Times New Roman"/>
                <w:color w:val="auto"/>
                <w:kern w:val="21"/>
              </w:rPr>
            </w:pPr>
            <w:r>
              <w:rPr>
                <w:rFonts w:hint="eastAsia" w:cs="Times New Roman"/>
                <w:color w:val="auto"/>
                <w:lang w:val="en-US" w:eastAsia="zh-CN"/>
              </w:rPr>
              <w:t>废包装材料</w:t>
            </w:r>
          </w:p>
        </w:tc>
        <w:tc>
          <w:tcPr>
            <w:tcW w:w="571" w:type="pct"/>
            <w:vAlign w:val="center"/>
          </w:tcPr>
          <w:p w14:paraId="0BB5BB69">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432" w:type="pct"/>
            <w:vAlign w:val="center"/>
          </w:tcPr>
          <w:p w14:paraId="36E5D1D8">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29" w:type="pct"/>
            <w:vAlign w:val="center"/>
          </w:tcPr>
          <w:p w14:paraId="69A9A50D">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544" w:type="pct"/>
            <w:vAlign w:val="center"/>
          </w:tcPr>
          <w:p w14:paraId="5E2287B1">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lang w:val="en-US" w:eastAsia="zh-CN"/>
              </w:rPr>
              <w:t>0.5</w:t>
            </w:r>
            <w:r>
              <w:rPr>
                <w:rFonts w:hint="default" w:ascii="Times New Roman" w:hAnsi="Times New Roman" w:cs="Times New Roman"/>
                <w:snapToGrid w:val="0"/>
                <w:color w:val="auto"/>
                <w:kern w:val="21"/>
                <w:sz w:val="21"/>
                <w:szCs w:val="21"/>
              </w:rPr>
              <w:t>t/a</w:t>
            </w:r>
          </w:p>
        </w:tc>
        <w:tc>
          <w:tcPr>
            <w:tcW w:w="620" w:type="pct"/>
            <w:vAlign w:val="center"/>
          </w:tcPr>
          <w:p w14:paraId="14A94D9A">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91" w:type="pct"/>
            <w:vAlign w:val="center"/>
          </w:tcPr>
          <w:p w14:paraId="5859ED0F">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lang w:val="en-US" w:eastAsia="zh-CN"/>
              </w:rPr>
              <w:t>0.5</w:t>
            </w:r>
            <w:r>
              <w:rPr>
                <w:rFonts w:hint="default" w:ascii="Times New Roman" w:hAnsi="Times New Roman" w:cs="Times New Roman"/>
                <w:snapToGrid w:val="0"/>
                <w:color w:val="auto"/>
                <w:kern w:val="21"/>
                <w:sz w:val="21"/>
                <w:szCs w:val="21"/>
              </w:rPr>
              <w:t>t/a</w:t>
            </w:r>
          </w:p>
        </w:tc>
        <w:tc>
          <w:tcPr>
            <w:tcW w:w="464" w:type="pct"/>
            <w:vAlign w:val="center"/>
          </w:tcPr>
          <w:p w14:paraId="55F139F9">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lang w:val="en-US" w:eastAsia="zh-CN"/>
              </w:rPr>
              <w:t>+0.5</w:t>
            </w:r>
            <w:r>
              <w:rPr>
                <w:rFonts w:hint="default" w:ascii="Times New Roman" w:hAnsi="Times New Roman" w:cs="Times New Roman"/>
                <w:snapToGrid w:val="0"/>
                <w:color w:val="auto"/>
                <w:kern w:val="21"/>
                <w:sz w:val="21"/>
                <w:szCs w:val="21"/>
              </w:rPr>
              <w:t>t/a</w:t>
            </w:r>
          </w:p>
        </w:tc>
      </w:tr>
      <w:tr w14:paraId="746D4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29D6A002">
            <w:pPr>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4689CB27">
            <w:pPr>
              <w:pStyle w:val="53"/>
              <w:ind w:firstLine="0" w:firstLineChars="0"/>
              <w:rPr>
                <w:rFonts w:hint="default" w:ascii="Times New Roman" w:hAnsi="Times New Roman" w:cs="Times New Roman"/>
                <w:color w:val="auto"/>
              </w:rPr>
            </w:pPr>
            <w:r>
              <w:rPr>
                <w:rFonts w:hint="eastAsia"/>
                <w:color w:val="auto"/>
                <w:lang w:val="en-US" w:eastAsia="zh-CN"/>
              </w:rPr>
              <w:t>废油脂</w:t>
            </w:r>
          </w:p>
        </w:tc>
        <w:tc>
          <w:tcPr>
            <w:tcW w:w="571" w:type="pct"/>
            <w:vAlign w:val="center"/>
          </w:tcPr>
          <w:p w14:paraId="094CD99B">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432" w:type="pct"/>
            <w:vAlign w:val="center"/>
          </w:tcPr>
          <w:p w14:paraId="19503AA8">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29" w:type="pct"/>
            <w:vAlign w:val="center"/>
          </w:tcPr>
          <w:p w14:paraId="6CF56065">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544" w:type="pct"/>
            <w:vAlign w:val="center"/>
          </w:tcPr>
          <w:p w14:paraId="43B516D7">
            <w:pPr>
              <w:pStyle w:val="53"/>
              <w:ind w:firstLine="0" w:firstLineChars="0"/>
              <w:rPr>
                <w:rFonts w:hint="eastAsia" w:cs="Times New Roman"/>
                <w:snapToGrid w:val="0"/>
                <w:color w:val="auto"/>
                <w:kern w:val="21"/>
                <w:sz w:val="21"/>
                <w:szCs w:val="21"/>
                <w:lang w:val="en-US" w:eastAsia="zh-CN"/>
              </w:rPr>
            </w:pPr>
            <w:r>
              <w:rPr>
                <w:rFonts w:hint="eastAsia" w:cs="Times New Roman"/>
                <w:color w:val="auto"/>
                <w:lang w:val="en-US" w:eastAsia="zh-CN"/>
              </w:rPr>
              <w:t>4.3</w:t>
            </w:r>
            <w:r>
              <w:rPr>
                <w:rFonts w:hint="default" w:ascii="Times New Roman" w:hAnsi="Times New Roman" w:cs="Times New Roman"/>
                <w:snapToGrid w:val="0"/>
                <w:color w:val="auto"/>
                <w:kern w:val="21"/>
                <w:sz w:val="21"/>
                <w:szCs w:val="21"/>
              </w:rPr>
              <w:t>t/a</w:t>
            </w:r>
          </w:p>
        </w:tc>
        <w:tc>
          <w:tcPr>
            <w:tcW w:w="620" w:type="pct"/>
            <w:vAlign w:val="center"/>
          </w:tcPr>
          <w:p w14:paraId="54FE9909">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91" w:type="pct"/>
            <w:vAlign w:val="center"/>
          </w:tcPr>
          <w:p w14:paraId="456175B1">
            <w:pPr>
              <w:pStyle w:val="53"/>
              <w:ind w:firstLine="0" w:firstLineChars="0"/>
              <w:rPr>
                <w:rFonts w:hint="eastAsia" w:cs="Times New Roman"/>
                <w:snapToGrid w:val="0"/>
                <w:color w:val="auto"/>
                <w:kern w:val="21"/>
                <w:sz w:val="21"/>
                <w:szCs w:val="21"/>
                <w:lang w:val="en-US" w:eastAsia="zh-CN"/>
              </w:rPr>
            </w:pPr>
            <w:r>
              <w:rPr>
                <w:rFonts w:hint="eastAsia" w:cs="Times New Roman"/>
                <w:color w:val="auto"/>
                <w:lang w:val="en-US" w:eastAsia="zh-CN"/>
              </w:rPr>
              <w:t>4.3</w:t>
            </w:r>
            <w:r>
              <w:rPr>
                <w:rFonts w:hint="default" w:ascii="Times New Roman" w:hAnsi="Times New Roman" w:cs="Times New Roman"/>
                <w:snapToGrid w:val="0"/>
                <w:color w:val="auto"/>
                <w:kern w:val="21"/>
                <w:sz w:val="21"/>
                <w:szCs w:val="21"/>
              </w:rPr>
              <w:t>t/a</w:t>
            </w:r>
          </w:p>
        </w:tc>
        <w:tc>
          <w:tcPr>
            <w:tcW w:w="464" w:type="pct"/>
            <w:vAlign w:val="center"/>
          </w:tcPr>
          <w:p w14:paraId="519F4F8C">
            <w:pPr>
              <w:pStyle w:val="53"/>
              <w:ind w:firstLine="0" w:firstLineChars="0"/>
              <w:rPr>
                <w:rFonts w:hint="eastAsia" w:cs="Times New Roman"/>
                <w:snapToGrid w:val="0"/>
                <w:color w:val="auto"/>
                <w:kern w:val="21"/>
                <w:sz w:val="21"/>
                <w:szCs w:val="21"/>
                <w:lang w:val="en-US" w:eastAsia="zh-CN"/>
              </w:rPr>
            </w:pPr>
            <w:r>
              <w:rPr>
                <w:rFonts w:hint="eastAsia" w:cs="Times New Roman"/>
                <w:color w:val="auto"/>
                <w:lang w:val="en-US" w:eastAsia="zh-CN"/>
              </w:rPr>
              <w:t>+4.3</w:t>
            </w:r>
            <w:r>
              <w:rPr>
                <w:rFonts w:hint="default" w:ascii="Times New Roman" w:hAnsi="Times New Roman" w:cs="Times New Roman"/>
                <w:snapToGrid w:val="0"/>
                <w:color w:val="auto"/>
                <w:kern w:val="21"/>
                <w:sz w:val="21"/>
                <w:szCs w:val="21"/>
              </w:rPr>
              <w:t>t/a</w:t>
            </w:r>
          </w:p>
        </w:tc>
      </w:tr>
      <w:tr w14:paraId="0B445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Merge w:val="continue"/>
            <w:vAlign w:val="center"/>
          </w:tcPr>
          <w:p w14:paraId="11AD3BDC">
            <w:pPr>
              <w:spacing w:line="240" w:lineRule="auto"/>
              <w:ind w:firstLine="0" w:firstLineChars="0"/>
              <w:jc w:val="center"/>
              <w:rPr>
                <w:rFonts w:hint="default" w:ascii="Times New Roman" w:hAnsi="Times New Roman" w:cs="Times New Roman"/>
                <w:snapToGrid w:val="0"/>
                <w:color w:val="auto"/>
                <w:kern w:val="21"/>
                <w:sz w:val="21"/>
                <w:szCs w:val="21"/>
              </w:rPr>
            </w:pPr>
          </w:p>
        </w:tc>
        <w:tc>
          <w:tcPr>
            <w:tcW w:w="604" w:type="pct"/>
            <w:vAlign w:val="center"/>
          </w:tcPr>
          <w:p w14:paraId="05804388">
            <w:pPr>
              <w:pStyle w:val="53"/>
              <w:ind w:firstLine="0" w:firstLineChars="0"/>
              <w:rPr>
                <w:rFonts w:hint="default" w:ascii="Times New Roman" w:hAnsi="Times New Roman" w:cs="Times New Roman"/>
                <w:color w:val="auto"/>
              </w:rPr>
            </w:pPr>
            <w:r>
              <w:rPr>
                <w:rFonts w:hint="eastAsia" w:cs="Times New Roman"/>
                <w:color w:val="auto"/>
                <w:lang w:val="en-US" w:eastAsia="zh-CN"/>
              </w:rPr>
              <w:t>污泥</w:t>
            </w:r>
          </w:p>
        </w:tc>
        <w:tc>
          <w:tcPr>
            <w:tcW w:w="571" w:type="pct"/>
            <w:vAlign w:val="center"/>
          </w:tcPr>
          <w:p w14:paraId="5B2D8A23">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432" w:type="pct"/>
            <w:vAlign w:val="center"/>
          </w:tcPr>
          <w:p w14:paraId="608CF1CE">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29" w:type="pct"/>
            <w:vAlign w:val="center"/>
          </w:tcPr>
          <w:p w14:paraId="293B0BF4">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544" w:type="pct"/>
            <w:vAlign w:val="center"/>
          </w:tcPr>
          <w:p w14:paraId="15B71EC2">
            <w:pPr>
              <w:pStyle w:val="53"/>
              <w:ind w:firstLine="0" w:firstLineChars="0"/>
              <w:rPr>
                <w:rFonts w:hint="eastAsia" w:cs="Times New Roman"/>
                <w:snapToGrid w:val="0"/>
                <w:color w:val="auto"/>
                <w:kern w:val="21"/>
                <w:sz w:val="21"/>
                <w:szCs w:val="21"/>
                <w:lang w:val="en-US" w:eastAsia="zh-CN"/>
              </w:rPr>
            </w:pPr>
            <w:r>
              <w:rPr>
                <w:rFonts w:hint="eastAsia" w:cs="Times New Roman"/>
                <w:color w:val="auto"/>
                <w:lang w:val="en-US" w:eastAsia="zh-CN"/>
              </w:rPr>
              <w:t>5.0</w:t>
            </w:r>
            <w:r>
              <w:rPr>
                <w:rFonts w:hint="default" w:ascii="Times New Roman" w:hAnsi="Times New Roman" w:cs="Times New Roman"/>
                <w:snapToGrid w:val="0"/>
                <w:color w:val="auto"/>
                <w:kern w:val="21"/>
                <w:sz w:val="21"/>
                <w:szCs w:val="21"/>
              </w:rPr>
              <w:t>t/a</w:t>
            </w:r>
          </w:p>
        </w:tc>
        <w:tc>
          <w:tcPr>
            <w:tcW w:w="620" w:type="pct"/>
            <w:vAlign w:val="center"/>
          </w:tcPr>
          <w:p w14:paraId="59577205">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91" w:type="pct"/>
            <w:vAlign w:val="center"/>
          </w:tcPr>
          <w:p w14:paraId="29DE377F">
            <w:pPr>
              <w:pStyle w:val="53"/>
              <w:ind w:firstLine="0" w:firstLineChars="0"/>
              <w:rPr>
                <w:rFonts w:hint="eastAsia" w:cs="Times New Roman"/>
                <w:snapToGrid w:val="0"/>
                <w:color w:val="auto"/>
                <w:kern w:val="21"/>
                <w:sz w:val="21"/>
                <w:szCs w:val="21"/>
                <w:lang w:val="en-US" w:eastAsia="zh-CN"/>
              </w:rPr>
            </w:pPr>
            <w:r>
              <w:rPr>
                <w:rFonts w:hint="eastAsia" w:cs="Times New Roman"/>
                <w:color w:val="auto"/>
                <w:lang w:val="en-US" w:eastAsia="zh-CN"/>
              </w:rPr>
              <w:t>5.0</w:t>
            </w:r>
            <w:r>
              <w:rPr>
                <w:rFonts w:hint="default" w:ascii="Times New Roman" w:hAnsi="Times New Roman" w:cs="Times New Roman"/>
                <w:snapToGrid w:val="0"/>
                <w:color w:val="auto"/>
                <w:kern w:val="21"/>
                <w:sz w:val="21"/>
                <w:szCs w:val="21"/>
              </w:rPr>
              <w:t>t/a</w:t>
            </w:r>
          </w:p>
        </w:tc>
        <w:tc>
          <w:tcPr>
            <w:tcW w:w="464" w:type="pct"/>
            <w:vAlign w:val="center"/>
          </w:tcPr>
          <w:p w14:paraId="06310FEF">
            <w:pPr>
              <w:pStyle w:val="53"/>
              <w:ind w:firstLine="0" w:firstLineChars="0"/>
              <w:rPr>
                <w:rFonts w:hint="eastAsia" w:cs="Times New Roman"/>
                <w:snapToGrid w:val="0"/>
                <w:color w:val="auto"/>
                <w:kern w:val="21"/>
                <w:sz w:val="21"/>
                <w:szCs w:val="21"/>
                <w:lang w:val="en-US" w:eastAsia="zh-CN"/>
              </w:rPr>
            </w:pPr>
            <w:r>
              <w:rPr>
                <w:rFonts w:hint="eastAsia" w:cs="Times New Roman"/>
                <w:color w:val="auto"/>
                <w:lang w:val="en-US" w:eastAsia="zh-CN"/>
              </w:rPr>
              <w:t>+5.0</w:t>
            </w:r>
            <w:r>
              <w:rPr>
                <w:rFonts w:hint="default" w:ascii="Times New Roman" w:hAnsi="Times New Roman" w:cs="Times New Roman"/>
                <w:snapToGrid w:val="0"/>
                <w:color w:val="auto"/>
                <w:kern w:val="21"/>
                <w:sz w:val="21"/>
                <w:szCs w:val="21"/>
              </w:rPr>
              <w:t>t/a</w:t>
            </w:r>
          </w:p>
        </w:tc>
      </w:tr>
      <w:tr w14:paraId="3F9F7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39" w:type="pct"/>
            <w:vAlign w:val="center"/>
          </w:tcPr>
          <w:p w14:paraId="56DAAA85">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危险废物</w:t>
            </w:r>
          </w:p>
        </w:tc>
        <w:tc>
          <w:tcPr>
            <w:tcW w:w="604" w:type="pct"/>
            <w:vAlign w:val="center"/>
          </w:tcPr>
          <w:p w14:paraId="0DBFB012">
            <w:pPr>
              <w:pStyle w:val="53"/>
              <w:ind w:firstLine="0" w:firstLineChars="0"/>
              <w:rPr>
                <w:rFonts w:hint="default" w:ascii="Times New Roman" w:hAnsi="Times New Roman" w:cs="Times New Roman"/>
                <w:color w:val="auto"/>
                <w:kern w:val="21"/>
              </w:rPr>
            </w:pPr>
            <w:r>
              <w:rPr>
                <w:rFonts w:hint="default" w:ascii="Times New Roman" w:hAnsi="Times New Roman" w:cs="Times New Roman"/>
                <w:color w:val="auto"/>
              </w:rPr>
              <w:t>废</w:t>
            </w:r>
            <w:r>
              <w:rPr>
                <w:rFonts w:hint="eastAsia" w:cs="Times New Roman"/>
                <w:color w:val="auto"/>
                <w:lang w:val="en-US" w:eastAsia="zh-CN"/>
              </w:rPr>
              <w:t>导热油</w:t>
            </w:r>
          </w:p>
        </w:tc>
        <w:tc>
          <w:tcPr>
            <w:tcW w:w="571" w:type="pct"/>
            <w:vAlign w:val="center"/>
          </w:tcPr>
          <w:p w14:paraId="3016766E">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432" w:type="pct"/>
            <w:vAlign w:val="center"/>
          </w:tcPr>
          <w:p w14:paraId="5BB48921">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29" w:type="pct"/>
            <w:vAlign w:val="center"/>
          </w:tcPr>
          <w:p w14:paraId="5E3D59C4">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544" w:type="pct"/>
            <w:vAlign w:val="center"/>
          </w:tcPr>
          <w:p w14:paraId="7DBEC4C4">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sz w:val="21"/>
                <w:szCs w:val="21"/>
                <w:lang w:val="en-US" w:eastAsia="zh-CN"/>
              </w:rPr>
              <w:t>2.0t/5a</w:t>
            </w:r>
          </w:p>
        </w:tc>
        <w:tc>
          <w:tcPr>
            <w:tcW w:w="620" w:type="pct"/>
            <w:vAlign w:val="center"/>
          </w:tcPr>
          <w:p w14:paraId="19F595F3">
            <w:pPr>
              <w:spacing w:line="240" w:lineRule="auto"/>
              <w:ind w:firstLine="0" w:firstLineChars="0"/>
              <w:jc w:val="center"/>
              <w:rPr>
                <w:rFonts w:hint="default" w:ascii="Times New Roman" w:hAnsi="Times New Roman" w:cs="Times New Roman"/>
                <w:snapToGrid w:val="0"/>
                <w:color w:val="auto"/>
                <w:kern w:val="21"/>
                <w:sz w:val="21"/>
                <w:szCs w:val="21"/>
              </w:rPr>
            </w:pPr>
            <w:r>
              <w:rPr>
                <w:rFonts w:hint="default" w:ascii="Times New Roman" w:hAnsi="Times New Roman" w:cs="Times New Roman"/>
                <w:snapToGrid w:val="0"/>
                <w:color w:val="auto"/>
                <w:kern w:val="21"/>
                <w:sz w:val="21"/>
                <w:szCs w:val="21"/>
              </w:rPr>
              <w:t>/</w:t>
            </w:r>
          </w:p>
        </w:tc>
        <w:tc>
          <w:tcPr>
            <w:tcW w:w="691" w:type="pct"/>
            <w:vAlign w:val="center"/>
          </w:tcPr>
          <w:p w14:paraId="6399B883">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sz w:val="21"/>
                <w:szCs w:val="21"/>
                <w:lang w:val="en-US" w:eastAsia="zh-CN"/>
              </w:rPr>
              <w:t>2.0t/5a</w:t>
            </w:r>
          </w:p>
        </w:tc>
        <w:tc>
          <w:tcPr>
            <w:tcW w:w="464" w:type="pct"/>
            <w:vAlign w:val="center"/>
          </w:tcPr>
          <w:p w14:paraId="64ED035B">
            <w:pPr>
              <w:pStyle w:val="53"/>
              <w:ind w:firstLine="0" w:firstLineChars="0"/>
              <w:rPr>
                <w:rFonts w:hint="default" w:ascii="Times New Roman" w:hAnsi="Times New Roman" w:cs="Times New Roman"/>
                <w:snapToGrid w:val="0"/>
                <w:color w:val="auto"/>
                <w:kern w:val="21"/>
                <w:sz w:val="21"/>
                <w:szCs w:val="21"/>
              </w:rPr>
            </w:pPr>
            <w:r>
              <w:rPr>
                <w:rFonts w:hint="eastAsia" w:cs="Times New Roman"/>
                <w:color w:val="auto"/>
                <w:sz w:val="21"/>
                <w:szCs w:val="21"/>
                <w:lang w:val="en-US" w:eastAsia="zh-CN"/>
              </w:rPr>
              <w:t>+2.0t/5a</w:t>
            </w:r>
          </w:p>
        </w:tc>
      </w:tr>
    </w:tbl>
    <w:p w14:paraId="020EAD27">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default" w:ascii="宋体" w:hAnsi="宋体" w:eastAsia="宋体" w:cs="宋体"/>
          <w:color w:val="auto"/>
          <w:spacing w:val="-1"/>
          <w:sz w:val="24"/>
          <w:szCs w:val="24"/>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sectPr>
      <w:footerReference r:id="rId13" w:type="default"/>
      <w:pgSz w:w="16838" w:h="11906" w:orient="landscape"/>
      <w:pgMar w:top="1304" w:right="1701" w:bottom="1304"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A53FAA-D328-4A49-8187-7A51533B42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embedRegular r:id="rId2" w:fontKey="{1A7E3F7F-75BB-4BE7-B474-4D40A5D00CBD}"/>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3" w:fontKey="{80191F26-B23E-4832-8386-518BCB65C622}"/>
  </w:font>
  <w:font w:name="方正小标宋_GBK">
    <w:panose1 w:val="02000000000000000000"/>
    <w:charset w:val="86"/>
    <w:family w:val="script"/>
    <w:pitch w:val="default"/>
    <w:sig w:usb0="00000001" w:usb1="080E0000" w:usb2="00000000" w:usb3="00000000" w:csb0="00040000" w:csb1="00000000"/>
    <w:embedRegular r:id="rId4" w:fontKey="{22E87914-3FDE-4EC7-B64A-B9D1F679C1BF}"/>
  </w:font>
  <w:font w:name="仿宋">
    <w:panose1 w:val="02010609060101010101"/>
    <w:charset w:val="86"/>
    <w:family w:val="modern"/>
    <w:pitch w:val="default"/>
    <w:sig w:usb0="800002BF" w:usb1="38CF7CFA" w:usb2="00000016" w:usb3="00000000" w:csb0="00040001" w:csb1="00000000"/>
    <w:embedRegular r:id="rId5" w:fontKey="{A7E580AC-6947-47BF-84EA-97BDEAAF37BF}"/>
  </w:font>
  <w:font w:name="Wingdings 2">
    <w:panose1 w:val="05020102010507070707"/>
    <w:charset w:val="02"/>
    <w:family w:val="roman"/>
    <w:pitch w:val="default"/>
    <w:sig w:usb0="00000000" w:usb1="00000000" w:usb2="00000000" w:usb3="00000000" w:csb0="80000000" w:csb1="00000000"/>
    <w:embedRegular r:id="rId6" w:fontKey="{E2075A6F-B1BE-4EC4-B973-E80102C0B98F}"/>
  </w:font>
  <w:font w:name="等线">
    <w:panose1 w:val="02010600030101010101"/>
    <w:charset w:val="86"/>
    <w:family w:val="auto"/>
    <w:pitch w:val="default"/>
    <w:sig w:usb0="A00002BF" w:usb1="38CF7CFA" w:usb2="00000016" w:usb3="00000000" w:csb0="0004000F" w:csb1="00000000"/>
    <w:embedRegular r:id="rId7" w:fontKey="{9D22A6B9-B91D-4F1F-8340-1F8F1744EC91}"/>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2BE5">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81DA5">
    <w:pPr>
      <w:pStyle w:val="14"/>
      <w:framePr w:wrap="around" w:vAnchor="text" w:hAnchor="margin" w:xAlign="center" w:y="1"/>
      <w:ind w:firstLine="360"/>
      <w:rPr>
        <w:rStyle w:val="25"/>
      </w:rPr>
    </w:pPr>
    <w:r>
      <w:fldChar w:fldCharType="begin"/>
    </w:r>
    <w:r>
      <w:rPr>
        <w:rStyle w:val="25"/>
      </w:rPr>
      <w:instrText xml:space="preserve">PAGE  </w:instrText>
    </w:r>
    <w:r>
      <w:fldChar w:fldCharType="end"/>
    </w:r>
  </w:p>
  <w:p w14:paraId="3C6F1621">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C9FA1">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B7DD3">
    <w:pPr>
      <w:pStyle w:val="14"/>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9A243">
    <w:pPr>
      <w:pStyle w:val="14"/>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3369D9">
                          <w:pPr>
                            <w:pStyle w:val="14"/>
                            <w:ind w:firstLine="36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6D3369D9">
                    <w:pPr>
                      <w:pStyle w:val="14"/>
                      <w:ind w:firstLine="360"/>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41C9C">
    <w:pPr>
      <w:pStyle w:val="14"/>
      <w:tabs>
        <w:tab w:val="clear" w:pos="4153"/>
      </w:tabs>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A2DE1">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CAA2DE1">
                    <w:pPr>
                      <w:pStyle w:val="1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3EE38">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22F60">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9DE68">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236FE"/>
    <w:multiLevelType w:val="singleLevel"/>
    <w:tmpl w:val="934236FE"/>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
    <w:nsid w:val="125387BC"/>
    <w:multiLevelType w:val="multilevel"/>
    <w:tmpl w:val="125387BC"/>
    <w:lvl w:ilvl="0" w:tentative="0">
      <w:start w:val="1"/>
      <w:numFmt w:val="none"/>
      <w:pStyle w:val="56"/>
      <w:lvlText w:val="表1"/>
      <w:lvlJc w:val="left"/>
      <w:pPr>
        <w:ind w:left="420" w:hanging="420"/>
      </w:pPr>
      <w:rPr>
        <w:rFonts w:hint="default" w:ascii="Times New Roman" w:hAnsi="Times New Roman" w:eastAsia="宋体" w:cs="宋体"/>
        <w:sz w:val="21"/>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3OWU2ZjY1NjgxNjAzOWQzNTJiZjE3YzljNWQ0MzkifQ=="/>
  </w:docVars>
  <w:rsids>
    <w:rsidRoot w:val="00172A27"/>
    <w:rsid w:val="00000B99"/>
    <w:rsid w:val="00032FE0"/>
    <w:rsid w:val="000356AD"/>
    <w:rsid w:val="00035739"/>
    <w:rsid w:val="00035B14"/>
    <w:rsid w:val="00055F2D"/>
    <w:rsid w:val="00057A8F"/>
    <w:rsid w:val="00060256"/>
    <w:rsid w:val="00067EA9"/>
    <w:rsid w:val="000762C9"/>
    <w:rsid w:val="0008628D"/>
    <w:rsid w:val="00095420"/>
    <w:rsid w:val="000D0B39"/>
    <w:rsid w:val="000D5B88"/>
    <w:rsid w:val="000E5FAC"/>
    <w:rsid w:val="000F0523"/>
    <w:rsid w:val="000F21F7"/>
    <w:rsid w:val="000F7566"/>
    <w:rsid w:val="00102FC3"/>
    <w:rsid w:val="00121050"/>
    <w:rsid w:val="00122D63"/>
    <w:rsid w:val="0012584F"/>
    <w:rsid w:val="00172A27"/>
    <w:rsid w:val="00183FD0"/>
    <w:rsid w:val="001D1BB7"/>
    <w:rsid w:val="001F46D8"/>
    <w:rsid w:val="001F4A68"/>
    <w:rsid w:val="00203AA9"/>
    <w:rsid w:val="00214AB6"/>
    <w:rsid w:val="002170EB"/>
    <w:rsid w:val="00257CD2"/>
    <w:rsid w:val="002B2DAD"/>
    <w:rsid w:val="002C1AD6"/>
    <w:rsid w:val="002C627A"/>
    <w:rsid w:val="002D2779"/>
    <w:rsid w:val="002E36DB"/>
    <w:rsid w:val="00300420"/>
    <w:rsid w:val="00300491"/>
    <w:rsid w:val="00313701"/>
    <w:rsid w:val="0031723B"/>
    <w:rsid w:val="00342C78"/>
    <w:rsid w:val="00372F91"/>
    <w:rsid w:val="003904CE"/>
    <w:rsid w:val="003917A5"/>
    <w:rsid w:val="003926F4"/>
    <w:rsid w:val="003A1E46"/>
    <w:rsid w:val="003B49C8"/>
    <w:rsid w:val="003C615E"/>
    <w:rsid w:val="003F04B0"/>
    <w:rsid w:val="00453842"/>
    <w:rsid w:val="0047108C"/>
    <w:rsid w:val="00475A36"/>
    <w:rsid w:val="004A513D"/>
    <w:rsid w:val="004A53A6"/>
    <w:rsid w:val="004B39CA"/>
    <w:rsid w:val="004D76DE"/>
    <w:rsid w:val="004F1FEF"/>
    <w:rsid w:val="004F4186"/>
    <w:rsid w:val="00500230"/>
    <w:rsid w:val="00504CA7"/>
    <w:rsid w:val="005113AF"/>
    <w:rsid w:val="005476E0"/>
    <w:rsid w:val="005B3912"/>
    <w:rsid w:val="005B7730"/>
    <w:rsid w:val="005E3E3D"/>
    <w:rsid w:val="00602259"/>
    <w:rsid w:val="006227A0"/>
    <w:rsid w:val="006403FC"/>
    <w:rsid w:val="00661C8F"/>
    <w:rsid w:val="006A2B4E"/>
    <w:rsid w:val="006D4FD0"/>
    <w:rsid w:val="006E3B0E"/>
    <w:rsid w:val="00700DDB"/>
    <w:rsid w:val="00777536"/>
    <w:rsid w:val="00796CBB"/>
    <w:rsid w:val="007A109C"/>
    <w:rsid w:val="007A3917"/>
    <w:rsid w:val="007B79A9"/>
    <w:rsid w:val="007C3E5E"/>
    <w:rsid w:val="007E7590"/>
    <w:rsid w:val="007F2EB4"/>
    <w:rsid w:val="007F527D"/>
    <w:rsid w:val="00813701"/>
    <w:rsid w:val="00886CBC"/>
    <w:rsid w:val="008C21E2"/>
    <w:rsid w:val="008C3FDD"/>
    <w:rsid w:val="00902805"/>
    <w:rsid w:val="00974BA2"/>
    <w:rsid w:val="009D4DBA"/>
    <w:rsid w:val="009E31CA"/>
    <w:rsid w:val="009F540F"/>
    <w:rsid w:val="00A03316"/>
    <w:rsid w:val="00A54F59"/>
    <w:rsid w:val="00A56685"/>
    <w:rsid w:val="00A85679"/>
    <w:rsid w:val="00A87B58"/>
    <w:rsid w:val="00A91BF7"/>
    <w:rsid w:val="00A92C24"/>
    <w:rsid w:val="00A958F4"/>
    <w:rsid w:val="00AB024F"/>
    <w:rsid w:val="00AC08FA"/>
    <w:rsid w:val="00AC76A8"/>
    <w:rsid w:val="00B0133F"/>
    <w:rsid w:val="00B232D4"/>
    <w:rsid w:val="00B44B18"/>
    <w:rsid w:val="00B52697"/>
    <w:rsid w:val="00B6574C"/>
    <w:rsid w:val="00B74B51"/>
    <w:rsid w:val="00BB0C1B"/>
    <w:rsid w:val="00BC5A28"/>
    <w:rsid w:val="00BE24A4"/>
    <w:rsid w:val="00C779CE"/>
    <w:rsid w:val="00C91DFD"/>
    <w:rsid w:val="00CA2011"/>
    <w:rsid w:val="00CB23D0"/>
    <w:rsid w:val="00CD3536"/>
    <w:rsid w:val="00CD7B25"/>
    <w:rsid w:val="00D24A96"/>
    <w:rsid w:val="00D31516"/>
    <w:rsid w:val="00D323DD"/>
    <w:rsid w:val="00D33B00"/>
    <w:rsid w:val="00D44C1D"/>
    <w:rsid w:val="00D541DE"/>
    <w:rsid w:val="00D66B58"/>
    <w:rsid w:val="00D72A9F"/>
    <w:rsid w:val="00D81E23"/>
    <w:rsid w:val="00DB061D"/>
    <w:rsid w:val="00DC3E37"/>
    <w:rsid w:val="00E11596"/>
    <w:rsid w:val="00E11F9A"/>
    <w:rsid w:val="00E46AD2"/>
    <w:rsid w:val="00E51CA3"/>
    <w:rsid w:val="00E64966"/>
    <w:rsid w:val="00E663D2"/>
    <w:rsid w:val="00EA4213"/>
    <w:rsid w:val="00EB5840"/>
    <w:rsid w:val="00EF3938"/>
    <w:rsid w:val="00EF587E"/>
    <w:rsid w:val="00EF7528"/>
    <w:rsid w:val="00F120E2"/>
    <w:rsid w:val="00F16D28"/>
    <w:rsid w:val="00F17EF7"/>
    <w:rsid w:val="00F30322"/>
    <w:rsid w:val="00F3740E"/>
    <w:rsid w:val="00F445B6"/>
    <w:rsid w:val="00F760E7"/>
    <w:rsid w:val="00F85215"/>
    <w:rsid w:val="00F95C92"/>
    <w:rsid w:val="00FE0F13"/>
    <w:rsid w:val="00FE48CA"/>
    <w:rsid w:val="00FF11FE"/>
    <w:rsid w:val="00FF5061"/>
    <w:rsid w:val="0135525F"/>
    <w:rsid w:val="018C69A5"/>
    <w:rsid w:val="01BE7323"/>
    <w:rsid w:val="01D621E1"/>
    <w:rsid w:val="01EB7790"/>
    <w:rsid w:val="02037EB1"/>
    <w:rsid w:val="022635E5"/>
    <w:rsid w:val="024C2F5C"/>
    <w:rsid w:val="02811C50"/>
    <w:rsid w:val="028E4F47"/>
    <w:rsid w:val="02900CBF"/>
    <w:rsid w:val="02DB2768"/>
    <w:rsid w:val="02DB29D5"/>
    <w:rsid w:val="02E903CF"/>
    <w:rsid w:val="030C5461"/>
    <w:rsid w:val="03103BAE"/>
    <w:rsid w:val="03456069"/>
    <w:rsid w:val="036B5288"/>
    <w:rsid w:val="03BB2172"/>
    <w:rsid w:val="03CE29AD"/>
    <w:rsid w:val="042E69E2"/>
    <w:rsid w:val="04676361"/>
    <w:rsid w:val="047107B7"/>
    <w:rsid w:val="0492019B"/>
    <w:rsid w:val="0493767F"/>
    <w:rsid w:val="04B120B5"/>
    <w:rsid w:val="04C948C2"/>
    <w:rsid w:val="0551591A"/>
    <w:rsid w:val="05AB5E10"/>
    <w:rsid w:val="05B25C8A"/>
    <w:rsid w:val="05BA0FE0"/>
    <w:rsid w:val="05C80393"/>
    <w:rsid w:val="06171D6A"/>
    <w:rsid w:val="06225938"/>
    <w:rsid w:val="06287461"/>
    <w:rsid w:val="06497B03"/>
    <w:rsid w:val="06767BC7"/>
    <w:rsid w:val="06B225CD"/>
    <w:rsid w:val="06EB2968"/>
    <w:rsid w:val="06F82C88"/>
    <w:rsid w:val="07244EEE"/>
    <w:rsid w:val="073C1416"/>
    <w:rsid w:val="07460234"/>
    <w:rsid w:val="07650DA4"/>
    <w:rsid w:val="07650F54"/>
    <w:rsid w:val="0766197E"/>
    <w:rsid w:val="076D6160"/>
    <w:rsid w:val="078702B9"/>
    <w:rsid w:val="078E728C"/>
    <w:rsid w:val="0790107F"/>
    <w:rsid w:val="079528C0"/>
    <w:rsid w:val="07B44CC4"/>
    <w:rsid w:val="07FC6604"/>
    <w:rsid w:val="080774D9"/>
    <w:rsid w:val="08253BBF"/>
    <w:rsid w:val="085020C6"/>
    <w:rsid w:val="08843074"/>
    <w:rsid w:val="088644B2"/>
    <w:rsid w:val="08B04C78"/>
    <w:rsid w:val="08BD2C61"/>
    <w:rsid w:val="08C24925"/>
    <w:rsid w:val="099E1A36"/>
    <w:rsid w:val="09A01B64"/>
    <w:rsid w:val="09EC1898"/>
    <w:rsid w:val="0A022B0D"/>
    <w:rsid w:val="0A122EA4"/>
    <w:rsid w:val="0A1414A2"/>
    <w:rsid w:val="0A242D04"/>
    <w:rsid w:val="0A821835"/>
    <w:rsid w:val="0A860564"/>
    <w:rsid w:val="0A913DDB"/>
    <w:rsid w:val="0AB37943"/>
    <w:rsid w:val="0AEB2CAC"/>
    <w:rsid w:val="0AF27259"/>
    <w:rsid w:val="0B380146"/>
    <w:rsid w:val="0B6768F3"/>
    <w:rsid w:val="0B81389B"/>
    <w:rsid w:val="0BB70F4B"/>
    <w:rsid w:val="0BC045C0"/>
    <w:rsid w:val="0BC41A42"/>
    <w:rsid w:val="0BC877B8"/>
    <w:rsid w:val="0BF41CE2"/>
    <w:rsid w:val="0BFF53C1"/>
    <w:rsid w:val="0C040028"/>
    <w:rsid w:val="0C1B5A9E"/>
    <w:rsid w:val="0C466C47"/>
    <w:rsid w:val="0C842BDB"/>
    <w:rsid w:val="0CC255F7"/>
    <w:rsid w:val="0CCA1272"/>
    <w:rsid w:val="0CF53ED9"/>
    <w:rsid w:val="0D1B6E9F"/>
    <w:rsid w:val="0D3A63F7"/>
    <w:rsid w:val="0D664796"/>
    <w:rsid w:val="0D7E0A85"/>
    <w:rsid w:val="0D8110AA"/>
    <w:rsid w:val="0D893055"/>
    <w:rsid w:val="0D8E04F1"/>
    <w:rsid w:val="0DA11313"/>
    <w:rsid w:val="0DCE6B40"/>
    <w:rsid w:val="0DDB0FB3"/>
    <w:rsid w:val="0E0A03C0"/>
    <w:rsid w:val="0E0C1611"/>
    <w:rsid w:val="0E211365"/>
    <w:rsid w:val="0E436278"/>
    <w:rsid w:val="0E4F5ED2"/>
    <w:rsid w:val="0E680D42"/>
    <w:rsid w:val="0EB9334C"/>
    <w:rsid w:val="0F1D7D7F"/>
    <w:rsid w:val="0F2B249C"/>
    <w:rsid w:val="0F6642F1"/>
    <w:rsid w:val="0F6C5D86"/>
    <w:rsid w:val="10032266"/>
    <w:rsid w:val="103B520E"/>
    <w:rsid w:val="10D4446D"/>
    <w:rsid w:val="10DA0968"/>
    <w:rsid w:val="10F96567"/>
    <w:rsid w:val="110943D5"/>
    <w:rsid w:val="113072A7"/>
    <w:rsid w:val="113220A0"/>
    <w:rsid w:val="1139575D"/>
    <w:rsid w:val="11457119"/>
    <w:rsid w:val="11544F0F"/>
    <w:rsid w:val="115C2D7A"/>
    <w:rsid w:val="11FA28E2"/>
    <w:rsid w:val="12040D82"/>
    <w:rsid w:val="12086AC4"/>
    <w:rsid w:val="123B05B4"/>
    <w:rsid w:val="12432666"/>
    <w:rsid w:val="12695089"/>
    <w:rsid w:val="129C720C"/>
    <w:rsid w:val="12B405AB"/>
    <w:rsid w:val="12C30C3D"/>
    <w:rsid w:val="12CA7814"/>
    <w:rsid w:val="12CF4AC7"/>
    <w:rsid w:val="13082AF4"/>
    <w:rsid w:val="13226DD8"/>
    <w:rsid w:val="13265EC1"/>
    <w:rsid w:val="13B125F8"/>
    <w:rsid w:val="13C92283"/>
    <w:rsid w:val="13E8007F"/>
    <w:rsid w:val="13F63ECB"/>
    <w:rsid w:val="140E4547"/>
    <w:rsid w:val="14270D58"/>
    <w:rsid w:val="14301436"/>
    <w:rsid w:val="144813FA"/>
    <w:rsid w:val="145403C3"/>
    <w:rsid w:val="14612354"/>
    <w:rsid w:val="149A777C"/>
    <w:rsid w:val="149E479D"/>
    <w:rsid w:val="14FA2B2F"/>
    <w:rsid w:val="14FD6A90"/>
    <w:rsid w:val="152352E8"/>
    <w:rsid w:val="154716B1"/>
    <w:rsid w:val="15507763"/>
    <w:rsid w:val="155362A8"/>
    <w:rsid w:val="15915022"/>
    <w:rsid w:val="159520D3"/>
    <w:rsid w:val="159F09F7"/>
    <w:rsid w:val="15B66808"/>
    <w:rsid w:val="15BE00B5"/>
    <w:rsid w:val="15D26655"/>
    <w:rsid w:val="15DE4907"/>
    <w:rsid w:val="15FB0A4A"/>
    <w:rsid w:val="15FF0070"/>
    <w:rsid w:val="1612581A"/>
    <w:rsid w:val="16297009"/>
    <w:rsid w:val="1638549E"/>
    <w:rsid w:val="164F1DC9"/>
    <w:rsid w:val="16691AFB"/>
    <w:rsid w:val="16B864C0"/>
    <w:rsid w:val="16C20599"/>
    <w:rsid w:val="16FE2244"/>
    <w:rsid w:val="171B62FC"/>
    <w:rsid w:val="17307879"/>
    <w:rsid w:val="17442167"/>
    <w:rsid w:val="176D73C9"/>
    <w:rsid w:val="17AC7EF2"/>
    <w:rsid w:val="18095209"/>
    <w:rsid w:val="183A3CF4"/>
    <w:rsid w:val="184D34C0"/>
    <w:rsid w:val="18822A00"/>
    <w:rsid w:val="1882371C"/>
    <w:rsid w:val="188E5849"/>
    <w:rsid w:val="189E2C25"/>
    <w:rsid w:val="190C5C28"/>
    <w:rsid w:val="193226EF"/>
    <w:rsid w:val="19452F6F"/>
    <w:rsid w:val="19520E62"/>
    <w:rsid w:val="19816B59"/>
    <w:rsid w:val="19AA0461"/>
    <w:rsid w:val="19BC4967"/>
    <w:rsid w:val="19C04D2A"/>
    <w:rsid w:val="19DC73D7"/>
    <w:rsid w:val="19EC2827"/>
    <w:rsid w:val="1A134258"/>
    <w:rsid w:val="1A246DC6"/>
    <w:rsid w:val="1A50511F"/>
    <w:rsid w:val="1A80178D"/>
    <w:rsid w:val="1A8B64E4"/>
    <w:rsid w:val="1A95427C"/>
    <w:rsid w:val="1ABC181B"/>
    <w:rsid w:val="1AC10E6C"/>
    <w:rsid w:val="1ADD6614"/>
    <w:rsid w:val="1AE856E5"/>
    <w:rsid w:val="1B024D0C"/>
    <w:rsid w:val="1B081C0A"/>
    <w:rsid w:val="1B0D0CA7"/>
    <w:rsid w:val="1B2E4C72"/>
    <w:rsid w:val="1B367BA2"/>
    <w:rsid w:val="1B54262C"/>
    <w:rsid w:val="1B8C1C57"/>
    <w:rsid w:val="1B98121B"/>
    <w:rsid w:val="1BA35E8D"/>
    <w:rsid w:val="1BD163A0"/>
    <w:rsid w:val="1C1222ED"/>
    <w:rsid w:val="1C2F35D3"/>
    <w:rsid w:val="1C3B1E93"/>
    <w:rsid w:val="1C5300E7"/>
    <w:rsid w:val="1C562A19"/>
    <w:rsid w:val="1C5A0D28"/>
    <w:rsid w:val="1C5B3C94"/>
    <w:rsid w:val="1C690E25"/>
    <w:rsid w:val="1C77448E"/>
    <w:rsid w:val="1C9E16CB"/>
    <w:rsid w:val="1CA3357F"/>
    <w:rsid w:val="1CA7542B"/>
    <w:rsid w:val="1CBC1C20"/>
    <w:rsid w:val="1CD31A7D"/>
    <w:rsid w:val="1CE16C5D"/>
    <w:rsid w:val="1CE4412E"/>
    <w:rsid w:val="1CE56053"/>
    <w:rsid w:val="1CFC7D18"/>
    <w:rsid w:val="1CFF72F5"/>
    <w:rsid w:val="1D156539"/>
    <w:rsid w:val="1D2642A2"/>
    <w:rsid w:val="1D305121"/>
    <w:rsid w:val="1D6C4859"/>
    <w:rsid w:val="1DA90161"/>
    <w:rsid w:val="1DD106B2"/>
    <w:rsid w:val="1DDB5C55"/>
    <w:rsid w:val="1E0057DD"/>
    <w:rsid w:val="1E0839A8"/>
    <w:rsid w:val="1E731769"/>
    <w:rsid w:val="1E8D35D9"/>
    <w:rsid w:val="1EA843FD"/>
    <w:rsid w:val="1EB31B66"/>
    <w:rsid w:val="1EC650F6"/>
    <w:rsid w:val="1ECF3FB1"/>
    <w:rsid w:val="1EE7180F"/>
    <w:rsid w:val="1EFE6CF0"/>
    <w:rsid w:val="1F0E4FEE"/>
    <w:rsid w:val="1F170925"/>
    <w:rsid w:val="1F314AE0"/>
    <w:rsid w:val="1F5071EE"/>
    <w:rsid w:val="1FA61ECF"/>
    <w:rsid w:val="1FA97668"/>
    <w:rsid w:val="1FB63935"/>
    <w:rsid w:val="1FDD17B0"/>
    <w:rsid w:val="200D799B"/>
    <w:rsid w:val="204B041F"/>
    <w:rsid w:val="2061413D"/>
    <w:rsid w:val="207525B7"/>
    <w:rsid w:val="20AB7A86"/>
    <w:rsid w:val="20BD4D3D"/>
    <w:rsid w:val="20C0056A"/>
    <w:rsid w:val="20C734F1"/>
    <w:rsid w:val="20D21EFF"/>
    <w:rsid w:val="20DC4BDF"/>
    <w:rsid w:val="20E826CF"/>
    <w:rsid w:val="20F012C1"/>
    <w:rsid w:val="21016E14"/>
    <w:rsid w:val="210D697D"/>
    <w:rsid w:val="216F556F"/>
    <w:rsid w:val="218223A5"/>
    <w:rsid w:val="21856FA7"/>
    <w:rsid w:val="21903A00"/>
    <w:rsid w:val="219B3B9D"/>
    <w:rsid w:val="21A12593"/>
    <w:rsid w:val="21AA36F4"/>
    <w:rsid w:val="21B93937"/>
    <w:rsid w:val="222740AB"/>
    <w:rsid w:val="22401962"/>
    <w:rsid w:val="227855A0"/>
    <w:rsid w:val="227E6ED8"/>
    <w:rsid w:val="22915940"/>
    <w:rsid w:val="22934188"/>
    <w:rsid w:val="22B31874"/>
    <w:rsid w:val="22B50A13"/>
    <w:rsid w:val="22BF3134"/>
    <w:rsid w:val="22CF25B1"/>
    <w:rsid w:val="230243B2"/>
    <w:rsid w:val="230B1B65"/>
    <w:rsid w:val="232E36F8"/>
    <w:rsid w:val="23361711"/>
    <w:rsid w:val="234C07DB"/>
    <w:rsid w:val="239A32F4"/>
    <w:rsid w:val="241A569F"/>
    <w:rsid w:val="2431715F"/>
    <w:rsid w:val="24A94732"/>
    <w:rsid w:val="24D42836"/>
    <w:rsid w:val="24D5213A"/>
    <w:rsid w:val="250E75F3"/>
    <w:rsid w:val="251236B9"/>
    <w:rsid w:val="251315B0"/>
    <w:rsid w:val="25162E4E"/>
    <w:rsid w:val="253357AE"/>
    <w:rsid w:val="254937CB"/>
    <w:rsid w:val="258B577C"/>
    <w:rsid w:val="259C77F7"/>
    <w:rsid w:val="25F95A8F"/>
    <w:rsid w:val="260F417C"/>
    <w:rsid w:val="26144011"/>
    <w:rsid w:val="26211AAB"/>
    <w:rsid w:val="26300616"/>
    <w:rsid w:val="264E03C6"/>
    <w:rsid w:val="266B56B4"/>
    <w:rsid w:val="266B7DC6"/>
    <w:rsid w:val="268D793B"/>
    <w:rsid w:val="26D27C53"/>
    <w:rsid w:val="26E1123A"/>
    <w:rsid w:val="271165DD"/>
    <w:rsid w:val="274E4B21"/>
    <w:rsid w:val="274F773A"/>
    <w:rsid w:val="275461A6"/>
    <w:rsid w:val="275F31B5"/>
    <w:rsid w:val="27A13E74"/>
    <w:rsid w:val="27A42C4B"/>
    <w:rsid w:val="27B76782"/>
    <w:rsid w:val="27C00431"/>
    <w:rsid w:val="27D73B2C"/>
    <w:rsid w:val="27F61507"/>
    <w:rsid w:val="2825076A"/>
    <w:rsid w:val="283F446A"/>
    <w:rsid w:val="285646C3"/>
    <w:rsid w:val="28710B17"/>
    <w:rsid w:val="287F6F5C"/>
    <w:rsid w:val="28897525"/>
    <w:rsid w:val="28B07116"/>
    <w:rsid w:val="29041E4D"/>
    <w:rsid w:val="29621355"/>
    <w:rsid w:val="29621527"/>
    <w:rsid w:val="2962774C"/>
    <w:rsid w:val="29AC5B2F"/>
    <w:rsid w:val="29AF561F"/>
    <w:rsid w:val="29B13146"/>
    <w:rsid w:val="29CC4423"/>
    <w:rsid w:val="29FD45DD"/>
    <w:rsid w:val="2A042D87"/>
    <w:rsid w:val="2A1B4A63"/>
    <w:rsid w:val="2A296BBE"/>
    <w:rsid w:val="2A3102A6"/>
    <w:rsid w:val="2A3117A7"/>
    <w:rsid w:val="2A5578EB"/>
    <w:rsid w:val="2A751CBA"/>
    <w:rsid w:val="2A8C715C"/>
    <w:rsid w:val="2A9232F3"/>
    <w:rsid w:val="2AA8279A"/>
    <w:rsid w:val="2AC503CA"/>
    <w:rsid w:val="2AC82917"/>
    <w:rsid w:val="2AE6758B"/>
    <w:rsid w:val="2B153F94"/>
    <w:rsid w:val="2B287437"/>
    <w:rsid w:val="2B7A62E1"/>
    <w:rsid w:val="2B807273"/>
    <w:rsid w:val="2B8954FA"/>
    <w:rsid w:val="2B9E76FA"/>
    <w:rsid w:val="2B9F687E"/>
    <w:rsid w:val="2BCA6741"/>
    <w:rsid w:val="2BFF288E"/>
    <w:rsid w:val="2C07788D"/>
    <w:rsid w:val="2C6716B1"/>
    <w:rsid w:val="2C6A69BD"/>
    <w:rsid w:val="2C7C0414"/>
    <w:rsid w:val="2C7D1DEE"/>
    <w:rsid w:val="2C8B0CAC"/>
    <w:rsid w:val="2C954FA0"/>
    <w:rsid w:val="2C987651"/>
    <w:rsid w:val="2CC17B44"/>
    <w:rsid w:val="2CE50FD9"/>
    <w:rsid w:val="2D1E4F96"/>
    <w:rsid w:val="2D2F4211"/>
    <w:rsid w:val="2D346567"/>
    <w:rsid w:val="2D564730"/>
    <w:rsid w:val="2D6D4B53"/>
    <w:rsid w:val="2D856DC3"/>
    <w:rsid w:val="2D9407D2"/>
    <w:rsid w:val="2D942D94"/>
    <w:rsid w:val="2DAE4BCF"/>
    <w:rsid w:val="2DB96D47"/>
    <w:rsid w:val="2E0A50BC"/>
    <w:rsid w:val="2E29069D"/>
    <w:rsid w:val="2E3E7CD5"/>
    <w:rsid w:val="2E503D56"/>
    <w:rsid w:val="2E5728BB"/>
    <w:rsid w:val="2E5E0A64"/>
    <w:rsid w:val="2E6F7532"/>
    <w:rsid w:val="2E97211F"/>
    <w:rsid w:val="2EB547F7"/>
    <w:rsid w:val="2EBE5BA4"/>
    <w:rsid w:val="2ECB51C0"/>
    <w:rsid w:val="2EE31FF3"/>
    <w:rsid w:val="2EF961AE"/>
    <w:rsid w:val="2F0C091A"/>
    <w:rsid w:val="2F1A178D"/>
    <w:rsid w:val="2F3A680D"/>
    <w:rsid w:val="2F5F2FC6"/>
    <w:rsid w:val="2F686AD9"/>
    <w:rsid w:val="2F6D0D71"/>
    <w:rsid w:val="2F99355C"/>
    <w:rsid w:val="2FA86D99"/>
    <w:rsid w:val="2FAA184B"/>
    <w:rsid w:val="2FAA39AE"/>
    <w:rsid w:val="2FBD0C13"/>
    <w:rsid w:val="2FF27FE5"/>
    <w:rsid w:val="2FF972F5"/>
    <w:rsid w:val="2FFB2A99"/>
    <w:rsid w:val="30047F60"/>
    <w:rsid w:val="300D5D2D"/>
    <w:rsid w:val="30275117"/>
    <w:rsid w:val="30512F70"/>
    <w:rsid w:val="30717AD3"/>
    <w:rsid w:val="307F111D"/>
    <w:rsid w:val="308A0377"/>
    <w:rsid w:val="309F44FF"/>
    <w:rsid w:val="30D54010"/>
    <w:rsid w:val="30EC5B4A"/>
    <w:rsid w:val="311A0623"/>
    <w:rsid w:val="314E1524"/>
    <w:rsid w:val="317E5C23"/>
    <w:rsid w:val="31861BD2"/>
    <w:rsid w:val="31A2252C"/>
    <w:rsid w:val="31C14142"/>
    <w:rsid w:val="31FD657B"/>
    <w:rsid w:val="324220E7"/>
    <w:rsid w:val="32537490"/>
    <w:rsid w:val="327A2089"/>
    <w:rsid w:val="32B85B41"/>
    <w:rsid w:val="32BB66A6"/>
    <w:rsid w:val="32DD5C11"/>
    <w:rsid w:val="331D184C"/>
    <w:rsid w:val="331D3669"/>
    <w:rsid w:val="33367E25"/>
    <w:rsid w:val="334E5EA9"/>
    <w:rsid w:val="337278BF"/>
    <w:rsid w:val="337E678E"/>
    <w:rsid w:val="33B026C0"/>
    <w:rsid w:val="33F063E7"/>
    <w:rsid w:val="33FB1B8D"/>
    <w:rsid w:val="34047325"/>
    <w:rsid w:val="341D7D55"/>
    <w:rsid w:val="34374894"/>
    <w:rsid w:val="345D27EA"/>
    <w:rsid w:val="34AE0353"/>
    <w:rsid w:val="34C77CC1"/>
    <w:rsid w:val="3516577E"/>
    <w:rsid w:val="351F3B18"/>
    <w:rsid w:val="35280D7E"/>
    <w:rsid w:val="352E7D40"/>
    <w:rsid w:val="35702107"/>
    <w:rsid w:val="3576766D"/>
    <w:rsid w:val="35852A19"/>
    <w:rsid w:val="35A247E5"/>
    <w:rsid w:val="35A93EF4"/>
    <w:rsid w:val="35B87BED"/>
    <w:rsid w:val="35DA60DD"/>
    <w:rsid w:val="35E30B2B"/>
    <w:rsid w:val="35E6404A"/>
    <w:rsid w:val="35F26FC0"/>
    <w:rsid w:val="35F42D38"/>
    <w:rsid w:val="35FA7C5B"/>
    <w:rsid w:val="360F1920"/>
    <w:rsid w:val="364D7553"/>
    <w:rsid w:val="366148DA"/>
    <w:rsid w:val="36881F7C"/>
    <w:rsid w:val="3699743B"/>
    <w:rsid w:val="369D6F2B"/>
    <w:rsid w:val="36AD7C3E"/>
    <w:rsid w:val="36D97FB8"/>
    <w:rsid w:val="36E3641F"/>
    <w:rsid w:val="36E5579D"/>
    <w:rsid w:val="36F823B4"/>
    <w:rsid w:val="370A0339"/>
    <w:rsid w:val="370B0195"/>
    <w:rsid w:val="370F19D1"/>
    <w:rsid w:val="374534D2"/>
    <w:rsid w:val="3747333B"/>
    <w:rsid w:val="374D1678"/>
    <w:rsid w:val="37985945"/>
    <w:rsid w:val="37E1553E"/>
    <w:rsid w:val="37ED298F"/>
    <w:rsid w:val="38127975"/>
    <w:rsid w:val="381C6576"/>
    <w:rsid w:val="38223126"/>
    <w:rsid w:val="382B67B9"/>
    <w:rsid w:val="3842422E"/>
    <w:rsid w:val="38482EC7"/>
    <w:rsid w:val="384A30E3"/>
    <w:rsid w:val="38592596"/>
    <w:rsid w:val="38C56C0D"/>
    <w:rsid w:val="38CF5396"/>
    <w:rsid w:val="38EA784B"/>
    <w:rsid w:val="38EB17DE"/>
    <w:rsid w:val="38ED16BB"/>
    <w:rsid w:val="38F1665F"/>
    <w:rsid w:val="39561614"/>
    <w:rsid w:val="39753550"/>
    <w:rsid w:val="397A4A9E"/>
    <w:rsid w:val="3995038E"/>
    <w:rsid w:val="39B53C0B"/>
    <w:rsid w:val="39C001FE"/>
    <w:rsid w:val="39DF7757"/>
    <w:rsid w:val="3A1671D7"/>
    <w:rsid w:val="3A323E2F"/>
    <w:rsid w:val="3A3D08C3"/>
    <w:rsid w:val="3A4233A8"/>
    <w:rsid w:val="3A465B2C"/>
    <w:rsid w:val="3A6B16A6"/>
    <w:rsid w:val="3A9E7870"/>
    <w:rsid w:val="3AC243BE"/>
    <w:rsid w:val="3ACA6620"/>
    <w:rsid w:val="3AD1447A"/>
    <w:rsid w:val="3AE53EB3"/>
    <w:rsid w:val="3AE67B2E"/>
    <w:rsid w:val="3AFE01B5"/>
    <w:rsid w:val="3B021FB9"/>
    <w:rsid w:val="3B1757A8"/>
    <w:rsid w:val="3B181276"/>
    <w:rsid w:val="3B190B4B"/>
    <w:rsid w:val="3B1C24C9"/>
    <w:rsid w:val="3B1C6B1A"/>
    <w:rsid w:val="3B227EA4"/>
    <w:rsid w:val="3B411BCF"/>
    <w:rsid w:val="3B6B0FBE"/>
    <w:rsid w:val="3B716BD9"/>
    <w:rsid w:val="3BDD7DCA"/>
    <w:rsid w:val="3BE42E79"/>
    <w:rsid w:val="3BE467DE"/>
    <w:rsid w:val="3BED5BF8"/>
    <w:rsid w:val="3BEE4AD4"/>
    <w:rsid w:val="3C144F11"/>
    <w:rsid w:val="3C4340D1"/>
    <w:rsid w:val="3C8D3764"/>
    <w:rsid w:val="3CA07775"/>
    <w:rsid w:val="3CAB3BB4"/>
    <w:rsid w:val="3CAB7EC8"/>
    <w:rsid w:val="3CB03CBC"/>
    <w:rsid w:val="3CC50F87"/>
    <w:rsid w:val="3D141F11"/>
    <w:rsid w:val="3D396BCD"/>
    <w:rsid w:val="3D4F0150"/>
    <w:rsid w:val="3D8218BB"/>
    <w:rsid w:val="3D85392A"/>
    <w:rsid w:val="3DB97E1C"/>
    <w:rsid w:val="3DBD5290"/>
    <w:rsid w:val="3DD31EFC"/>
    <w:rsid w:val="3E0850E3"/>
    <w:rsid w:val="3E2103F5"/>
    <w:rsid w:val="3E277863"/>
    <w:rsid w:val="3E310FD1"/>
    <w:rsid w:val="3E52684D"/>
    <w:rsid w:val="3E5500EC"/>
    <w:rsid w:val="3E566547"/>
    <w:rsid w:val="3E67693F"/>
    <w:rsid w:val="3EA924A6"/>
    <w:rsid w:val="3EB454F2"/>
    <w:rsid w:val="3EB72B54"/>
    <w:rsid w:val="3EBD24D5"/>
    <w:rsid w:val="3ED520C7"/>
    <w:rsid w:val="3EF67B21"/>
    <w:rsid w:val="3EF90C8E"/>
    <w:rsid w:val="3F022566"/>
    <w:rsid w:val="3F312907"/>
    <w:rsid w:val="3F3423F7"/>
    <w:rsid w:val="3F346B96"/>
    <w:rsid w:val="3F397DDD"/>
    <w:rsid w:val="3F4D5267"/>
    <w:rsid w:val="3FC217B1"/>
    <w:rsid w:val="40150446"/>
    <w:rsid w:val="40194482"/>
    <w:rsid w:val="40385F17"/>
    <w:rsid w:val="405C49A0"/>
    <w:rsid w:val="40646B4E"/>
    <w:rsid w:val="407D7357"/>
    <w:rsid w:val="409E41BA"/>
    <w:rsid w:val="40B437EF"/>
    <w:rsid w:val="40C652D1"/>
    <w:rsid w:val="40C779CD"/>
    <w:rsid w:val="40E27548"/>
    <w:rsid w:val="40FD7AF4"/>
    <w:rsid w:val="40FF59C5"/>
    <w:rsid w:val="410F091D"/>
    <w:rsid w:val="411608D9"/>
    <w:rsid w:val="4140487D"/>
    <w:rsid w:val="417116E0"/>
    <w:rsid w:val="417D58F7"/>
    <w:rsid w:val="41984EBF"/>
    <w:rsid w:val="419C1911"/>
    <w:rsid w:val="41FD0D85"/>
    <w:rsid w:val="41FD11C6"/>
    <w:rsid w:val="42077C70"/>
    <w:rsid w:val="420B73DE"/>
    <w:rsid w:val="421E7BDA"/>
    <w:rsid w:val="42426BD9"/>
    <w:rsid w:val="4249184C"/>
    <w:rsid w:val="424E4E82"/>
    <w:rsid w:val="426619A7"/>
    <w:rsid w:val="42A72EE0"/>
    <w:rsid w:val="42E45EE2"/>
    <w:rsid w:val="430D7208"/>
    <w:rsid w:val="43322199"/>
    <w:rsid w:val="434A66D8"/>
    <w:rsid w:val="43DF6FFD"/>
    <w:rsid w:val="44601D8E"/>
    <w:rsid w:val="4464552C"/>
    <w:rsid w:val="446E1915"/>
    <w:rsid w:val="448B5C7D"/>
    <w:rsid w:val="449B66F4"/>
    <w:rsid w:val="44B8159F"/>
    <w:rsid w:val="44BC0A07"/>
    <w:rsid w:val="450C6498"/>
    <w:rsid w:val="452A22D2"/>
    <w:rsid w:val="456C6ACA"/>
    <w:rsid w:val="456E71EB"/>
    <w:rsid w:val="45857508"/>
    <w:rsid w:val="458A2D71"/>
    <w:rsid w:val="45961716"/>
    <w:rsid w:val="45A73923"/>
    <w:rsid w:val="45AC0CCA"/>
    <w:rsid w:val="45B70A6E"/>
    <w:rsid w:val="45C5024D"/>
    <w:rsid w:val="45C53DA9"/>
    <w:rsid w:val="45E4342C"/>
    <w:rsid w:val="45E5269D"/>
    <w:rsid w:val="45EA1F06"/>
    <w:rsid w:val="46084537"/>
    <w:rsid w:val="461D4C87"/>
    <w:rsid w:val="463827CD"/>
    <w:rsid w:val="466727DF"/>
    <w:rsid w:val="466B5997"/>
    <w:rsid w:val="467621A6"/>
    <w:rsid w:val="4685178A"/>
    <w:rsid w:val="46A42B4B"/>
    <w:rsid w:val="46AC58E1"/>
    <w:rsid w:val="46D80983"/>
    <w:rsid w:val="46E26486"/>
    <w:rsid w:val="46EF0568"/>
    <w:rsid w:val="46EF166B"/>
    <w:rsid w:val="46F85CAE"/>
    <w:rsid w:val="47022DDB"/>
    <w:rsid w:val="47412FF1"/>
    <w:rsid w:val="474C0DE9"/>
    <w:rsid w:val="478554F5"/>
    <w:rsid w:val="47C242E7"/>
    <w:rsid w:val="48210598"/>
    <w:rsid w:val="48227DB5"/>
    <w:rsid w:val="48420616"/>
    <w:rsid w:val="486904B4"/>
    <w:rsid w:val="48B00809"/>
    <w:rsid w:val="48DF33D4"/>
    <w:rsid w:val="492244A7"/>
    <w:rsid w:val="492B2C78"/>
    <w:rsid w:val="49385C0C"/>
    <w:rsid w:val="4946072D"/>
    <w:rsid w:val="498F4DFA"/>
    <w:rsid w:val="499A6E0E"/>
    <w:rsid w:val="49B52386"/>
    <w:rsid w:val="49CF169A"/>
    <w:rsid w:val="49DA4360"/>
    <w:rsid w:val="49DF11B1"/>
    <w:rsid w:val="49EF362B"/>
    <w:rsid w:val="4A392D3C"/>
    <w:rsid w:val="4A3D2AA8"/>
    <w:rsid w:val="4A69564B"/>
    <w:rsid w:val="4A880579"/>
    <w:rsid w:val="4A8A3813"/>
    <w:rsid w:val="4A9608D4"/>
    <w:rsid w:val="4AAE3802"/>
    <w:rsid w:val="4AB33F54"/>
    <w:rsid w:val="4AD122BB"/>
    <w:rsid w:val="4AD725DB"/>
    <w:rsid w:val="4AFF3837"/>
    <w:rsid w:val="4B3A6FE7"/>
    <w:rsid w:val="4B4709AD"/>
    <w:rsid w:val="4B59596D"/>
    <w:rsid w:val="4B7A36DD"/>
    <w:rsid w:val="4B982068"/>
    <w:rsid w:val="4BA95F1B"/>
    <w:rsid w:val="4BAE1FEF"/>
    <w:rsid w:val="4BAE3662"/>
    <w:rsid w:val="4BB70DC2"/>
    <w:rsid w:val="4BC27DE7"/>
    <w:rsid w:val="4C2061DD"/>
    <w:rsid w:val="4C2C4B82"/>
    <w:rsid w:val="4C3D5EA4"/>
    <w:rsid w:val="4C6A1DD2"/>
    <w:rsid w:val="4C7874DB"/>
    <w:rsid w:val="4CC26622"/>
    <w:rsid w:val="4CEE1E37"/>
    <w:rsid w:val="4CFD24B7"/>
    <w:rsid w:val="4D1F65EC"/>
    <w:rsid w:val="4D6F5BF4"/>
    <w:rsid w:val="4D7C06A1"/>
    <w:rsid w:val="4DA42E3E"/>
    <w:rsid w:val="4DB84D64"/>
    <w:rsid w:val="4DD74C04"/>
    <w:rsid w:val="4DDC25D7"/>
    <w:rsid w:val="4E1B7893"/>
    <w:rsid w:val="4E2875CB"/>
    <w:rsid w:val="4E403204"/>
    <w:rsid w:val="4E5A52AA"/>
    <w:rsid w:val="4E7905E9"/>
    <w:rsid w:val="4E873320"/>
    <w:rsid w:val="4E8E39B6"/>
    <w:rsid w:val="4EB0740A"/>
    <w:rsid w:val="4EBD4210"/>
    <w:rsid w:val="4EC11450"/>
    <w:rsid w:val="4EED611E"/>
    <w:rsid w:val="4EFB43FE"/>
    <w:rsid w:val="4F377967"/>
    <w:rsid w:val="4F415D4D"/>
    <w:rsid w:val="4F504176"/>
    <w:rsid w:val="4FA233AD"/>
    <w:rsid w:val="4FBE28EB"/>
    <w:rsid w:val="4FE97FA8"/>
    <w:rsid w:val="4FF4392A"/>
    <w:rsid w:val="50286274"/>
    <w:rsid w:val="50297A2D"/>
    <w:rsid w:val="502D710B"/>
    <w:rsid w:val="506557EA"/>
    <w:rsid w:val="506D5769"/>
    <w:rsid w:val="507B336D"/>
    <w:rsid w:val="507D01E1"/>
    <w:rsid w:val="50B67110"/>
    <w:rsid w:val="50E669B4"/>
    <w:rsid w:val="50E7376D"/>
    <w:rsid w:val="50EE11C2"/>
    <w:rsid w:val="50F75B3C"/>
    <w:rsid w:val="512A6795"/>
    <w:rsid w:val="514E52BF"/>
    <w:rsid w:val="517D19DC"/>
    <w:rsid w:val="517F0A7D"/>
    <w:rsid w:val="51864D34"/>
    <w:rsid w:val="519A433C"/>
    <w:rsid w:val="51B24883"/>
    <w:rsid w:val="51E44941"/>
    <w:rsid w:val="51E82791"/>
    <w:rsid w:val="51EB103B"/>
    <w:rsid w:val="524A769E"/>
    <w:rsid w:val="528079D5"/>
    <w:rsid w:val="5283225B"/>
    <w:rsid w:val="528A1057"/>
    <w:rsid w:val="528E1630"/>
    <w:rsid w:val="52A15B9E"/>
    <w:rsid w:val="52BB6C5F"/>
    <w:rsid w:val="52E31D12"/>
    <w:rsid w:val="52ED493F"/>
    <w:rsid w:val="52FE6B4C"/>
    <w:rsid w:val="533478EB"/>
    <w:rsid w:val="53470203"/>
    <w:rsid w:val="53542C10"/>
    <w:rsid w:val="535D1AC5"/>
    <w:rsid w:val="538F2841"/>
    <w:rsid w:val="53E775E0"/>
    <w:rsid w:val="54123CCF"/>
    <w:rsid w:val="541505F1"/>
    <w:rsid w:val="542B307C"/>
    <w:rsid w:val="54324CFF"/>
    <w:rsid w:val="54AB23FC"/>
    <w:rsid w:val="54BE47E5"/>
    <w:rsid w:val="54E90275"/>
    <w:rsid w:val="54F226E1"/>
    <w:rsid w:val="54F4153F"/>
    <w:rsid w:val="54F627E5"/>
    <w:rsid w:val="55265EBA"/>
    <w:rsid w:val="55640D87"/>
    <w:rsid w:val="55766E6E"/>
    <w:rsid w:val="55C0458D"/>
    <w:rsid w:val="55FB6F46"/>
    <w:rsid w:val="56002C87"/>
    <w:rsid w:val="560E0DEC"/>
    <w:rsid w:val="566B4549"/>
    <w:rsid w:val="569161EE"/>
    <w:rsid w:val="56A31E7F"/>
    <w:rsid w:val="56BA6B27"/>
    <w:rsid w:val="56E01CED"/>
    <w:rsid w:val="56E43FBE"/>
    <w:rsid w:val="57030729"/>
    <w:rsid w:val="57032983"/>
    <w:rsid w:val="572C4040"/>
    <w:rsid w:val="57643C4D"/>
    <w:rsid w:val="576F72C0"/>
    <w:rsid w:val="578C2978"/>
    <w:rsid w:val="57C3660D"/>
    <w:rsid w:val="57C70C42"/>
    <w:rsid w:val="57D559C0"/>
    <w:rsid w:val="57EC78BB"/>
    <w:rsid w:val="581E1A31"/>
    <w:rsid w:val="58353010"/>
    <w:rsid w:val="58354DBE"/>
    <w:rsid w:val="583E1A0D"/>
    <w:rsid w:val="584E5E80"/>
    <w:rsid w:val="58501BF8"/>
    <w:rsid w:val="5853527C"/>
    <w:rsid w:val="586B4F13"/>
    <w:rsid w:val="58B742AB"/>
    <w:rsid w:val="58C8092A"/>
    <w:rsid w:val="58E25658"/>
    <w:rsid w:val="59012EF2"/>
    <w:rsid w:val="59154BEF"/>
    <w:rsid w:val="597B3CE2"/>
    <w:rsid w:val="598638CD"/>
    <w:rsid w:val="59AD5DEC"/>
    <w:rsid w:val="59D0302F"/>
    <w:rsid w:val="59F111B9"/>
    <w:rsid w:val="5A225816"/>
    <w:rsid w:val="5A80733F"/>
    <w:rsid w:val="5AA47FD9"/>
    <w:rsid w:val="5AAE689E"/>
    <w:rsid w:val="5AEB0873"/>
    <w:rsid w:val="5AF745AD"/>
    <w:rsid w:val="5AFF3461"/>
    <w:rsid w:val="5B0A0E97"/>
    <w:rsid w:val="5B0E18F6"/>
    <w:rsid w:val="5B337B53"/>
    <w:rsid w:val="5B361C89"/>
    <w:rsid w:val="5B3A26EB"/>
    <w:rsid w:val="5B487EEC"/>
    <w:rsid w:val="5B5A7BCC"/>
    <w:rsid w:val="5B690C52"/>
    <w:rsid w:val="5B703AB4"/>
    <w:rsid w:val="5B7D1826"/>
    <w:rsid w:val="5B7E411C"/>
    <w:rsid w:val="5B896EC2"/>
    <w:rsid w:val="5BC14BBB"/>
    <w:rsid w:val="5BD448EE"/>
    <w:rsid w:val="5BDC0494"/>
    <w:rsid w:val="5C021F74"/>
    <w:rsid w:val="5C090A3C"/>
    <w:rsid w:val="5C381E75"/>
    <w:rsid w:val="5C3A276B"/>
    <w:rsid w:val="5C676625"/>
    <w:rsid w:val="5C6E089F"/>
    <w:rsid w:val="5C7B745F"/>
    <w:rsid w:val="5CB43202"/>
    <w:rsid w:val="5CB46981"/>
    <w:rsid w:val="5CCB7A9F"/>
    <w:rsid w:val="5CDD5C95"/>
    <w:rsid w:val="5D144A4D"/>
    <w:rsid w:val="5D431D2B"/>
    <w:rsid w:val="5D5C3338"/>
    <w:rsid w:val="5D5F232D"/>
    <w:rsid w:val="5D6D5B77"/>
    <w:rsid w:val="5D706898"/>
    <w:rsid w:val="5D843685"/>
    <w:rsid w:val="5DBC1ADE"/>
    <w:rsid w:val="5DD010E5"/>
    <w:rsid w:val="5DF44E4E"/>
    <w:rsid w:val="5DFC50BD"/>
    <w:rsid w:val="5E0331DD"/>
    <w:rsid w:val="5E225DE5"/>
    <w:rsid w:val="5E551F08"/>
    <w:rsid w:val="5E7E496F"/>
    <w:rsid w:val="5E802D7A"/>
    <w:rsid w:val="5ED71597"/>
    <w:rsid w:val="5EDD255B"/>
    <w:rsid w:val="5F10249E"/>
    <w:rsid w:val="5F2E2567"/>
    <w:rsid w:val="5F3F6522"/>
    <w:rsid w:val="5F6276A2"/>
    <w:rsid w:val="5FAD0AE8"/>
    <w:rsid w:val="5FC1162D"/>
    <w:rsid w:val="5FCA04E2"/>
    <w:rsid w:val="5FD70E51"/>
    <w:rsid w:val="600725DB"/>
    <w:rsid w:val="601722D8"/>
    <w:rsid w:val="602B3D47"/>
    <w:rsid w:val="602B5CD2"/>
    <w:rsid w:val="608D150F"/>
    <w:rsid w:val="60910979"/>
    <w:rsid w:val="60926D7A"/>
    <w:rsid w:val="609953F8"/>
    <w:rsid w:val="60B1089F"/>
    <w:rsid w:val="60B151FE"/>
    <w:rsid w:val="60C70EC5"/>
    <w:rsid w:val="60C90799"/>
    <w:rsid w:val="60F872D1"/>
    <w:rsid w:val="6138591F"/>
    <w:rsid w:val="61587D6F"/>
    <w:rsid w:val="615F4C5A"/>
    <w:rsid w:val="617504B0"/>
    <w:rsid w:val="618E7CC3"/>
    <w:rsid w:val="61BC3E5A"/>
    <w:rsid w:val="61BF7DEE"/>
    <w:rsid w:val="61CC5ADD"/>
    <w:rsid w:val="61F736C3"/>
    <w:rsid w:val="620D62F6"/>
    <w:rsid w:val="622B7232"/>
    <w:rsid w:val="624327CD"/>
    <w:rsid w:val="62687623"/>
    <w:rsid w:val="627E7362"/>
    <w:rsid w:val="62A10326"/>
    <w:rsid w:val="62BA6BAD"/>
    <w:rsid w:val="62C11390"/>
    <w:rsid w:val="62EE62D6"/>
    <w:rsid w:val="63355ED7"/>
    <w:rsid w:val="633C7399"/>
    <w:rsid w:val="635051A2"/>
    <w:rsid w:val="63517BD9"/>
    <w:rsid w:val="636A1C3E"/>
    <w:rsid w:val="637F297B"/>
    <w:rsid w:val="63FB7064"/>
    <w:rsid w:val="6424218B"/>
    <w:rsid w:val="64397A64"/>
    <w:rsid w:val="64746C6E"/>
    <w:rsid w:val="647B3DD2"/>
    <w:rsid w:val="64832B79"/>
    <w:rsid w:val="64C01EB3"/>
    <w:rsid w:val="64DD657A"/>
    <w:rsid w:val="64DF3448"/>
    <w:rsid w:val="64E657BF"/>
    <w:rsid w:val="650552AD"/>
    <w:rsid w:val="65190257"/>
    <w:rsid w:val="65261E3F"/>
    <w:rsid w:val="655F45B3"/>
    <w:rsid w:val="65711400"/>
    <w:rsid w:val="657F444F"/>
    <w:rsid w:val="657F58CB"/>
    <w:rsid w:val="658402DE"/>
    <w:rsid w:val="658C6239"/>
    <w:rsid w:val="65A11CE5"/>
    <w:rsid w:val="65A157A3"/>
    <w:rsid w:val="65B247A3"/>
    <w:rsid w:val="65B65064"/>
    <w:rsid w:val="66083B12"/>
    <w:rsid w:val="661351CC"/>
    <w:rsid w:val="66174670"/>
    <w:rsid w:val="66280075"/>
    <w:rsid w:val="662E5667"/>
    <w:rsid w:val="66311553"/>
    <w:rsid w:val="66541127"/>
    <w:rsid w:val="666A657B"/>
    <w:rsid w:val="667429EC"/>
    <w:rsid w:val="667512A3"/>
    <w:rsid w:val="66805931"/>
    <w:rsid w:val="66BE68DF"/>
    <w:rsid w:val="66CB1A7C"/>
    <w:rsid w:val="66EC3434"/>
    <w:rsid w:val="6742122B"/>
    <w:rsid w:val="677411B6"/>
    <w:rsid w:val="67931B01"/>
    <w:rsid w:val="67B63E1E"/>
    <w:rsid w:val="67DA32B8"/>
    <w:rsid w:val="67EE5F2D"/>
    <w:rsid w:val="683010FE"/>
    <w:rsid w:val="68490412"/>
    <w:rsid w:val="686B0388"/>
    <w:rsid w:val="6870672A"/>
    <w:rsid w:val="68790CF7"/>
    <w:rsid w:val="68CA01FA"/>
    <w:rsid w:val="68CA3612"/>
    <w:rsid w:val="690D2406"/>
    <w:rsid w:val="69576272"/>
    <w:rsid w:val="696E2E35"/>
    <w:rsid w:val="696F5C56"/>
    <w:rsid w:val="698F1A9F"/>
    <w:rsid w:val="69B55D5F"/>
    <w:rsid w:val="69B63885"/>
    <w:rsid w:val="6A463D96"/>
    <w:rsid w:val="6A6C0A0D"/>
    <w:rsid w:val="6A9E07E0"/>
    <w:rsid w:val="6AC87D14"/>
    <w:rsid w:val="6AE81424"/>
    <w:rsid w:val="6AEB5505"/>
    <w:rsid w:val="6B167FAF"/>
    <w:rsid w:val="6B494919"/>
    <w:rsid w:val="6B516F7A"/>
    <w:rsid w:val="6B563571"/>
    <w:rsid w:val="6B902259"/>
    <w:rsid w:val="6BA75B7B"/>
    <w:rsid w:val="6BAF4A30"/>
    <w:rsid w:val="6BB72993"/>
    <w:rsid w:val="6BBA2569"/>
    <w:rsid w:val="6BBB5183"/>
    <w:rsid w:val="6BC54253"/>
    <w:rsid w:val="6BD15487"/>
    <w:rsid w:val="6BD93ECE"/>
    <w:rsid w:val="6C3241B5"/>
    <w:rsid w:val="6C861D70"/>
    <w:rsid w:val="6C877693"/>
    <w:rsid w:val="6C951CE7"/>
    <w:rsid w:val="6CA125CA"/>
    <w:rsid w:val="6CA87DFD"/>
    <w:rsid w:val="6CD969E1"/>
    <w:rsid w:val="6D45284C"/>
    <w:rsid w:val="6D561A4E"/>
    <w:rsid w:val="6D6C0E2A"/>
    <w:rsid w:val="6D8968A8"/>
    <w:rsid w:val="6DC851EB"/>
    <w:rsid w:val="6DCF1054"/>
    <w:rsid w:val="6DD14EA6"/>
    <w:rsid w:val="6E1D1408"/>
    <w:rsid w:val="6E2E35F5"/>
    <w:rsid w:val="6E5F2BD2"/>
    <w:rsid w:val="6E7116EB"/>
    <w:rsid w:val="6E7370BB"/>
    <w:rsid w:val="6E82467D"/>
    <w:rsid w:val="6E8B7C4C"/>
    <w:rsid w:val="6EDE1850"/>
    <w:rsid w:val="6EE20F62"/>
    <w:rsid w:val="6EEB1F42"/>
    <w:rsid w:val="6EFF182A"/>
    <w:rsid w:val="6F0765F9"/>
    <w:rsid w:val="6F1806EE"/>
    <w:rsid w:val="6F241291"/>
    <w:rsid w:val="6F2C7EF4"/>
    <w:rsid w:val="6F573414"/>
    <w:rsid w:val="6F7476CB"/>
    <w:rsid w:val="6F935F02"/>
    <w:rsid w:val="6F9E4BF0"/>
    <w:rsid w:val="6FAB5E6E"/>
    <w:rsid w:val="6FC13799"/>
    <w:rsid w:val="6FC211D5"/>
    <w:rsid w:val="6FEB4078"/>
    <w:rsid w:val="700C4CF9"/>
    <w:rsid w:val="701C1012"/>
    <w:rsid w:val="701F65DF"/>
    <w:rsid w:val="70291255"/>
    <w:rsid w:val="70313338"/>
    <w:rsid w:val="706B4913"/>
    <w:rsid w:val="707A63A3"/>
    <w:rsid w:val="708B20DA"/>
    <w:rsid w:val="708E730A"/>
    <w:rsid w:val="71020071"/>
    <w:rsid w:val="715E235A"/>
    <w:rsid w:val="717D7F38"/>
    <w:rsid w:val="719A6123"/>
    <w:rsid w:val="719C15B2"/>
    <w:rsid w:val="71CC31D7"/>
    <w:rsid w:val="71D60F68"/>
    <w:rsid w:val="71E56488"/>
    <w:rsid w:val="71EF202A"/>
    <w:rsid w:val="71F17B50"/>
    <w:rsid w:val="72093B99"/>
    <w:rsid w:val="72275320"/>
    <w:rsid w:val="72553FF7"/>
    <w:rsid w:val="726B7E48"/>
    <w:rsid w:val="727367B7"/>
    <w:rsid w:val="72844491"/>
    <w:rsid w:val="7285473C"/>
    <w:rsid w:val="72A5093A"/>
    <w:rsid w:val="72D74FE9"/>
    <w:rsid w:val="72FC11F8"/>
    <w:rsid w:val="731E79CA"/>
    <w:rsid w:val="732523A0"/>
    <w:rsid w:val="73366557"/>
    <w:rsid w:val="733A0A1E"/>
    <w:rsid w:val="73497518"/>
    <w:rsid w:val="73AD7AA7"/>
    <w:rsid w:val="73F14A9B"/>
    <w:rsid w:val="74000C22"/>
    <w:rsid w:val="74221AA6"/>
    <w:rsid w:val="7434641A"/>
    <w:rsid w:val="74363D8B"/>
    <w:rsid w:val="743E4BA3"/>
    <w:rsid w:val="74503B27"/>
    <w:rsid w:val="74890514"/>
    <w:rsid w:val="74BA691F"/>
    <w:rsid w:val="74C40D5C"/>
    <w:rsid w:val="74D4691A"/>
    <w:rsid w:val="74DC34A0"/>
    <w:rsid w:val="74DE633D"/>
    <w:rsid w:val="74E345B9"/>
    <w:rsid w:val="74F14672"/>
    <w:rsid w:val="7514608B"/>
    <w:rsid w:val="752244C4"/>
    <w:rsid w:val="755C1784"/>
    <w:rsid w:val="755D1CA6"/>
    <w:rsid w:val="759544F0"/>
    <w:rsid w:val="75A44ED9"/>
    <w:rsid w:val="75A860FD"/>
    <w:rsid w:val="75B80FD7"/>
    <w:rsid w:val="75D129ED"/>
    <w:rsid w:val="75E94ADA"/>
    <w:rsid w:val="76126931"/>
    <w:rsid w:val="76764AC8"/>
    <w:rsid w:val="76BB24DB"/>
    <w:rsid w:val="76D54E45"/>
    <w:rsid w:val="76FF2D0F"/>
    <w:rsid w:val="76FF628D"/>
    <w:rsid w:val="770519A8"/>
    <w:rsid w:val="77072CA8"/>
    <w:rsid w:val="771F6F0D"/>
    <w:rsid w:val="7720075F"/>
    <w:rsid w:val="77272808"/>
    <w:rsid w:val="772E0EFE"/>
    <w:rsid w:val="77491F14"/>
    <w:rsid w:val="77576C22"/>
    <w:rsid w:val="77642B72"/>
    <w:rsid w:val="776C2B5E"/>
    <w:rsid w:val="779A0163"/>
    <w:rsid w:val="77A13EEA"/>
    <w:rsid w:val="77C37646"/>
    <w:rsid w:val="77CF0314"/>
    <w:rsid w:val="77EE0C07"/>
    <w:rsid w:val="781E71C5"/>
    <w:rsid w:val="782318E1"/>
    <w:rsid w:val="783C589D"/>
    <w:rsid w:val="784F737E"/>
    <w:rsid w:val="788F00C3"/>
    <w:rsid w:val="78947487"/>
    <w:rsid w:val="78AC3528"/>
    <w:rsid w:val="78EA16B0"/>
    <w:rsid w:val="791E5088"/>
    <w:rsid w:val="791F2C21"/>
    <w:rsid w:val="7947274B"/>
    <w:rsid w:val="79766F46"/>
    <w:rsid w:val="79B3393D"/>
    <w:rsid w:val="79B43C36"/>
    <w:rsid w:val="79D55FA9"/>
    <w:rsid w:val="7A0558B2"/>
    <w:rsid w:val="7A0C6902"/>
    <w:rsid w:val="7A19363D"/>
    <w:rsid w:val="7A230AC3"/>
    <w:rsid w:val="7A5E226B"/>
    <w:rsid w:val="7ACB7FE5"/>
    <w:rsid w:val="7AEF2DA3"/>
    <w:rsid w:val="7B0E7FEB"/>
    <w:rsid w:val="7B2303EF"/>
    <w:rsid w:val="7B3975D3"/>
    <w:rsid w:val="7B492D97"/>
    <w:rsid w:val="7B687274"/>
    <w:rsid w:val="7B8852C3"/>
    <w:rsid w:val="7BA56C1D"/>
    <w:rsid w:val="7BBC00B5"/>
    <w:rsid w:val="7BD67D5C"/>
    <w:rsid w:val="7BD83B2F"/>
    <w:rsid w:val="7BF81ADB"/>
    <w:rsid w:val="7C46665A"/>
    <w:rsid w:val="7C716680"/>
    <w:rsid w:val="7C7236E7"/>
    <w:rsid w:val="7CB77BE8"/>
    <w:rsid w:val="7CDE33C7"/>
    <w:rsid w:val="7CF835A6"/>
    <w:rsid w:val="7CFA7F50"/>
    <w:rsid w:val="7D0034C4"/>
    <w:rsid w:val="7D032E2D"/>
    <w:rsid w:val="7D225061"/>
    <w:rsid w:val="7D2D630C"/>
    <w:rsid w:val="7D4B3516"/>
    <w:rsid w:val="7D73724F"/>
    <w:rsid w:val="7D777879"/>
    <w:rsid w:val="7D7801C5"/>
    <w:rsid w:val="7D931874"/>
    <w:rsid w:val="7D960F14"/>
    <w:rsid w:val="7D9C1B46"/>
    <w:rsid w:val="7DB563EE"/>
    <w:rsid w:val="7DD24CD9"/>
    <w:rsid w:val="7E3842CA"/>
    <w:rsid w:val="7E751B09"/>
    <w:rsid w:val="7E9C7095"/>
    <w:rsid w:val="7EAB552B"/>
    <w:rsid w:val="7EB02B41"/>
    <w:rsid w:val="7EE07CE4"/>
    <w:rsid w:val="7EF83ADE"/>
    <w:rsid w:val="7F077B6C"/>
    <w:rsid w:val="7F144E7E"/>
    <w:rsid w:val="7F1F7545"/>
    <w:rsid w:val="7F5D4081"/>
    <w:rsid w:val="7F6A2CF0"/>
    <w:rsid w:val="7F78540D"/>
    <w:rsid w:val="7F9935D5"/>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20" w:lineRule="exact"/>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unhideWhenUsed/>
    <w:qFormat/>
    <w:uiPriority w:val="0"/>
    <w:pPr>
      <w:keepNext/>
      <w:keepLines/>
      <w:spacing w:line="360" w:lineRule="auto"/>
      <w:outlineLvl w:val="1"/>
    </w:pPr>
    <w:rPr>
      <w:rFonts w:ascii="Arial" w:hAnsi="Arial" w:eastAsia="楷体_GB2312"/>
      <w:b/>
      <w:sz w:val="28"/>
    </w:rPr>
  </w:style>
  <w:style w:type="paragraph" w:styleId="4">
    <w:name w:val="heading 3"/>
    <w:basedOn w:val="1"/>
    <w:next w:val="1"/>
    <w:qFormat/>
    <w:uiPriority w:val="0"/>
    <w:pPr>
      <w:snapToGrid w:val="0"/>
      <w:spacing w:before="50" w:beforeLines="50" w:after="50" w:afterLines="50" w:line="360" w:lineRule="auto"/>
      <w:ind w:firstLine="0" w:firstLineChars="0"/>
      <w:jc w:val="left"/>
      <w:outlineLvl w:val="2"/>
    </w:pPr>
    <w:rPr>
      <w:b/>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List 3"/>
    <w:basedOn w:val="1"/>
    <w:next w:val="1"/>
    <w:autoRedefine/>
    <w:qFormat/>
    <w:uiPriority w:val="0"/>
    <w:pPr>
      <w:ind w:left="100" w:leftChars="400" w:hanging="200" w:hangingChars="200"/>
    </w:pPr>
  </w:style>
  <w:style w:type="paragraph" w:styleId="6">
    <w:name w:val="Normal Indent"/>
    <w:basedOn w:val="1"/>
    <w:autoRedefine/>
    <w:qFormat/>
    <w:uiPriority w:val="0"/>
    <w:pPr>
      <w:ind w:firstLine="420"/>
    </w:pPr>
    <w:rPr>
      <w:szCs w:val="20"/>
    </w:rPr>
  </w:style>
  <w:style w:type="paragraph" w:styleId="7">
    <w:name w:val="Document Map"/>
    <w:basedOn w:val="1"/>
    <w:link w:val="38"/>
    <w:autoRedefine/>
    <w:qFormat/>
    <w:uiPriority w:val="0"/>
    <w:rPr>
      <w:rFonts w:ascii="宋体"/>
      <w:sz w:val="18"/>
      <w:szCs w:val="18"/>
    </w:rPr>
  </w:style>
  <w:style w:type="paragraph" w:styleId="8">
    <w:name w:val="annotation text"/>
    <w:basedOn w:val="1"/>
    <w:link w:val="33"/>
    <w:autoRedefine/>
    <w:qFormat/>
    <w:uiPriority w:val="0"/>
    <w:pPr>
      <w:jc w:val="left"/>
    </w:pPr>
  </w:style>
  <w:style w:type="paragraph" w:styleId="9">
    <w:name w:val="Body Text"/>
    <w:basedOn w:val="1"/>
    <w:autoRedefine/>
    <w:qFormat/>
    <w:uiPriority w:val="0"/>
    <w:rPr>
      <w:rFonts w:ascii="宋体" w:hAnsi="宋体" w:cs="宋体"/>
    </w:rPr>
  </w:style>
  <w:style w:type="paragraph" w:styleId="10">
    <w:name w:val="Body Text Indent"/>
    <w:basedOn w:val="1"/>
    <w:next w:val="1"/>
    <w:autoRedefine/>
    <w:qFormat/>
    <w:uiPriority w:val="0"/>
    <w:pPr>
      <w:spacing w:after="120"/>
      <w:ind w:left="420" w:leftChars="200"/>
    </w:pPr>
  </w:style>
  <w:style w:type="paragraph" w:styleId="11">
    <w:name w:val="Plain Text"/>
    <w:basedOn w:val="1"/>
    <w:qFormat/>
    <w:uiPriority w:val="0"/>
    <w:rPr>
      <w:rFonts w:ascii="宋体" w:hAnsi="Courier New"/>
    </w:rPr>
  </w:style>
  <w:style w:type="paragraph" w:styleId="12">
    <w:name w:val="List Bullet 5"/>
    <w:basedOn w:val="1"/>
    <w:autoRedefine/>
    <w:qFormat/>
    <w:uiPriority w:val="0"/>
    <w:pPr>
      <w:numPr>
        <w:ilvl w:val="0"/>
        <w:numId w:val="1"/>
      </w:numPr>
    </w:pPr>
  </w:style>
  <w:style w:type="paragraph" w:styleId="13">
    <w:name w:val="Balloon Text"/>
    <w:basedOn w:val="1"/>
    <w:link w:val="35"/>
    <w:autoRedefine/>
    <w:qFormat/>
    <w:uiPriority w:val="0"/>
    <w:pPr>
      <w:spacing w:line="240" w:lineRule="auto"/>
    </w:pPr>
    <w:rPr>
      <w:sz w:val="18"/>
      <w:szCs w:val="18"/>
    </w:rPr>
  </w:style>
  <w:style w:type="paragraph" w:styleId="14">
    <w:name w:val="footer"/>
    <w:basedOn w:val="1"/>
    <w:autoRedefine/>
    <w:qFormat/>
    <w:uiPriority w:val="99"/>
    <w:pPr>
      <w:tabs>
        <w:tab w:val="center" w:pos="4153"/>
        <w:tab w:val="right" w:pos="8306"/>
      </w:tabs>
      <w:snapToGrid w:val="0"/>
      <w:jc w:val="left"/>
    </w:pPr>
    <w:rPr>
      <w:kern w:val="0"/>
      <w:sz w:val="18"/>
      <w:szCs w:val="20"/>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able of figures"/>
    <w:basedOn w:val="1"/>
    <w:next w:val="1"/>
    <w:autoRedefine/>
    <w:unhideWhenUsed/>
    <w:qFormat/>
    <w:uiPriority w:val="99"/>
  </w:style>
  <w:style w:type="paragraph" w:styleId="17">
    <w:name w:val="Normal (Web)"/>
    <w:basedOn w:val="1"/>
    <w:autoRedefine/>
    <w:qFormat/>
    <w:uiPriority w:val="0"/>
    <w:pPr>
      <w:widowControl/>
      <w:spacing w:before="100" w:beforeAutospacing="1" w:after="100" w:afterAutospacing="1"/>
      <w:jc w:val="left"/>
    </w:pPr>
    <w:rPr>
      <w:rFonts w:ascii="宋体" w:hAnsi="宋体"/>
      <w:kern w:val="0"/>
      <w:szCs w:val="20"/>
    </w:rPr>
  </w:style>
  <w:style w:type="paragraph" w:styleId="18">
    <w:name w:val="annotation subject"/>
    <w:basedOn w:val="8"/>
    <w:next w:val="8"/>
    <w:link w:val="34"/>
    <w:autoRedefine/>
    <w:qFormat/>
    <w:uiPriority w:val="0"/>
    <w:rPr>
      <w:b/>
      <w:bCs/>
    </w:rPr>
  </w:style>
  <w:style w:type="paragraph" w:styleId="19">
    <w:name w:val="Body Text First Indent"/>
    <w:basedOn w:val="9"/>
    <w:next w:val="16"/>
    <w:autoRedefine/>
    <w:qFormat/>
    <w:uiPriority w:val="0"/>
    <w:pPr>
      <w:ind w:firstLine="420" w:firstLineChars="100"/>
    </w:pPr>
    <w:rPr>
      <w:rFonts w:eastAsia="Times New Roman"/>
      <w:szCs w:val="20"/>
    </w:rPr>
  </w:style>
  <w:style w:type="paragraph" w:styleId="20">
    <w:name w:val="Body Text First Indent 2"/>
    <w:basedOn w:val="1"/>
    <w:next w:val="1"/>
    <w:autoRedefine/>
    <w:qFormat/>
    <w:uiPriority w:val="99"/>
    <w:pPr>
      <w:ind w:firstLine="420"/>
    </w:pPr>
  </w:style>
  <w:style w:type="table" w:styleId="22">
    <w:name w:val="Table Grid"/>
    <w:basedOn w:val="21"/>
    <w:autoRedefine/>
    <w:qFormat/>
    <w:uiPriority w:val="9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4">
    <w:name w:val="Strong"/>
    <w:basedOn w:val="23"/>
    <w:autoRedefine/>
    <w:qFormat/>
    <w:uiPriority w:val="0"/>
    <w:rPr>
      <w:b/>
    </w:rPr>
  </w:style>
  <w:style w:type="character" w:styleId="25">
    <w:name w:val="page number"/>
    <w:basedOn w:val="23"/>
    <w:autoRedefine/>
    <w:qFormat/>
    <w:uiPriority w:val="0"/>
  </w:style>
  <w:style w:type="character" w:styleId="26">
    <w:name w:val="Emphasis"/>
    <w:basedOn w:val="23"/>
    <w:autoRedefine/>
    <w:qFormat/>
    <w:uiPriority w:val="0"/>
    <w:rPr>
      <w:i/>
    </w:rPr>
  </w:style>
  <w:style w:type="character" w:styleId="27">
    <w:name w:val="Hyperlink"/>
    <w:basedOn w:val="23"/>
    <w:autoRedefine/>
    <w:unhideWhenUsed/>
    <w:qFormat/>
    <w:uiPriority w:val="99"/>
    <w:rPr>
      <w:color w:val="0000FF"/>
      <w:u w:val="single"/>
    </w:rPr>
  </w:style>
  <w:style w:type="character" w:styleId="28">
    <w:name w:val="annotation reference"/>
    <w:basedOn w:val="23"/>
    <w:autoRedefine/>
    <w:qFormat/>
    <w:uiPriority w:val="0"/>
    <w:rPr>
      <w:sz w:val="21"/>
      <w:szCs w:val="21"/>
    </w:rPr>
  </w:style>
  <w:style w:type="paragraph" w:customStyle="1" w:styleId="29">
    <w:name w:val="Default"/>
    <w:basedOn w:val="30"/>
    <w:autoRedefine/>
    <w:qFormat/>
    <w:uiPriority w:val="0"/>
    <w:pPr>
      <w:autoSpaceDE w:val="0"/>
      <w:autoSpaceDN w:val="0"/>
      <w:adjustRightInd w:val="0"/>
    </w:pPr>
    <w:rPr>
      <w:rFonts w:ascii="宋体" w:hAnsi="Calibri" w:cs="宋体"/>
      <w:sz w:val="24"/>
    </w:rPr>
  </w:style>
  <w:style w:type="paragraph" w:customStyle="1" w:styleId="30">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1">
    <w:name w:val="纯文本1"/>
    <w:basedOn w:val="1"/>
    <w:autoRedefine/>
    <w:qFormat/>
    <w:uiPriority w:val="0"/>
    <w:pPr>
      <w:adjustRightInd w:val="0"/>
    </w:pPr>
    <w:rPr>
      <w:rFonts w:ascii="宋体" w:hAnsi="Courier New"/>
      <w:szCs w:val="20"/>
    </w:rPr>
  </w:style>
  <w:style w:type="paragraph" w:customStyle="1" w:styleId="32">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33">
    <w:name w:val="批注文字 Char"/>
    <w:basedOn w:val="23"/>
    <w:link w:val="8"/>
    <w:autoRedefine/>
    <w:qFormat/>
    <w:uiPriority w:val="0"/>
    <w:rPr>
      <w:kern w:val="2"/>
      <w:sz w:val="24"/>
      <w:szCs w:val="24"/>
    </w:rPr>
  </w:style>
  <w:style w:type="character" w:customStyle="1" w:styleId="34">
    <w:name w:val="批注主题 Char"/>
    <w:basedOn w:val="33"/>
    <w:link w:val="18"/>
    <w:autoRedefine/>
    <w:qFormat/>
    <w:uiPriority w:val="0"/>
    <w:rPr>
      <w:b/>
      <w:bCs/>
      <w:kern w:val="2"/>
      <w:sz w:val="24"/>
      <w:szCs w:val="24"/>
    </w:rPr>
  </w:style>
  <w:style w:type="character" w:customStyle="1" w:styleId="35">
    <w:name w:val="批注框文本 Char"/>
    <w:basedOn w:val="23"/>
    <w:link w:val="13"/>
    <w:autoRedefine/>
    <w:qFormat/>
    <w:uiPriority w:val="0"/>
    <w:rPr>
      <w:kern w:val="2"/>
      <w:sz w:val="18"/>
      <w:szCs w:val="18"/>
    </w:rPr>
  </w:style>
  <w:style w:type="paragraph" w:customStyle="1" w:styleId="36">
    <w:name w:val="修订1"/>
    <w:autoRedefine/>
    <w:hidden/>
    <w:unhideWhenUsed/>
    <w:qFormat/>
    <w:uiPriority w:val="99"/>
    <w:rPr>
      <w:rFonts w:ascii="Times New Roman" w:hAnsi="Times New Roman" w:eastAsia="宋体" w:cs="Times New Roman"/>
      <w:kern w:val="2"/>
      <w:sz w:val="24"/>
      <w:szCs w:val="24"/>
      <w:lang w:val="en-US" w:eastAsia="zh-CN" w:bidi="ar-SA"/>
    </w:rPr>
  </w:style>
  <w:style w:type="paragraph" w:customStyle="1" w:styleId="37">
    <w:name w:val="修订2"/>
    <w:autoRedefine/>
    <w:hidden/>
    <w:unhideWhenUsed/>
    <w:qFormat/>
    <w:uiPriority w:val="99"/>
    <w:rPr>
      <w:rFonts w:ascii="Times New Roman" w:hAnsi="Times New Roman" w:eastAsia="宋体" w:cs="Times New Roman"/>
      <w:kern w:val="2"/>
      <w:sz w:val="24"/>
      <w:szCs w:val="24"/>
      <w:lang w:val="en-US" w:eastAsia="zh-CN" w:bidi="ar-SA"/>
    </w:rPr>
  </w:style>
  <w:style w:type="character" w:customStyle="1" w:styleId="38">
    <w:name w:val="文档结构图 Char"/>
    <w:basedOn w:val="23"/>
    <w:link w:val="7"/>
    <w:autoRedefine/>
    <w:qFormat/>
    <w:uiPriority w:val="0"/>
    <w:rPr>
      <w:rFonts w:ascii="宋体"/>
      <w:kern w:val="2"/>
      <w:sz w:val="18"/>
      <w:szCs w:val="18"/>
    </w:rPr>
  </w:style>
  <w:style w:type="paragraph" w:customStyle="1" w:styleId="39">
    <w:name w:val="Body text|1"/>
    <w:basedOn w:val="1"/>
    <w:autoRedefine/>
    <w:qFormat/>
    <w:uiPriority w:val="0"/>
    <w:pPr>
      <w:spacing w:line="468" w:lineRule="auto"/>
      <w:ind w:firstLine="400"/>
    </w:pPr>
    <w:rPr>
      <w:rFonts w:ascii="宋体" w:hAnsi="宋体" w:cs="宋体"/>
      <w:sz w:val="28"/>
      <w:szCs w:val="28"/>
      <w:lang w:val="zh-TW" w:eastAsia="zh-TW" w:bidi="zh-TW"/>
    </w:rPr>
  </w:style>
  <w:style w:type="character" w:customStyle="1" w:styleId="40">
    <w:name w:val="font21"/>
    <w:basedOn w:val="23"/>
    <w:autoRedefine/>
    <w:qFormat/>
    <w:uiPriority w:val="0"/>
    <w:rPr>
      <w:rFonts w:hint="default" w:ascii="Times New Roman" w:hAnsi="Times New Roman" w:cs="Times New Roman"/>
      <w:color w:val="000000"/>
      <w:sz w:val="21"/>
      <w:szCs w:val="21"/>
      <w:u w:val="none"/>
    </w:rPr>
  </w:style>
  <w:style w:type="character" w:customStyle="1" w:styleId="41">
    <w:name w:val="font11"/>
    <w:basedOn w:val="23"/>
    <w:autoRedefine/>
    <w:qFormat/>
    <w:uiPriority w:val="0"/>
    <w:rPr>
      <w:rFonts w:hint="eastAsia" w:ascii="宋体" w:hAnsi="宋体" w:eastAsia="宋体" w:cs="宋体"/>
      <w:color w:val="000000"/>
      <w:sz w:val="21"/>
      <w:szCs w:val="21"/>
      <w:u w:val="none"/>
    </w:rPr>
  </w:style>
  <w:style w:type="paragraph" w:customStyle="1" w:styleId="42">
    <w:name w:val="表格"/>
    <w:basedOn w:val="16"/>
    <w:next w:val="1"/>
    <w:autoRedefine/>
    <w:qFormat/>
    <w:uiPriority w:val="0"/>
    <w:pPr>
      <w:spacing w:line="360" w:lineRule="exact"/>
      <w:jc w:val="center"/>
    </w:pPr>
    <w:rPr>
      <w:szCs w:val="20"/>
    </w:rPr>
  </w:style>
  <w:style w:type="character" w:customStyle="1" w:styleId="43">
    <w:name w:val="font01"/>
    <w:basedOn w:val="23"/>
    <w:autoRedefine/>
    <w:qFormat/>
    <w:uiPriority w:val="0"/>
    <w:rPr>
      <w:rFonts w:hint="eastAsia" w:ascii="宋体" w:hAnsi="宋体" w:eastAsia="宋体" w:cs="宋体"/>
      <w:color w:val="000000"/>
      <w:sz w:val="22"/>
      <w:szCs w:val="22"/>
      <w:u w:val="none"/>
    </w:rPr>
  </w:style>
  <w:style w:type="paragraph" w:customStyle="1" w:styleId="44">
    <w:name w:val="Table Paragraph"/>
    <w:basedOn w:val="1"/>
    <w:autoRedefine/>
    <w:qFormat/>
    <w:uiPriority w:val="1"/>
    <w:pPr>
      <w:autoSpaceDE w:val="0"/>
      <w:autoSpaceDN w:val="0"/>
      <w:jc w:val="left"/>
    </w:pPr>
    <w:rPr>
      <w:rFonts w:ascii="宋体" w:hAnsi="宋体" w:cs="宋体"/>
      <w:kern w:val="0"/>
      <w:sz w:val="22"/>
      <w:szCs w:val="22"/>
      <w:lang w:eastAsia="en-US" w:bidi="en-US"/>
    </w:rPr>
  </w:style>
  <w:style w:type="paragraph" w:customStyle="1" w:styleId="45">
    <w:name w:val="Default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表 内容"/>
    <w:basedOn w:val="1"/>
    <w:autoRedefine/>
    <w:qFormat/>
    <w:uiPriority w:val="0"/>
    <w:pPr>
      <w:adjustRightInd w:val="0"/>
      <w:snapToGrid w:val="0"/>
      <w:spacing w:beforeLines="15" w:afterLines="15" w:line="240" w:lineRule="auto"/>
      <w:jc w:val="center"/>
    </w:pPr>
    <w:rPr>
      <w:b/>
      <w:szCs w:val="21"/>
    </w:rPr>
  </w:style>
  <w:style w:type="character" w:customStyle="1" w:styleId="47">
    <w:name w:val="font91"/>
    <w:basedOn w:val="23"/>
    <w:autoRedefine/>
    <w:qFormat/>
    <w:uiPriority w:val="0"/>
    <w:rPr>
      <w:rFonts w:hint="eastAsia" w:ascii="宋体" w:hAnsi="宋体" w:eastAsia="宋体" w:cs="宋体"/>
      <w:color w:val="000000"/>
      <w:sz w:val="24"/>
      <w:szCs w:val="24"/>
      <w:u w:val="none"/>
    </w:rPr>
  </w:style>
  <w:style w:type="character" w:customStyle="1" w:styleId="48">
    <w:name w:val="font61"/>
    <w:basedOn w:val="23"/>
    <w:autoRedefine/>
    <w:qFormat/>
    <w:uiPriority w:val="0"/>
    <w:rPr>
      <w:rFonts w:hint="eastAsia" w:ascii="宋体" w:hAnsi="宋体" w:eastAsia="宋体" w:cs="宋体"/>
      <w:color w:val="000000"/>
      <w:sz w:val="24"/>
      <w:szCs w:val="24"/>
      <w:u w:val="none"/>
    </w:rPr>
  </w:style>
  <w:style w:type="paragraph" w:customStyle="1" w:styleId="49">
    <w:name w:val="表格内容"/>
    <w:basedOn w:val="1"/>
    <w:next w:val="1"/>
    <w:autoRedefine/>
    <w:qFormat/>
    <w:uiPriority w:val="0"/>
    <w:pPr>
      <w:tabs>
        <w:tab w:val="left" w:pos="6240"/>
      </w:tabs>
      <w:adjustRightInd w:val="0"/>
      <w:snapToGrid w:val="0"/>
      <w:spacing w:line="360" w:lineRule="exact"/>
      <w:ind w:firstLine="0" w:firstLineChars="0"/>
      <w:jc w:val="left"/>
      <w:pPrChange w:id="0" w:author="xbany" w:date="2024-11-04T10:01:00Z">
        <w:pPr>
          <w:widowControl w:val="0"/>
          <w:adjustRightInd w:val="0"/>
          <w:snapToGrid w:val="0"/>
          <w:spacing w:line="360" w:lineRule="exact"/>
          <w:jc w:val="center"/>
        </w:pPr>
      </w:pPrChange>
    </w:pPr>
    <w:rPr>
      <w:sz w:val="21"/>
      <w:szCs w:val="21"/>
      <w:rPrChange w:id="1" w:author="xbany" w:date="2024-11-04T10:01:00Z">
        <w:rPr>
          <w:rFonts w:eastAsia="宋体"/>
          <w:kern w:val="2"/>
          <w:sz w:val="21"/>
          <w:szCs w:val="21"/>
          <w:lang w:val="en-US" w:eastAsia="zh-CN" w:bidi="ar-SA"/>
        </w:rPr>
      </w:rPrChange>
    </w:rPr>
  </w:style>
  <w:style w:type="paragraph" w:customStyle="1" w:styleId="50">
    <w:name w:val="表、图标题"/>
    <w:basedOn w:val="1"/>
    <w:autoRedefine/>
    <w:qFormat/>
    <w:uiPriority w:val="0"/>
    <w:pPr>
      <w:spacing w:line="240" w:lineRule="auto"/>
      <w:ind w:firstLine="0" w:firstLineChars="0"/>
      <w:jc w:val="center"/>
    </w:pPr>
    <w:rPr>
      <w:b/>
      <w:color w:val="000000"/>
      <w:sz w:val="21"/>
    </w:rPr>
  </w:style>
  <w:style w:type="paragraph" w:customStyle="1" w:styleId="51">
    <w:name w:val="正文(首行缩进)"/>
    <w:basedOn w:val="1"/>
    <w:autoRedefine/>
    <w:qFormat/>
    <w:uiPriority w:val="0"/>
    <w:pPr>
      <w:spacing w:line="360" w:lineRule="auto"/>
    </w:pPr>
    <w:rPr>
      <w:snapToGrid w:val="0"/>
      <w:color w:val="000000"/>
    </w:rPr>
  </w:style>
  <w:style w:type="paragraph" w:customStyle="1" w:styleId="52">
    <w:name w:val="正文 首行缩进"/>
    <w:basedOn w:val="1"/>
    <w:autoRedefine/>
    <w:qFormat/>
    <w:uiPriority w:val="0"/>
    <w:pPr>
      <w:spacing w:line="360" w:lineRule="auto"/>
      <w:ind w:firstLine="560"/>
    </w:pPr>
    <w:rPr>
      <w:rFonts w:cs="宋体"/>
    </w:rPr>
  </w:style>
  <w:style w:type="paragraph" w:customStyle="1" w:styleId="53">
    <w:name w:val="表内容"/>
    <w:basedOn w:val="1"/>
    <w:autoRedefine/>
    <w:qFormat/>
    <w:uiPriority w:val="0"/>
    <w:pPr>
      <w:adjustRightInd w:val="0"/>
      <w:snapToGrid w:val="0"/>
      <w:spacing w:line="240" w:lineRule="auto"/>
      <w:ind w:firstLine="0" w:firstLineChars="0"/>
      <w:jc w:val="center"/>
    </w:pPr>
    <w:rPr>
      <w:snapToGrid w:val="0"/>
      <w:sz w:val="21"/>
      <w:szCs w:val="21"/>
    </w:rPr>
  </w:style>
  <w:style w:type="paragraph" w:customStyle="1" w:styleId="54">
    <w:name w:val="表头、图标"/>
    <w:basedOn w:val="1"/>
    <w:qFormat/>
    <w:uiPriority w:val="0"/>
    <w:pPr>
      <w:spacing w:line="240" w:lineRule="atLeast"/>
      <w:ind w:firstLine="0" w:firstLineChars="0"/>
      <w:jc w:val="center"/>
    </w:pPr>
    <w:rPr>
      <w:rFonts w:hint="eastAsia"/>
      <w:b/>
      <w:sz w:val="21"/>
    </w:rPr>
  </w:style>
  <w:style w:type="paragraph" w:customStyle="1" w:styleId="55">
    <w:name w:val="样式 样式 样式 样式 首行缩进:  1 字符 + 首行缩进:  2 字符1 + 首行缩进:  2 字符 + Arial"/>
    <w:basedOn w:val="1"/>
    <w:qFormat/>
    <w:uiPriority w:val="0"/>
    <w:pPr>
      <w:spacing w:line="360" w:lineRule="auto"/>
      <w:ind w:firstLine="480"/>
    </w:pPr>
    <w:rPr>
      <w:rFonts w:ascii="Arial" w:hAnsi="Arial" w:cs="宋体"/>
    </w:rPr>
  </w:style>
  <w:style w:type="paragraph" w:customStyle="1" w:styleId="56">
    <w:name w:val="表头"/>
    <w:basedOn w:val="1"/>
    <w:next w:val="11"/>
    <w:qFormat/>
    <w:uiPriority w:val="0"/>
    <w:pPr>
      <w:numPr>
        <w:ilvl w:val="0"/>
        <w:numId w:val="2"/>
      </w:numPr>
      <w:autoSpaceDE w:val="0"/>
      <w:autoSpaceDN w:val="0"/>
      <w:adjustRightInd w:val="0"/>
      <w:snapToGrid w:val="0"/>
      <w:spacing w:line="240" w:lineRule="auto"/>
      <w:jc w:val="center"/>
    </w:pPr>
    <w:rPr>
      <w:b/>
      <w:bCs/>
      <w:kern w:val="0"/>
      <w:sz w:val="21"/>
    </w:rPr>
  </w:style>
  <w:style w:type="character" w:customStyle="1" w:styleId="57">
    <w:name w:val="font81"/>
    <w:basedOn w:val="23"/>
    <w:qFormat/>
    <w:uiPriority w:val="0"/>
    <w:rPr>
      <w:rFonts w:hint="eastAsia" w:ascii="宋体" w:hAnsi="宋体" w:eastAsia="宋体" w:cs="宋体"/>
      <w:b/>
      <w:color w:val="000000"/>
      <w:sz w:val="24"/>
      <w:szCs w:val="24"/>
      <w:u w:val="none"/>
    </w:rPr>
  </w:style>
  <w:style w:type="character" w:customStyle="1" w:styleId="58">
    <w:name w:val="font71"/>
    <w:basedOn w:val="23"/>
    <w:qFormat/>
    <w:uiPriority w:val="0"/>
    <w:rPr>
      <w:rFonts w:hint="default" w:ascii="Times New Roman" w:hAnsi="Times New Roman" w:cs="Times New Roman"/>
      <w:b/>
      <w:color w:val="000000"/>
      <w:sz w:val="24"/>
      <w:szCs w:val="24"/>
      <w:u w:val="none"/>
    </w:rPr>
  </w:style>
  <w:style w:type="paragraph" w:styleId="59">
    <w:name w:val="List Paragraph"/>
    <w:basedOn w:val="1"/>
    <w:qFormat/>
    <w:uiPriority w:val="34"/>
    <w:pPr>
      <w:ind w:firstLine="420" w:firstLineChars="200"/>
    </w:pPr>
  </w:style>
  <w:style w:type="character" w:customStyle="1" w:styleId="60">
    <w:name w:val="font41"/>
    <w:basedOn w:val="23"/>
    <w:qFormat/>
    <w:uiPriority w:val="0"/>
    <w:rPr>
      <w:rFonts w:ascii="宋体" w:hAnsi="宋体" w:eastAsia="宋体" w:cs="宋体"/>
      <w:color w:val="303040"/>
      <w:sz w:val="18"/>
      <w:szCs w:val="18"/>
      <w:u w:val="none"/>
    </w:rPr>
  </w:style>
  <w:style w:type="character" w:customStyle="1" w:styleId="61">
    <w:name w:val="font31"/>
    <w:basedOn w:val="23"/>
    <w:qFormat/>
    <w:uiPriority w:val="0"/>
    <w:rPr>
      <w:rFonts w:hint="eastAsia" w:ascii="宋体" w:hAnsi="宋体" w:eastAsia="宋体" w:cs="宋体"/>
      <w:color w:val="000000"/>
      <w:sz w:val="24"/>
      <w:szCs w:val="24"/>
      <w:u w:val="none"/>
    </w:rPr>
  </w:style>
  <w:style w:type="character" w:customStyle="1" w:styleId="62">
    <w:name w:val="font51"/>
    <w:basedOn w:val="23"/>
    <w:qFormat/>
    <w:uiPriority w:val="0"/>
    <w:rPr>
      <w:rFonts w:hint="default" w:ascii="Times New Roman" w:hAnsi="Times New Roman" w:cs="Times New Roman"/>
      <w:color w:val="000000"/>
      <w:sz w:val="24"/>
      <w:szCs w:val="24"/>
      <w:u w:val="none"/>
    </w:rPr>
  </w:style>
  <w:style w:type="paragraph" w:customStyle="1" w:styleId="63">
    <w:name w:val="Table Text"/>
    <w:basedOn w:val="1"/>
    <w:semiHidden/>
    <w:qFormat/>
    <w:uiPriority w:val="0"/>
    <w:rPr>
      <w:rFonts w:ascii="宋体" w:hAnsi="宋体" w:eastAsia="宋体" w:cs="宋体"/>
      <w:sz w:val="20"/>
      <w:szCs w:val="20"/>
      <w:lang w:val="en-US" w:eastAsia="en-US" w:bidi="ar-SA"/>
    </w:rPr>
  </w:style>
  <w:style w:type="table" w:customStyle="1" w:styleId="64">
    <w:name w:val="Table Normal"/>
    <w:semiHidden/>
    <w:unhideWhenUsed/>
    <w:qFormat/>
    <w:uiPriority w:val="0"/>
    <w:tblPr>
      <w:tblCellMar>
        <w:top w:w="0" w:type="dxa"/>
        <w:left w:w="0" w:type="dxa"/>
        <w:bottom w:w="0" w:type="dxa"/>
        <w:right w:w="0" w:type="dxa"/>
      </w:tblCellMar>
    </w:tblPr>
  </w:style>
  <w:style w:type="character" w:customStyle="1" w:styleId="65">
    <w:name w:val="fontstyle01"/>
    <w:basedOn w:val="23"/>
    <w:qFormat/>
    <w:uiPriority w:val="0"/>
    <w:rPr>
      <w:rFonts w:hint="eastAsia" w:ascii="宋体" w:hAnsi="宋体" w:eastAsia="宋体"/>
      <w:color w:val="000000"/>
      <w:sz w:val="24"/>
      <w:szCs w:val="24"/>
    </w:rPr>
  </w:style>
  <w:style w:type="character" w:customStyle="1" w:styleId="66">
    <w:name w:val="fontstyle11"/>
    <w:basedOn w:val="23"/>
    <w:qFormat/>
    <w:uiPriority w:val="0"/>
    <w:rPr>
      <w:rFonts w:hint="default" w:ascii="TimesNewRomanPSMT" w:hAnsi="TimesNewRomanPSMT"/>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2.wmf"/><Relationship Id="rId28" Type="http://schemas.openxmlformats.org/officeDocument/2006/relationships/oleObject" Target="embeddings/oleObject3.bin"/><Relationship Id="rId27" Type="http://schemas.openxmlformats.org/officeDocument/2006/relationships/image" Target="media/image11.png"/><Relationship Id="rId26" Type="http://schemas.openxmlformats.org/officeDocument/2006/relationships/image" Target="media/image10.wmf"/><Relationship Id="rId25" Type="http://schemas.openxmlformats.org/officeDocument/2006/relationships/oleObject" Target="embeddings/oleObject2.bin"/><Relationship Id="rId24" Type="http://schemas.openxmlformats.org/officeDocument/2006/relationships/image" Target="media/image9.png"/><Relationship Id="rId23" Type="http://schemas.openxmlformats.org/officeDocument/2006/relationships/image" Target="media/image8.wmf"/><Relationship Id="rId22" Type="http://schemas.openxmlformats.org/officeDocument/2006/relationships/oleObject" Target="embeddings/oleObject1.bin"/><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7395be2d-65f7-4c5d-b9d5-cb8dfda10f0d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151B477</paraID>
      <start>18</start>
      <end>19</end>
      <status>ignored</status>
      <modifiedWord/>
      <trackRevisions>false</trackRevisions>
    </reviewItem>
    <reviewItem>
      <errorID>9be6d562-65ba-45c1-89c7-12cb590b5721</errorID>
      <errorWord>上线</errorWord>
      <group>L1_Word</group>
      <groupName>字词问题</groupName>
      <ability>L2_Typo</ability>
      <abilityName>字词错误</abilityName>
      <candidateList>
        <item>上限</item>
      </candidateList>
      <explain/>
      <paraID>6BD57B9E</paraID>
      <start>59</start>
      <end>61</end>
      <status>ignored</status>
      <modifiedWord/>
      <trackRevisions>false</trackRevisions>
    </reviewItem>
    <reviewItem>
      <errorID>d597b81d-68cb-4cbf-979c-6e9230d1fda5</errorID>
      <errorWord>污水厂</errorWord>
      <group>L1_Word</group>
      <groupName>字词问题</groupName>
      <ability>L2_Typo</ability>
      <abilityName>字词错误</abilityName>
      <candidateList>
        <item>污水处理厂</item>
      </candidateList>
      <explain/>
      <paraID> 98F472F</paraID>
      <start>29</start>
      <end>32</end>
      <status>ignored</status>
      <modifiedWord/>
      <trackRevisions>false</trackRevisions>
    </reviewItem>
    <reviewItem>
      <errorID>4af5a9cb-e3bb-422e-a5e0-e34b8eefb960</errorID>
      <errorWord>》</errorWord>
      <group>L1_Word</group>
      <groupName>字词问题</groupName>
      <ability>L2_Typo</ability>
      <abilityName>字词错误</abilityName>
      <candidateList>
        <item>》等</item>
      </candidateList>
      <explain/>
      <paraID>52148BC3</paraID>
      <start>38</start>
      <end>39</end>
      <status>ignored</status>
      <modifiedWord/>
      <trackRevisions>false</trackRevisions>
    </reviewItem>
    <reviewItem>
      <errorID>a4f50271-261d-43bd-9ead-7c5ad62ceb46</errorID>
      <errorWord>城乡结合部</errorWord>
      <group>L1_Knowledge</group>
      <groupName>知识性问题</groupName>
      <ability>L2_Knowledge</ability>
      <abilityName>其他知识</abilityName>
      <candidateList>
        <item>城乡接合部</item>
      </candidateList>
      <explain/>
      <paraID>15E81142</paraID>
      <start>30</start>
      <end>35</end>
      <status>ignored</status>
      <modifiedWord/>
      <trackRevisions>false</trackRevisions>
    </reviewItem>
    <reviewItem>
      <errorID>6c65a219-4152-4c13-a0e6-8d2eb1118a3e</errorID>
      <errorWord>电</errorWord>
      <group>L1_Word</group>
      <groupName>字词问题</groupName>
      <ability>L2_Typo</ability>
      <abilityName>字词错误</abilityName>
      <candidateList>
        <item>电力</item>
      </candidateList>
      <explain/>
      <paraID>1E936EC8</paraID>
      <start>91</start>
      <end>92</end>
      <status>ignored</status>
      <modifiedWord/>
      <trackRevisions>false</trackRevisions>
    </reviewItem>
    <reviewItem>
      <errorID>63620008-72e3-44d2-b904-4293d1709215</errorID>
      <errorWord>纳入了</errorWord>
      <group>L1_Word</group>
      <groupName>字词问题</groupName>
      <ability>L2_Typo</ability>
      <abilityName>字词错误</abilityName>
      <candidateList>
        <item>纳入</item>
      </candidateList>
      <explain>〈动〉放进；归入（多用于抽象事物）：～正轨｜～计划。</explain>
      <paraID> 9DEF008</paraID>
      <start>32</start>
      <end>35</end>
      <status>ignored</status>
      <modifiedWord/>
      <trackRevisions>false</trackRevisions>
    </reviewItem>
    <reviewItem>
      <errorID>b73f11b4-86e8-408d-bf15-0cd508cfc8d9</errorID>
      <errorWord>交有</errorWord>
      <group>L1_Word</group>
      <groupName>字词问题</groupName>
      <ability>L2_Typo</ability>
      <abilityName>字词错误</abilityName>
      <candidateList>
        <item>交由</item>
      </candidateList>
      <explain/>
      <paraID> DD24B15</paraID>
      <start>32</start>
      <end>34</end>
      <status>ignored</status>
      <modifiedWord/>
      <trackRevisions>false</trackRevisions>
    </reviewItem>
    <reviewItem>
      <errorID>dd3604bc-56a6-44c1-bd0b-13b909877718</errorID>
      <errorWord>或其</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C2C7E7F</paraID>
      <start>96</start>
      <end>98</end>
      <status>ignored</status>
      <modifiedWord/>
      <trackRevisions>false</trackRevisions>
    </reviewItem>
    <reviewItem>
      <errorID>289b5e47-cf57-4da5-b6b0-d2d9dadebea1</errorID>
      <errorWord>废弃</errorWord>
      <group>L1_Word</group>
      <groupName>字词问题</groupName>
      <ability>L2_Typo</ability>
      <abilityName>字词错误</abilityName>
      <candidateList>
        <item>废气</item>
      </candidateList>
      <explain/>
      <paraID> 6D1BA1E</paraID>
      <start>75</start>
      <end>77</end>
      <status>ignored</status>
      <modifiedWord/>
      <trackRevisions>false</trackRevisions>
    </reviewItem>
    <reviewItem>
      <errorID>c42a3f74-ea4e-4a7d-a9d6-e22ccb423922</errorID>
      <errorWord>噪音</errorWord>
      <group>L1_Word</group>
      <groupName>字词问题</groupName>
      <ability>L2_Alias</ability>
      <abilityName>也作/曾用词</abilityName>
      <candidateList>
        <item>噪声</item>
      </candidateList>
      <explain>词汇[噪音]为不规范表述或旧称，其规范书面表述为[噪声]。</explain>
      <paraID> EFA0952</paraID>
      <start>11</start>
      <end>13</end>
      <status>ignored</status>
      <modifiedWord/>
      <trackRevisions>false</trackRevisions>
    </reviewItem>
    <reviewItem>
      <errorID>a2181403-5478-459c-a4f2-efb3e32bbe00</errorID>
      <errorWord>原</errorWord>
      <group>L1_Word</group>
      <groupName>字词问题</groupName>
      <ability>L2_Typo</ability>
      <abilityName>字词错误</abilityName>
      <candidateList>
        <item>原材</item>
      </candidateList>
      <explain/>
      <paraID>2154D240</paraID>
      <start>33</start>
      <end>34</end>
      <status>ignored</status>
      <modifiedWord/>
      <trackRevisions>false</trackRevisions>
    </reviewItem>
    <reviewItem>
      <errorID>4da29e77-6b1d-4b7d-8f10-df3f2b81eeff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46BF9989</paraID>
      <start>73</start>
      <end>74</end>
      <status>ignored</status>
      <modifiedWord/>
      <trackRevisions>false</trackRevisions>
    </reviewItem>
    <reviewItem>
      <errorID>0e7a3dae-72fd-4598-a7a2-15427aa282d4</errorID>
      <errorWord>年</errorWord>
      <group>L1_Word</group>
      <groupName>字词问题</groupName>
      <ability>L2_Typo</ability>
      <abilityName>字词错误</abilityName>
      <candidateList>
        <item>年度</item>
      </candidateList>
      <explain/>
      <paraID>7A87AC74</paraID>
      <start>0</start>
      <end>1</end>
      <status>ignored</status>
      <modifiedWord/>
      <trackRevisions>false</trackRevisions>
    </reviewItem>
    <reviewItem>
      <errorID>4886502a-d840-4822-8990-5d6f789f7b6a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1AFA2DA2</paraID>
      <start>130</start>
      <end>131</end>
      <status>ignored</status>
      <modifiedWord/>
      <trackRevisions>false</trackRevisions>
    </reviewItem>
    <reviewItem>
      <errorID>904d4e97-c31f-4d26-8aeb-990ff0f34338</errorID>
      <errorWord>，</errorWord>
      <group>L1_Format</group>
      <groupName>格式问题</groupName>
      <ability>L2_HalfPunc</ability>
      <abilityName>全半角检查</abilityName>
      <candidateList>
        <item>,</item>
      </candidateList>
      <explain>文本全半角错误。</explain>
      <paraID> 570C3C6</paraID>
      <start>10</start>
      <end>11</end>
      <status>ignored</status>
      <modifiedWord/>
      <trackRevisions>false</trackRevisions>
    </reviewItem>
    <reviewItem>
      <errorID>8d289159-be32-49c7-af4a-031c2c08a292</errorID>
      <errorWord>制标</errorWord>
      <group>L1_Word</group>
      <groupName>字词问题</groupName>
      <ability>L2_Typo</ability>
      <abilityName>字词错误</abilityName>
      <candidateList>
        <item>指标</item>
      </candidateList>
      <explain>存在发音相同字词的误用。</explain>
      <paraID>209B62AE</paraID>
      <start>0</start>
      <end>2</end>
      <status>ignored</status>
      <modifiedWord/>
      <trackRevisions>false</trackRevisions>
    </reviewItem>
    <reviewItem>
      <errorID>ece9e58a-c83f-4f8c-becb-cffcce1435f4</errorID>
      <errorWord>(</errorWord>
      <group>L1_Format</group>
      <groupName>格式问题</groupName>
      <ability>L2_HalfPunc</ability>
      <abilityName>全半角检查</abilityName>
      <candidateList>
        <item>（</item>
      </candidateList>
      <explain>文本全半角错误。</explain>
      <paraID>3DF431AE</paraID>
      <start>4</start>
      <end>5</end>
      <status>ignored</status>
      <modifiedWord/>
      <trackRevisions>false</trackRevisions>
    </reviewItem>
    <reviewItem>
      <errorID>67c5cbf6-307c-4402-ac1e-abb79f52bd58</errorID>
      <errorWord>)</errorWord>
      <group>L1_Format</group>
      <groupName>格式问题</groupName>
      <ability>L2_HalfPunc</ability>
      <abilityName>全半角检查</abilityName>
      <candidateList>
        <item>）</item>
      </candidateList>
      <explain>文本全半角错误。</explain>
      <paraID>3DF431AE</paraID>
      <start>9</start>
      <end>10</end>
      <status>ignored</status>
      <modifiedWord/>
      <trackRevisions>false</trackRevisions>
    </reviewItem>
    <reviewItem>
      <errorID>e8fe9bac-04a0-4651-a216-ed70a6381771</errorID>
      <errorWord>(</errorWord>
      <group>L1_Format</group>
      <groupName>格式问题</groupName>
      <ability>L2_HalfPunc</ability>
      <abilityName>全半角检查</abilityName>
      <candidateList>
        <item>（</item>
      </candidateList>
      <explain>文本全半角错误。</explain>
      <paraID> 7BEA2B1</paraID>
      <start>4</start>
      <end>5</end>
      <status>ignored</status>
      <modifiedWord/>
      <trackRevisions>false</trackRevisions>
    </reviewItem>
    <reviewItem>
      <errorID>cb063e13-c034-48e0-8fb5-accc1048ff8a</errorID>
      <errorWord>)</errorWord>
      <group>L1_Format</group>
      <groupName>格式问题</groupName>
      <ability>L2_HalfPunc</ability>
      <abilityName>全半角检查</abilityName>
      <candidateList>
        <item>）</item>
      </candidateList>
      <explain>文本全半角错误。</explain>
      <paraID> 7BEA2B1</paraID>
      <start>9</start>
      <end>10</end>
      <status>ignored</status>
      <modifiedWord/>
      <trackRevisions>false</trackRevisions>
    </reviewItem>
    <reviewItem>
      <errorID>7e62495f-51e3-4e1e-824e-7cbefc6d6234</errorID>
      <errorWord>回用</errorWord>
      <group>L1_Word</group>
      <groupName>字词问题</groupName>
      <ability>L2_Typo</ability>
      <abilityName>字词错误</abilityName>
      <candidateList>
        <item>适用</item>
      </candidateList>
      <explain>〈形〉适合使用：这套耕作方法，在我们这个地区也完全～。</explain>
      <paraID>7F3FF815</paraID>
      <start>0</start>
      <end>2</end>
      <status>ignored</status>
      <modifiedWord/>
      <trackRevisions>false</trackRevisions>
    </reviewItem>
    <reviewItem>
      <errorID>31751b2b-4f07-4f69-95df-2baf0a9c249d</errorID>
      <errorWord>优先回</errorWord>
      <group>L1_Word</group>
      <groupName>字词问题</groupName>
      <ability>L2_Typo</ability>
      <abilityName>字词错误</abilityName>
      <candidateList>
        <item>优先</item>
      </candidateList>
      <explain/>
      <paraID> 95037C2</paraID>
      <start>193</start>
      <end>196</end>
      <status>ignored</status>
      <modifiedWord/>
      <trackRevisions>false</trackRevisions>
    </reviewItem>
    <reviewItem>
      <errorID>c7e25dca-9fd1-4384-8748-41c78034df71</errorID>
      <errorWord>(</errorWord>
      <group>L1_Punc</group>
      <groupName>标点问题</groupName>
      <ability>L2_Punc</ability>
      <abilityName>标点符号检查</abilityName>
      <candidateList/>
      <explain>同一形式括号套用。</explain>
      <paraID>70154AF2</paraID>
      <start>13</start>
      <end>14</end>
      <status>ignored</status>
      <modifiedWord/>
      <trackRevisions>false</trackRevisions>
    </reviewItem>
    <reviewItem>
      <errorID>9bdfed7e-f36b-4b6c-abb2-d8e7d68d61da</errorID>
      <errorWord>)</errorWord>
      <group>L1_Punc</group>
      <groupName>标点问题</groupName>
      <ability>L2_Punc</ability>
      <abilityName>标点符号检查</abilityName>
      <candidateList/>
      <explain>同一形式括号套用。</explain>
      <paraID>70154AF2</paraID>
      <start>15</start>
      <end>16</end>
      <status>ignored</status>
      <modifiedWord/>
      <trackRevisions>false</trackRevisions>
    </reviewItem>
    <reviewItem>
      <errorID>1369c569-2dc1-405c-8165-fa8c37f36f26</errorID>
      <errorWord>(</errorWord>
      <group>L1_Format</group>
      <groupName>格式问题</groupName>
      <ability>L2_HalfPunc</ability>
      <abilityName>全半角检查</abilityName>
      <candidateList>
        <item>（</item>
      </candidateList>
      <explain>文本全半角错误。</explain>
      <paraID>6929402C</paraID>
      <start>4</start>
      <end>5</end>
      <status>ignored</status>
      <modifiedWord/>
      <trackRevisions>false</trackRevisions>
    </reviewItem>
    <reviewItem>
      <errorID>c274346e-5b9f-4d88-abf0-ecb3d82c84de</errorID>
      <errorWord>)</errorWord>
      <group>L1_Format</group>
      <groupName>格式问题</groupName>
      <ability>L2_HalfPunc</ability>
      <abilityName>全半角检查</abilityName>
      <candidateList>
        <item>）</item>
      </candidateList>
      <explain>文本全半角错误。</explain>
      <paraID>6929402C</paraID>
      <start>8</start>
      <end>9</end>
      <status>ignored</status>
      <modifiedWord/>
      <trackRevisions>false</trackRevisions>
    </reviewItem>
    <reviewItem>
      <errorID>7af131f7-30fb-4c81-8892-3f48560fa289</errorID>
      <errorWord>(</errorWord>
      <group>L1_Format</group>
      <groupName>格式问题</groupName>
      <ability>L2_HalfPunc</ability>
      <abilityName>全半角检查</abilityName>
      <candidateList>
        <item>（</item>
      </candidateList>
      <explain>文本全半角错误。</explain>
      <paraID> 57A801F</paraID>
      <start>0</start>
      <end>1</end>
      <status>ignored</status>
      <modifiedWord/>
      <trackRevisions>false</trackRevisions>
    </reviewItem>
    <reviewItem>
      <errorID>f87223fe-33e4-45f0-b9f4-be8d5c62b346</errorID>
      <errorWord>)</errorWord>
      <group>L1_Format</group>
      <groupName>格式问题</groupName>
      <ability>L2_HalfPunc</ability>
      <abilityName>全半角检查</abilityName>
      <candidateList>
        <item>）</item>
      </candidateList>
      <explain>文本全半角错误。</explain>
      <paraID> 57A801F</paraID>
      <start>10</start>
      <end>11</end>
      <status>ignored</status>
      <modifiedWord/>
      <trackRevisions>false</trackRevisions>
    </reviewItem>
    <reviewItem>
      <errorID>e19046fe-4d93-4b53-9def-ba881e1b6dc5</errorID>
      <errorWord>(</errorWord>
      <group>L1_Punc</group>
      <groupName>标点问题</groupName>
      <ability>L2_Punc</ability>
      <abilityName>标点符号检查</abilityName>
      <candidateList/>
      <explain>同一形式括号套用。</explain>
      <paraID> 57A801F</paraID>
      <start>15</start>
      <end>16</end>
      <status>ignored</status>
      <modifiedWord/>
      <trackRevisions>false</trackRevisions>
    </reviewItem>
    <reviewItem>
      <errorID>bb7ab299-07c4-491a-92db-8c5b18c3bcb0</errorID>
      <errorWord>)</errorWord>
      <group>L1_Punc</group>
      <groupName>标点问题</groupName>
      <ability>L2_Punc</ability>
      <abilityName>标点符号检查</abilityName>
      <candidateList/>
      <explain>同一形式括号套用。</explain>
      <paraID> 57A801F</paraID>
      <start>17</start>
      <end>18</end>
      <status>ignored</status>
      <modifiedWord/>
      <trackRevisions>false</trackRevisions>
    </reviewItem>
    <reviewItem>
      <errorID>427c08b0-f0e9-4838-906a-4341840fefc1</errorID>
      <errorWord>交有</errorWord>
      <group>L1_Word</group>
      <groupName>字词问题</groupName>
      <ability>L2_Typo</ability>
      <abilityName>字词错误</abilityName>
      <candidateList>
        <item>交由</item>
      </candidateList>
      <explain>存在发音相同字词的误用。</explain>
      <paraID>7D252DF9</paraID>
      <start>12</start>
      <end>14</end>
      <status>ignored</status>
      <modifiedWord/>
      <trackRevisions>false</trackRevisions>
    </reviewItem>
    <reviewItem>
      <errorID>a95d10f4-0b1b-4c4d-a7dc-e861272bbea2</errorID>
      <errorWord>，</errorWord>
      <group>L1_Format</group>
      <groupName>格式问题</groupName>
      <ability>L2_HalfPunc</ability>
      <abilityName>全半角检查</abilityName>
      <candidateList>
        <item>, </item>
      </candidateList>
      <explain>文本全半角错误。</explain>
      <paraID>26E83F87</paraID>
      <start>1</start>
      <end>2</end>
      <status>unmodified</status>
      <modifiedWord/>
      <trackRevisions>false</trackRevisions>
    </reviewItem>
    <reviewItem>
      <errorID>e87db702-dfe1-47fd-a3e3-3f3fb18d3b0b</errorID>
      <errorWord>，</errorWord>
      <group>L1_Format</group>
      <groupName>格式问题</groupName>
      <ability>L2_HalfPunc</ability>
      <abilityName>全半角检查</abilityName>
      <candidateList>
        <item>, </item>
      </candidateList>
      <explain>文本全半角错误。</explain>
      <paraID>3C603337</paraID>
      <start>1</start>
      <end>2</end>
      <status>unmodified</status>
      <modifiedWord/>
      <trackRevisions>false</trackRevisions>
    </reviewItem>
    <reviewItem>
      <errorID>f848be82-3bbb-4b18-8429-26cec0868fa9</errorID>
      <errorWord>，</errorWord>
      <group>L1_Format</group>
      <groupName>格式问题</groupName>
      <ability>L2_HalfPunc</ability>
      <abilityName>全半角检查</abilityName>
      <candidateList>
        <item>, </item>
      </candidateList>
      <explain>文本全半角错误。</explain>
      <paraID>6E412F8E</paraID>
      <start>1</start>
      <end>2</end>
      <status>unmodified</status>
      <modifiedWord/>
      <trackRevisions>false</trackRevisions>
    </reviewItem>
    <reviewItem>
      <errorID>5c60b80d-28d2-492f-929a-b6f3796ac816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3E1FC437</paraID>
      <start>126</start>
      <end>127</end>
      <status>unmodified</status>
      <modifiedWord/>
      <trackRevisions>false</trackRevisions>
    </reviewItem>
    <reviewItem>
      <errorID>05ba4aed-016b-43f7-a57a-9beb6d3fd116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3E1FC437</paraID>
      <start>165</start>
      <end>166</end>
      <status>unmodified</status>
      <modifiedWord/>
      <trackRevisions>false</trackRevisions>
    </reviewItem>
    <reviewItem>
      <errorID>42d388ce-cd22-433a-ab70-50235918c076</errorID>
      <errorWord>......</errorWord>
      <group>L1_Punc</group>
      <groupName>标点问题</groupName>
      <ability>L2_Punc</ability>
      <abilityName>标点符号检查</abilityName>
      <candidateList>
        <item>……</item>
      </candidateList>
      <explain>省略号错误。</explain>
      <paraID>1BD41B7E</paraID>
      <start>9</start>
      <end>15</end>
      <status>unmodified</status>
      <modifiedWord/>
      <trackRevisions>false</trackRevisions>
    </reviewItem>
    <reviewItem>
      <errorID>14252a04-96ed-485a-9727-301a807e8180</errorID>
      <errorWord>(</errorWord>
      <group>L1_Format</group>
      <groupName>格式问题</groupName>
      <ability>L2_HalfPunc</ability>
      <abilityName>全半角检查</abilityName>
      <candidateList>
        <item>（</item>
      </candidateList>
      <explain>文本全半角错误。</explain>
      <paraID> 4460647</paraID>
      <start>3</start>
      <end>4</end>
      <status>ignored</status>
      <modifiedWord/>
      <trackRevisions>false</trackRevisions>
    </reviewItem>
    <reviewItem>
      <errorID>6d8db875-c6ca-40b3-97b6-ffb9f60ab8a0</errorID>
      <errorWord>)</errorWord>
      <group>L1_Format</group>
      <groupName>格式问题</groupName>
      <ability>L2_HalfPunc</ability>
      <abilityName>全半角检查</abilityName>
      <candidateList>
        <item>）</item>
      </candidateList>
      <explain>文本全半角错误。</explain>
      <paraID>6E87280A</paraID>
      <start>2</start>
      <end>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88d1a4-701a-4e44-8ea4-f9cc8d343cd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47</Pages>
  <Words>11699</Words>
  <Characters>12663</Characters>
  <Lines>145</Lines>
  <Paragraphs>41</Paragraphs>
  <TotalTime>71</TotalTime>
  <ScaleCrop>false</ScaleCrop>
  <LinksUpToDate>false</LinksUpToDate>
  <CharactersWithSpaces>12767</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2020-09-27T06:16:00Z</dcterms:created>
  <dc:creator>Administrator</dc:creator>
  <cp:lastModifiedBy>Administrator</cp:lastModifiedBy>
  <cp:lastPrinted>2025-02-27T00:38:00Z</cp:lastPrinted>
  <dcterms:modified xsi:type="dcterms:W3CDTF">2026-06-11T08:37:22Z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29FD1EBE230144DE8110C4F0F04613FE_13</vt:lpwstr>
  </property>
  <property fmtid="{D5CDD505-2E9C-101B-9397-08002B2CF9AE}" pid="4" name="KSOTemplateDocerSaveRecord">
    <vt:lpwstr>eyJoZGlkIjoiOTQ3ZDk1YzY1Y2Q0MDA1OTRhMmIwZTg2NmQ1NTIyOTkiLCJ1c2VySWQiOiI5ODAxODg0ODgifQ==</vt:lpwstr>
  </property>
</Properties>
</file>