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01B38">
      <w:pPr>
        <w:rPr>
          <w:rFonts w:hint="default" w:ascii="Times New Roman" w:hAnsi="Times New Roman" w:eastAsia="仿宋_GB2312" w:cs="Times New Roman"/>
          <w:color w:val="auto"/>
          <w:sz w:val="36"/>
          <w:szCs w:val="36"/>
          <w:highlight w:val="none"/>
        </w:rPr>
      </w:pPr>
    </w:p>
    <w:p w14:paraId="0512A68A">
      <w:pPr>
        <w:rPr>
          <w:rFonts w:hint="default" w:ascii="Times New Roman" w:hAnsi="Times New Roman" w:eastAsia="仿宋_GB2312" w:cs="Times New Roman"/>
          <w:color w:val="auto"/>
          <w:sz w:val="36"/>
          <w:szCs w:val="36"/>
          <w:highlight w:val="none"/>
        </w:rPr>
      </w:pPr>
    </w:p>
    <w:p w14:paraId="1B842237">
      <w:pPr>
        <w:rPr>
          <w:rFonts w:hint="default" w:ascii="Times New Roman" w:hAnsi="Times New Roman" w:eastAsia="仿宋_GB2312" w:cs="Times New Roman"/>
          <w:color w:val="auto"/>
          <w:sz w:val="36"/>
          <w:szCs w:val="36"/>
          <w:highlight w:val="none"/>
        </w:rPr>
      </w:pPr>
    </w:p>
    <w:p w14:paraId="0B5EE691">
      <w:pPr>
        <w:bidi w:val="0"/>
        <w:rPr>
          <w:rFonts w:hint="default" w:ascii="Times New Roman" w:hAnsi="Times New Roman" w:cs="Times New Roman"/>
          <w:color w:val="auto"/>
          <w:highlight w:val="none"/>
        </w:rPr>
      </w:pPr>
    </w:p>
    <w:p w14:paraId="196A25F6">
      <w:pPr>
        <w:bidi w:val="0"/>
        <w:rPr>
          <w:rFonts w:hint="default" w:ascii="Times New Roman" w:hAnsi="Times New Roman" w:cs="Times New Roman"/>
          <w:color w:val="auto"/>
          <w:highlight w:val="none"/>
        </w:rPr>
      </w:pPr>
    </w:p>
    <w:p w14:paraId="5C2DCCFA">
      <w:pPr>
        <w:bidi w:val="0"/>
        <w:rPr>
          <w:rFonts w:hint="default" w:ascii="Times New Roman" w:hAnsi="Times New Roman" w:cs="Times New Roman"/>
          <w:color w:val="auto"/>
          <w:highlight w:val="none"/>
        </w:rPr>
      </w:pPr>
    </w:p>
    <w:p w14:paraId="52A7CA22">
      <w:pPr>
        <w:adjustRightInd w:val="0"/>
        <w:snapToGrid w:val="0"/>
        <w:jc w:val="center"/>
        <w:outlineLvl w:val="0"/>
        <w:rPr>
          <w:rFonts w:hint="default" w:ascii="Times New Roman" w:hAnsi="Times New Roman" w:eastAsia="方正小标宋_GBK" w:cs="Times New Roman"/>
          <w:bCs/>
          <w:color w:val="auto"/>
          <w:sz w:val="72"/>
          <w:szCs w:val="72"/>
          <w:highlight w:val="none"/>
        </w:rPr>
      </w:pPr>
      <w:r>
        <w:rPr>
          <w:rFonts w:hint="default" w:ascii="Times New Roman" w:hAnsi="Times New Roman" w:eastAsia="方正小标宋_GBK" w:cs="Times New Roman"/>
          <w:bCs/>
          <w:color w:val="auto"/>
          <w:sz w:val="72"/>
          <w:szCs w:val="72"/>
          <w:highlight w:val="none"/>
        </w:rPr>
        <w:t>建设项目环境影响报告表</w:t>
      </w:r>
    </w:p>
    <w:p w14:paraId="37046EA1">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6E192D3A">
      <w:pPr>
        <w:bidi w:val="0"/>
        <w:rPr>
          <w:rFonts w:hint="default" w:ascii="Times New Roman" w:hAnsi="Times New Roman" w:cs="Times New Roman"/>
          <w:color w:val="auto"/>
          <w:highlight w:val="none"/>
        </w:rPr>
      </w:pPr>
    </w:p>
    <w:p w14:paraId="5B1A10CB">
      <w:pPr>
        <w:jc w:val="center"/>
        <w:rPr>
          <w:rFonts w:hint="default" w:ascii="Times New Roman" w:hAnsi="Times New Roman" w:eastAsia="仿宋" w:cs="Times New Roman"/>
          <w:color w:val="auto"/>
          <w:sz w:val="52"/>
          <w:szCs w:val="52"/>
          <w:highlight w:val="none"/>
        </w:rPr>
      </w:pPr>
    </w:p>
    <w:p w14:paraId="10AA6B41">
      <w:pPr>
        <w:ind w:firstLine="1040"/>
        <w:rPr>
          <w:rFonts w:hint="default" w:ascii="Times New Roman" w:hAnsi="Times New Roman" w:eastAsia="仿宋" w:cs="Times New Roman"/>
          <w:color w:val="auto"/>
          <w:sz w:val="44"/>
          <w:szCs w:val="44"/>
          <w:highlight w:val="none"/>
        </w:rPr>
      </w:pPr>
    </w:p>
    <w:p w14:paraId="548A457B">
      <w:pPr>
        <w:ind w:firstLine="1040"/>
        <w:rPr>
          <w:rFonts w:hint="default" w:ascii="Times New Roman" w:hAnsi="Times New Roman" w:eastAsia="仿宋" w:cs="Times New Roman"/>
          <w:color w:val="auto"/>
          <w:sz w:val="44"/>
          <w:szCs w:val="44"/>
          <w:highlight w:val="none"/>
        </w:rPr>
      </w:pPr>
    </w:p>
    <w:p w14:paraId="7E3D3BE0">
      <w:pPr>
        <w:ind w:firstLine="1040"/>
        <w:rPr>
          <w:rFonts w:hint="default" w:ascii="Times New Roman" w:hAnsi="Times New Roman" w:eastAsia="仿宋" w:cs="Times New Roman"/>
          <w:color w:val="auto"/>
          <w:sz w:val="44"/>
          <w:szCs w:val="44"/>
          <w:highlight w:val="none"/>
        </w:rPr>
      </w:pPr>
    </w:p>
    <w:p w14:paraId="181202EC">
      <w:pPr>
        <w:rPr>
          <w:rFonts w:hint="default" w:ascii="Times New Roman" w:hAnsi="Times New Roman" w:eastAsia="仿宋" w:cs="Times New Roman"/>
          <w:color w:val="auto"/>
          <w:sz w:val="44"/>
          <w:szCs w:val="44"/>
          <w:highlight w:val="none"/>
        </w:rPr>
      </w:pPr>
    </w:p>
    <w:p w14:paraId="784BF513">
      <w:pPr>
        <w:rPr>
          <w:rFonts w:hint="default" w:ascii="Times New Roman" w:hAnsi="Times New Roman" w:eastAsia="仿宋" w:cs="Times New Roman"/>
          <w:color w:val="auto"/>
          <w:sz w:val="44"/>
          <w:szCs w:val="44"/>
          <w:highlight w:val="none"/>
        </w:rPr>
      </w:pPr>
    </w:p>
    <w:p w14:paraId="28D0E07E">
      <w:pPr>
        <w:ind w:firstLine="1040"/>
        <w:rPr>
          <w:rFonts w:hint="default" w:ascii="Times New Roman" w:hAnsi="Times New Roman" w:eastAsia="仿宋" w:cs="Times New Roman"/>
          <w:color w:val="auto"/>
          <w:sz w:val="44"/>
          <w:szCs w:val="44"/>
          <w:highlight w:val="none"/>
        </w:rPr>
      </w:pPr>
    </w:p>
    <w:p w14:paraId="5035F9A1">
      <w:pPr>
        <w:ind w:firstLine="1040"/>
        <w:rPr>
          <w:rFonts w:hint="default" w:ascii="Times New Roman" w:hAnsi="Times New Roman" w:eastAsia="仿宋" w:cs="Times New Roman"/>
          <w:color w:val="auto"/>
          <w:sz w:val="44"/>
          <w:szCs w:val="44"/>
          <w:highlight w:val="none"/>
        </w:rPr>
      </w:pPr>
    </w:p>
    <w:p w14:paraId="35CF728D">
      <w:pPr>
        <w:ind w:firstLine="1040"/>
        <w:rPr>
          <w:rFonts w:hint="default" w:ascii="Times New Roman" w:hAnsi="Times New Roman" w:eastAsia="仿宋" w:cs="Times New Roman"/>
          <w:color w:val="auto"/>
          <w:sz w:val="44"/>
          <w:szCs w:val="44"/>
          <w:highlight w:val="none"/>
        </w:rPr>
      </w:pPr>
    </w:p>
    <w:p w14:paraId="1F089E9E">
      <w:pPr>
        <w:jc w:val="both"/>
        <w:rPr>
          <w:rFonts w:hint="default" w:ascii="Times New Roman" w:hAnsi="Times New Roman" w:eastAsia="仿宋" w:cs="Times New Roman"/>
          <w:color w:val="auto"/>
          <w:sz w:val="44"/>
          <w:szCs w:val="44"/>
          <w:highlight w:val="none"/>
        </w:rPr>
      </w:pPr>
    </w:p>
    <w:p w14:paraId="7E1778A2">
      <w:pPr>
        <w:ind w:firstLine="1040"/>
        <w:rPr>
          <w:rFonts w:hint="default" w:ascii="Times New Roman" w:hAnsi="Times New Roman" w:eastAsia="仿宋" w:cs="Times New Roman"/>
          <w:color w:val="auto"/>
          <w:sz w:val="44"/>
          <w:szCs w:val="44"/>
          <w:highlight w:val="none"/>
        </w:rPr>
      </w:pPr>
    </w:p>
    <w:p w14:paraId="7013A43C">
      <w:pPr>
        <w:ind w:firstLine="1040"/>
        <w:rPr>
          <w:rFonts w:hint="default" w:ascii="Times New Roman" w:hAnsi="Times New Roman" w:eastAsia="仿宋" w:cs="Times New Roman"/>
          <w:color w:val="auto"/>
          <w:sz w:val="44"/>
          <w:szCs w:val="44"/>
          <w:highlight w:val="none"/>
          <w:lang w:val="en-US" w:eastAsia="zh-CN"/>
        </w:rPr>
      </w:pPr>
    </w:p>
    <w:p w14:paraId="5743526F">
      <w:pPr>
        <w:keepNext w:val="0"/>
        <w:keepLines w:val="0"/>
        <w:pageBreakBefore w:val="0"/>
        <w:widowControl w:val="0"/>
        <w:kinsoku/>
        <w:wordWrap/>
        <w:overflowPunct/>
        <w:topLinePunct w:val="0"/>
        <w:autoSpaceDE/>
        <w:autoSpaceDN/>
        <w:bidi w:val="0"/>
        <w:adjustRightInd w:val="0"/>
        <w:snapToGrid w:val="0"/>
        <w:spacing w:line="288" w:lineRule="auto"/>
        <w:ind w:firstLine="360" w:firstLineChars="100"/>
        <w:textAlignment w:val="auto"/>
        <w:rPr>
          <w:rFonts w:hint="default"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项目名称：</w:t>
      </w:r>
      <w:r>
        <w:rPr>
          <w:rFonts w:hint="default" w:ascii="Times New Roman" w:hAnsi="Times New Roman" w:eastAsia="仿宋_GB2312" w:cs="Times New Roman"/>
          <w:color w:val="auto"/>
          <w:sz w:val="36"/>
          <w:szCs w:val="36"/>
          <w:highlight w:val="none"/>
          <w:u w:val="single"/>
        </w:rPr>
        <w:t xml:space="preserve"> </w:t>
      </w:r>
      <w:r>
        <w:rPr>
          <w:rFonts w:hint="default" w:ascii="Times New Roman" w:hAnsi="Times New Roman" w:eastAsia="仿宋_GB2312" w:cs="Times New Roman"/>
          <w:color w:val="auto"/>
          <w:sz w:val="36"/>
          <w:szCs w:val="36"/>
          <w:highlight w:val="none"/>
          <w:u w:val="single"/>
          <w:lang w:val="en-US" w:eastAsia="zh-CN"/>
        </w:rPr>
        <w:t xml:space="preserve"> 威思曼智能创新产研总部基地建设项目</w:t>
      </w:r>
      <w:r>
        <w:rPr>
          <w:rFonts w:hint="default" w:ascii="Times New Roman" w:hAnsi="Times New Roman" w:eastAsia="仿宋_GB2312" w:cs="Times New Roman"/>
          <w:color w:val="auto"/>
          <w:sz w:val="36"/>
          <w:szCs w:val="36"/>
          <w:highlight w:val="none"/>
          <w:u w:val="single"/>
        </w:rPr>
        <w:t xml:space="preserve">  </w:t>
      </w:r>
    </w:p>
    <w:p w14:paraId="0570FD3B">
      <w:pPr>
        <w:keepNext w:val="0"/>
        <w:keepLines w:val="0"/>
        <w:pageBreakBefore w:val="0"/>
        <w:widowControl w:val="0"/>
        <w:kinsoku/>
        <w:wordWrap/>
        <w:overflowPunct/>
        <w:topLinePunct w:val="0"/>
        <w:autoSpaceDE/>
        <w:autoSpaceDN/>
        <w:bidi w:val="0"/>
        <w:adjustRightInd w:val="0"/>
        <w:snapToGrid w:val="0"/>
        <w:spacing w:line="288" w:lineRule="auto"/>
        <w:ind w:firstLine="360" w:firstLineChars="100"/>
        <w:jc w:val="both"/>
        <w:textAlignment w:val="auto"/>
        <w:rPr>
          <w:rFonts w:hint="default" w:ascii="Times New Roman" w:hAnsi="Times New Roman" w:eastAsia="仿宋_GB2312" w:cs="Times New Roman"/>
          <w:color w:val="auto"/>
          <w:sz w:val="36"/>
          <w:szCs w:val="36"/>
          <w:highlight w:val="none"/>
          <w:u w:val="single"/>
          <w:lang w:val="en-US" w:eastAsia="zh-CN"/>
        </w:rPr>
      </w:pPr>
      <w:r>
        <w:rPr>
          <w:rFonts w:hint="default" w:ascii="Times New Roman" w:hAnsi="Times New Roman" w:eastAsia="仿宋_GB2312" w:cs="Times New Roman"/>
          <w:color w:val="auto"/>
          <w:sz w:val="36"/>
          <w:szCs w:val="36"/>
          <w:highlight w:val="none"/>
        </w:rPr>
        <w:t>建设单位（盖章）：</w:t>
      </w:r>
      <w:r>
        <w:rPr>
          <w:rFonts w:hint="default" w:ascii="Times New Roman" w:hAnsi="Times New Roman" w:eastAsia="仿宋_GB2312" w:cs="Times New Roman"/>
          <w:color w:val="auto"/>
          <w:sz w:val="36"/>
          <w:szCs w:val="36"/>
          <w:highlight w:val="none"/>
          <w:u w:val="single"/>
          <w:lang w:val="en-US" w:eastAsia="zh-CN"/>
        </w:rPr>
        <w:t>陕西威思曼高压电源股份有限公司</w:t>
      </w:r>
    </w:p>
    <w:p w14:paraId="1979954C">
      <w:pPr>
        <w:keepNext w:val="0"/>
        <w:keepLines w:val="0"/>
        <w:pageBreakBefore w:val="0"/>
        <w:widowControl w:val="0"/>
        <w:kinsoku/>
        <w:wordWrap/>
        <w:overflowPunct/>
        <w:topLinePunct w:val="0"/>
        <w:autoSpaceDE/>
        <w:autoSpaceDN/>
        <w:bidi w:val="0"/>
        <w:adjustRightInd w:val="0"/>
        <w:snapToGrid w:val="0"/>
        <w:spacing w:line="288" w:lineRule="auto"/>
        <w:ind w:firstLine="360" w:firstLineChars="100"/>
        <w:textAlignment w:val="auto"/>
        <w:rPr>
          <w:rFonts w:hint="default"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编制日期：</w:t>
      </w:r>
      <w:r>
        <w:rPr>
          <w:rFonts w:hint="default" w:ascii="Times New Roman" w:hAnsi="Times New Roman" w:eastAsia="仿宋_GB2312" w:cs="Times New Roman"/>
          <w:color w:val="auto"/>
          <w:sz w:val="36"/>
          <w:szCs w:val="36"/>
          <w:highlight w:val="none"/>
          <w:u w:val="single"/>
        </w:rPr>
        <w:t xml:space="preserve">    </w:t>
      </w:r>
      <w:r>
        <w:rPr>
          <w:rFonts w:hint="default" w:ascii="Times New Roman" w:hAnsi="Times New Roman" w:eastAsia="仿宋_GB2312" w:cs="Times New Roman"/>
          <w:color w:val="auto"/>
          <w:sz w:val="36"/>
          <w:szCs w:val="36"/>
          <w:highlight w:val="none"/>
          <w:u w:val="single"/>
          <w:lang w:val="en-US" w:eastAsia="zh-CN"/>
        </w:rPr>
        <w:t xml:space="preserve">     二零二六年</w:t>
      </w:r>
      <w:r>
        <w:rPr>
          <w:rFonts w:hint="eastAsia" w:eastAsia="仿宋_GB2312" w:cs="Times New Roman"/>
          <w:color w:val="auto"/>
          <w:sz w:val="36"/>
          <w:szCs w:val="36"/>
          <w:highlight w:val="none"/>
          <w:u w:val="single"/>
          <w:lang w:val="en-US" w:eastAsia="zh-CN"/>
        </w:rPr>
        <w:t>九</w:t>
      </w:r>
      <w:r>
        <w:rPr>
          <w:rFonts w:hint="default" w:ascii="Times New Roman" w:hAnsi="Times New Roman" w:eastAsia="仿宋_GB2312" w:cs="Times New Roman"/>
          <w:color w:val="auto"/>
          <w:sz w:val="36"/>
          <w:szCs w:val="36"/>
          <w:highlight w:val="none"/>
          <w:u w:val="single"/>
          <w:lang w:val="en-US" w:eastAsia="zh-CN"/>
        </w:rPr>
        <w:t>月</w:t>
      </w:r>
      <w:r>
        <w:rPr>
          <w:rFonts w:hint="default" w:ascii="Times New Roman" w:hAnsi="Times New Roman" w:eastAsia="仿宋_GB2312" w:cs="Times New Roman"/>
          <w:color w:val="auto"/>
          <w:sz w:val="36"/>
          <w:szCs w:val="36"/>
          <w:highlight w:val="none"/>
          <w:u w:val="single"/>
        </w:rPr>
        <w:t xml:space="preserve">          </w:t>
      </w:r>
    </w:p>
    <w:p w14:paraId="4EB15834">
      <w:pPr>
        <w:adjustRightInd w:val="0"/>
        <w:snapToGrid w:val="0"/>
        <w:spacing w:line="288" w:lineRule="auto"/>
        <w:rPr>
          <w:rFonts w:hint="default" w:ascii="Times New Roman" w:hAnsi="Times New Roman" w:eastAsia="仿宋_GB2312" w:cs="Times New Roman"/>
          <w:color w:val="auto"/>
          <w:sz w:val="36"/>
          <w:szCs w:val="36"/>
          <w:highlight w:val="none"/>
        </w:rPr>
      </w:pPr>
      <w:bookmarkStart w:id="0" w:name="_Hlk57884087"/>
    </w:p>
    <w:p w14:paraId="1960F686">
      <w:pPr>
        <w:adjustRightInd w:val="0"/>
        <w:snapToGrid w:val="0"/>
        <w:spacing w:line="288" w:lineRule="auto"/>
        <w:ind w:firstLine="1040"/>
        <w:rPr>
          <w:rFonts w:hint="default" w:ascii="Times New Roman" w:hAnsi="Times New Roman" w:eastAsia="仿宋_GB2312" w:cs="Times New Roman"/>
          <w:color w:val="auto"/>
          <w:sz w:val="36"/>
          <w:szCs w:val="36"/>
          <w:highlight w:val="none"/>
        </w:rPr>
      </w:pPr>
    </w:p>
    <w:bookmarkEnd w:id="0"/>
    <w:p w14:paraId="2D587654">
      <w:pPr>
        <w:adjustRightInd w:val="0"/>
        <w:snapToGrid w:val="0"/>
        <w:spacing w:line="288" w:lineRule="auto"/>
        <w:jc w:val="center"/>
        <w:rPr>
          <w:rFonts w:hint="default" w:ascii="Times New Roman" w:hAnsi="Times New Roman" w:eastAsia="楷体_GB2312" w:cs="Times New Roman"/>
          <w:color w:val="auto"/>
          <w:sz w:val="36"/>
          <w:szCs w:val="36"/>
          <w:highlight w:val="none"/>
        </w:rPr>
        <w:sectPr>
          <w:headerReference r:id="rId3" w:type="default"/>
          <w:footerReference r:id="rId4" w:type="default"/>
          <w:pgSz w:w="11906" w:h="16838"/>
          <w:pgMar w:top="1417" w:right="1417" w:bottom="1417" w:left="1417"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default" w:ascii="Times New Roman" w:hAnsi="Times New Roman" w:eastAsia="楷体_GB2312" w:cs="Times New Roman"/>
          <w:color w:val="auto"/>
          <w:sz w:val="36"/>
          <w:szCs w:val="36"/>
          <w:highlight w:val="none"/>
        </w:rPr>
        <w:t>中华人民共和国生态环境部制</w:t>
      </w:r>
    </w:p>
    <w:p w14:paraId="51D02722">
      <w:pPr>
        <w:pStyle w:val="25"/>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28"/>
        <w:tblW w:w="499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91"/>
        <w:gridCol w:w="2639"/>
        <w:gridCol w:w="2251"/>
        <w:gridCol w:w="3517"/>
      </w:tblGrid>
      <w:tr w14:paraId="54FF0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4108A08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建设项目名称</w:t>
            </w:r>
          </w:p>
        </w:tc>
        <w:tc>
          <w:tcPr>
            <w:tcW w:w="4453" w:type="pct"/>
            <w:gridSpan w:val="3"/>
            <w:noWrap w:val="0"/>
            <w:vAlign w:val="center"/>
          </w:tcPr>
          <w:p w14:paraId="2E4BD3F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威思曼智能创新产研总部基地建设</w:t>
            </w:r>
            <w:r>
              <w:rPr>
                <w:rFonts w:hint="default" w:ascii="Times New Roman" w:hAnsi="Times New Roman" w:eastAsia="宋体" w:cs="Times New Roman"/>
                <w:color w:val="auto"/>
                <w:sz w:val="24"/>
                <w:szCs w:val="24"/>
                <w:highlight w:val="none"/>
                <w:lang w:val="en-US" w:eastAsia="zh-CN"/>
              </w:rPr>
              <w:t>项目</w:t>
            </w:r>
          </w:p>
        </w:tc>
      </w:tr>
      <w:tr w14:paraId="2E6F4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68EDAC82">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项目代码</w:t>
            </w:r>
          </w:p>
        </w:tc>
        <w:tc>
          <w:tcPr>
            <w:tcW w:w="4453" w:type="pct"/>
            <w:gridSpan w:val="3"/>
            <w:noWrap w:val="0"/>
            <w:vAlign w:val="center"/>
          </w:tcPr>
          <w:p w14:paraId="3F16589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2408-611205-04-01-684789</w:t>
            </w:r>
          </w:p>
        </w:tc>
      </w:tr>
      <w:tr w14:paraId="6D824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5151BDFD">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建设单位联系人</w:t>
            </w:r>
          </w:p>
        </w:tc>
        <w:tc>
          <w:tcPr>
            <w:tcW w:w="1398" w:type="pct"/>
            <w:noWrap w:val="0"/>
            <w:vAlign w:val="center"/>
          </w:tcPr>
          <w:p w14:paraId="11159DAC">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张锦飞</w:t>
            </w:r>
          </w:p>
        </w:tc>
        <w:tc>
          <w:tcPr>
            <w:tcW w:w="1192" w:type="pct"/>
            <w:noWrap w:val="0"/>
            <w:vAlign w:val="center"/>
          </w:tcPr>
          <w:p w14:paraId="37BA442D">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1862" w:type="pct"/>
            <w:noWrap w:val="0"/>
            <w:vAlign w:val="center"/>
          </w:tcPr>
          <w:p w14:paraId="0E36FBA0">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15619546106</w:t>
            </w:r>
          </w:p>
        </w:tc>
      </w:tr>
      <w:tr w14:paraId="0235A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300A4C8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4453" w:type="pct"/>
            <w:gridSpan w:val="3"/>
            <w:noWrap w:val="0"/>
            <w:vAlign w:val="center"/>
          </w:tcPr>
          <w:p w14:paraId="78320F8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沣西新城创新港G板块咸户路以东、创智路以北、CXG东南二路以西</w:t>
            </w:r>
          </w:p>
        </w:tc>
      </w:tr>
      <w:tr w14:paraId="4E4BD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38295F0F">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4453" w:type="pct"/>
            <w:gridSpan w:val="3"/>
            <w:noWrap w:val="0"/>
            <w:vAlign w:val="center"/>
          </w:tcPr>
          <w:p w14:paraId="70291F9E">
            <w:pPr>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u w:val="single"/>
                <w:lang w:val="en-US" w:eastAsia="zh-CN"/>
              </w:rPr>
              <w:t>102</w:t>
            </w:r>
            <w:r>
              <w:rPr>
                <w:rFonts w:hint="default" w:ascii="Times New Roman" w:hAnsi="Times New Roman" w:eastAsia="宋体" w:cs="Times New Roman"/>
                <w:color w:val="auto"/>
                <w:sz w:val="24"/>
                <w:szCs w:val="24"/>
                <w:highlight w:val="none"/>
              </w:rPr>
              <w:t>度</w:t>
            </w:r>
            <w:r>
              <w:rPr>
                <w:rFonts w:hint="default" w:ascii="Times New Roman" w:hAnsi="Times New Roman" w:eastAsia="宋体" w:cs="Times New Roman"/>
                <w:color w:val="auto"/>
                <w:sz w:val="24"/>
                <w:szCs w:val="24"/>
                <w:highlight w:val="none"/>
                <w:u w:val="single"/>
                <w:lang w:val="en-US" w:eastAsia="zh-CN"/>
              </w:rPr>
              <w:t>17</w:t>
            </w:r>
            <w:r>
              <w:rPr>
                <w:rFonts w:hint="default" w:ascii="Times New Roman" w:hAnsi="Times New Roman" w:eastAsia="宋体" w:cs="Times New Roman"/>
                <w:color w:val="auto"/>
                <w:sz w:val="24"/>
                <w:szCs w:val="24"/>
                <w:highlight w:val="none"/>
              </w:rPr>
              <w:t>分</w:t>
            </w:r>
            <w:r>
              <w:rPr>
                <w:rFonts w:hint="default" w:ascii="Times New Roman" w:hAnsi="Times New Roman" w:eastAsia="宋体" w:cs="Times New Roman"/>
                <w:color w:val="auto"/>
                <w:sz w:val="24"/>
                <w:szCs w:val="24"/>
                <w:highlight w:val="none"/>
                <w:u w:val="single"/>
                <w:lang w:val="en-US" w:eastAsia="zh-CN"/>
              </w:rPr>
              <w:t>20.716</w:t>
            </w:r>
            <w:r>
              <w:rPr>
                <w:rFonts w:hint="default" w:ascii="Times New Roman" w:hAnsi="Times New Roman" w:eastAsia="宋体" w:cs="Times New Roman"/>
                <w:color w:val="auto"/>
                <w:sz w:val="24"/>
                <w:szCs w:val="24"/>
                <w:highlight w:val="none"/>
              </w:rPr>
              <w:t>秒，</w:t>
            </w:r>
            <w:r>
              <w:rPr>
                <w:rFonts w:hint="default" w:ascii="Times New Roman" w:hAnsi="Times New Roman" w:eastAsia="宋体" w:cs="Times New Roman"/>
                <w:color w:val="auto"/>
                <w:sz w:val="24"/>
                <w:szCs w:val="24"/>
                <w:highlight w:val="none"/>
                <w:u w:val="single"/>
                <w:lang w:val="en-US" w:eastAsia="zh-CN"/>
              </w:rPr>
              <w:t>38</w:t>
            </w:r>
            <w:r>
              <w:rPr>
                <w:rFonts w:hint="default" w:ascii="Times New Roman" w:hAnsi="Times New Roman" w:eastAsia="宋体" w:cs="Times New Roman"/>
                <w:color w:val="auto"/>
                <w:sz w:val="24"/>
                <w:szCs w:val="24"/>
                <w:highlight w:val="none"/>
              </w:rPr>
              <w:t>度</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u w:val="single"/>
                <w:lang w:val="en-US" w:eastAsia="zh-CN"/>
              </w:rPr>
              <w:t>1</w:t>
            </w:r>
            <w:r>
              <w:rPr>
                <w:rFonts w:hint="default" w:ascii="Times New Roman" w:hAnsi="Times New Roman" w:eastAsia="宋体" w:cs="Times New Roman"/>
                <w:color w:val="auto"/>
                <w:sz w:val="24"/>
                <w:szCs w:val="24"/>
                <w:highlight w:val="none"/>
              </w:rPr>
              <w:t>分</w:t>
            </w:r>
            <w:r>
              <w:rPr>
                <w:rFonts w:hint="default" w:ascii="Times New Roman" w:hAnsi="Times New Roman" w:eastAsia="宋体" w:cs="Times New Roman"/>
                <w:color w:val="auto"/>
                <w:sz w:val="24"/>
                <w:szCs w:val="24"/>
                <w:highlight w:val="none"/>
                <w:u w:val="single"/>
                <w:lang w:val="en-US" w:eastAsia="zh-CN"/>
              </w:rPr>
              <w:t>21.972</w:t>
            </w:r>
            <w:r>
              <w:rPr>
                <w:rFonts w:hint="default" w:ascii="Times New Roman" w:hAnsi="Times New Roman" w:eastAsia="宋体" w:cs="Times New Roman"/>
                <w:color w:val="auto"/>
                <w:sz w:val="24"/>
                <w:szCs w:val="24"/>
                <w:highlight w:val="none"/>
              </w:rPr>
              <w:t>秒）</w:t>
            </w:r>
          </w:p>
        </w:tc>
      </w:tr>
      <w:tr w14:paraId="01D6F9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50058049">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国民经济</w:t>
            </w:r>
          </w:p>
          <w:p w14:paraId="2D78D52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p>
        </w:tc>
        <w:tc>
          <w:tcPr>
            <w:tcW w:w="1398" w:type="pct"/>
            <w:noWrap w:val="0"/>
            <w:vAlign w:val="center"/>
          </w:tcPr>
          <w:p w14:paraId="20B7553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C3839其他电工器材制造</w:t>
            </w:r>
          </w:p>
        </w:tc>
        <w:tc>
          <w:tcPr>
            <w:tcW w:w="1192" w:type="pct"/>
            <w:noWrap w:val="0"/>
            <w:vAlign w:val="center"/>
          </w:tcPr>
          <w:p w14:paraId="59F321D9">
            <w:pPr>
              <w:adjustRightInd w:val="0"/>
              <w:snapToGrid w:val="0"/>
              <w:jc w:val="center"/>
              <w:rPr>
                <w:rFonts w:hint="default" w:ascii="Times New Roman" w:hAnsi="Times New Roman" w:eastAsia="宋体" w:cs="Times New Roman"/>
                <w:color w:val="auto"/>
                <w:sz w:val="24"/>
                <w:szCs w:val="24"/>
                <w:highlight w:val="none"/>
              </w:rPr>
            </w:pPr>
            <w:bookmarkStart w:id="1" w:name="_Hlk49843745"/>
            <w:r>
              <w:rPr>
                <w:rFonts w:hint="default" w:ascii="Times New Roman" w:hAnsi="Times New Roman" w:eastAsia="宋体" w:cs="Times New Roman"/>
                <w:color w:val="auto"/>
                <w:sz w:val="24"/>
                <w:szCs w:val="24"/>
                <w:highlight w:val="none"/>
              </w:rPr>
              <w:t>建设项目</w:t>
            </w:r>
          </w:p>
          <w:p w14:paraId="5E025E5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bookmarkEnd w:id="1"/>
          </w:p>
        </w:tc>
        <w:tc>
          <w:tcPr>
            <w:tcW w:w="1862" w:type="pct"/>
            <w:noWrap w:val="0"/>
            <w:vAlign w:val="center"/>
          </w:tcPr>
          <w:p w14:paraId="514E7938">
            <w:pPr>
              <w:adjustRightInd w:val="0"/>
              <w:snapToGrid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三十五、电气机械和器材制造业38电线、电缆、光缆及电工器材制造383</w:t>
            </w:r>
          </w:p>
        </w:tc>
      </w:tr>
      <w:tr w14:paraId="3ADB6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726F80D8">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p>
        </w:tc>
        <w:tc>
          <w:tcPr>
            <w:tcW w:w="1398" w:type="pct"/>
            <w:noWrap w:val="0"/>
            <w:vAlign w:val="center"/>
          </w:tcPr>
          <w:p w14:paraId="304DD108">
            <w:pPr>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新建（迁建）</w:t>
            </w:r>
          </w:p>
          <w:p w14:paraId="483EBBF1">
            <w:pPr>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14:paraId="65ABC56D">
            <w:pPr>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14:paraId="178D61FB">
            <w:pPr>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1192" w:type="pct"/>
            <w:noWrap w:val="0"/>
            <w:vAlign w:val="center"/>
          </w:tcPr>
          <w:p w14:paraId="48AD1EF6">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14:paraId="2A128EE6">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1862" w:type="pct"/>
            <w:noWrap w:val="0"/>
            <w:vAlign w:val="center"/>
          </w:tcPr>
          <w:p w14:paraId="63AE2C31">
            <w:pPr>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 xml:space="preserve">首次申报项目             </w:t>
            </w:r>
          </w:p>
          <w:p w14:paraId="0B3F92A6">
            <w:pPr>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不予批准后再次申报项目</w:t>
            </w:r>
          </w:p>
          <w:p w14:paraId="0155B3D0">
            <w:pPr>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 xml:space="preserve">超五年重新审核项目     </w:t>
            </w:r>
          </w:p>
          <w:p w14:paraId="6A3836B4">
            <w:pPr>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重大变动重新报批项目</w:t>
            </w:r>
          </w:p>
        </w:tc>
      </w:tr>
      <w:tr w14:paraId="47857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26" w:hRule="atLeast"/>
          <w:jc w:val="center"/>
        </w:trPr>
        <w:tc>
          <w:tcPr>
            <w:tcW w:w="546" w:type="pct"/>
            <w:noWrap w:val="0"/>
            <w:tcMar>
              <w:top w:w="16" w:type="dxa"/>
              <w:left w:w="16" w:type="dxa"/>
              <w:right w:w="16" w:type="dxa"/>
            </w:tcMar>
            <w:vAlign w:val="center"/>
          </w:tcPr>
          <w:p w14:paraId="51B3672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4DF11D49">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备案）部门（选填）</w:t>
            </w:r>
          </w:p>
        </w:tc>
        <w:tc>
          <w:tcPr>
            <w:tcW w:w="1398" w:type="pct"/>
            <w:noWrap w:val="0"/>
            <w:vAlign w:val="center"/>
          </w:tcPr>
          <w:p w14:paraId="0A9B37A0">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陕西省西咸新区沣西新城管理委员会</w:t>
            </w:r>
          </w:p>
        </w:tc>
        <w:tc>
          <w:tcPr>
            <w:tcW w:w="1192" w:type="pct"/>
            <w:noWrap w:val="0"/>
            <w:vAlign w:val="center"/>
          </w:tcPr>
          <w:p w14:paraId="6303142B">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30B87DE5">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1862" w:type="pct"/>
            <w:noWrap w:val="0"/>
            <w:vAlign w:val="center"/>
          </w:tcPr>
          <w:p w14:paraId="45568544">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004BEC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448851BF">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总投资（万元）</w:t>
            </w:r>
          </w:p>
        </w:tc>
        <w:tc>
          <w:tcPr>
            <w:tcW w:w="1398" w:type="pct"/>
            <w:noWrap w:val="0"/>
            <w:vAlign w:val="center"/>
          </w:tcPr>
          <w:p w14:paraId="6D9F3695">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25000</w:t>
            </w:r>
          </w:p>
        </w:tc>
        <w:tc>
          <w:tcPr>
            <w:tcW w:w="1192" w:type="pct"/>
            <w:noWrap w:val="0"/>
            <w:tcMar>
              <w:top w:w="16" w:type="dxa"/>
              <w:left w:w="16" w:type="dxa"/>
              <w:right w:w="16" w:type="dxa"/>
            </w:tcMar>
            <w:vAlign w:val="center"/>
          </w:tcPr>
          <w:p w14:paraId="668869DF">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1862" w:type="pct"/>
            <w:noWrap w:val="0"/>
            <w:vAlign w:val="center"/>
          </w:tcPr>
          <w:p w14:paraId="50F2FD15">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129.0</w:t>
            </w:r>
          </w:p>
        </w:tc>
      </w:tr>
      <w:tr w14:paraId="500FC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75B16D72">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1398" w:type="pct"/>
            <w:noWrap w:val="0"/>
            <w:vAlign w:val="center"/>
          </w:tcPr>
          <w:p w14:paraId="5AD4F444">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0.</w:t>
            </w:r>
            <w:r>
              <w:rPr>
                <w:rFonts w:hint="eastAsia" w:cs="Times New Roman"/>
                <w:color w:val="auto"/>
                <w:sz w:val="24"/>
                <w:szCs w:val="24"/>
                <w:highlight w:val="none"/>
                <w:lang w:val="en-US" w:eastAsia="zh-CN"/>
              </w:rPr>
              <w:t>52</w:t>
            </w:r>
          </w:p>
        </w:tc>
        <w:tc>
          <w:tcPr>
            <w:tcW w:w="1192" w:type="pct"/>
            <w:noWrap w:val="0"/>
            <w:tcMar>
              <w:top w:w="16" w:type="dxa"/>
              <w:left w:w="16" w:type="dxa"/>
              <w:right w:w="16" w:type="dxa"/>
            </w:tcMar>
            <w:vAlign w:val="center"/>
          </w:tcPr>
          <w:p w14:paraId="73BD606C">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1862" w:type="pct"/>
            <w:noWrap w:val="0"/>
            <w:vAlign w:val="center"/>
          </w:tcPr>
          <w:p w14:paraId="205706A8">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15个月</w:t>
            </w:r>
          </w:p>
        </w:tc>
      </w:tr>
      <w:tr w14:paraId="494D3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546" w:type="pct"/>
            <w:noWrap w:val="0"/>
            <w:tcMar>
              <w:top w:w="16" w:type="dxa"/>
              <w:left w:w="16" w:type="dxa"/>
              <w:right w:w="16" w:type="dxa"/>
            </w:tcMar>
            <w:vAlign w:val="center"/>
          </w:tcPr>
          <w:p w14:paraId="63ED339D">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是否开工建设</w:t>
            </w:r>
          </w:p>
        </w:tc>
        <w:tc>
          <w:tcPr>
            <w:tcW w:w="1398" w:type="pct"/>
            <w:noWrap w:val="0"/>
            <w:vAlign w:val="center"/>
          </w:tcPr>
          <w:p w14:paraId="10A5027F">
            <w:pPr>
              <w:adjustRightInd w:val="0"/>
              <w:snapToGrid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52"/>
            </w:r>
            <w:r>
              <w:rPr>
                <w:rFonts w:hint="default" w:ascii="Times New Roman" w:hAnsi="Times New Roman" w:eastAsia="宋体" w:cs="Times New Roman"/>
                <w:color w:val="auto"/>
                <w:sz w:val="24"/>
                <w:szCs w:val="24"/>
                <w:highlight w:val="none"/>
              </w:rPr>
              <w:t>否</w:t>
            </w:r>
          </w:p>
          <w:p w14:paraId="79AE3DA6">
            <w:pPr>
              <w:adjustRightInd w:val="0"/>
              <w:snapToGrid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2" w:char="00A3"/>
            </w:r>
            <w:r>
              <w:rPr>
                <w:rFonts w:hint="default" w:ascii="Times New Roman" w:hAnsi="Times New Roman" w:eastAsia="宋体" w:cs="Times New Roman"/>
                <w:color w:val="auto"/>
                <w:sz w:val="24"/>
                <w:szCs w:val="24"/>
                <w:highlight w:val="none"/>
              </w:rPr>
              <w:t>是：</w:t>
            </w:r>
            <w:r>
              <w:rPr>
                <w:rFonts w:hint="default" w:ascii="Times New Roman" w:hAnsi="Times New Roman" w:eastAsia="宋体" w:cs="Times New Roman"/>
                <w:color w:val="auto"/>
                <w:sz w:val="24"/>
                <w:szCs w:val="24"/>
                <w:highlight w:val="none"/>
                <w:u w:val="single"/>
              </w:rPr>
              <w:t xml:space="preserve">             </w:t>
            </w:r>
          </w:p>
        </w:tc>
        <w:tc>
          <w:tcPr>
            <w:tcW w:w="1192" w:type="pct"/>
            <w:noWrap w:val="0"/>
            <w:tcMar>
              <w:top w:w="16" w:type="dxa"/>
              <w:left w:w="16" w:type="dxa"/>
              <w:right w:w="16" w:type="dxa"/>
            </w:tcMar>
            <w:vAlign w:val="center"/>
          </w:tcPr>
          <w:p w14:paraId="7C2DF17B">
            <w:pPr>
              <w:adjustRightInd w:val="0"/>
              <w:snapToGrid w:val="0"/>
              <w:jc w:val="center"/>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6"/>
                <w:sz w:val="24"/>
                <w:szCs w:val="24"/>
                <w:highlight w:val="none"/>
              </w:rPr>
              <w:t>用地（用海）</w:t>
            </w:r>
          </w:p>
          <w:p w14:paraId="7E7DBBD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面积（m</w:t>
            </w:r>
            <w:r>
              <w:rPr>
                <w:rFonts w:hint="default" w:ascii="Times New Roman" w:hAnsi="Times New Roman" w:eastAsia="宋体" w:cs="Times New Roman"/>
                <w:color w:val="auto"/>
                <w:spacing w:val="-6"/>
                <w:sz w:val="24"/>
                <w:szCs w:val="24"/>
                <w:highlight w:val="none"/>
                <w:vertAlign w:val="superscript"/>
              </w:rPr>
              <w:t>2</w:t>
            </w:r>
            <w:r>
              <w:rPr>
                <w:rFonts w:hint="default" w:ascii="Times New Roman" w:hAnsi="Times New Roman" w:eastAsia="宋体" w:cs="Times New Roman"/>
                <w:color w:val="auto"/>
                <w:spacing w:val="-6"/>
                <w:sz w:val="24"/>
                <w:szCs w:val="24"/>
                <w:highlight w:val="none"/>
              </w:rPr>
              <w:t>）</w:t>
            </w:r>
          </w:p>
        </w:tc>
        <w:tc>
          <w:tcPr>
            <w:tcW w:w="1862" w:type="pct"/>
            <w:noWrap w:val="0"/>
            <w:vAlign w:val="center"/>
          </w:tcPr>
          <w:p w14:paraId="217886C0">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25890.24</w:t>
            </w:r>
          </w:p>
        </w:tc>
      </w:tr>
      <w:tr w14:paraId="12ADE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6" w:type="pct"/>
            <w:noWrap w:val="0"/>
            <w:vAlign w:val="center"/>
          </w:tcPr>
          <w:p w14:paraId="665353EA">
            <w:pPr>
              <w:autoSpaceDE w:val="0"/>
              <w:autoSpaceDN w:val="0"/>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专项评价设置情况</w:t>
            </w:r>
          </w:p>
        </w:tc>
        <w:tc>
          <w:tcPr>
            <w:tcW w:w="4453" w:type="pct"/>
            <w:gridSpan w:val="3"/>
            <w:noWrap w:val="0"/>
            <w:vAlign w:val="center"/>
          </w:tcPr>
          <w:p w14:paraId="413C99A4">
            <w:pPr>
              <w:autoSpaceDE w:val="0"/>
              <w:autoSpaceDN w:val="0"/>
              <w:adjustRightInd w:val="0"/>
              <w:snapToGrid w:val="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026F5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6" w:type="pct"/>
            <w:noWrap w:val="0"/>
            <w:vAlign w:val="center"/>
          </w:tcPr>
          <w:p w14:paraId="370B3C1A">
            <w:pPr>
              <w:autoSpaceDE w:val="0"/>
              <w:autoSpaceDN w:val="0"/>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t>规划情况</w:t>
            </w:r>
          </w:p>
        </w:tc>
        <w:tc>
          <w:tcPr>
            <w:tcW w:w="4453" w:type="pct"/>
            <w:gridSpan w:val="3"/>
            <w:noWrap w:val="0"/>
            <w:vAlign w:val="center"/>
          </w:tcPr>
          <w:p w14:paraId="7CB276EC">
            <w:pPr>
              <w:autoSpaceDE w:val="0"/>
              <w:autoSpaceDN w:val="0"/>
              <w:adjustRightInd w:val="0"/>
              <w:snapToGrid w:val="0"/>
              <w:spacing w:line="360" w:lineRule="auto"/>
              <w:jc w:val="both"/>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规划名称：《西咸新区沣西新城分区规划（2016~2035年）》</w:t>
            </w:r>
          </w:p>
          <w:p w14:paraId="756F54D6">
            <w:pPr>
              <w:autoSpaceDE w:val="0"/>
              <w:autoSpaceDN w:val="0"/>
              <w:adjustRightInd w:val="0"/>
              <w:snapToGrid w:val="0"/>
              <w:spacing w:line="360" w:lineRule="auto"/>
              <w:jc w:val="both"/>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规划审批机关：陕西省西咸新区开发建设管理委员会</w:t>
            </w:r>
          </w:p>
          <w:p w14:paraId="2A567563">
            <w:pPr>
              <w:autoSpaceDE w:val="0"/>
              <w:autoSpaceDN w:val="0"/>
              <w:adjustRightInd w:val="0"/>
              <w:snapToGrid w:val="0"/>
              <w:spacing w:line="360" w:lineRule="auto"/>
              <w:jc w:val="both"/>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审批文件名称及文号：陕西省西咸新区开发建设管理委员会关于《西咸新区沣西新城分区规划》的批复（陕西咸函〔2011〕123号）</w:t>
            </w:r>
          </w:p>
        </w:tc>
      </w:tr>
      <w:tr w14:paraId="63D97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6" w:type="pct"/>
            <w:noWrap w:val="0"/>
            <w:vAlign w:val="center"/>
          </w:tcPr>
          <w:p w14:paraId="3586FCE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w:t>
            </w:r>
          </w:p>
          <w:p w14:paraId="5486C019">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t>评价情况</w:t>
            </w:r>
          </w:p>
        </w:tc>
        <w:tc>
          <w:tcPr>
            <w:tcW w:w="4453" w:type="pct"/>
            <w:gridSpan w:val="3"/>
            <w:noWrap w:val="0"/>
            <w:vAlign w:val="center"/>
          </w:tcPr>
          <w:p w14:paraId="1046663C">
            <w:pPr>
              <w:autoSpaceDE w:val="0"/>
              <w:autoSpaceDN w:val="0"/>
              <w:adjustRightInd w:val="0"/>
              <w:snapToGrid w:val="0"/>
              <w:spacing w:line="360" w:lineRule="auto"/>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规划环评名称：《西咸新区沣西新城分区规划（2016~2035）环境影响报告书》</w:t>
            </w:r>
          </w:p>
          <w:p w14:paraId="47131FC9">
            <w:pPr>
              <w:autoSpaceDE w:val="0"/>
              <w:autoSpaceDN w:val="0"/>
              <w:adjustRightInd w:val="0"/>
              <w:snapToGrid w:val="0"/>
              <w:spacing w:line="360" w:lineRule="auto"/>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召集审查机关：陕西省西咸新区环境保护局（现更名为西安市生态环境局西咸新区分局）</w:t>
            </w:r>
          </w:p>
          <w:p w14:paraId="5E91C8C9">
            <w:pPr>
              <w:autoSpaceDE w:val="0"/>
              <w:autoSpaceDN w:val="0"/>
              <w:adjustRightInd w:val="0"/>
              <w:snapToGrid w:val="0"/>
              <w:spacing w:line="360" w:lineRule="auto"/>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审查文件名称及文号：陕西省西咸新区环境保护局关于《西咸新区沣西新城分区规划（2016-2035）环境影响报告书》审查意见的函（陕西咸环函〔2018〕61号）</w:t>
            </w:r>
          </w:p>
        </w:tc>
      </w:tr>
      <w:tr w14:paraId="01D464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6" w:type="pct"/>
            <w:noWrap w:val="0"/>
            <w:vAlign w:val="center"/>
          </w:tcPr>
          <w:p w14:paraId="79B5B08D">
            <w:pPr>
              <w:autoSpaceDE w:val="0"/>
              <w:autoSpaceDN w:val="0"/>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规划及规划环境影响评价符合性分析</w:t>
            </w:r>
          </w:p>
        </w:tc>
        <w:tc>
          <w:tcPr>
            <w:tcW w:w="4453" w:type="pct"/>
            <w:gridSpan w:val="3"/>
            <w:noWrap w:val="0"/>
            <w:vAlign w:val="center"/>
          </w:tcPr>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5"/>
              <w:gridCol w:w="2809"/>
              <w:gridCol w:w="2778"/>
              <w:gridCol w:w="736"/>
            </w:tblGrid>
            <w:tr w14:paraId="5310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pct"/>
                  <w:vAlign w:val="center"/>
                </w:tcPr>
                <w:p w14:paraId="7C1113B0">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文件</w:t>
                  </w:r>
                </w:p>
              </w:tc>
              <w:tc>
                <w:tcPr>
                  <w:tcW w:w="1717" w:type="pct"/>
                  <w:vAlign w:val="center"/>
                </w:tcPr>
                <w:p w14:paraId="41802C1F">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规划要求</w:t>
                  </w:r>
                </w:p>
              </w:tc>
              <w:tc>
                <w:tcPr>
                  <w:tcW w:w="1698" w:type="pct"/>
                  <w:vAlign w:val="center"/>
                </w:tcPr>
                <w:p w14:paraId="13C25DCE">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本项目情况</w:t>
                  </w:r>
                </w:p>
              </w:tc>
              <w:tc>
                <w:tcPr>
                  <w:tcW w:w="449" w:type="pct"/>
                  <w:vAlign w:val="center"/>
                </w:tcPr>
                <w:p w14:paraId="294F0252">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符合性</w:t>
                  </w:r>
                </w:p>
              </w:tc>
            </w:tr>
            <w:tr w14:paraId="5CC9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pct"/>
                  <w:vAlign w:val="center"/>
                </w:tcPr>
                <w:p w14:paraId="468D1016">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《西咸新区沣西新城分区规划（2016-2035年）》</w:t>
                  </w:r>
                </w:p>
              </w:tc>
              <w:tc>
                <w:tcPr>
                  <w:tcW w:w="1717" w:type="pct"/>
                  <w:vAlign w:val="center"/>
                </w:tcPr>
                <w:p w14:paraId="5BE2FE3B">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规划范围：沣西新城位于西安市与咸阳市接壤部，包括鄠邑区的大王镇，长安区的马王街道、高桥乡，秦都区的钓台、陈杨寨街道，总面积 142.77 平方千米。沣西新城行业准入条件：南部工业区-新能源、新材料、节能环保、智能制造/高端装备、电子电气电源模块、新型建材、生物研发、现代仓储物流、资源循环利用相关产业、现代仓储物流产业、农产品加工、新型建材行业、生物研发行业。</w:t>
                  </w:r>
                </w:p>
              </w:tc>
              <w:tc>
                <w:tcPr>
                  <w:tcW w:w="1698" w:type="pct"/>
                  <w:vAlign w:val="center"/>
                </w:tcPr>
                <w:p w14:paraId="33F42338">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本项目地处鄠邑区大王镇，位于沣西新城分区规划范围内；本项目主要涉及其他电工器材制造，且位于南部工业区内，属于沣西新城准入行业中的电子电气电源模块，符合沣西新城准入条件。</w:t>
                  </w:r>
                </w:p>
              </w:tc>
              <w:tc>
                <w:tcPr>
                  <w:tcW w:w="449" w:type="pct"/>
                  <w:vAlign w:val="center"/>
                </w:tcPr>
                <w:p w14:paraId="7750EF12">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2DA9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34" w:type="pct"/>
                  <w:vAlign w:val="center"/>
                </w:tcPr>
                <w:p w14:paraId="0C0DF24A">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《西咸新区沣西新城分区规划（2016-2035）环境影响报告书》</w:t>
                  </w:r>
                </w:p>
              </w:tc>
              <w:tc>
                <w:tcPr>
                  <w:tcW w:w="1717" w:type="pct"/>
                  <w:vAlign w:val="center"/>
                </w:tcPr>
                <w:p w14:paraId="757D4165">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①对产业的引入采取“底线控制、优势相关、鼓励创新”的原则，底线控制即淘汰三高（高污染、高耗能、高耗水，如铸造、化工等），凡是非三高企业都可引入；</w:t>
                  </w:r>
                </w:p>
                <w:p w14:paraId="2FA25FFD">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②区内建设污水处理厂，对地表水有较大的改善，但考虑到距离最终的规划目标仍有差距，评价要求严禁高耗水、高排水企业入驻区内，严格控制污水外排；</w:t>
                  </w:r>
                </w:p>
                <w:p w14:paraId="31B5D6E2">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合理规划区内环卫基础设施建设，针对固废的不同性质，采取相应的处置措施。推行生活垃圾分类收集，提高生活垃圾无害化处理率和固体废物的综合利用率。固废须按照《一般工业固体废物贮存、处置场污染控制标准》（GB18599-2001）要求，进行贮存和处置，危废的产生和管理按照陕西省环境保护厅颁发的《危险废物转移联单管理办法》等有关规定文件的要求，收集后送往危废处理处置中心。</w:t>
                  </w:r>
                </w:p>
              </w:tc>
              <w:tc>
                <w:tcPr>
                  <w:tcW w:w="1698" w:type="pct"/>
                  <w:vAlign w:val="center"/>
                </w:tcPr>
                <w:p w14:paraId="52CAA2E4">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①本项目主要从事高压电源组装制造，能源消耗主要为水、电、天然气，不属于高污染、高耗能、高耗水企业；</w:t>
                  </w:r>
                </w:p>
                <w:p w14:paraId="7FBCE507">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②本项目不属于高耗水、高排水企业，</w:t>
                  </w:r>
                  <w:r>
                    <w:rPr>
                      <w:rFonts w:hint="eastAsia" w:cs="Times New Roman"/>
                      <w:color w:val="auto"/>
                      <w:highlight w:val="none"/>
                      <w:lang w:val="en-US" w:eastAsia="zh-CN"/>
                    </w:rPr>
                    <w:t>空调冷水机组</w:t>
                  </w:r>
                  <w:r>
                    <w:rPr>
                      <w:rFonts w:hint="default" w:ascii="Times New Roman" w:hAnsi="Times New Roman" w:cs="Times New Roman"/>
                      <w:color w:val="auto"/>
                      <w:highlight w:val="none"/>
                      <w:lang w:val="en-US" w:eastAsia="zh-CN"/>
                    </w:rPr>
                    <w:t>所用冷却水循环使用，定期补充损耗，不外排；纯水机制备纯水产生的部分浓水回用于道路浇洒用水，多余的浓水经市政污水管网排入沣西新城大王污水处理厂</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食堂废水经油水分离器处理后与生活污水经化粪池预处理后通过市政污水管网排至沣西新城大王污水处理厂进一步处理；</w:t>
                  </w:r>
                </w:p>
                <w:p w14:paraId="5515B37E">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本项目生活垃圾设置垃圾桶收集后，委托环卫部门定期清运；一般固体废物按照《一般工业固体废弃物贮存和填埋污染控制标准》（GB18599-2020）要求进行贮存和处置；危险废物按照《危险废物贮存污染控制标准》（GB18597-2023）要求进行贮存，定期交由有资质单位处置。</w:t>
                  </w:r>
                </w:p>
              </w:tc>
              <w:tc>
                <w:tcPr>
                  <w:tcW w:w="449" w:type="pct"/>
                  <w:vAlign w:val="center"/>
                </w:tcPr>
                <w:p w14:paraId="7DD1C106">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r w14:paraId="5FC7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pct"/>
                  <w:vAlign w:val="center"/>
                </w:tcPr>
                <w:p w14:paraId="6DD827C6">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《西咸新区沣西新城分区规划（2016-2035 年）环境影响报告书》审查意见（陕西咸环函〔2018〕61 号）</w:t>
                  </w:r>
                </w:p>
              </w:tc>
              <w:tc>
                <w:tcPr>
                  <w:tcW w:w="1717" w:type="pct"/>
                  <w:vAlign w:val="center"/>
                </w:tcPr>
                <w:p w14:paraId="72478395">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加强规划引导，坚持生态优先、绿色集约发展，突出城市与产业协调发展的理念。严格落实生态保护红线、环境质量底线、资源利用上线和环境准入负面清单管控要求。强化“三线一单”在优布局、控规模及对项目环境准入的强制约束作用。严禁“三高一低”项目入区，采用总量控制方式，限制大气污染物及水污染物排放量大的项目入区。引进项目的生产工艺、设备、污染治理技术，以及单位产品能耗、物耗、污染物排放和资源利用率等均需达到同行业国际先进水平，落实《报告书》提出的环境要求；</w:t>
                  </w:r>
                </w:p>
                <w:p w14:paraId="640AA16F">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严守环境质量底线，落实污染物总量管控要求。根据国家、陕西省、西咸新区有关大气、水、土壤污染防治行动计划相关要求，制定区域污染物减排方案，采取有效措施减少主要污染物和挥发性有机物等排放总量，实现区域环境质量改善目标；</w:t>
                  </w:r>
                </w:p>
                <w:p w14:paraId="25C7F3B9">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③结合区域大气环境质量改善目标要求，明确无煤化城市建设阶段性目标，进一步优化能源结构，加大无干热岩供热技术的应用推广。加强挥发性有机物产生企业监督管理，强化移动源污染防治；</w:t>
                  </w:r>
                </w:p>
                <w:p w14:paraId="4EE759D6">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④结合区域水环境质量改善目标的要求，提高再生水回用率，提高污水厂管理标准；落实畜禽养殖禁养、景观水体建设等措施；</w:t>
                  </w:r>
                </w:p>
                <w:p w14:paraId="3C46BA46">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⑤结合规划及水源地保护相关法律法规，加强水源地保护，全力保障饮用水安全；</w:t>
                  </w:r>
                </w:p>
                <w:p w14:paraId="23E2F062">
                  <w:pPr>
                    <w:pStyle w:val="53"/>
                    <w:bidi w:val="0"/>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⑥积极开展垃圾分类试点建设，加强固体废弃物特别是危险废物的集中处理处置。</w:t>
                  </w:r>
                </w:p>
              </w:tc>
              <w:tc>
                <w:tcPr>
                  <w:tcW w:w="1698" w:type="pct"/>
                  <w:vAlign w:val="center"/>
                </w:tcPr>
                <w:p w14:paraId="0AB13832">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本项目位于沣西新城创新港G板块咸户路以东、创智路以北、CXG东南二路以西，位于西安市生态环境分区管控重点管控单元内，运营期产生的各污染物均采取相应环保措施，符合西安市“三线一单”生态环境分区管控方案的要求；</w:t>
                  </w:r>
                </w:p>
                <w:p w14:paraId="06158206">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本项目生产过程中产生的废气为焊接环节产生的焊接烟尘、清洗环节清洗剂挥发产生的有机废气、灌封与烘干过程产生的有机废气，本项目生产过程中产生的废气均采用集气罩＋过滤棉+二级活性炭吸附装置处理后经34m高排气筒达标排放，排放浓度与排放速率符合《大气污染物综合排放标准》（GB 16297-1996）表2限值要求；本项目生产废水为纯水机浓水，部分浓水回用于道路浇洒用水，多余的浓水经市政污水管网排入沣西新城大王污水处理厂</w:t>
                  </w:r>
                  <w:r>
                    <w:rPr>
                      <w:rFonts w:hint="eastAsia" w:cs="Times New Roman"/>
                      <w:color w:val="auto"/>
                      <w:highlight w:val="none"/>
                      <w:lang w:val="en-US" w:eastAsia="zh-CN"/>
                    </w:rPr>
                    <w:t>；空调冷水机组</w:t>
                  </w:r>
                  <w:r>
                    <w:rPr>
                      <w:rFonts w:hint="default" w:ascii="Times New Roman" w:hAnsi="Times New Roman" w:cs="Times New Roman"/>
                      <w:color w:val="auto"/>
                      <w:highlight w:val="none"/>
                      <w:lang w:val="en-US" w:eastAsia="zh-CN"/>
                    </w:rPr>
                    <w:t>所用冷却水循环使用，定期补充损耗，不外排；食堂废水经油水分离器处理后与生活污水经化粪池预处理后通过市政污水管网排至沣西新城大王污水处理厂进一步处理，本项目符合污染物总量管控要求；</w:t>
                  </w:r>
                </w:p>
                <w:p w14:paraId="291AEBB9">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③本项目供热不涉及煤炭的使用；</w:t>
                  </w:r>
                </w:p>
                <w:p w14:paraId="10E97213">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④本项目生产废水为纯水机浓水，部分浓水回用于道路浇洒用水，多余的浓水经市政污水管网排入沣西新城大王污水处理厂</w:t>
                  </w:r>
                  <w:r>
                    <w:rPr>
                      <w:rFonts w:hint="eastAsia" w:cs="Times New Roman"/>
                      <w:color w:val="auto"/>
                      <w:highlight w:val="none"/>
                      <w:lang w:val="en-US" w:eastAsia="zh-CN"/>
                    </w:rPr>
                    <w:t>；空调冷水机组</w:t>
                  </w:r>
                  <w:r>
                    <w:rPr>
                      <w:rFonts w:hint="default" w:ascii="Times New Roman" w:hAnsi="Times New Roman" w:cs="Times New Roman"/>
                      <w:color w:val="auto"/>
                      <w:highlight w:val="none"/>
                      <w:lang w:val="en-US" w:eastAsia="zh-CN"/>
                    </w:rPr>
                    <w:t>所用冷却水循环使用，定期补充损耗，不外排；食堂废水经油水分离器处理后与生活污水经化粪池预处理后通过市政污水管网排至沣西新城大王污水处理厂进一步处理；</w:t>
                  </w:r>
                </w:p>
                <w:p w14:paraId="23B0E947">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⑤本项目不涉及水源保护区；</w:t>
                  </w:r>
                </w:p>
                <w:p w14:paraId="17D1887D">
                  <w:pPr>
                    <w:pStyle w:val="53"/>
                    <w:bidi w:val="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本项目生活垃圾设垃圾桶收集后由环卫部门定期清运；一般固体废物（废零件）分类收集后暂存于一般固废暂存处，委托一般固废回收单位回收综合利用；危险废物（废清洗剂、不合格电路板、废活性炭等）分类收集后暂存于危废贮存库，交由有资质单位处置。</w:t>
                  </w:r>
                </w:p>
              </w:tc>
              <w:tc>
                <w:tcPr>
                  <w:tcW w:w="449" w:type="pct"/>
                  <w:vAlign w:val="center"/>
                </w:tcPr>
                <w:p w14:paraId="2CF87A16">
                  <w:pPr>
                    <w:pStyle w:val="5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符合</w:t>
                  </w:r>
                </w:p>
              </w:tc>
            </w:tr>
          </w:tbl>
          <w:p w14:paraId="437FD716">
            <w:pPr>
              <w:autoSpaceDE w:val="0"/>
              <w:autoSpaceDN w:val="0"/>
              <w:adjustRightInd w:val="0"/>
              <w:snapToGrid w:val="0"/>
              <w:spacing w:line="360" w:lineRule="auto"/>
              <w:jc w:val="both"/>
              <w:rPr>
                <w:rFonts w:hint="default" w:ascii="Times New Roman" w:hAnsi="Times New Roman" w:eastAsia="宋体" w:cs="Times New Roman"/>
                <w:color w:val="auto"/>
                <w:kern w:val="0"/>
                <w:sz w:val="24"/>
                <w:szCs w:val="24"/>
                <w:highlight w:val="none"/>
                <w:lang w:val="en-US" w:eastAsia="zh-CN"/>
              </w:rPr>
            </w:pPr>
          </w:p>
        </w:tc>
      </w:tr>
      <w:tr w14:paraId="720B1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6" w:type="pct"/>
            <w:noWrap w:val="0"/>
            <w:vAlign w:val="center"/>
          </w:tcPr>
          <w:p w14:paraId="6FD2A388">
            <w:pPr>
              <w:numPr>
                <w:ilvl w:val="0"/>
                <w:numId w:val="0"/>
              </w:numPr>
              <w:autoSpaceDE w:val="0"/>
              <w:autoSpaceDN w:val="0"/>
              <w:adjustRightInd w:val="0"/>
              <w:snapToGrid w:val="0"/>
              <w:ind w:leftChars="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其他符合性分析</w:t>
            </w:r>
          </w:p>
        </w:tc>
        <w:tc>
          <w:tcPr>
            <w:tcW w:w="4453" w:type="pct"/>
            <w:gridSpan w:val="3"/>
            <w:noWrap w:val="0"/>
            <w:vAlign w:val="center"/>
          </w:tcPr>
          <w:p w14:paraId="049BFE64">
            <w:pPr>
              <w:pStyle w:val="6"/>
              <w:numPr>
                <w:ilvl w:val="1"/>
                <w:numId w:val="0"/>
              </w:numPr>
              <w:spacing w:before="83" w:line="360" w:lineRule="auto"/>
              <w:ind w:leftChars="0" w:right="0" w:rightChars="0"/>
              <w:jc w:val="both"/>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color w:val="auto"/>
                <w:sz w:val="24"/>
                <w:szCs w:val="24"/>
                <w:highlight w:val="none"/>
              </w:rPr>
              <w:t>1、产业政策符合性</w:t>
            </w:r>
          </w:p>
          <w:p w14:paraId="53DB1E71">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96" w:firstLineChars="200"/>
              <w:jc w:val="both"/>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4"/>
                <w:sz w:val="24"/>
                <w:szCs w:val="24"/>
                <w:highlight w:val="none"/>
              </w:rPr>
              <w:t>根据</w:t>
            </w:r>
            <w:r>
              <w:rPr>
                <w:rFonts w:hint="default" w:ascii="Times New Roman" w:hAnsi="Times New Roman" w:eastAsia="宋体" w:cs="Times New Roman"/>
                <w:color w:val="auto"/>
                <w:highlight w:val="none"/>
              </w:rPr>
              <w:t>《产业结构调整指导目录（20</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rPr>
              <w:t>年本）》</w:t>
            </w:r>
            <w:r>
              <w:rPr>
                <w:rFonts w:hint="default" w:ascii="Times New Roman" w:hAnsi="Times New Roman" w:eastAsia="宋体" w:cs="Times New Roman"/>
                <w:color w:val="auto"/>
                <w:spacing w:val="4"/>
                <w:sz w:val="24"/>
                <w:szCs w:val="24"/>
                <w:highlight w:val="none"/>
              </w:rPr>
              <w:t>，对本项目</w:t>
            </w:r>
            <w:r>
              <w:rPr>
                <w:rFonts w:hint="default" w:ascii="Times New Roman" w:hAnsi="Times New Roman" w:eastAsia="宋体" w:cs="Times New Roman"/>
                <w:color w:val="auto"/>
                <w:spacing w:val="4"/>
                <w:sz w:val="24"/>
                <w:szCs w:val="24"/>
                <w:highlight w:val="none"/>
                <w:lang w:val="en-US" w:eastAsia="zh-CN"/>
              </w:rPr>
              <w:t>产</w:t>
            </w:r>
            <w:r>
              <w:rPr>
                <w:rFonts w:hint="default" w:ascii="Times New Roman" w:hAnsi="Times New Roman" w:eastAsia="宋体" w:cs="Times New Roman"/>
                <w:color w:val="auto"/>
                <w:spacing w:val="4"/>
                <w:sz w:val="24"/>
                <w:szCs w:val="24"/>
                <w:highlight w:val="none"/>
              </w:rPr>
              <w:t>业政策相符性进行分析，本项目</w:t>
            </w:r>
            <w:r>
              <w:rPr>
                <w:rFonts w:hint="default" w:ascii="Times New Roman" w:hAnsi="Times New Roman" w:cs="Times New Roman"/>
                <w:color w:val="auto"/>
                <w:spacing w:val="4"/>
                <w:sz w:val="24"/>
                <w:szCs w:val="24"/>
                <w:highlight w:val="none"/>
                <w:lang w:val="en-US" w:eastAsia="zh-CN"/>
              </w:rPr>
              <w:t>不</w:t>
            </w:r>
            <w:r>
              <w:rPr>
                <w:rFonts w:hint="default" w:ascii="Times New Roman" w:hAnsi="Times New Roman" w:eastAsia="宋体" w:cs="Times New Roman"/>
                <w:color w:val="auto"/>
                <w:spacing w:val="4"/>
                <w:sz w:val="24"/>
                <w:szCs w:val="24"/>
                <w:highlight w:val="none"/>
                <w:lang w:val="en-US" w:eastAsia="zh-CN"/>
              </w:rPr>
              <w:t>属于鼓励类</w:t>
            </w:r>
            <w:r>
              <w:rPr>
                <w:rFonts w:hint="default" w:ascii="Times New Roman" w:hAnsi="Times New Roman" w:cs="Times New Roman"/>
                <w:color w:val="auto"/>
                <w:spacing w:val="4"/>
                <w:sz w:val="24"/>
                <w:szCs w:val="24"/>
                <w:highlight w:val="none"/>
                <w:lang w:val="en-US" w:eastAsia="zh-CN"/>
              </w:rPr>
              <w:t>、禁止类、淘汰类，属于允许类</w:t>
            </w:r>
            <w:r>
              <w:rPr>
                <w:rFonts w:hint="default" w:ascii="Times New Roman" w:hAnsi="Times New Roman" w:eastAsia="宋体" w:cs="Times New Roman"/>
                <w:color w:val="auto"/>
                <w:spacing w:val="0"/>
                <w:sz w:val="24"/>
                <w:szCs w:val="24"/>
                <w:highlight w:val="none"/>
              </w:rPr>
              <w:t>。对照《市场准入负面清单》（202</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eastAsia="宋体" w:cs="Times New Roman"/>
                <w:color w:val="auto"/>
                <w:spacing w:val="0"/>
                <w:sz w:val="24"/>
                <w:szCs w:val="24"/>
                <w:highlight w:val="none"/>
              </w:rPr>
              <w:t>年版），本项目不属于禁止类。对照《陕西省限制投资类产业指导目录》（陕改发产业〔2007〕97号），本项目不属于限制投资类项目。</w:t>
            </w:r>
          </w:p>
          <w:p w14:paraId="1B59861F">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sz w:val="24"/>
                <w:szCs w:val="24"/>
                <w:highlight w:val="none"/>
              </w:rPr>
              <w:t>本项目于202</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eastAsia="宋体" w:cs="Times New Roman"/>
                <w:color w:val="auto"/>
                <w:spacing w:val="0"/>
                <w:sz w:val="24"/>
                <w:szCs w:val="24"/>
                <w:highlight w:val="none"/>
              </w:rPr>
              <w:t>年</w:t>
            </w:r>
            <w:r>
              <w:rPr>
                <w:rFonts w:hint="default" w:ascii="Times New Roman" w:hAnsi="Times New Roman"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rPr>
              <w:t>月</w:t>
            </w:r>
            <w:r>
              <w:rPr>
                <w:rFonts w:hint="default" w:ascii="Times New Roman" w:hAnsi="Times New Roman" w:eastAsia="宋体" w:cs="Times New Roman"/>
                <w:color w:val="auto"/>
                <w:spacing w:val="0"/>
                <w:sz w:val="24"/>
                <w:szCs w:val="24"/>
                <w:highlight w:val="none"/>
                <w:lang w:val="en-US" w:eastAsia="zh-CN"/>
              </w:rPr>
              <w:t>1</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eastAsia="宋体" w:cs="Times New Roman"/>
                <w:color w:val="auto"/>
                <w:spacing w:val="0"/>
                <w:sz w:val="24"/>
                <w:szCs w:val="24"/>
                <w:highlight w:val="none"/>
              </w:rPr>
              <w:t>日在</w:t>
            </w:r>
            <w:r>
              <w:rPr>
                <w:rFonts w:hint="default" w:ascii="Times New Roman" w:hAnsi="Times New Roman" w:eastAsia="宋体" w:cs="Times New Roman"/>
                <w:color w:val="auto"/>
                <w:sz w:val="24"/>
                <w:szCs w:val="24"/>
                <w:highlight w:val="none"/>
              </w:rPr>
              <w:t>陕西省西咸新区沣西新城管理委员会</w:t>
            </w:r>
            <w:r>
              <w:rPr>
                <w:rFonts w:hint="default" w:ascii="Times New Roman" w:hAnsi="Times New Roman" w:eastAsia="宋体" w:cs="Times New Roman"/>
                <w:color w:val="auto"/>
                <w:spacing w:val="7"/>
                <w:sz w:val="24"/>
                <w:szCs w:val="24"/>
                <w:highlight w:val="none"/>
              </w:rPr>
              <w:t>备案，项</w:t>
            </w:r>
            <w:r>
              <w:rPr>
                <w:rFonts w:hint="default" w:ascii="Times New Roman" w:hAnsi="Times New Roman" w:eastAsia="宋体" w:cs="Times New Roman"/>
                <w:color w:val="auto"/>
                <w:sz w:val="24"/>
                <w:szCs w:val="24"/>
                <w:highlight w:val="none"/>
              </w:rPr>
              <w:t>目代码：</w:t>
            </w:r>
            <w:r>
              <w:rPr>
                <w:rFonts w:hint="default" w:ascii="Times New Roman" w:hAnsi="Times New Roman" w:eastAsia="宋体" w:cs="Times New Roman"/>
                <w:color w:val="auto"/>
                <w:sz w:val="24"/>
                <w:szCs w:val="24"/>
                <w:highlight w:val="none"/>
                <w:lang w:val="en-US" w:eastAsia="zh-CN"/>
              </w:rPr>
              <w:t>2408-611205-04-01-684789</w:t>
            </w:r>
            <w:r>
              <w:rPr>
                <w:rFonts w:hint="default" w:ascii="Times New Roman" w:hAnsi="Times New Roman" w:eastAsia="宋体" w:cs="Times New Roman"/>
                <w:color w:val="auto"/>
                <w:sz w:val="24"/>
                <w:szCs w:val="24"/>
                <w:highlight w:val="none"/>
              </w:rPr>
              <w:t>。</w:t>
            </w:r>
          </w:p>
          <w:p w14:paraId="18FC6ABC">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因此，本项目符合国家及地方产业政策。</w:t>
            </w:r>
          </w:p>
          <w:p w14:paraId="14C3283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“三线一单”符合性分析</w:t>
            </w:r>
          </w:p>
          <w:p w14:paraId="1D5643A5">
            <w:pPr>
              <w:adjustRightInd w:val="0"/>
              <w:spacing w:line="360" w:lineRule="auto"/>
              <w:rPr>
                <w:rFonts w:hint="default" w:ascii="Times New Roman" w:hAnsi="Times New Roman" w:cs="Times New Roman"/>
                <w:color w:val="auto"/>
                <w:sz w:val="24"/>
                <w:szCs w:val="32"/>
                <w:highlight w:val="none"/>
                <w:lang w:val="en-US" w:eastAsia="zh-CN"/>
              </w:rPr>
            </w:pPr>
            <w:r>
              <w:rPr>
                <w:rFonts w:hint="default" w:ascii="Times New Roman" w:hAnsi="Times New Roman" w:cs="Times New Roman"/>
                <w:color w:val="auto"/>
                <w:sz w:val="24"/>
                <w:szCs w:val="32"/>
                <w:highlight w:val="none"/>
                <w:lang w:val="en-US" w:eastAsia="zh-CN"/>
              </w:rPr>
              <w:t>（1）“一图”：项目位于重点管控单元，本项目在西安市生态环境管控单元分布位置图见下图。</w:t>
            </w:r>
          </w:p>
          <w:p w14:paraId="09B5DFCF">
            <w:pPr>
              <w:adjustRightInd w:val="0"/>
              <w:spacing w:line="360" w:lineRule="auto"/>
              <w:rPr>
                <w:rFonts w:hint="default" w:ascii="Times New Roman" w:hAnsi="Times New Roman" w:cs="Times New Roman"/>
                <w:color w:val="auto"/>
                <w:sz w:val="24"/>
                <w:szCs w:val="32"/>
                <w:highlight w:val="none"/>
                <w:lang w:val="en-US" w:eastAsia="zh-CN"/>
              </w:rPr>
            </w:pPr>
            <w:r>
              <w:rPr>
                <w:rFonts w:hint="default" w:ascii="Times New Roman" w:hAnsi="Times New Roman" w:cs="Times New Roman"/>
                <w:color w:val="auto"/>
                <w:highlight w:val="none"/>
              </w:rPr>
              <w:drawing>
                <wp:anchor distT="0" distB="0" distL="114300" distR="114300" simplePos="0" relativeHeight="251665408" behindDoc="0" locked="0" layoutInCell="1" allowOverlap="1">
                  <wp:simplePos x="0" y="0"/>
                  <wp:positionH relativeFrom="column">
                    <wp:posOffset>168275</wp:posOffset>
                  </wp:positionH>
                  <wp:positionV relativeFrom="paragraph">
                    <wp:posOffset>203200</wp:posOffset>
                  </wp:positionV>
                  <wp:extent cx="4980305" cy="5121275"/>
                  <wp:effectExtent l="0" t="0" r="10795" b="3175"/>
                  <wp:wrapNone/>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9"/>
                          <a:stretch>
                            <a:fillRect/>
                          </a:stretch>
                        </pic:blipFill>
                        <pic:spPr>
                          <a:xfrm>
                            <a:off x="0" y="0"/>
                            <a:ext cx="4980305" cy="5121275"/>
                          </a:xfrm>
                          <a:prstGeom prst="rect">
                            <a:avLst/>
                          </a:prstGeom>
                          <a:noFill/>
                          <a:ln>
                            <a:noFill/>
                          </a:ln>
                        </pic:spPr>
                      </pic:pic>
                    </a:graphicData>
                  </a:graphic>
                </wp:anchor>
              </w:drawing>
            </w:r>
            <w:r>
              <w:rPr>
                <w:rFonts w:hint="default" w:ascii="Times New Roman" w:hAnsi="Times New Roman" w:cs="Times New Roman"/>
                <w:color w:val="auto"/>
                <w:highlight w:val="none"/>
              </w:rPr>
              <w:drawing>
                <wp:inline distT="0" distB="0" distL="114300" distR="114300">
                  <wp:extent cx="5417185" cy="6001385"/>
                  <wp:effectExtent l="0" t="0" r="1206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417185" cy="6001385"/>
                          </a:xfrm>
                          <a:prstGeom prst="rect">
                            <a:avLst/>
                          </a:prstGeom>
                          <a:noFill/>
                          <a:ln>
                            <a:noFill/>
                          </a:ln>
                        </pic:spPr>
                      </pic:pic>
                    </a:graphicData>
                  </a:graphic>
                </wp:inline>
              </w:drawing>
            </w:r>
          </w:p>
          <w:p w14:paraId="7CB10706">
            <w:pPr>
              <w:pStyle w:val="3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图1-1   本项目“三线一单”查询结果图</w:t>
            </w:r>
          </w:p>
          <w:p w14:paraId="05B866AD">
            <w:pPr>
              <w:adjustRightInd w:val="0"/>
              <w:spacing w:line="360" w:lineRule="auto"/>
              <w:rPr>
                <w:rFonts w:hint="default" w:ascii="Times New Roman" w:hAnsi="Times New Roman" w:eastAsia="宋体" w:cs="Times New Roman"/>
                <w:color w:val="auto"/>
                <w:sz w:val="24"/>
                <w:szCs w:val="32"/>
                <w:highlight w:val="none"/>
                <w:lang w:eastAsia="zh-CN"/>
              </w:rPr>
            </w:pPr>
            <w:r>
              <w:rPr>
                <w:rFonts w:hint="default" w:ascii="Times New Roman" w:hAnsi="Times New Roman" w:cs="Times New Roman"/>
                <w:color w:val="auto"/>
                <w:sz w:val="24"/>
                <w:szCs w:val="32"/>
                <w:highlight w:val="none"/>
                <w:lang w:eastAsia="zh-CN"/>
              </w:rPr>
              <w:t>（</w:t>
            </w:r>
            <w:r>
              <w:rPr>
                <w:rFonts w:hint="default" w:ascii="Times New Roman" w:hAnsi="Times New Roman" w:cs="Times New Roman"/>
                <w:color w:val="auto"/>
                <w:sz w:val="24"/>
                <w:szCs w:val="32"/>
                <w:highlight w:val="none"/>
                <w:lang w:val="en-US" w:eastAsia="zh-CN"/>
              </w:rPr>
              <w:t>2</w:t>
            </w:r>
            <w:r>
              <w:rPr>
                <w:rFonts w:hint="default" w:ascii="Times New Roman" w:hAnsi="Times New Roman" w:cs="Times New Roman"/>
                <w:color w:val="auto"/>
                <w:sz w:val="24"/>
                <w:szCs w:val="32"/>
                <w:highlight w:val="none"/>
                <w:lang w:eastAsia="zh-CN"/>
              </w:rPr>
              <w:t>）“</w:t>
            </w:r>
            <w:r>
              <w:rPr>
                <w:rFonts w:hint="default" w:ascii="Times New Roman" w:hAnsi="Times New Roman" w:cs="Times New Roman"/>
                <w:color w:val="auto"/>
                <w:sz w:val="24"/>
                <w:szCs w:val="32"/>
                <w:highlight w:val="none"/>
                <w:lang w:val="en-US" w:eastAsia="zh-CN"/>
              </w:rPr>
              <w:t>一表</w:t>
            </w:r>
            <w:r>
              <w:rPr>
                <w:rFonts w:hint="default" w:ascii="Times New Roman" w:hAnsi="Times New Roman" w:cs="Times New Roman"/>
                <w:color w:val="auto"/>
                <w:sz w:val="24"/>
                <w:szCs w:val="32"/>
                <w:highlight w:val="none"/>
                <w:lang w:eastAsia="zh-CN"/>
              </w:rPr>
              <w:t>”</w:t>
            </w:r>
            <w:r>
              <w:rPr>
                <w:rFonts w:hint="default" w:ascii="Times New Roman" w:hAnsi="Times New Roman" w:cs="Times New Roman"/>
                <w:color w:val="auto"/>
                <w:sz w:val="24"/>
                <w:szCs w:val="32"/>
                <w:highlight w:val="none"/>
                <w:lang w:val="en-US" w:eastAsia="zh-CN"/>
              </w:rPr>
              <w:t>：</w:t>
            </w:r>
            <w:r>
              <w:rPr>
                <w:rFonts w:hint="default" w:ascii="Times New Roman" w:hAnsi="Times New Roman" w:cs="Times New Roman"/>
                <w:color w:val="auto"/>
                <w:sz w:val="24"/>
                <w:szCs w:val="32"/>
                <w:highlight w:val="none"/>
                <w:lang w:eastAsia="zh-CN"/>
              </w:rPr>
              <w:t>项目范围涉及的生态环境管控单元</w:t>
            </w:r>
            <w:r>
              <w:rPr>
                <w:rFonts w:hint="default" w:ascii="Times New Roman" w:hAnsi="Times New Roman" w:cs="Times New Roman"/>
                <w:color w:val="auto"/>
                <w:sz w:val="24"/>
                <w:szCs w:val="32"/>
                <w:highlight w:val="none"/>
                <w:lang w:val="en-US" w:eastAsia="zh-CN"/>
              </w:rPr>
              <w:t>管控要求</w:t>
            </w:r>
            <w:r>
              <w:rPr>
                <w:rFonts w:hint="default" w:ascii="Times New Roman" w:hAnsi="Times New Roman" w:cs="Times New Roman"/>
                <w:color w:val="auto"/>
                <w:sz w:val="24"/>
                <w:szCs w:val="32"/>
                <w:highlight w:val="none"/>
                <w:lang w:eastAsia="zh-CN"/>
              </w:rPr>
              <w:t>见表</w:t>
            </w:r>
            <w:r>
              <w:rPr>
                <w:rFonts w:hint="default" w:ascii="Times New Roman" w:hAnsi="Times New Roman" w:cs="Times New Roman"/>
                <w:color w:val="auto"/>
                <w:sz w:val="24"/>
                <w:szCs w:val="32"/>
                <w:highlight w:val="none"/>
                <w:lang w:val="en-US" w:eastAsia="zh-CN"/>
              </w:rPr>
              <w:t>1-</w:t>
            </w:r>
            <w:r>
              <w:rPr>
                <w:rFonts w:hint="default" w:ascii="Times New Roman" w:hAnsi="Times New Roman" w:cs="Times New Roman"/>
                <w:color w:val="auto"/>
                <w:sz w:val="24"/>
                <w:szCs w:val="32"/>
                <w:highlight w:val="none"/>
                <w:lang w:eastAsia="zh-CN"/>
              </w:rPr>
              <w:t>2。</w:t>
            </w:r>
          </w:p>
          <w:p w14:paraId="5F21BC7D">
            <w:pPr>
              <w:pStyle w:val="14"/>
              <w:ind w:firstLine="422"/>
              <w:jc w:val="center"/>
              <w:rPr>
                <w:rFonts w:hint="default" w:ascii="Times New Roman" w:hAnsi="Times New Roman" w:eastAsia="宋体" w:cs="Times New Roman"/>
                <w:b/>
                <w:bCs/>
                <w:color w:val="auto"/>
                <w:kern w:val="0"/>
                <w:highlight w:val="none"/>
                <w:lang w:val="en-US" w:eastAsia="zh-CN"/>
              </w:rPr>
            </w:pPr>
            <w:r>
              <w:rPr>
                <w:rFonts w:hint="default" w:ascii="Times New Roman" w:hAnsi="Times New Roman" w:eastAsia="宋体" w:cs="Times New Roman"/>
                <w:b/>
                <w:bCs/>
                <w:color w:val="auto"/>
                <w:kern w:val="0"/>
                <w:highlight w:val="none"/>
              </w:rPr>
              <w:t>表1-</w:t>
            </w:r>
            <w:r>
              <w:rPr>
                <w:rFonts w:hint="default" w:ascii="Times New Roman" w:hAnsi="Times New Roman" w:cs="Times New Roman"/>
                <w:b/>
                <w:bCs/>
                <w:color w:val="auto"/>
                <w:kern w:val="0"/>
                <w:highlight w:val="none"/>
                <w:lang w:val="en-US" w:eastAsia="zh-CN"/>
              </w:rPr>
              <w:t>2</w:t>
            </w:r>
            <w:r>
              <w:rPr>
                <w:rFonts w:hint="default" w:ascii="Times New Roman" w:hAnsi="Times New Roman" w:eastAsia="宋体" w:cs="Times New Roman"/>
                <w:b/>
                <w:bCs/>
                <w:color w:val="auto"/>
                <w:kern w:val="0"/>
                <w:highlight w:val="none"/>
              </w:rPr>
              <w:t xml:space="preserve">   </w:t>
            </w:r>
            <w:r>
              <w:rPr>
                <w:rFonts w:hint="default" w:ascii="Times New Roman" w:hAnsi="Times New Roman" w:eastAsia="宋体" w:cs="Times New Roman"/>
                <w:b/>
                <w:bCs/>
                <w:color w:val="auto"/>
                <w:kern w:val="0"/>
                <w:highlight w:val="none"/>
                <w:lang w:val="en-US" w:eastAsia="zh-CN"/>
              </w:rPr>
              <w:t>本项目范围涉及的生态环境管控单元管控要求</w:t>
            </w:r>
          </w:p>
          <w:tbl>
            <w:tblPr>
              <w:tblStyle w:val="28"/>
              <w:tblW w:w="499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51"/>
              <w:gridCol w:w="685"/>
              <w:gridCol w:w="866"/>
              <w:gridCol w:w="452"/>
              <w:gridCol w:w="2064"/>
              <w:gridCol w:w="1070"/>
              <w:gridCol w:w="2012"/>
              <w:gridCol w:w="651"/>
            </w:tblGrid>
            <w:tr w14:paraId="12C840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pct"/>
                  <w:tcBorders>
                    <w:tl2br w:val="nil"/>
                    <w:tr2bl w:val="nil"/>
                  </w:tcBorders>
                  <w:vAlign w:val="center"/>
                </w:tcPr>
                <w:p w14:paraId="15F05970">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区县</w:t>
                  </w:r>
                </w:p>
              </w:tc>
              <w:tc>
                <w:tcPr>
                  <w:tcW w:w="420" w:type="pct"/>
                  <w:tcBorders>
                    <w:tl2br w:val="nil"/>
                    <w:tr2bl w:val="nil"/>
                  </w:tcBorders>
                  <w:vAlign w:val="center"/>
                </w:tcPr>
                <w:p w14:paraId="5E994488">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市（区）</w:t>
                  </w:r>
                </w:p>
              </w:tc>
              <w:tc>
                <w:tcPr>
                  <w:tcW w:w="531" w:type="pct"/>
                  <w:tcBorders>
                    <w:tl2br w:val="nil"/>
                    <w:tr2bl w:val="nil"/>
                  </w:tcBorders>
                  <w:vAlign w:val="center"/>
                </w:tcPr>
                <w:p w14:paraId="100D8CA9">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单元要素属性</w:t>
                  </w:r>
                </w:p>
              </w:tc>
              <w:tc>
                <w:tcPr>
                  <w:tcW w:w="277" w:type="pct"/>
                  <w:tcBorders>
                    <w:tl2br w:val="nil"/>
                    <w:tr2bl w:val="nil"/>
                  </w:tcBorders>
                  <w:vAlign w:val="center"/>
                </w:tcPr>
                <w:p w14:paraId="6E4FE2B9">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管控要求分类</w:t>
                  </w:r>
                </w:p>
              </w:tc>
              <w:tc>
                <w:tcPr>
                  <w:tcW w:w="1265" w:type="pct"/>
                  <w:tcBorders>
                    <w:tl2br w:val="nil"/>
                    <w:tr2bl w:val="nil"/>
                  </w:tcBorders>
                  <w:vAlign w:val="center"/>
                </w:tcPr>
                <w:p w14:paraId="3E09EACE">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管控要求</w:t>
                  </w:r>
                </w:p>
              </w:tc>
              <w:tc>
                <w:tcPr>
                  <w:tcW w:w="656" w:type="pct"/>
                  <w:tcBorders>
                    <w:tl2br w:val="nil"/>
                    <w:tr2bl w:val="nil"/>
                  </w:tcBorders>
                  <w:vAlign w:val="center"/>
                </w:tcPr>
                <w:p w14:paraId="13B3C4EB">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面积</w:t>
                  </w:r>
                </w:p>
              </w:tc>
              <w:tc>
                <w:tcPr>
                  <w:tcW w:w="1233" w:type="pct"/>
                  <w:tcBorders>
                    <w:tl2br w:val="nil"/>
                    <w:tr2bl w:val="nil"/>
                  </w:tcBorders>
                  <w:vAlign w:val="center"/>
                </w:tcPr>
                <w:p w14:paraId="576DF684">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本项目情况</w:t>
                  </w:r>
                </w:p>
              </w:tc>
              <w:tc>
                <w:tcPr>
                  <w:tcW w:w="399" w:type="pct"/>
                  <w:tcBorders>
                    <w:tl2br w:val="nil"/>
                    <w:tr2bl w:val="nil"/>
                  </w:tcBorders>
                  <w:vAlign w:val="center"/>
                </w:tcPr>
                <w:p w14:paraId="6D3C3D60">
                  <w:pPr>
                    <w:pStyle w:val="44"/>
                    <w:keepNext w:val="0"/>
                    <w:keepLines w:val="0"/>
                    <w:pageBreakBefore w:val="0"/>
                    <w:widowControl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符合性</w:t>
                  </w:r>
                </w:p>
              </w:tc>
            </w:tr>
            <w:tr w14:paraId="3A2A6A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61" w:hRule="atLeast"/>
              </w:trPr>
              <w:tc>
                <w:tcPr>
                  <w:tcW w:w="215" w:type="pct"/>
                  <w:vMerge w:val="restart"/>
                  <w:tcBorders>
                    <w:tl2br w:val="nil"/>
                    <w:tr2bl w:val="nil"/>
                  </w:tcBorders>
                  <w:vAlign w:val="center"/>
                </w:tcPr>
                <w:p w14:paraId="598480B0">
                  <w:pPr>
                    <w:pStyle w:val="44"/>
                    <w:spacing w:before="127" w:line="240" w:lineRule="auto"/>
                    <w:ind w:left="102"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西安市</w:t>
                  </w:r>
                </w:p>
              </w:tc>
              <w:tc>
                <w:tcPr>
                  <w:tcW w:w="420" w:type="pct"/>
                  <w:vMerge w:val="restart"/>
                  <w:tcBorders>
                    <w:tl2br w:val="nil"/>
                    <w:tr2bl w:val="nil"/>
                  </w:tcBorders>
                  <w:vAlign w:val="center"/>
                </w:tcPr>
                <w:p w14:paraId="288AD209">
                  <w:pPr>
                    <w:pStyle w:val="44"/>
                    <w:spacing w:before="127" w:line="240" w:lineRule="auto"/>
                    <w:ind w:left="103"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鄠邑区</w:t>
                  </w:r>
                </w:p>
              </w:tc>
              <w:tc>
                <w:tcPr>
                  <w:tcW w:w="531" w:type="pct"/>
                  <w:vMerge w:val="restart"/>
                  <w:tcBorders>
                    <w:tl2br w:val="nil"/>
                    <w:tr2bl w:val="nil"/>
                  </w:tcBorders>
                  <w:vAlign w:val="center"/>
                </w:tcPr>
                <w:p w14:paraId="2CD5A7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大气环境布局敏感重点管控</w:t>
                  </w:r>
                </w:p>
                <w:p w14:paraId="2D62F5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区、水环境城镇生活污染重点管控区、高污染燃料禁燃区</w:t>
                  </w:r>
                </w:p>
              </w:tc>
              <w:tc>
                <w:tcPr>
                  <w:tcW w:w="277" w:type="pct"/>
                  <w:tcBorders>
                    <w:tl2br w:val="nil"/>
                    <w:tr2bl w:val="nil"/>
                  </w:tcBorders>
                  <w:vAlign w:val="center"/>
                </w:tcPr>
                <w:p w14:paraId="3E661933">
                  <w:pPr>
                    <w:pStyle w:val="44"/>
                    <w:spacing w:before="127" w:line="240" w:lineRule="auto"/>
                    <w:ind w:left="102"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空间布局约束</w:t>
                  </w:r>
                </w:p>
              </w:tc>
              <w:tc>
                <w:tcPr>
                  <w:tcW w:w="1265" w:type="pct"/>
                  <w:tcBorders>
                    <w:tl2br w:val="nil"/>
                    <w:tr2bl w:val="nil"/>
                  </w:tcBorders>
                  <w:vAlign w:val="top"/>
                </w:tcPr>
                <w:p w14:paraId="265244D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大气环境布局敏感重点管控区：</w:t>
                  </w:r>
                </w:p>
                <w:p w14:paraId="0A0B68C2">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严格控制新增《陕西省“两高”项目重点管理范围（2025年版）》行业项目（民生等项目除外，后续对“两高”范围国家如有新规定的，从其规定）。</w:t>
                  </w:r>
                </w:p>
                <w:p w14:paraId="5AEA5E73">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严禁新增钢铁、焦化、水泥熟料、平板玻璃、电解铝、氧化铝、煤化工产能。</w:t>
                  </w:r>
                </w:p>
                <w:p w14:paraId="0E256006">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推动重污染企业搬迁入园或依法关闭。</w:t>
                  </w:r>
                </w:p>
                <w:p w14:paraId="5B30B4D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水环境城镇生活污染重点管控区：</w:t>
                  </w:r>
                </w:p>
                <w:p w14:paraId="462BEDB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1.持续推进城中村、老旧城区、城乡结合部污水截流、收集和城市雨污管道新建、改建。</w:t>
                  </w:r>
                </w:p>
              </w:tc>
              <w:tc>
                <w:tcPr>
                  <w:tcW w:w="656" w:type="pct"/>
                  <w:vMerge w:val="restart"/>
                  <w:tcBorders>
                    <w:tl2br w:val="nil"/>
                    <w:tr2bl w:val="nil"/>
                  </w:tcBorders>
                  <w:vAlign w:val="center"/>
                </w:tcPr>
                <w:p w14:paraId="390EA5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25890.24</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vertAlign w:val="superscript"/>
                      <w:lang w:val="en-US" w:eastAsia="zh-CN"/>
                    </w:rPr>
                    <w:t>2</w:t>
                  </w:r>
                </w:p>
              </w:tc>
              <w:tc>
                <w:tcPr>
                  <w:tcW w:w="1233" w:type="pct"/>
                  <w:tcBorders>
                    <w:tl2br w:val="nil"/>
                    <w:tr2bl w:val="nil"/>
                  </w:tcBorders>
                  <w:vAlign w:val="center"/>
                </w:tcPr>
                <w:p w14:paraId="10125C44">
                  <w:pPr>
                    <w:pStyle w:val="44"/>
                    <w:numPr>
                      <w:ilvl w:val="0"/>
                      <w:numId w:val="0"/>
                    </w:numPr>
                    <w:spacing w:line="240" w:lineRule="auto"/>
                    <w:ind w:right="0" w:righ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大气环境布局敏感重点管控区：</w:t>
                  </w:r>
                </w:p>
                <w:p w14:paraId="2A73C115">
                  <w:pPr>
                    <w:pStyle w:val="44"/>
                    <w:numPr>
                      <w:ilvl w:val="0"/>
                      <w:numId w:val="4"/>
                    </w:numPr>
                    <w:spacing w:line="240" w:lineRule="auto"/>
                    <w:ind w:right="0" w:righ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本项目主要从事高压电源组装制造，对照《陕西省“两高”项目重点管理范围（2025年版）》，本项目不属于“两高”项目；</w:t>
                  </w:r>
                </w:p>
                <w:p w14:paraId="15FFA505">
                  <w:pPr>
                    <w:pStyle w:val="44"/>
                    <w:numPr>
                      <w:ilvl w:val="0"/>
                      <w:numId w:val="4"/>
                    </w:numPr>
                    <w:spacing w:line="240" w:lineRule="auto"/>
                    <w:ind w:right="0" w:righ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本项目不属于钢铁、焦化、水泥熟料、平板玻璃、电解铝、氧化铝、煤化工等相关产业；</w:t>
                  </w:r>
                </w:p>
                <w:p w14:paraId="2F0D40C9">
                  <w:pPr>
                    <w:pStyle w:val="44"/>
                    <w:numPr>
                      <w:ilvl w:val="0"/>
                      <w:numId w:val="4"/>
                    </w:numPr>
                    <w:spacing w:line="240" w:lineRule="auto"/>
                    <w:ind w:right="0" w:righ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本项目主要从事高压电源组装制造，废气为高压电源生产过程中产生的少量焊接烟尘、有机废气，废水为食堂废水、生活污水</w:t>
                  </w:r>
                  <w:r>
                    <w:rPr>
                      <w:rFonts w:hint="eastAsia" w:cs="Times New Roman"/>
                      <w:color w:val="auto"/>
                      <w:sz w:val="21"/>
                      <w:szCs w:val="21"/>
                      <w:highlight w:val="none"/>
                      <w:lang w:val="en-US" w:eastAsia="zh-CN"/>
                    </w:rPr>
                    <w:t>、纯水机浓水</w:t>
                  </w:r>
                  <w:r>
                    <w:rPr>
                      <w:rFonts w:hint="default" w:ascii="Times New Roman" w:hAnsi="Times New Roman" w:cs="Times New Roman"/>
                      <w:color w:val="auto"/>
                      <w:sz w:val="21"/>
                      <w:szCs w:val="21"/>
                      <w:highlight w:val="none"/>
                      <w:lang w:val="en-US" w:eastAsia="zh-CN"/>
                    </w:rPr>
                    <w:t>，不属于重污染企业；</w:t>
                  </w:r>
                </w:p>
                <w:p w14:paraId="10F9BEE7">
                  <w:pPr>
                    <w:pStyle w:val="44"/>
                    <w:numPr>
                      <w:ilvl w:val="0"/>
                      <w:numId w:val="0"/>
                    </w:numPr>
                    <w:spacing w:line="240" w:lineRule="auto"/>
                    <w:ind w:right="0" w:righ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水环境城镇生活污染重点管控区：</w:t>
                  </w:r>
                </w:p>
                <w:p w14:paraId="5B4DD2E5">
                  <w:pPr>
                    <w:pStyle w:val="44"/>
                    <w:numPr>
                      <w:ilvl w:val="0"/>
                      <w:numId w:val="0"/>
                    </w:numPr>
                    <w:spacing w:line="240" w:lineRule="auto"/>
                    <w:ind w:right="0" w:right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1、本项目采用雨污分流制排水系统，雨水经厂区室外雨水管道收集后排至市政雨水管道，污水经厂区室外污水管道收集通过化粪池预处理后经市政管网排入沣西新城大王污水处理厂。</w:t>
                  </w:r>
                </w:p>
              </w:tc>
              <w:tc>
                <w:tcPr>
                  <w:tcW w:w="399" w:type="pct"/>
                  <w:tcBorders>
                    <w:tl2br w:val="nil"/>
                    <w:tr2bl w:val="nil"/>
                  </w:tcBorders>
                  <w:vAlign w:val="center"/>
                </w:tcPr>
                <w:p w14:paraId="67B66B4D">
                  <w:pPr>
                    <w:pStyle w:val="44"/>
                    <w:numPr>
                      <w:ilvl w:val="0"/>
                      <w:numId w:val="0"/>
                    </w:numPr>
                    <w:spacing w:line="240" w:lineRule="auto"/>
                    <w:ind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3BFF40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pct"/>
                  <w:vMerge w:val="continue"/>
                  <w:tcBorders>
                    <w:tl2br w:val="nil"/>
                    <w:tr2bl w:val="nil"/>
                  </w:tcBorders>
                  <w:vAlign w:val="center"/>
                </w:tcPr>
                <w:p w14:paraId="6F0EC008">
                  <w:pPr>
                    <w:spacing w:line="240" w:lineRule="auto"/>
                    <w:jc w:val="center"/>
                    <w:rPr>
                      <w:rFonts w:hint="default" w:ascii="Times New Roman" w:hAnsi="Times New Roman" w:eastAsia="宋体" w:cs="Times New Roman"/>
                      <w:color w:val="auto"/>
                      <w:sz w:val="21"/>
                      <w:szCs w:val="21"/>
                      <w:highlight w:val="none"/>
                    </w:rPr>
                  </w:pPr>
                </w:p>
              </w:tc>
              <w:tc>
                <w:tcPr>
                  <w:tcW w:w="420" w:type="pct"/>
                  <w:vMerge w:val="continue"/>
                  <w:tcBorders>
                    <w:tl2br w:val="nil"/>
                    <w:tr2bl w:val="nil"/>
                  </w:tcBorders>
                  <w:vAlign w:val="center"/>
                </w:tcPr>
                <w:p w14:paraId="40D1A131">
                  <w:pPr>
                    <w:spacing w:line="240" w:lineRule="auto"/>
                    <w:jc w:val="center"/>
                    <w:rPr>
                      <w:rFonts w:hint="default" w:ascii="Times New Roman" w:hAnsi="Times New Roman" w:eastAsia="宋体" w:cs="Times New Roman"/>
                      <w:color w:val="auto"/>
                      <w:sz w:val="21"/>
                      <w:szCs w:val="21"/>
                      <w:highlight w:val="none"/>
                    </w:rPr>
                  </w:pPr>
                </w:p>
              </w:tc>
              <w:tc>
                <w:tcPr>
                  <w:tcW w:w="531" w:type="pct"/>
                  <w:vMerge w:val="continue"/>
                  <w:tcBorders>
                    <w:tl2br w:val="nil"/>
                    <w:tr2bl w:val="nil"/>
                  </w:tcBorders>
                  <w:vAlign w:val="center"/>
                </w:tcPr>
                <w:p w14:paraId="6173693C">
                  <w:pPr>
                    <w:bidi w:val="0"/>
                    <w:jc w:val="center"/>
                    <w:rPr>
                      <w:rFonts w:hint="default" w:ascii="Times New Roman" w:hAnsi="Times New Roman" w:eastAsia="宋体" w:cs="Times New Roman"/>
                      <w:color w:val="auto"/>
                      <w:sz w:val="21"/>
                      <w:szCs w:val="21"/>
                      <w:highlight w:val="none"/>
                    </w:rPr>
                  </w:pPr>
                </w:p>
              </w:tc>
              <w:tc>
                <w:tcPr>
                  <w:tcW w:w="277" w:type="pct"/>
                  <w:tcBorders>
                    <w:tl2br w:val="nil"/>
                    <w:tr2bl w:val="nil"/>
                  </w:tcBorders>
                  <w:vAlign w:val="center"/>
                </w:tcPr>
                <w:p w14:paraId="20ACF301">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1265" w:type="pct"/>
                  <w:tcBorders>
                    <w:tl2br w:val="nil"/>
                    <w:tr2bl w:val="nil"/>
                  </w:tcBorders>
                  <w:vAlign w:val="center"/>
                </w:tcPr>
                <w:p w14:paraId="4FF45068">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大气环境布局敏感重点管控区：</w:t>
                  </w:r>
                </w:p>
                <w:p w14:paraId="50D57824">
                  <w:pPr>
                    <w:pStyle w:val="44"/>
                    <w:numPr>
                      <w:ilvl w:val="0"/>
                      <w:numId w:val="5"/>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鼓励将老旧车辆和非道路移动机械替换为清洁能源车辆。推进新能源或清洁能源汽车使用。</w:t>
                  </w:r>
                </w:p>
                <w:p w14:paraId="3EC00935">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水环境城镇生活污染重点管控区：</w:t>
                  </w:r>
                </w:p>
                <w:p w14:paraId="0F052F59">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1.加强城镇污水收集处理设施建设与提标改造。城镇生活污水处理达到《陕西省黄河流域污水综合排放标准》（DB61/224-2018）排放限值要求。</w:t>
                  </w:r>
                </w:p>
                <w:p w14:paraId="5EEFA30E">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2.城镇新区管网建设及老旧城区管网升级改造中实行雨污分流，鼓励推进初期雨水收集、处理和资源化利用，建设人工湿地水质净化工程，对处理达标后的尾水进一步净化。</w:t>
                  </w:r>
                </w:p>
                <w:p w14:paraId="42E3BD43">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3.污水处理厂出水用于绿化、农灌等用途的，合理确定管控要求，确保达到相应污水再生利用标准。</w:t>
                  </w:r>
                </w:p>
              </w:tc>
              <w:tc>
                <w:tcPr>
                  <w:tcW w:w="656" w:type="pct"/>
                  <w:vMerge w:val="continue"/>
                  <w:tcBorders>
                    <w:tl2br w:val="nil"/>
                    <w:tr2bl w:val="nil"/>
                  </w:tcBorders>
                  <w:vAlign w:val="center"/>
                </w:tcPr>
                <w:p w14:paraId="2361C889">
                  <w:pPr>
                    <w:spacing w:line="240" w:lineRule="auto"/>
                    <w:jc w:val="center"/>
                    <w:rPr>
                      <w:rFonts w:hint="default" w:ascii="Times New Roman" w:hAnsi="Times New Roman" w:eastAsia="宋体" w:cs="Times New Roman"/>
                      <w:color w:val="auto"/>
                      <w:sz w:val="21"/>
                      <w:szCs w:val="21"/>
                      <w:highlight w:val="none"/>
                    </w:rPr>
                  </w:pPr>
                </w:p>
              </w:tc>
              <w:tc>
                <w:tcPr>
                  <w:tcW w:w="1233" w:type="pct"/>
                  <w:tcBorders>
                    <w:tl2br w:val="nil"/>
                    <w:tr2bl w:val="nil"/>
                  </w:tcBorders>
                  <w:vAlign w:val="center"/>
                </w:tcPr>
                <w:p w14:paraId="36D75F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大气环境布局敏感重点管控区：</w:t>
                  </w:r>
                </w:p>
                <w:p w14:paraId="2012D762">
                  <w:pPr>
                    <w:keepNext w:val="0"/>
                    <w:keepLines w:val="0"/>
                    <w:pageBreakBefore w:val="0"/>
                    <w:widowControl w:val="0"/>
                    <w:numPr>
                      <w:ilvl w:val="0"/>
                      <w:numId w:val="6"/>
                    </w:numPr>
                    <w:kinsoku/>
                    <w:wordWrap/>
                    <w:overflowPunct/>
                    <w:topLinePunct w:val="0"/>
                    <w:autoSpaceDE/>
                    <w:autoSpaceDN/>
                    <w:bidi w:val="0"/>
                    <w:adjustRightInd w:val="0"/>
                    <w:snapToGrid w:val="0"/>
                    <w:spacing w:line="240" w:lineRule="auto"/>
                    <w:ind w:leftChars="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本项目不涉及老旧车辆的使用；</w:t>
                  </w:r>
                </w:p>
                <w:p w14:paraId="2FE235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水环境城镇生活污染重点管控区：</w:t>
                  </w:r>
                </w:p>
                <w:p w14:paraId="02CD23A8">
                  <w:pPr>
                    <w:keepNext w:val="0"/>
                    <w:keepLines w:val="0"/>
                    <w:pageBreakBefore w:val="0"/>
                    <w:widowControl w:val="0"/>
                    <w:numPr>
                      <w:ilvl w:val="0"/>
                      <w:numId w:val="7"/>
                    </w:numPr>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本项目食堂废水经油水分离器处理后与生活污水经化粪池预处理后通过市政污水管网排入沣西新城大王污水处理厂进一步处理；</w:t>
                  </w:r>
                </w:p>
                <w:p w14:paraId="01C180EE">
                  <w:pPr>
                    <w:keepNext w:val="0"/>
                    <w:keepLines w:val="0"/>
                    <w:pageBreakBefore w:val="0"/>
                    <w:widowControl w:val="0"/>
                    <w:numPr>
                      <w:ilvl w:val="0"/>
                      <w:numId w:val="7"/>
                    </w:numPr>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本项目采用雨污分流制排水系统，雨水经厂区室外雨水管道收集后排至市政雨水管道，污水经厂区室外污水管道收集通过化粪池预处理后经市政污水管网排入沣西新城大王污水处理厂；</w:t>
                  </w:r>
                </w:p>
                <w:p w14:paraId="70980A89">
                  <w:pPr>
                    <w:keepNext w:val="0"/>
                    <w:keepLines w:val="0"/>
                    <w:pageBreakBefore w:val="0"/>
                    <w:widowControl w:val="0"/>
                    <w:numPr>
                      <w:ilvl w:val="0"/>
                      <w:numId w:val="7"/>
                    </w:numPr>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本项目生产废水为纯水机浓水，部分浓水回用于道路浇洒用水，多余的浓水经市政污水管网排入沣西新城大王污水处理厂</w:t>
                  </w:r>
                  <w:r>
                    <w:rPr>
                      <w:rFonts w:hint="eastAsia" w:cs="Times New Roman"/>
                      <w:color w:val="auto"/>
                      <w:sz w:val="21"/>
                      <w:szCs w:val="21"/>
                      <w:highlight w:val="none"/>
                      <w:lang w:val="en-US" w:eastAsia="zh-CN"/>
                    </w:rPr>
                    <w:t>；空调冷水机组</w:t>
                  </w:r>
                  <w:r>
                    <w:rPr>
                      <w:rFonts w:hint="default" w:ascii="Times New Roman" w:hAnsi="Times New Roman" w:cs="Times New Roman"/>
                      <w:color w:val="auto"/>
                      <w:sz w:val="21"/>
                      <w:szCs w:val="21"/>
                      <w:highlight w:val="none"/>
                      <w:lang w:val="en-US" w:eastAsia="zh-CN"/>
                    </w:rPr>
                    <w:t>所用冷却水循环使用，定期补充损耗，不外排；食堂废水经油水分离器处理后与生活污水经化粪池预处理后通过市政污水管网排至沣西新城大王污水处理厂进一步处理，符合管控要求。</w:t>
                  </w:r>
                </w:p>
              </w:tc>
              <w:tc>
                <w:tcPr>
                  <w:tcW w:w="399" w:type="pct"/>
                  <w:tcBorders>
                    <w:tl2br w:val="nil"/>
                    <w:tr2bl w:val="nil"/>
                  </w:tcBorders>
                  <w:vAlign w:val="center"/>
                </w:tcPr>
                <w:p w14:paraId="144335D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7FED5D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pct"/>
                  <w:vMerge w:val="continue"/>
                  <w:tcBorders>
                    <w:tl2br w:val="nil"/>
                    <w:tr2bl w:val="nil"/>
                  </w:tcBorders>
                  <w:vAlign w:val="center"/>
                </w:tcPr>
                <w:p w14:paraId="73CDDDEF">
                  <w:pPr>
                    <w:spacing w:line="240" w:lineRule="auto"/>
                    <w:jc w:val="center"/>
                    <w:rPr>
                      <w:rFonts w:hint="default" w:ascii="Times New Roman" w:hAnsi="Times New Roman" w:eastAsia="宋体" w:cs="Times New Roman"/>
                      <w:color w:val="auto"/>
                      <w:sz w:val="21"/>
                      <w:szCs w:val="21"/>
                      <w:highlight w:val="none"/>
                    </w:rPr>
                  </w:pPr>
                </w:p>
              </w:tc>
              <w:tc>
                <w:tcPr>
                  <w:tcW w:w="420" w:type="pct"/>
                  <w:vMerge w:val="continue"/>
                  <w:tcBorders>
                    <w:tl2br w:val="nil"/>
                    <w:tr2bl w:val="nil"/>
                  </w:tcBorders>
                  <w:vAlign w:val="center"/>
                </w:tcPr>
                <w:p w14:paraId="404D9D51">
                  <w:pPr>
                    <w:spacing w:line="240" w:lineRule="auto"/>
                    <w:jc w:val="center"/>
                    <w:rPr>
                      <w:rFonts w:hint="default" w:ascii="Times New Roman" w:hAnsi="Times New Roman" w:eastAsia="宋体" w:cs="Times New Roman"/>
                      <w:color w:val="auto"/>
                      <w:sz w:val="21"/>
                      <w:szCs w:val="21"/>
                      <w:highlight w:val="none"/>
                    </w:rPr>
                  </w:pPr>
                </w:p>
              </w:tc>
              <w:tc>
                <w:tcPr>
                  <w:tcW w:w="531" w:type="pct"/>
                  <w:vMerge w:val="continue"/>
                  <w:tcBorders>
                    <w:tl2br w:val="nil"/>
                    <w:tr2bl w:val="nil"/>
                  </w:tcBorders>
                  <w:vAlign w:val="center"/>
                </w:tcPr>
                <w:p w14:paraId="1E37B1DF">
                  <w:pPr>
                    <w:bidi w:val="0"/>
                    <w:jc w:val="center"/>
                    <w:rPr>
                      <w:rFonts w:hint="default" w:ascii="Times New Roman" w:hAnsi="Times New Roman" w:eastAsia="宋体" w:cs="Times New Roman"/>
                      <w:color w:val="auto"/>
                      <w:sz w:val="21"/>
                      <w:szCs w:val="21"/>
                      <w:highlight w:val="none"/>
                    </w:rPr>
                  </w:pPr>
                </w:p>
              </w:tc>
              <w:tc>
                <w:tcPr>
                  <w:tcW w:w="277" w:type="pct"/>
                  <w:tcBorders>
                    <w:tl2br w:val="nil"/>
                    <w:tr2bl w:val="nil"/>
                  </w:tcBorders>
                  <w:vAlign w:val="center"/>
                </w:tcPr>
                <w:p w14:paraId="58FF9568">
                  <w:pPr>
                    <w:pStyle w:val="44"/>
                    <w:spacing w:before="27" w:line="240" w:lineRule="auto"/>
                    <w:ind w:left="102"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环境风险防控</w:t>
                  </w:r>
                </w:p>
              </w:tc>
              <w:tc>
                <w:tcPr>
                  <w:tcW w:w="1265" w:type="pct"/>
                  <w:tcBorders>
                    <w:tl2br w:val="nil"/>
                    <w:tr2bl w:val="nil"/>
                  </w:tcBorders>
                  <w:vAlign w:val="center"/>
                </w:tcPr>
                <w:p w14:paraId="76E30395">
                  <w:pPr>
                    <w:pStyle w:val="44"/>
                    <w:spacing w:before="27" w:line="240" w:lineRule="auto"/>
                    <w:ind w:left="102"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656" w:type="pct"/>
                  <w:vMerge w:val="continue"/>
                  <w:tcBorders>
                    <w:tl2br w:val="nil"/>
                    <w:tr2bl w:val="nil"/>
                  </w:tcBorders>
                  <w:vAlign w:val="center"/>
                </w:tcPr>
                <w:p w14:paraId="677927C8">
                  <w:pPr>
                    <w:pStyle w:val="44"/>
                    <w:spacing w:before="27" w:line="240" w:lineRule="auto"/>
                    <w:ind w:left="102" w:right="0"/>
                    <w:jc w:val="center"/>
                    <w:rPr>
                      <w:rFonts w:hint="default" w:ascii="Times New Roman" w:hAnsi="Times New Roman" w:eastAsia="宋体" w:cs="Times New Roman"/>
                      <w:color w:val="auto"/>
                      <w:sz w:val="21"/>
                      <w:szCs w:val="21"/>
                      <w:highlight w:val="none"/>
                    </w:rPr>
                  </w:pPr>
                </w:p>
              </w:tc>
              <w:tc>
                <w:tcPr>
                  <w:tcW w:w="1233" w:type="pct"/>
                  <w:tcBorders>
                    <w:tl2br w:val="nil"/>
                    <w:tr2bl w:val="nil"/>
                  </w:tcBorders>
                  <w:vAlign w:val="center"/>
                </w:tcPr>
                <w:p w14:paraId="3D60CF6D">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99" w:type="pct"/>
                  <w:tcBorders>
                    <w:tl2br w:val="nil"/>
                    <w:tr2bl w:val="nil"/>
                  </w:tcBorders>
                  <w:vAlign w:val="center"/>
                </w:tcPr>
                <w:p w14:paraId="180BED9E">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r w14:paraId="7BCFEB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15" w:type="pct"/>
                  <w:vMerge w:val="continue"/>
                  <w:tcBorders>
                    <w:tl2br w:val="nil"/>
                    <w:tr2bl w:val="nil"/>
                  </w:tcBorders>
                  <w:vAlign w:val="center"/>
                </w:tcPr>
                <w:p w14:paraId="6612CA18">
                  <w:pPr>
                    <w:spacing w:line="240" w:lineRule="auto"/>
                    <w:jc w:val="center"/>
                    <w:rPr>
                      <w:rFonts w:hint="default" w:ascii="Times New Roman" w:hAnsi="Times New Roman" w:eastAsia="宋体" w:cs="Times New Roman"/>
                      <w:color w:val="auto"/>
                      <w:sz w:val="21"/>
                      <w:szCs w:val="21"/>
                      <w:highlight w:val="none"/>
                    </w:rPr>
                  </w:pPr>
                </w:p>
              </w:tc>
              <w:tc>
                <w:tcPr>
                  <w:tcW w:w="420" w:type="pct"/>
                  <w:vMerge w:val="continue"/>
                  <w:tcBorders>
                    <w:tl2br w:val="nil"/>
                    <w:tr2bl w:val="nil"/>
                  </w:tcBorders>
                  <w:vAlign w:val="center"/>
                </w:tcPr>
                <w:p w14:paraId="1852BDFE">
                  <w:pPr>
                    <w:spacing w:line="240" w:lineRule="auto"/>
                    <w:jc w:val="center"/>
                    <w:rPr>
                      <w:rFonts w:hint="default" w:ascii="Times New Roman" w:hAnsi="Times New Roman" w:eastAsia="宋体" w:cs="Times New Roman"/>
                      <w:color w:val="auto"/>
                      <w:sz w:val="21"/>
                      <w:szCs w:val="21"/>
                      <w:highlight w:val="none"/>
                    </w:rPr>
                  </w:pPr>
                </w:p>
              </w:tc>
              <w:tc>
                <w:tcPr>
                  <w:tcW w:w="531" w:type="pct"/>
                  <w:vMerge w:val="continue"/>
                  <w:tcBorders>
                    <w:tl2br w:val="nil"/>
                    <w:tr2bl w:val="nil"/>
                  </w:tcBorders>
                  <w:vAlign w:val="center"/>
                </w:tcPr>
                <w:p w14:paraId="67CE2914">
                  <w:pPr>
                    <w:bidi w:val="0"/>
                    <w:jc w:val="center"/>
                    <w:rPr>
                      <w:rFonts w:hint="default" w:ascii="Times New Roman" w:hAnsi="Times New Roman" w:eastAsia="宋体" w:cs="Times New Roman"/>
                      <w:color w:val="auto"/>
                      <w:sz w:val="21"/>
                      <w:szCs w:val="21"/>
                      <w:highlight w:val="none"/>
                    </w:rPr>
                  </w:pPr>
                </w:p>
              </w:tc>
              <w:tc>
                <w:tcPr>
                  <w:tcW w:w="277" w:type="pct"/>
                  <w:tcBorders>
                    <w:tl2br w:val="nil"/>
                    <w:tr2bl w:val="nil"/>
                  </w:tcBorders>
                  <w:vAlign w:val="center"/>
                </w:tcPr>
                <w:p w14:paraId="56DB3704">
                  <w:pPr>
                    <w:pStyle w:val="44"/>
                    <w:spacing w:before="27" w:line="240" w:lineRule="auto"/>
                    <w:ind w:left="102"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资源开发效率要求</w:t>
                  </w:r>
                </w:p>
              </w:tc>
              <w:tc>
                <w:tcPr>
                  <w:tcW w:w="1265" w:type="pct"/>
                  <w:tcBorders>
                    <w:tl2br w:val="nil"/>
                    <w:tr2bl w:val="nil"/>
                  </w:tcBorders>
                  <w:vAlign w:val="center"/>
                </w:tcPr>
                <w:p w14:paraId="7E087EAE">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高污染燃料禁燃区：</w:t>
                  </w:r>
                </w:p>
                <w:p w14:paraId="399BB1D2">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禁止销售、使用高污染燃料。禁止新建、扩建燃用高污染燃料的设施。已建成的，应当在市人民政府规定的期限内停止使用或者改用天然气、页岩气、煤层气、液化石油气、干热岩、电、太阳能或者其他清洁能源。</w:t>
                  </w:r>
                </w:p>
                <w:p w14:paraId="51A6B58A">
                  <w:pPr>
                    <w:pStyle w:val="44"/>
                    <w:numPr>
                      <w:ilvl w:val="0"/>
                      <w:numId w:val="0"/>
                    </w:numPr>
                    <w:spacing w:before="27" w:line="240" w:lineRule="auto"/>
                    <w:ind w:right="0" w:right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2.禁止燃放烟花爆竹。</w:t>
                  </w:r>
                </w:p>
              </w:tc>
              <w:tc>
                <w:tcPr>
                  <w:tcW w:w="656" w:type="pct"/>
                  <w:vMerge w:val="continue"/>
                  <w:tcBorders>
                    <w:tl2br w:val="nil"/>
                    <w:tr2bl w:val="nil"/>
                  </w:tcBorders>
                  <w:vAlign w:val="center"/>
                </w:tcPr>
                <w:p w14:paraId="0CA15739">
                  <w:pPr>
                    <w:pStyle w:val="44"/>
                    <w:spacing w:before="27" w:line="240" w:lineRule="auto"/>
                    <w:ind w:left="102" w:right="0"/>
                    <w:jc w:val="center"/>
                    <w:rPr>
                      <w:rFonts w:hint="default" w:ascii="Times New Roman" w:hAnsi="Times New Roman" w:eastAsia="宋体" w:cs="Times New Roman"/>
                      <w:color w:val="auto"/>
                      <w:sz w:val="21"/>
                      <w:szCs w:val="21"/>
                      <w:highlight w:val="none"/>
                    </w:rPr>
                  </w:pPr>
                </w:p>
              </w:tc>
              <w:tc>
                <w:tcPr>
                  <w:tcW w:w="1233" w:type="pct"/>
                  <w:tcBorders>
                    <w:tl2br w:val="nil"/>
                    <w:tr2bl w:val="nil"/>
                  </w:tcBorders>
                  <w:vAlign w:val="center"/>
                </w:tcPr>
                <w:p w14:paraId="69B316BE">
                  <w:pPr>
                    <w:numPr>
                      <w:ilvl w:val="0"/>
                      <w:numId w:val="8"/>
                    </w:numPr>
                    <w:spacing w:line="240" w:lineRule="auto"/>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本项目使用能源为电、天然气，不使用高污染燃料；</w:t>
                  </w:r>
                </w:p>
                <w:p w14:paraId="59187710">
                  <w:pPr>
                    <w:numPr>
                      <w:ilvl w:val="0"/>
                      <w:numId w:val="8"/>
                    </w:numPr>
                    <w:spacing w:line="240" w:lineRule="auto"/>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本项目不涉及烟花爆竹的燃放。</w:t>
                  </w:r>
                </w:p>
              </w:tc>
              <w:tc>
                <w:tcPr>
                  <w:tcW w:w="399" w:type="pct"/>
                  <w:tcBorders>
                    <w:tl2br w:val="nil"/>
                    <w:tr2bl w:val="nil"/>
                  </w:tcBorders>
                  <w:vAlign w:val="center"/>
                </w:tcPr>
                <w:p w14:paraId="6932B61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bl>
          <w:p w14:paraId="31D5357F">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（3）</w:t>
            </w:r>
            <w:r>
              <w:rPr>
                <w:rFonts w:hint="default" w:ascii="Times New Roman" w:hAnsi="Times New Roman" w:eastAsia="宋体" w:cs="Times New Roman"/>
                <w:color w:val="auto"/>
                <w:spacing w:val="0"/>
                <w:sz w:val="24"/>
                <w:szCs w:val="24"/>
                <w:highlight w:val="none"/>
                <w:lang w:val="en-US" w:eastAsia="zh-CN"/>
              </w:rPr>
              <w:t>“一说明”：</w:t>
            </w:r>
          </w:p>
          <w:p w14:paraId="6A292057">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本项目位于沣西新城创新港G板块咸户路以东、创智路以北、CXG东南二路以西，属于</w:t>
            </w:r>
            <w:r>
              <w:rPr>
                <w:rFonts w:hint="default" w:ascii="Times New Roman" w:hAnsi="Times New Roman" w:cs="Times New Roman"/>
                <w:color w:val="auto"/>
                <w:spacing w:val="0"/>
                <w:sz w:val="24"/>
                <w:szCs w:val="24"/>
                <w:highlight w:val="none"/>
                <w:lang w:val="en-US" w:eastAsia="zh-CN"/>
              </w:rPr>
              <w:t>西安</w:t>
            </w:r>
            <w:r>
              <w:rPr>
                <w:rFonts w:hint="default" w:ascii="Times New Roman" w:hAnsi="Times New Roman" w:eastAsia="宋体" w:cs="Times New Roman"/>
                <w:color w:val="auto"/>
                <w:spacing w:val="0"/>
                <w:sz w:val="24"/>
                <w:szCs w:val="24"/>
                <w:highlight w:val="none"/>
                <w:lang w:val="en-US" w:eastAsia="zh-CN"/>
              </w:rPr>
              <w:t>市生态环境管控单元分布示意图中的重点管控单元。</w:t>
            </w:r>
          </w:p>
          <w:p w14:paraId="5D220E9C">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本项目主要</w:t>
            </w:r>
            <w:r>
              <w:rPr>
                <w:rFonts w:hint="default" w:ascii="Times New Roman" w:hAnsi="Times New Roman" w:cs="Times New Roman"/>
                <w:color w:val="auto"/>
                <w:spacing w:val="0"/>
                <w:sz w:val="24"/>
                <w:szCs w:val="24"/>
                <w:highlight w:val="none"/>
                <w:lang w:val="en-US" w:eastAsia="zh-CN"/>
              </w:rPr>
              <w:t>从事高压电源组装制造</w:t>
            </w:r>
            <w:r>
              <w:rPr>
                <w:rFonts w:hint="default" w:ascii="Times New Roman" w:hAnsi="Times New Roman" w:eastAsia="宋体" w:cs="Times New Roman"/>
                <w:color w:val="auto"/>
                <w:spacing w:val="0"/>
                <w:sz w:val="24"/>
                <w:szCs w:val="24"/>
                <w:highlight w:val="none"/>
                <w:lang w:val="en-US" w:eastAsia="zh-CN"/>
              </w:rPr>
              <w:t>，经对照《陕西省“两高”项目重点管理范围（2025年版）》，本项目不属于“两高”项目；</w:t>
            </w:r>
            <w:r>
              <w:rPr>
                <w:rFonts w:hint="default" w:ascii="Times New Roman" w:hAnsi="Times New Roman" w:cs="Times New Roman"/>
                <w:color w:val="auto"/>
                <w:spacing w:val="0"/>
                <w:sz w:val="24"/>
                <w:szCs w:val="24"/>
                <w:highlight w:val="none"/>
                <w:lang w:val="en-US" w:eastAsia="zh-CN"/>
              </w:rPr>
              <w:t>本项目生产废水为纯水机浓水，部分浓水回用于道路浇洒用水，多余的浓水经市政污水管网排入沣西新城大王污水处理厂</w:t>
            </w:r>
            <w:r>
              <w:rPr>
                <w:rFonts w:hint="eastAsia" w:ascii="Times New Roman" w:hAnsi="Times New Roman" w:cs="Times New Roman"/>
                <w:color w:val="auto"/>
                <w:spacing w:val="0"/>
                <w:sz w:val="24"/>
                <w:szCs w:val="24"/>
                <w:highlight w:val="none"/>
                <w:lang w:val="en-US" w:eastAsia="zh-CN"/>
              </w:rPr>
              <w:t>；空调冷水机组</w:t>
            </w:r>
            <w:r>
              <w:rPr>
                <w:rFonts w:hint="default" w:ascii="Times New Roman" w:hAnsi="Times New Roman" w:cs="Times New Roman"/>
                <w:color w:val="auto"/>
                <w:spacing w:val="0"/>
                <w:sz w:val="24"/>
                <w:szCs w:val="24"/>
                <w:highlight w:val="none"/>
                <w:lang w:val="en-US" w:eastAsia="zh-CN"/>
              </w:rPr>
              <w:t>所用冷却水循环使用，定期补充损耗，不外排；食堂废水经油水分离器处理后与生活污水经化粪池预处理后通过市政污水管网排至沣西新城大王污水处理厂进一步处理</w:t>
            </w:r>
            <w:r>
              <w:rPr>
                <w:rFonts w:hint="default" w:ascii="Times New Roman" w:hAnsi="Times New Roman" w:eastAsia="宋体" w:cs="Times New Roman"/>
                <w:color w:val="auto"/>
                <w:spacing w:val="0"/>
                <w:sz w:val="24"/>
                <w:szCs w:val="24"/>
                <w:highlight w:val="none"/>
                <w:lang w:val="en-US" w:eastAsia="zh-CN"/>
              </w:rPr>
              <w:t>；生产过程中产生废气经采取措施后可达标排放；固体废物均能得到合理有效的处置。项目运营期各污染物排放对周围环境影响较小。</w:t>
            </w:r>
          </w:p>
          <w:p w14:paraId="4A95E404">
            <w:pPr>
              <w:pStyle w:val="1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综上所述，本项目符合《</w:t>
            </w:r>
            <w:r>
              <w:rPr>
                <w:rFonts w:hint="default" w:ascii="Times New Roman" w:hAnsi="Times New Roman" w:cs="Times New Roman"/>
                <w:color w:val="auto"/>
                <w:spacing w:val="0"/>
                <w:sz w:val="24"/>
                <w:szCs w:val="24"/>
                <w:highlight w:val="none"/>
                <w:lang w:val="en-US" w:eastAsia="zh-CN"/>
              </w:rPr>
              <w:t>西安</w:t>
            </w:r>
            <w:r>
              <w:rPr>
                <w:rFonts w:hint="default" w:ascii="Times New Roman" w:hAnsi="Times New Roman" w:eastAsia="宋体" w:cs="Times New Roman"/>
                <w:color w:val="auto"/>
                <w:spacing w:val="0"/>
                <w:sz w:val="24"/>
                <w:szCs w:val="24"/>
                <w:highlight w:val="none"/>
                <w:lang w:val="en-US" w:eastAsia="zh-CN"/>
              </w:rPr>
              <w:t>市生态环境分区管控准入清单》中的各项要求。</w:t>
            </w:r>
          </w:p>
          <w:p w14:paraId="685B4B06">
            <w:pPr>
              <w:pStyle w:val="6"/>
              <w:numPr>
                <w:ilvl w:val="1"/>
                <w:numId w:val="0"/>
              </w:numPr>
              <w:spacing w:before="83" w:line="360" w:lineRule="auto"/>
              <w:ind w:leftChars="0" w:right="0" w:rightChars="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3、与相关</w:t>
            </w:r>
            <w:r>
              <w:rPr>
                <w:rFonts w:hint="default" w:ascii="Times New Roman" w:hAnsi="Times New Roman" w:cs="Times New Roman"/>
                <w:color w:val="auto"/>
                <w:sz w:val="24"/>
                <w:szCs w:val="24"/>
                <w:highlight w:val="none"/>
                <w:lang w:val="en-US" w:eastAsia="zh-CN"/>
              </w:rPr>
              <w:t>规划及</w:t>
            </w:r>
            <w:r>
              <w:rPr>
                <w:rFonts w:hint="default" w:ascii="Times New Roman" w:hAnsi="Times New Roman" w:eastAsia="宋体" w:cs="Times New Roman"/>
                <w:color w:val="auto"/>
                <w:sz w:val="24"/>
                <w:szCs w:val="24"/>
                <w:highlight w:val="none"/>
                <w:lang w:val="en-US" w:eastAsia="zh-CN"/>
              </w:rPr>
              <w:t>政策相符性分析</w:t>
            </w:r>
          </w:p>
          <w:p w14:paraId="3E5C856C">
            <w:pPr>
              <w:pStyle w:val="37"/>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表1-</w:t>
            </w:r>
            <w:r>
              <w:rPr>
                <w:rFonts w:hint="default" w:ascii="Times New Roman" w:hAnsi="Times New Roman" w:cs="Times New Roman"/>
                <w:color w:val="auto"/>
                <w:highlight w:val="none"/>
                <w:lang w:val="en-US" w:eastAsia="zh-CN"/>
              </w:rPr>
              <w:t>3</w:t>
            </w:r>
            <w:r>
              <w:rPr>
                <w:rFonts w:hint="default" w:ascii="Times New Roman" w:hAnsi="Times New Roman" w:eastAsia="宋体" w:cs="Times New Roman"/>
                <w:color w:val="auto"/>
                <w:highlight w:val="none"/>
                <w:lang w:val="en-US" w:eastAsia="zh-CN"/>
              </w:rPr>
              <w:t xml:space="preserve">   项目</w:t>
            </w:r>
            <w:r>
              <w:rPr>
                <w:rFonts w:hint="default" w:ascii="Times New Roman" w:hAnsi="Times New Roman" w:cs="Times New Roman"/>
                <w:color w:val="auto"/>
                <w:highlight w:val="none"/>
                <w:lang w:val="en-US" w:eastAsia="zh-CN"/>
              </w:rPr>
              <w:t>与</w:t>
            </w:r>
            <w:r>
              <w:rPr>
                <w:rFonts w:hint="default" w:ascii="Times New Roman" w:hAnsi="Times New Roman" w:eastAsia="宋体" w:cs="Times New Roman"/>
                <w:color w:val="auto"/>
                <w:highlight w:val="none"/>
                <w:lang w:val="en-US" w:eastAsia="zh-CN"/>
              </w:rPr>
              <w:t>相关</w:t>
            </w:r>
            <w:r>
              <w:rPr>
                <w:rFonts w:hint="default" w:ascii="Times New Roman" w:hAnsi="Times New Roman" w:cs="Times New Roman"/>
                <w:color w:val="auto"/>
                <w:highlight w:val="none"/>
                <w:lang w:val="en-US" w:eastAsia="zh-CN"/>
              </w:rPr>
              <w:t>规划及</w:t>
            </w:r>
            <w:r>
              <w:rPr>
                <w:rFonts w:hint="default" w:ascii="Times New Roman" w:hAnsi="Times New Roman" w:eastAsia="宋体" w:cs="Times New Roman"/>
                <w:color w:val="auto"/>
                <w:highlight w:val="none"/>
                <w:lang w:val="en-US" w:eastAsia="zh-CN"/>
              </w:rPr>
              <w:t>政策符合性分析</w:t>
            </w:r>
          </w:p>
          <w:tbl>
            <w:tblPr>
              <w:tblStyle w:val="29"/>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7"/>
              <w:gridCol w:w="3637"/>
              <w:gridCol w:w="2112"/>
              <w:gridCol w:w="465"/>
            </w:tblGrid>
            <w:tr w14:paraId="245E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4B7B5012">
                  <w:pPr>
                    <w:numPr>
                      <w:ilvl w:val="0"/>
                      <w:numId w:val="0"/>
                    </w:numPr>
                    <w:bidi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文件</w:t>
                  </w:r>
                </w:p>
              </w:tc>
              <w:tc>
                <w:tcPr>
                  <w:tcW w:w="2225" w:type="pct"/>
                  <w:vAlign w:val="center"/>
                </w:tcPr>
                <w:p w14:paraId="42739546">
                  <w:pPr>
                    <w:numPr>
                      <w:ilvl w:val="0"/>
                      <w:numId w:val="0"/>
                    </w:numPr>
                    <w:bidi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内容</w:t>
                  </w:r>
                </w:p>
              </w:tc>
              <w:tc>
                <w:tcPr>
                  <w:tcW w:w="1292" w:type="pct"/>
                  <w:vAlign w:val="center"/>
                </w:tcPr>
                <w:p w14:paraId="095170E0">
                  <w:pPr>
                    <w:numPr>
                      <w:ilvl w:val="0"/>
                      <w:numId w:val="0"/>
                    </w:numPr>
                    <w:bidi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本项目情况</w:t>
                  </w:r>
                </w:p>
              </w:tc>
              <w:tc>
                <w:tcPr>
                  <w:tcW w:w="284" w:type="pct"/>
                  <w:vAlign w:val="center"/>
                </w:tcPr>
                <w:p w14:paraId="7053E8A4">
                  <w:pPr>
                    <w:numPr>
                      <w:ilvl w:val="0"/>
                      <w:numId w:val="0"/>
                    </w:numPr>
                    <w:bidi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符合性</w:t>
                  </w:r>
                </w:p>
              </w:tc>
            </w:tr>
            <w:tr w14:paraId="2E4D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02C798C4">
                  <w:pPr>
                    <w:numPr>
                      <w:ilvl w:val="0"/>
                      <w:numId w:val="0"/>
                    </w:numPr>
                    <w:bidi w:val="0"/>
                    <w:spacing w:line="240" w:lineRule="auto"/>
                    <w:ind w:left="0" w:leftChars="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pacing w:val="-6"/>
                      <w:szCs w:val="21"/>
                      <w:highlight w:val="none"/>
                    </w:rPr>
                    <w:t>《“十四五”噪声污染防治行动计划》（环大气〔2023〕1号）</w:t>
                  </w:r>
                </w:p>
              </w:tc>
              <w:tc>
                <w:tcPr>
                  <w:tcW w:w="2225" w:type="pct"/>
                  <w:vAlign w:val="center"/>
                </w:tcPr>
                <w:p w14:paraId="61FAC153">
                  <w:pPr>
                    <w:autoSpaceDE w:val="0"/>
                    <w:autoSpaceDN w:val="0"/>
                    <w:jc w:val="left"/>
                    <w:rPr>
                      <w:rFonts w:hint="default" w:ascii="Times New Roman" w:hAnsi="Times New Roman" w:cs="Times New Roman"/>
                      <w:color w:val="auto"/>
                      <w:szCs w:val="21"/>
                      <w:highlight w:val="none"/>
                    </w:rPr>
                  </w:pPr>
                  <w:r>
                    <w:rPr>
                      <w:rFonts w:hint="default" w:ascii="Times New Roman" w:hAnsi="Times New Roman" w:cs="Times New Roman"/>
                      <w:color w:val="auto"/>
                      <w:spacing w:val="-6"/>
                      <w:sz w:val="21"/>
                      <w:szCs w:val="21"/>
                      <w:highlight w:val="none"/>
                      <w:vertAlign w:val="baseline"/>
                      <w:lang w:val="en-US" w:eastAsia="zh-CN"/>
                    </w:rPr>
                    <w:t>建设项目的噪声污染防治设施应当与主体工程同时设计、同时施工、同时投产使用。排放噪声的工业企业应切实采取减振降噪措施，加强厂区内固定设备、运输工具、货物装卸等噪声源管理，同时避免突发噪声扰民。</w:t>
                  </w:r>
                </w:p>
              </w:tc>
              <w:tc>
                <w:tcPr>
                  <w:tcW w:w="1292" w:type="pct"/>
                  <w:vAlign w:val="center"/>
                </w:tcPr>
                <w:p w14:paraId="303B14D6">
                  <w:pPr>
                    <w:autoSpaceDE w:val="0"/>
                    <w:autoSpaceDN w:val="0"/>
                    <w:jc w:val="left"/>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6"/>
                      <w:sz w:val="21"/>
                      <w:szCs w:val="21"/>
                      <w:highlight w:val="none"/>
                      <w:vertAlign w:val="baseline"/>
                      <w:lang w:val="en-US" w:eastAsia="zh-CN"/>
                    </w:rPr>
                    <w:t>本项目为新建，噪声污染防治设施应当与主体工程同时设计、同时施工、同时投产使用</w:t>
                  </w:r>
                  <w:r>
                    <w:rPr>
                      <w:rFonts w:hint="default" w:ascii="Times New Roman" w:hAnsi="Times New Roman" w:cs="Times New Roman"/>
                      <w:color w:val="auto"/>
                      <w:spacing w:val="-6"/>
                      <w:sz w:val="21"/>
                      <w:szCs w:val="21"/>
                      <w:highlight w:val="none"/>
                      <w:vertAlign w:val="baseline"/>
                      <w:lang w:val="en-US" w:eastAsia="zh-CN"/>
                    </w:rPr>
                    <w:t>，</w:t>
                  </w:r>
                  <w:r>
                    <w:rPr>
                      <w:rFonts w:hint="default" w:ascii="Times New Roman" w:hAnsi="Times New Roman" w:eastAsia="宋体" w:cs="Times New Roman"/>
                      <w:color w:val="auto"/>
                      <w:spacing w:val="-6"/>
                      <w:sz w:val="21"/>
                      <w:szCs w:val="21"/>
                      <w:highlight w:val="none"/>
                      <w:vertAlign w:val="baseline"/>
                      <w:lang w:val="en-US" w:eastAsia="zh-CN"/>
                    </w:rPr>
                    <w:t>环评要求项目噪声应采取低噪声设备，采取基础减振、厂房隔声，风机等高噪声设备增加软连接，可满足《</w:t>
                  </w:r>
                  <w:r>
                    <w:rPr>
                      <w:rFonts w:hint="default" w:ascii="Times New Roman" w:hAnsi="Times New Roman" w:cs="Times New Roman"/>
                      <w:color w:val="auto"/>
                      <w:spacing w:val="-6"/>
                      <w:sz w:val="21"/>
                      <w:szCs w:val="21"/>
                      <w:highlight w:val="none"/>
                      <w:vertAlign w:val="baseline"/>
                      <w:lang w:val="en-US" w:eastAsia="zh-CN"/>
                    </w:rPr>
                    <w:t>工业企业厂界环境噪声排放标准</w:t>
                  </w:r>
                  <w:r>
                    <w:rPr>
                      <w:rFonts w:hint="default" w:ascii="Times New Roman" w:hAnsi="Times New Roman" w:eastAsia="宋体" w:cs="Times New Roman"/>
                      <w:color w:val="auto"/>
                      <w:spacing w:val="-6"/>
                      <w:sz w:val="21"/>
                      <w:szCs w:val="21"/>
                      <w:highlight w:val="none"/>
                      <w:vertAlign w:val="baseline"/>
                      <w:lang w:val="en-US" w:eastAsia="zh-CN"/>
                    </w:rPr>
                    <w:t>》</w:t>
                  </w:r>
                  <w:r>
                    <w:rPr>
                      <w:rFonts w:hint="default" w:ascii="Times New Roman" w:hAnsi="Times New Roman" w:cs="Times New Roman"/>
                      <w:color w:val="auto"/>
                      <w:spacing w:val="-6"/>
                      <w:sz w:val="21"/>
                      <w:szCs w:val="21"/>
                      <w:highlight w:val="none"/>
                      <w:vertAlign w:val="baseline"/>
                      <w:lang w:val="en-US" w:eastAsia="zh-CN"/>
                    </w:rPr>
                    <w:t>（GB12348-2008）</w:t>
                  </w:r>
                  <w:r>
                    <w:rPr>
                      <w:rFonts w:hint="default" w:ascii="Times New Roman" w:hAnsi="Times New Roman" w:eastAsia="宋体" w:cs="Times New Roman"/>
                      <w:color w:val="auto"/>
                      <w:spacing w:val="-6"/>
                      <w:sz w:val="21"/>
                      <w:szCs w:val="21"/>
                      <w:highlight w:val="none"/>
                      <w:vertAlign w:val="baseline"/>
                      <w:lang w:val="en-US" w:eastAsia="zh-CN"/>
                    </w:rPr>
                    <w:t>规定的2类</w:t>
                  </w:r>
                  <w:r>
                    <w:rPr>
                      <w:rFonts w:hint="default" w:ascii="Times New Roman" w:hAnsi="Times New Roman" w:cs="Times New Roman"/>
                      <w:color w:val="auto"/>
                      <w:spacing w:val="-6"/>
                      <w:sz w:val="21"/>
                      <w:szCs w:val="21"/>
                      <w:highlight w:val="none"/>
                      <w:vertAlign w:val="baseline"/>
                      <w:lang w:val="en-US" w:eastAsia="zh-CN"/>
                    </w:rPr>
                    <w:t>排放</w:t>
                  </w:r>
                  <w:r>
                    <w:rPr>
                      <w:rFonts w:hint="default" w:ascii="Times New Roman" w:hAnsi="Times New Roman" w:eastAsia="宋体" w:cs="Times New Roman"/>
                      <w:color w:val="auto"/>
                      <w:spacing w:val="-6"/>
                      <w:sz w:val="21"/>
                      <w:szCs w:val="21"/>
                      <w:highlight w:val="none"/>
                      <w:vertAlign w:val="baseline"/>
                      <w:lang w:val="en-US" w:eastAsia="zh-CN"/>
                    </w:rPr>
                    <w:t>标准。</w:t>
                  </w:r>
                </w:p>
              </w:tc>
              <w:tc>
                <w:tcPr>
                  <w:tcW w:w="284" w:type="pct"/>
                  <w:vAlign w:val="center"/>
                </w:tcPr>
                <w:p w14:paraId="6A478681">
                  <w:pPr>
                    <w:numPr>
                      <w:ilvl w:val="0"/>
                      <w:numId w:val="0"/>
                    </w:numPr>
                    <w:bidi w:val="0"/>
                    <w:spacing w:line="240" w:lineRule="auto"/>
                    <w:ind w:left="0" w:lef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6"/>
                      <w:sz w:val="21"/>
                      <w:szCs w:val="21"/>
                      <w:highlight w:val="none"/>
                      <w:vertAlign w:val="baseline"/>
                      <w:lang w:val="en-US" w:eastAsia="zh-CN"/>
                    </w:rPr>
                    <w:t>符合</w:t>
                  </w:r>
                </w:p>
              </w:tc>
            </w:tr>
            <w:tr w14:paraId="7D2D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33290B7A">
                  <w:pPr>
                    <w:numPr>
                      <w:ilvl w:val="0"/>
                      <w:numId w:val="0"/>
                    </w:numPr>
                    <w:bidi w:val="0"/>
                    <w:spacing w:line="240" w:lineRule="auto"/>
                    <w:ind w:left="0" w:leftChars="0" w:firstLine="0" w:firstLineChars="0"/>
                    <w:jc w:val="center"/>
                    <w:rPr>
                      <w:rFonts w:hint="default" w:ascii="Times New Roman" w:hAnsi="Times New Roman" w:cs="Times New Roman"/>
                      <w:color w:val="auto"/>
                      <w:spacing w:val="-6"/>
                      <w:szCs w:val="21"/>
                      <w:highlight w:val="none"/>
                    </w:rPr>
                  </w:pPr>
                  <w:r>
                    <w:rPr>
                      <w:rFonts w:hint="default" w:ascii="Times New Roman" w:hAnsi="Times New Roman" w:cs="Times New Roman"/>
                      <w:color w:val="auto"/>
                      <w:spacing w:val="-6"/>
                      <w:szCs w:val="21"/>
                      <w:highlight w:val="none"/>
                      <w:lang w:val="en-US" w:eastAsia="zh-CN"/>
                    </w:rPr>
                    <w:t>《生态环境部关于加快解决当前挥发性有机物治理突出问题的通知》环大气〔2021〕65号</w:t>
                  </w:r>
                </w:p>
              </w:tc>
              <w:tc>
                <w:tcPr>
                  <w:tcW w:w="2225" w:type="pct"/>
                  <w:vAlign w:val="center"/>
                </w:tcPr>
                <w:p w14:paraId="6911BB3F">
                  <w:pPr>
                    <w:autoSpaceDE w:val="0"/>
                    <w:autoSpaceDN w:val="0"/>
                    <w:jc w:val="left"/>
                    <w:rPr>
                      <w:rFonts w:hint="default" w:ascii="Times New Roman" w:hAnsi="Times New Roman" w:cs="Times New Roman"/>
                      <w:color w:val="auto"/>
                      <w:spacing w:val="-6"/>
                      <w:sz w:val="21"/>
                      <w:szCs w:val="21"/>
                      <w:highlight w:val="none"/>
                      <w:vertAlign w:val="baseline"/>
                      <w:lang w:val="en-US" w:eastAsia="zh-CN"/>
                    </w:rPr>
                  </w:pPr>
                  <w:r>
                    <w:rPr>
                      <w:rFonts w:hint="default" w:ascii="Times New Roman" w:hAnsi="Times New Roman" w:cs="Times New Roman"/>
                      <w:color w:val="auto"/>
                      <w:spacing w:val="-6"/>
                      <w:sz w:val="21"/>
                      <w:szCs w:val="21"/>
                      <w:highlight w:val="none"/>
                      <w:vertAlign w:val="baseline"/>
                      <w:lang w:val="en-US" w:eastAsia="zh-CN"/>
                    </w:rPr>
                    <w:t>采用活性炭吸附工艺的企业，应根据废气排放特征，按照相关工程技术规范设计净化工艺和设备，使废气在吸附装置中有足够的 停留时间，选择符合相关产品质量标准的活性炭，并足额充填、及时更换。采用颗粒活性炭作为吸附剂时，其碘值不宜低于800mg/g；采用蜂窝活性炭作为吸附剂时，其碘值不宜低于650mg/g；采用活性炭纤维作为吸附剂时，其比表面积不低于1100m</w:t>
                  </w:r>
                  <w:r>
                    <w:rPr>
                      <w:rFonts w:hint="default" w:ascii="Times New Roman" w:hAnsi="Times New Roman" w:cs="Times New Roman"/>
                      <w:color w:val="auto"/>
                      <w:spacing w:val="-6"/>
                      <w:sz w:val="21"/>
                      <w:szCs w:val="21"/>
                      <w:highlight w:val="none"/>
                      <w:vertAlign w:val="superscript"/>
                      <w:lang w:val="en-US" w:eastAsia="zh-CN"/>
                    </w:rPr>
                    <w:t>2</w:t>
                  </w:r>
                  <w:r>
                    <w:rPr>
                      <w:rFonts w:hint="default" w:ascii="Times New Roman" w:hAnsi="Times New Roman" w:cs="Times New Roman"/>
                      <w:color w:val="auto"/>
                      <w:spacing w:val="-6"/>
                      <w:sz w:val="21"/>
                      <w:szCs w:val="21"/>
                      <w:highlight w:val="none"/>
                      <w:vertAlign w:val="baseline"/>
                      <w:lang w:val="en-US" w:eastAsia="zh-CN"/>
                    </w:rPr>
                    <w:t>/g（BET法）。</w:t>
                  </w:r>
                </w:p>
              </w:tc>
              <w:tc>
                <w:tcPr>
                  <w:tcW w:w="1292" w:type="pct"/>
                  <w:vAlign w:val="center"/>
                </w:tcPr>
                <w:p w14:paraId="40862AA8">
                  <w:pPr>
                    <w:autoSpaceDE w:val="0"/>
                    <w:autoSpaceDN w:val="0"/>
                    <w:jc w:val="left"/>
                    <w:rPr>
                      <w:rFonts w:hint="default" w:ascii="Times New Roman" w:hAnsi="Times New Roman" w:eastAsia="宋体" w:cs="Times New Roman"/>
                      <w:color w:val="auto"/>
                      <w:spacing w:val="-6"/>
                      <w:sz w:val="21"/>
                      <w:szCs w:val="21"/>
                      <w:highlight w:val="none"/>
                      <w:vertAlign w:val="baseline"/>
                      <w:lang w:val="en-US" w:eastAsia="zh-CN"/>
                    </w:rPr>
                  </w:pPr>
                  <w:r>
                    <w:rPr>
                      <w:rFonts w:hint="eastAsia" w:cs="Times New Roman"/>
                      <w:color w:val="auto"/>
                      <w:spacing w:val="-6"/>
                      <w:sz w:val="21"/>
                      <w:szCs w:val="21"/>
                      <w:highlight w:val="none"/>
                      <w:vertAlign w:val="baseline"/>
                      <w:lang w:val="en-US" w:eastAsia="zh-CN"/>
                    </w:rPr>
                    <w:t>本项目采用过滤棉+二级活性炭吸附装置处理生产过程中产生的废气，</w:t>
                  </w:r>
                  <w:r>
                    <w:rPr>
                      <w:rFonts w:hint="default" w:ascii="Times New Roman" w:hAnsi="Times New Roman" w:eastAsia="宋体" w:cs="Times New Roman"/>
                      <w:color w:val="auto"/>
                      <w:spacing w:val="-6"/>
                      <w:sz w:val="21"/>
                      <w:szCs w:val="21"/>
                      <w:highlight w:val="none"/>
                      <w:vertAlign w:val="baseline"/>
                      <w:lang w:val="en-US" w:eastAsia="zh-CN"/>
                    </w:rPr>
                    <w:t>环评取严要求项目采用碘值不低于650mg/g的蜂窝状活性炭，并按设计要求足量添加及定期更换。</w:t>
                  </w:r>
                </w:p>
              </w:tc>
              <w:tc>
                <w:tcPr>
                  <w:tcW w:w="284" w:type="pct"/>
                  <w:vAlign w:val="center"/>
                </w:tcPr>
                <w:p w14:paraId="2A9D1A70">
                  <w:pPr>
                    <w:numPr>
                      <w:ilvl w:val="0"/>
                      <w:numId w:val="0"/>
                    </w:numPr>
                    <w:bidi w:val="0"/>
                    <w:spacing w:line="240" w:lineRule="auto"/>
                    <w:ind w:left="0" w:leftChars="0" w:firstLine="0" w:firstLineChars="0"/>
                    <w:jc w:val="center"/>
                    <w:rPr>
                      <w:rFonts w:hint="default" w:ascii="Times New Roman" w:hAnsi="Times New Roman" w:cs="Times New Roman"/>
                      <w:color w:val="auto"/>
                      <w:spacing w:val="-6"/>
                      <w:sz w:val="21"/>
                      <w:szCs w:val="21"/>
                      <w:highlight w:val="none"/>
                      <w:vertAlign w:val="baseline"/>
                      <w:lang w:val="en-US" w:eastAsia="zh-CN"/>
                    </w:rPr>
                  </w:pPr>
                  <w:r>
                    <w:rPr>
                      <w:rFonts w:hint="eastAsia" w:cs="Times New Roman"/>
                      <w:color w:val="auto"/>
                      <w:spacing w:val="-6"/>
                      <w:sz w:val="21"/>
                      <w:szCs w:val="21"/>
                      <w:highlight w:val="none"/>
                      <w:vertAlign w:val="baseline"/>
                      <w:lang w:val="en-US" w:eastAsia="zh-CN"/>
                    </w:rPr>
                    <w:t>符合</w:t>
                  </w:r>
                </w:p>
              </w:tc>
            </w:tr>
            <w:tr w14:paraId="03D6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0D2A4CB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《陕西省“十四五”生态环境保护规划》</w:t>
                  </w:r>
                </w:p>
              </w:tc>
              <w:tc>
                <w:tcPr>
                  <w:tcW w:w="2225" w:type="pct"/>
                  <w:vAlign w:val="center"/>
                </w:tcPr>
                <w:p w14:paraId="28CBBDC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①建立健全生态环境分区管控体系，建立以“三线一单”为核心的全省生态环境分区管控体系，做好“三线一单”成果优化完善工作，进一步细化生态环境分区管控要求和准入清单；</w:t>
                  </w:r>
                </w:p>
                <w:p w14:paraId="2623178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②提升能源结构清洁低碳水平，加快电源结构调整和布局优化，新增用电需求主要通过新能源电力保障，减少煤电占比；</w:t>
                  </w:r>
                </w:p>
                <w:p w14:paraId="7249E4A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③坚持源头防治、综合施策，稳步推进大气污染防治攻坚行动，聚焦细颗粒物和臭氧污染协同控制，推进氮氧化物和挥发性有机物协调减排，强化区域协调治理和重污染天气应对，持续改善全省大气环境质量；</w:t>
                  </w:r>
                </w:p>
                <w:p w14:paraId="35ED66B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④持续推进工业污水治理，引导工业企业污水近零排放，降低污染负荷。强化工业集聚区污染治理，推进工业园区污水处理设施分类管理、分期升级改造和污水管网排查整治；</w:t>
                  </w:r>
                </w:p>
                <w:p w14:paraId="37F06FE3">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⑤强化危险废物全程环境监管，深入开展危险废物规范化环境管理，完善危险废物重点监管单位清单。深入推进大宗固体废物污染防治，加强固体废物源头减量和资源化利用。</w:t>
                  </w:r>
                </w:p>
              </w:tc>
              <w:tc>
                <w:tcPr>
                  <w:tcW w:w="1292" w:type="pct"/>
                  <w:vAlign w:val="center"/>
                </w:tcPr>
                <w:p w14:paraId="0003510C">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①本项目位于沣西新城创新港G板块咸户路以东、创智路以北、CXG东南二路以西，位于西安市生态环境分区管控重点管控单元内，采取各项污染防治措施后，符合重点管控单元管控要求；</w:t>
                  </w:r>
                </w:p>
                <w:p w14:paraId="4C2E9638">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②本项目使用能源为电、天然气，属于清洁能源；</w:t>
                  </w:r>
                </w:p>
                <w:p w14:paraId="55A60264">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③本项目生产过程中产生的废气为食堂油烟、焊接环节产生的焊接烟尘、清洗环节清洗剂挥发产生的有机废气、灌封与烘干过程产生的有机废气，本项目生产过程中产生的废气均采用集气罩+过滤棉+二级活性炭吸附装置处理后经34m高排气筒达标排放；食堂油烟经油烟净化装置净化后通过烟气管道排放；</w:t>
                  </w:r>
                </w:p>
                <w:p w14:paraId="64156998">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④本项目生产废水为纯水机浓水，部分浓水回用于道路浇洒用水，多余的浓水经市政污水管网排入沣西新城大王污水处理厂</w:t>
                  </w:r>
                  <w:r>
                    <w:rPr>
                      <w:rFonts w:hint="eastAsia" w:cs="Times New Roman"/>
                      <w:color w:val="auto"/>
                      <w:sz w:val="21"/>
                      <w:szCs w:val="21"/>
                      <w:highlight w:val="none"/>
                      <w:vertAlign w:val="baseline"/>
                      <w:lang w:val="en-US" w:eastAsia="zh-CN"/>
                    </w:rPr>
                    <w:t>；空调冷水机组</w:t>
                  </w:r>
                  <w:r>
                    <w:rPr>
                      <w:rFonts w:hint="default" w:ascii="Times New Roman" w:hAnsi="Times New Roman" w:cs="Times New Roman"/>
                      <w:color w:val="auto"/>
                      <w:sz w:val="21"/>
                      <w:szCs w:val="21"/>
                      <w:highlight w:val="none"/>
                      <w:vertAlign w:val="baseline"/>
                      <w:lang w:val="en-US" w:eastAsia="zh-CN"/>
                    </w:rPr>
                    <w:t>所用冷却水循环使用，定期补充损耗，不外排；食堂废水经油水分离器处理后与生活污水经化粪池预处理后通过市政污水管网排至沣西新城大王污水处理厂进一步处理；</w:t>
                  </w:r>
                </w:p>
                <w:p w14:paraId="2903E463">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⑤本项目生活垃圾设垃圾桶收集后由环卫部门定期清运；一般固体废物（废零件）分类收集后暂存于一般固废暂存处，委托一般固废回收单位回收综合利用；危险废物（废清洗剂、不合格电路板、废活性炭等）分类收集后暂存于危废贮存库，交由有资质单位处置。</w:t>
                  </w:r>
                </w:p>
              </w:tc>
              <w:tc>
                <w:tcPr>
                  <w:tcW w:w="284" w:type="pct"/>
                  <w:vAlign w:val="center"/>
                </w:tcPr>
                <w:p w14:paraId="3545F09C">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4ED7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3D802D1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《陕西省大气污染治理专项行动方案（2023~2027）》</w:t>
                  </w:r>
                </w:p>
              </w:tc>
              <w:tc>
                <w:tcPr>
                  <w:tcW w:w="2225" w:type="pct"/>
                  <w:vAlign w:val="center"/>
                </w:tcPr>
                <w:p w14:paraId="45B6E5D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①能源消费结构调整。到2025年，电能在终端能源消费中的比重提高到27%以上；</w:t>
                  </w:r>
                </w:p>
                <w:p w14:paraId="60CAC64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②产业发展结构调整。关中地区严禁新增钢铁、焦化、水泥熟料、平板玻璃、电解铝、氧化铝、煤化工产能，合理控制煤制油气产能规模，严控新增炼油产能；</w:t>
                  </w:r>
                </w:p>
                <w:p w14:paraId="6E61CEC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③关中地区市辖区及开发区范围内新、改扩建涉气重点行业企业应达到环保绩效A级、绩效引领性水平，西安市、咸阳市、渭南市的其他区域应达到环保绩效B级及以上水平；</w:t>
                  </w:r>
                </w:p>
                <w:p w14:paraId="51103A1E">
                  <w:pP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rPr>
                    <w:t>④动态更新挥发性有机物治理设施台账，开展简易低效挥发性有机物治理设施清理整治、涉活性炭挥发性有机物处理工艺专项整治行动，强化挥发性有机物无组织排放整治，确保达到相关标准要求。新建项目不再采用单一低温等离子、光氧化、光催化等治理技术，非水溶性VOCs废气不再采用单一喷淋吸收方式处理。工业涂装企业应使用低挥发性有机物含量的涂料。</w:t>
                  </w:r>
                </w:p>
              </w:tc>
              <w:tc>
                <w:tcPr>
                  <w:tcW w:w="1292" w:type="pct"/>
                  <w:vAlign w:val="center"/>
                </w:tcPr>
                <w:p w14:paraId="14E66222">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①本项目使用能源为电、天然气，符合要求；</w:t>
                  </w:r>
                </w:p>
                <w:p w14:paraId="56FB5857">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②本项目不涉及钢铁、焦化、水泥熟料、平板玻璃、电解铝、氧化铝、煤化工、煤制油气、炼油产业；</w:t>
                  </w:r>
                </w:p>
                <w:p w14:paraId="46DDA7CE">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③根据《重污染天气重点行业应急减排措施制定技术指南（2020年修订版）》（环办大气函[2020]340号），本项目不属于涉气重点行业；</w:t>
                  </w:r>
                </w:p>
                <w:p w14:paraId="4944432A">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④本项目挥发性有机物治理设施为过滤棉+二级活性炭吸附装置，挥发性有机物在过滤棉+二级活性炭吸附装置正常运行情况下经处理能达标排放，环评要求企业建立动态更新挥发性有机物治理设施台账制度，需日常检查治理设施是否正常运行。</w:t>
                  </w:r>
                </w:p>
              </w:tc>
              <w:tc>
                <w:tcPr>
                  <w:tcW w:w="284" w:type="pct"/>
                  <w:vAlign w:val="center"/>
                </w:tcPr>
                <w:p w14:paraId="5FFA1685">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063E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1DE1F8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《西安市“十四五”生态环境保护规划》</w:t>
                  </w:r>
                </w:p>
              </w:tc>
              <w:tc>
                <w:tcPr>
                  <w:tcW w:w="2225" w:type="pct"/>
                  <w:vAlign w:val="center"/>
                </w:tcPr>
                <w:p w14:paraId="23B9828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①落实“三线一单”要求，分区域制定并实施生态环境准入清单，提高产业准入门槛；</w:t>
                  </w:r>
                </w:p>
                <w:p w14:paraId="37244D4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②持续推进清洁能源替代工程，提高天然气、电力等清洁能源的消费比例，加速能源体系清洁低碳发展进程，推进非化石能源成为能源消费增量的主体；</w:t>
                  </w:r>
                </w:p>
                <w:p w14:paraId="01F6F51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③持续推进PM</w:t>
                  </w:r>
                  <w:r>
                    <w:rPr>
                      <w:rFonts w:hint="default" w:ascii="Times New Roman" w:hAnsi="Times New Roman" w:cs="Times New Roman"/>
                      <w:color w:val="auto"/>
                      <w:szCs w:val="21"/>
                      <w:highlight w:val="none"/>
                      <w:vertAlign w:val="subscript"/>
                    </w:rPr>
                    <w:t>2.5</w:t>
                  </w:r>
                  <w:r>
                    <w:rPr>
                      <w:rFonts w:hint="default" w:ascii="Times New Roman" w:hAnsi="Times New Roman" w:cs="Times New Roman"/>
                      <w:color w:val="auto"/>
                      <w:szCs w:val="21"/>
                      <w:highlight w:val="none"/>
                    </w:rPr>
                    <w:t>与O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协同控制。强化部门间协调联动机制，开展从源头治理到环境控制的全过程管控，大力控制NO</w:t>
                  </w:r>
                  <w:r>
                    <w:rPr>
                      <w:rFonts w:hint="default" w:ascii="Times New Roman" w:hAnsi="Times New Roman" w:cs="Times New Roman"/>
                      <w:color w:val="auto"/>
                      <w:szCs w:val="21"/>
                      <w:highlight w:val="none"/>
                      <w:vertAlign w:val="subscript"/>
                    </w:rPr>
                    <w:t>x</w:t>
                  </w:r>
                  <w:r>
                    <w:rPr>
                      <w:rFonts w:hint="default" w:ascii="Times New Roman" w:hAnsi="Times New Roman" w:cs="Times New Roman"/>
                      <w:color w:val="auto"/>
                      <w:szCs w:val="21"/>
                      <w:highlight w:val="none"/>
                    </w:rPr>
                    <w:t>和VOCs排放，统筹建立以PM</w:t>
                  </w:r>
                  <w:r>
                    <w:rPr>
                      <w:rFonts w:hint="default" w:ascii="Times New Roman" w:hAnsi="Times New Roman" w:cs="Times New Roman"/>
                      <w:color w:val="auto"/>
                      <w:szCs w:val="21"/>
                      <w:highlight w:val="none"/>
                      <w:vertAlign w:val="subscript"/>
                    </w:rPr>
                    <w:t>2.5</w:t>
                  </w:r>
                  <w:r>
                    <w:rPr>
                      <w:rFonts w:hint="default" w:ascii="Times New Roman" w:hAnsi="Times New Roman" w:cs="Times New Roman"/>
                      <w:color w:val="auto"/>
                      <w:szCs w:val="21"/>
                      <w:highlight w:val="none"/>
                    </w:rPr>
                    <w:t>和O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治理为核心、以NO</w:t>
                  </w:r>
                  <w:r>
                    <w:rPr>
                      <w:rFonts w:hint="default" w:ascii="Times New Roman" w:hAnsi="Times New Roman" w:cs="Times New Roman"/>
                      <w:color w:val="auto"/>
                      <w:szCs w:val="21"/>
                      <w:highlight w:val="none"/>
                      <w:vertAlign w:val="subscript"/>
                    </w:rPr>
                    <w:t>x</w:t>
                  </w:r>
                  <w:r>
                    <w:rPr>
                      <w:rFonts w:hint="default" w:ascii="Times New Roman" w:hAnsi="Times New Roman" w:cs="Times New Roman"/>
                      <w:color w:val="auto"/>
                      <w:szCs w:val="21"/>
                      <w:highlight w:val="none"/>
                    </w:rPr>
                    <w:t>和VOCs综合整治为切入点的空气质量持续改善行动计划，有效提升全市大气环境质量；</w:t>
                  </w:r>
                </w:p>
                <w:p w14:paraId="4F208A66">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④加强工业企业噪声环境监管力度，严厉查处工业企业噪声排放超标扰民行为。</w:t>
                  </w:r>
                </w:p>
              </w:tc>
              <w:tc>
                <w:tcPr>
                  <w:tcW w:w="1292" w:type="pct"/>
                  <w:vAlign w:val="center"/>
                </w:tcPr>
                <w:p w14:paraId="2EB0C85E">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①本</w:t>
                  </w:r>
                  <w:r>
                    <w:rPr>
                      <w:rFonts w:hint="default" w:ascii="Times New Roman" w:hAnsi="Times New Roman" w:eastAsia="宋体" w:cs="Times New Roman"/>
                      <w:color w:val="auto"/>
                      <w:sz w:val="21"/>
                      <w:szCs w:val="21"/>
                      <w:highlight w:val="none"/>
                      <w:vertAlign w:val="baseline"/>
                      <w:lang w:val="en-US" w:eastAsia="zh-CN"/>
                    </w:rPr>
                    <w:t>项目位于西安市生态环境分区管控重点管控单元内，运营期产生的各污染物均采取相应环保措施，符合西安市“三线一单”生态环境分区管控方案的要求；</w:t>
                  </w:r>
                </w:p>
                <w:p w14:paraId="7518160C">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②本项目使用能源为电、天然气，属于清洁能源；</w:t>
                  </w:r>
                </w:p>
                <w:p w14:paraId="5A08961D">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③本项目生产过程中产生的废气为食堂油烟、焊接环节产生的焊接烟尘（颗粒物）、清洗环节清洗剂挥发产生的有机废气（VOCs）、灌封与烘干过程产生的有机废气（VOCs），本项目生产过程中产生的废气均采用集气罩＋过滤棉＋二级活性炭吸附装置处理后经34m高排气筒达标排放；食堂油烟经油烟净化装置净化后通过烟气管道排放；</w:t>
                  </w:r>
                </w:p>
                <w:p w14:paraId="36E9897D">
                  <w:pPr>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④环评要求项目噪声应采取低噪声设备，采取基础减振、厂房隔声，风机等高噪声设备增加软连接，可满足《声环境质量标准》（GB3096-2008）规定的2类声环境标准。</w:t>
                  </w:r>
                </w:p>
              </w:tc>
              <w:tc>
                <w:tcPr>
                  <w:tcW w:w="284" w:type="pct"/>
                  <w:vAlign w:val="center"/>
                </w:tcPr>
                <w:p w14:paraId="5E37DC33">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4A9D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97" w:type="pct"/>
                  <w:vAlign w:val="center"/>
                </w:tcPr>
                <w:p w14:paraId="28D9DEC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《西安市大气污染治理专项行动方案（2023~2027）》</w:t>
                  </w:r>
                </w:p>
              </w:tc>
              <w:tc>
                <w:tcPr>
                  <w:tcW w:w="2225" w:type="pct"/>
                  <w:vAlign w:val="center"/>
                </w:tcPr>
                <w:p w14:paraId="7CA81AA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①推动产业发展结构调整。强化源头管控，严格落实国家和我省产业规划、产业政策、“三线一单”、规划环评等要求，</w:t>
                  </w:r>
                  <w:r>
                    <w:rPr>
                      <w:rFonts w:hint="default" w:ascii="Times New Roman" w:hAnsi="Times New Roman" w:cs="Times New Roman"/>
                      <w:color w:val="auto"/>
                      <w:szCs w:val="21"/>
                      <w:highlight w:val="none"/>
                      <w:lang w:val="en-US" w:eastAsia="zh-CN"/>
                    </w:rPr>
                    <w:t>深入</w:t>
                  </w:r>
                  <w:r>
                    <w:rPr>
                      <w:rFonts w:hint="default" w:ascii="Times New Roman" w:hAnsi="Times New Roman" w:cs="Times New Roman"/>
                      <w:color w:val="auto"/>
                      <w:szCs w:val="21"/>
                      <w:highlight w:val="none"/>
                    </w:rPr>
                    <w:t>开展我市区域空间生态环境评价工作；</w:t>
                  </w:r>
                </w:p>
                <w:p w14:paraId="61869FD0">
                  <w:pP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②严格新改扩建涉气重点行业绩效评级限制条件。各区、开发区范围内新改扩建涉气重点行业企业应达到环保绩效A级、绩效引领性水平，周至县、蓝田县应达到环保绩效B级以上；</w:t>
                  </w:r>
                </w:p>
                <w:p w14:paraId="4410A833">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rPr>
                    <w:t>③强化涉活性炭VOCs处理工艺治理。动态更新挥发性有机物治理设施台账，开展简易低效挥发性有机物治理设施清理整治、涉活性炭挥发性有机物处理工艺专项整治行动，强化挥发性有机物无组织排放整治，确保达到相关标准要求。新建项目不再采用单一低温等离子、光氧化、光催化等治理技术，非水溶性VOCs废气不再采用单一喷淋吸收方式处理</w:t>
                  </w:r>
                  <w:r>
                    <w:rPr>
                      <w:rFonts w:hint="default" w:ascii="Times New Roman" w:hAnsi="Times New Roman" w:cs="Times New Roman"/>
                      <w:color w:val="auto"/>
                      <w:szCs w:val="21"/>
                      <w:highlight w:val="none"/>
                      <w:lang w:eastAsia="zh-CN"/>
                    </w:rPr>
                    <w:t>。</w:t>
                  </w:r>
                </w:p>
              </w:tc>
              <w:tc>
                <w:tcPr>
                  <w:tcW w:w="1292" w:type="pct"/>
                  <w:vAlign w:val="center"/>
                </w:tcPr>
                <w:p w14:paraId="3E473918">
                  <w:pPr>
                    <w:rPr>
                      <w:rFonts w:hint="default" w:ascii="Times New Roman" w:hAnsi="Times New Roman" w:eastAsia="宋体" w:cs="Times New Roman"/>
                      <w:color w:val="auto"/>
                      <w:spacing w:val="0"/>
                      <w:w w:val="100"/>
                      <w:sz w:val="21"/>
                      <w:szCs w:val="21"/>
                      <w:highlight w:val="none"/>
                      <w:vertAlign w:val="baseline"/>
                      <w:lang w:val="en-US" w:eastAsia="zh-CN"/>
                    </w:rPr>
                  </w:pPr>
                  <w:r>
                    <w:rPr>
                      <w:rFonts w:hint="default" w:ascii="Times New Roman" w:hAnsi="Times New Roman" w:cs="Times New Roman"/>
                      <w:color w:val="auto"/>
                      <w:spacing w:val="0"/>
                      <w:w w:val="100"/>
                      <w:sz w:val="21"/>
                      <w:szCs w:val="21"/>
                      <w:highlight w:val="none"/>
                      <w:vertAlign w:val="baseline"/>
                      <w:lang w:val="en-US" w:eastAsia="zh-CN"/>
                    </w:rPr>
                    <w:t>①</w:t>
                  </w:r>
                  <w:r>
                    <w:rPr>
                      <w:rFonts w:hint="default" w:ascii="Times New Roman" w:hAnsi="Times New Roman" w:eastAsia="宋体" w:cs="Times New Roman"/>
                      <w:color w:val="auto"/>
                      <w:spacing w:val="0"/>
                      <w:w w:val="100"/>
                      <w:sz w:val="21"/>
                      <w:szCs w:val="21"/>
                      <w:highlight w:val="none"/>
                      <w:vertAlign w:val="baseline"/>
                      <w:lang w:val="en-US" w:eastAsia="zh-CN"/>
                    </w:rPr>
                    <w:t>本项目位于沣西新城创新港G板块咸户路以东、创智路以北、CXG东南二路以西，位于西咸新区沣西新城规划范围内；项目主要从事</w:t>
                  </w:r>
                  <w:r>
                    <w:rPr>
                      <w:rFonts w:hint="default" w:ascii="Times New Roman" w:hAnsi="Times New Roman" w:cs="Times New Roman"/>
                      <w:color w:val="auto"/>
                      <w:spacing w:val="0"/>
                      <w:w w:val="100"/>
                      <w:sz w:val="21"/>
                      <w:szCs w:val="21"/>
                      <w:highlight w:val="none"/>
                      <w:vertAlign w:val="baseline"/>
                      <w:lang w:val="en-US" w:eastAsia="zh-CN"/>
                    </w:rPr>
                    <w:t>高压电源组装制造</w:t>
                  </w:r>
                  <w:r>
                    <w:rPr>
                      <w:rFonts w:hint="default" w:ascii="Times New Roman" w:hAnsi="Times New Roman" w:eastAsia="宋体" w:cs="Times New Roman"/>
                      <w:color w:val="auto"/>
                      <w:spacing w:val="0"/>
                      <w:w w:val="100"/>
                      <w:sz w:val="21"/>
                      <w:szCs w:val="21"/>
                      <w:highlight w:val="none"/>
                      <w:vertAlign w:val="baseline"/>
                      <w:lang w:val="en-US" w:eastAsia="zh-CN"/>
                    </w:rPr>
                    <w:t>，符合西咸新区沣西新城分</w:t>
                  </w:r>
                  <w:r>
                    <w:rPr>
                      <w:rFonts w:hint="default" w:ascii="Times New Roman" w:hAnsi="Times New Roman" w:cs="Times New Roman"/>
                      <w:color w:val="auto"/>
                      <w:spacing w:val="0"/>
                      <w:w w:val="100"/>
                      <w:sz w:val="21"/>
                      <w:szCs w:val="21"/>
                      <w:highlight w:val="none"/>
                      <w:vertAlign w:val="baseline"/>
                      <w:lang w:val="en-US" w:eastAsia="zh-CN"/>
                    </w:rPr>
                    <w:t>区</w:t>
                  </w:r>
                  <w:r>
                    <w:rPr>
                      <w:rFonts w:hint="default" w:ascii="Times New Roman" w:hAnsi="Times New Roman" w:eastAsia="宋体" w:cs="Times New Roman"/>
                      <w:color w:val="auto"/>
                      <w:spacing w:val="0"/>
                      <w:w w:val="100"/>
                      <w:sz w:val="21"/>
                      <w:szCs w:val="21"/>
                      <w:highlight w:val="none"/>
                      <w:vertAlign w:val="baseline"/>
                      <w:lang w:val="en-US" w:eastAsia="zh-CN"/>
                    </w:rPr>
                    <w:t>规划</w:t>
                  </w:r>
                  <w:r>
                    <w:rPr>
                      <w:rFonts w:hint="default" w:ascii="Times New Roman" w:hAnsi="Times New Roman" w:cs="Times New Roman"/>
                      <w:color w:val="auto"/>
                      <w:spacing w:val="0"/>
                      <w:w w:val="100"/>
                      <w:sz w:val="21"/>
                      <w:szCs w:val="21"/>
                      <w:highlight w:val="none"/>
                      <w:vertAlign w:val="baseline"/>
                      <w:lang w:val="en-US" w:eastAsia="zh-CN"/>
                    </w:rPr>
                    <w:t>（</w:t>
                  </w:r>
                  <w:r>
                    <w:rPr>
                      <w:rFonts w:hint="default" w:ascii="Times New Roman" w:hAnsi="Times New Roman" w:eastAsia="宋体" w:cs="Times New Roman"/>
                      <w:color w:val="auto"/>
                      <w:spacing w:val="0"/>
                      <w:w w:val="100"/>
                      <w:sz w:val="21"/>
                      <w:szCs w:val="21"/>
                      <w:highlight w:val="none"/>
                      <w:vertAlign w:val="baseline"/>
                      <w:lang w:val="en-US" w:eastAsia="zh-CN"/>
                    </w:rPr>
                    <w:t>2016</w:t>
                  </w:r>
                  <w:r>
                    <w:rPr>
                      <w:rFonts w:hint="default" w:ascii="Times New Roman" w:hAnsi="Times New Roman" w:cs="Times New Roman"/>
                      <w:color w:val="auto"/>
                      <w:spacing w:val="0"/>
                      <w:w w:val="100"/>
                      <w:sz w:val="21"/>
                      <w:szCs w:val="21"/>
                      <w:highlight w:val="none"/>
                      <w:vertAlign w:val="baseline"/>
                      <w:lang w:val="en-US" w:eastAsia="zh-CN"/>
                    </w:rPr>
                    <w:t>-</w:t>
                  </w:r>
                  <w:r>
                    <w:rPr>
                      <w:rFonts w:hint="default" w:ascii="Times New Roman" w:hAnsi="Times New Roman" w:eastAsia="宋体" w:cs="Times New Roman"/>
                      <w:color w:val="auto"/>
                      <w:spacing w:val="0"/>
                      <w:w w:val="100"/>
                      <w:sz w:val="21"/>
                      <w:szCs w:val="21"/>
                      <w:highlight w:val="none"/>
                      <w:vertAlign w:val="baseline"/>
                      <w:lang w:val="en-US" w:eastAsia="zh-CN"/>
                    </w:rPr>
                    <w:t>2035</w:t>
                  </w:r>
                  <w:r>
                    <w:rPr>
                      <w:rFonts w:hint="default" w:ascii="Times New Roman" w:hAnsi="Times New Roman" w:cs="Times New Roman"/>
                      <w:color w:val="auto"/>
                      <w:spacing w:val="0"/>
                      <w:w w:val="100"/>
                      <w:sz w:val="21"/>
                      <w:szCs w:val="21"/>
                      <w:highlight w:val="none"/>
                      <w:vertAlign w:val="baseline"/>
                      <w:lang w:val="en-US" w:eastAsia="zh-CN"/>
                    </w:rPr>
                    <w:t>）</w:t>
                  </w:r>
                  <w:r>
                    <w:rPr>
                      <w:rFonts w:hint="default" w:ascii="Times New Roman" w:hAnsi="Times New Roman" w:eastAsia="宋体" w:cs="Times New Roman"/>
                      <w:color w:val="auto"/>
                      <w:spacing w:val="0"/>
                      <w:w w:val="100"/>
                      <w:sz w:val="21"/>
                      <w:szCs w:val="21"/>
                      <w:highlight w:val="none"/>
                      <w:vertAlign w:val="baseline"/>
                      <w:lang w:val="en-US" w:eastAsia="zh-CN"/>
                    </w:rPr>
                    <w:t>年规划要求；项目位于西安市生态环境分区管控重点管控单元内，运营期产生的各污染物均采取相应环保措施，符合西安市“三线一单”生态环境分区管控方案的要求；</w:t>
                  </w:r>
                </w:p>
                <w:p w14:paraId="5407DC41">
                  <w:pPr>
                    <w:rPr>
                      <w:rFonts w:hint="default" w:ascii="Times New Roman" w:hAnsi="Times New Roman" w:cs="Times New Roman"/>
                      <w:color w:val="auto"/>
                      <w:spacing w:val="0"/>
                      <w:w w:val="100"/>
                      <w:sz w:val="21"/>
                      <w:szCs w:val="21"/>
                      <w:highlight w:val="none"/>
                      <w:vertAlign w:val="baseline"/>
                      <w:lang w:val="en-US" w:eastAsia="zh-CN"/>
                    </w:rPr>
                  </w:pPr>
                  <w:r>
                    <w:rPr>
                      <w:rFonts w:hint="default" w:ascii="Times New Roman" w:hAnsi="Times New Roman" w:cs="Times New Roman"/>
                      <w:color w:val="auto"/>
                      <w:spacing w:val="0"/>
                      <w:w w:val="100"/>
                      <w:sz w:val="21"/>
                      <w:szCs w:val="21"/>
                      <w:highlight w:val="none"/>
                      <w:vertAlign w:val="baseline"/>
                      <w:lang w:val="en-US" w:eastAsia="zh-CN"/>
                    </w:rPr>
                    <w:t>②根据《重污染天气重点行业应急减排措施制定技术指南（2020年修订版）》（环办大气函[2020]340号），本项目不属于涉气重点行业；</w:t>
                  </w:r>
                </w:p>
                <w:p w14:paraId="7A8CD9AE">
                  <w:pPr>
                    <w:rPr>
                      <w:rFonts w:hint="default" w:ascii="Times New Roman" w:hAnsi="Times New Roman" w:cs="Times New Roman"/>
                      <w:color w:val="auto"/>
                      <w:spacing w:val="0"/>
                      <w:w w:val="100"/>
                      <w:sz w:val="21"/>
                      <w:szCs w:val="21"/>
                      <w:highlight w:val="none"/>
                      <w:vertAlign w:val="baseline"/>
                      <w:lang w:val="en-US" w:eastAsia="zh-CN"/>
                    </w:rPr>
                  </w:pPr>
                  <w:r>
                    <w:rPr>
                      <w:rFonts w:hint="default" w:ascii="Times New Roman" w:hAnsi="Times New Roman" w:cs="Times New Roman"/>
                      <w:color w:val="auto"/>
                      <w:spacing w:val="0"/>
                      <w:w w:val="100"/>
                      <w:sz w:val="21"/>
                      <w:szCs w:val="21"/>
                      <w:highlight w:val="none"/>
                      <w:vertAlign w:val="baseline"/>
                      <w:lang w:val="en-US" w:eastAsia="zh-CN"/>
                    </w:rPr>
                    <w:t>③本项目挥发性有机物治理设施为过滤棉+二级活性炭吸附装置，挥发性有机物在过滤棉+二级活性炭吸附装置正常运行情况下经处理能达标排放，环评要求企业建立动态更新挥发性有机物治理设施台账制度，需日常检查治理设施是否正常运行。</w:t>
                  </w:r>
                </w:p>
              </w:tc>
              <w:tc>
                <w:tcPr>
                  <w:tcW w:w="284" w:type="pct"/>
                  <w:vAlign w:val="center"/>
                </w:tcPr>
                <w:p w14:paraId="5F073A32">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02FA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197" w:type="pct"/>
                  <w:vAlign w:val="center"/>
                </w:tcPr>
                <w:p w14:paraId="73F6C5D9">
                  <w:pPr>
                    <w:jc w:val="center"/>
                    <w:rPr>
                      <w:rFonts w:hint="default" w:ascii="Times New Roman" w:hAnsi="Times New Roman" w:eastAsia="宋体" w:cs="Times New Roman"/>
                      <w:color w:val="auto"/>
                      <w:sz w:val="21"/>
                      <w:szCs w:val="24"/>
                      <w:highlight w:val="none"/>
                      <w:lang w:eastAsia="zh-CN"/>
                    </w:rPr>
                  </w:pPr>
                  <w:r>
                    <w:rPr>
                      <w:rFonts w:hint="default" w:ascii="Times New Roman" w:hAnsi="Times New Roman" w:cs="Times New Roman"/>
                      <w:color w:val="auto"/>
                      <w:szCs w:val="21"/>
                      <w:highlight w:val="none"/>
                    </w:rPr>
                    <w:t>《西安市生态环境局办公室关于加强涉气项目环境影响评价管理的通知》（市环办发[2023]47号）</w:t>
                  </w:r>
                </w:p>
              </w:tc>
              <w:tc>
                <w:tcPr>
                  <w:tcW w:w="2225" w:type="pct"/>
                  <w:vAlign w:val="center"/>
                </w:tcPr>
                <w:p w14:paraId="6CF1C13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①严格落实法律法规、政策标准要求，强化“三线一单”生态环境分区管控落地，发挥规划环评和总量指标的制约作用；</w:t>
                  </w:r>
                </w:p>
                <w:p w14:paraId="504F3F06">
                  <w:pP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②新建项目不再采用低温等离子、光氧化、光催化等单一处理方式，非水溶性挥发性有机物废气不再采用喷淋吸收方式处理，采用活性炭吸附技术，其中颗粒碳碘吸附值不低于800mg/g或四氯化碳吸附率不低于60%，</w:t>
                  </w:r>
                  <w:r>
                    <w:rPr>
                      <w:rFonts w:hint="default" w:ascii="Times New Roman" w:hAnsi="Times New Roman" w:cs="Times New Roman"/>
                      <w:color w:val="auto"/>
                      <w:szCs w:val="21"/>
                      <w:highlight w:val="none"/>
                    </w:rPr>
                    <w:t>蜂窝活性炭碘吸附值不低于600mg/g</w:t>
                  </w:r>
                  <w:r>
                    <w:rPr>
                      <w:rFonts w:hint="default" w:ascii="Times New Roman" w:hAnsi="Times New Roman" w:cs="Times New Roman"/>
                      <w:color w:val="auto"/>
                      <w:szCs w:val="21"/>
                      <w:highlight w:val="none"/>
                    </w:rPr>
                    <w:t>或四氯化碳吸附率不低于30%，按设计要求足量添加、定期更换。</w:t>
                  </w:r>
                </w:p>
              </w:tc>
              <w:tc>
                <w:tcPr>
                  <w:tcW w:w="1292" w:type="pct"/>
                  <w:vAlign w:val="center"/>
                </w:tcPr>
                <w:p w14:paraId="0D9A9252">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①本项目位于沣西新城创新港G板块咸户路以东、创智路以北、CXG东南二路以西，位于西咸新区沣西新城规划范围内；项目主要从事高压电源组装制造，符合西咸新区沣西新城分区规划（2016-2035）年规划要求；项目位于西安市生态环境分区管控重点管控单元内，运营期产生的各污染物均采取相应环保措施，符合西安市“三线一单”生态环境分区管控方案的要求；</w:t>
                  </w:r>
                </w:p>
                <w:p w14:paraId="4AE8D781">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②本项目生产过程中产生的废气为焊接环节产生的焊接烟尘（颗粒物）、清洗环节清洗剂挥发产生的有机废气（VOCs）、灌封与烘干过程产生的有机废气（VOCs），本项目生产过程中产生的废气均采用集气罩＋过滤棉＋二级活性炭吸附装置处理后经34m高排气筒达标排放，根据《生态环境部关于加快解决当前挥发性有机物治理突出问题的通知》环大气〔2021〕65号，</w:t>
                  </w:r>
                  <w:r>
                    <w:rPr>
                      <w:rFonts w:hint="default" w:ascii="Times New Roman" w:hAnsi="Times New Roman" w:cs="Times New Roman"/>
                      <w:color w:val="auto"/>
                      <w:sz w:val="21"/>
                      <w:szCs w:val="21"/>
                      <w:highlight w:val="none"/>
                      <w:vertAlign w:val="baseline"/>
                      <w:lang w:val="en-US" w:eastAsia="zh-CN"/>
                    </w:rPr>
                    <w:t>环评取严要求项目采用碘值不低于650mg/g的蜂窝状活性炭，并按设计要求足量添加及定期更换。</w:t>
                  </w:r>
                </w:p>
              </w:tc>
              <w:tc>
                <w:tcPr>
                  <w:tcW w:w="284" w:type="pct"/>
                  <w:vAlign w:val="center"/>
                </w:tcPr>
                <w:p w14:paraId="629FE43F">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264A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197" w:type="pct"/>
                  <w:vAlign w:val="center"/>
                </w:tcPr>
                <w:p w14:paraId="29DBEF2E">
                  <w:pPr>
                    <w:jc w:val="center"/>
                    <w:rPr>
                      <w:rFonts w:hint="default" w:ascii="Times New Roman" w:hAnsi="Times New Roman" w:eastAsia="宋体" w:cs="Times New Roman"/>
                      <w:color w:val="auto"/>
                      <w:sz w:val="21"/>
                      <w:szCs w:val="24"/>
                      <w:highlight w:val="none"/>
                    </w:rPr>
                  </w:pPr>
                  <w:r>
                    <w:rPr>
                      <w:rFonts w:hint="default" w:ascii="Times New Roman" w:hAnsi="Times New Roman" w:cs="Times New Roman"/>
                      <w:color w:val="auto"/>
                      <w:szCs w:val="21"/>
                      <w:highlight w:val="none"/>
                    </w:rPr>
                    <w:t>《西咸新区沣西新城大气污染治理专项行动方案（2023~2027）》</w:t>
                  </w:r>
                </w:p>
              </w:tc>
              <w:tc>
                <w:tcPr>
                  <w:tcW w:w="2225" w:type="pct"/>
                  <w:vAlign w:val="center"/>
                </w:tcPr>
                <w:p w14:paraId="5C2A83BD">
                  <w:pP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highlight w:val="none"/>
                    </w:rPr>
                    <w:t>强化涉活性炭VOCs处理工艺治理。动态更新挥发性有机物治理设施台账，开展简易低效挥发性有机物治理设施清理整治、涉活性炭挥发性有机物处理工艺专项整治行动，强化挥发性有机物无组织排放整治，确保达到相关标准要求。新建项目不再采用单一低温等离子、光氧化、光催化等治理技术，非水溶性VOCs废气不再采用单一喷淋吸收方式处理</w:t>
                  </w:r>
                  <w:r>
                    <w:rPr>
                      <w:rFonts w:hint="default" w:ascii="Times New Roman" w:hAnsi="Times New Roman" w:cs="Times New Roman"/>
                      <w:color w:val="auto"/>
                      <w:highlight w:val="none"/>
                      <w:lang w:eastAsia="zh-CN"/>
                    </w:rPr>
                    <w:t>。</w:t>
                  </w:r>
                </w:p>
              </w:tc>
              <w:tc>
                <w:tcPr>
                  <w:tcW w:w="1292" w:type="pct"/>
                  <w:vAlign w:val="center"/>
                </w:tcPr>
                <w:p w14:paraId="0D284DC1">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本项目挥发性有机物治理设施为过滤棉+</w:t>
                  </w:r>
                  <w:r>
                    <w:rPr>
                      <w:rFonts w:hint="default" w:ascii="Times New Roman" w:hAnsi="Times New Roman" w:cs="Times New Roman"/>
                      <w:color w:val="auto"/>
                      <w:sz w:val="21"/>
                      <w:szCs w:val="21"/>
                      <w:highlight w:val="none"/>
                      <w:vertAlign w:val="baseline"/>
                      <w:lang w:val="en-US" w:eastAsia="zh-CN"/>
                    </w:rPr>
                    <w:t>二级活性炭吸附装置</w:t>
                  </w:r>
                  <w:r>
                    <w:rPr>
                      <w:rFonts w:hint="default" w:ascii="Times New Roman" w:hAnsi="Times New Roman" w:eastAsia="宋体" w:cs="Times New Roman"/>
                      <w:color w:val="auto"/>
                      <w:sz w:val="21"/>
                      <w:szCs w:val="21"/>
                      <w:highlight w:val="none"/>
                      <w:vertAlign w:val="baseline"/>
                      <w:lang w:val="en-US" w:eastAsia="zh-CN"/>
                    </w:rPr>
                    <w:t>，挥发性有机物在过滤棉+</w:t>
                  </w:r>
                  <w:r>
                    <w:rPr>
                      <w:rFonts w:hint="default" w:ascii="Times New Roman" w:hAnsi="Times New Roman" w:cs="Times New Roman"/>
                      <w:color w:val="auto"/>
                      <w:sz w:val="21"/>
                      <w:szCs w:val="21"/>
                      <w:highlight w:val="none"/>
                      <w:vertAlign w:val="baseline"/>
                      <w:lang w:val="en-US" w:eastAsia="zh-CN"/>
                    </w:rPr>
                    <w:t>二级活性炭吸附装置</w:t>
                  </w:r>
                  <w:r>
                    <w:rPr>
                      <w:rFonts w:hint="default" w:ascii="Times New Roman" w:hAnsi="Times New Roman" w:eastAsia="宋体" w:cs="Times New Roman"/>
                      <w:color w:val="auto"/>
                      <w:sz w:val="21"/>
                      <w:szCs w:val="21"/>
                      <w:highlight w:val="none"/>
                      <w:vertAlign w:val="baseline"/>
                      <w:lang w:val="en-US" w:eastAsia="zh-CN"/>
                    </w:rPr>
                    <w:t>正常运行情况下经处理能达标排放，环评要求企业建立动态更新挥发性有机物治理设施台账制度，需日常检查治理设施是否正常运行。</w:t>
                  </w:r>
                </w:p>
              </w:tc>
              <w:tc>
                <w:tcPr>
                  <w:tcW w:w="284" w:type="pct"/>
                  <w:vAlign w:val="center"/>
                </w:tcPr>
                <w:p w14:paraId="2A33C9D8">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7FA3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trPr>
              <w:tc>
                <w:tcPr>
                  <w:tcW w:w="1197" w:type="pct"/>
                  <w:vAlign w:val="center"/>
                </w:tcPr>
                <w:p w14:paraId="75AD0FB3">
                  <w:pPr>
                    <w:pStyle w:val="15"/>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1"/>
                      <w:szCs w:val="21"/>
                      <w:highlight w:val="none"/>
                    </w:rPr>
                    <w:t>《重点行业挥发性有机物综合治理方案》（环大气[2019]53号）</w:t>
                  </w:r>
                </w:p>
              </w:tc>
              <w:tc>
                <w:tcPr>
                  <w:tcW w:w="2225" w:type="pct"/>
                  <w:vAlign w:val="center"/>
                </w:tcPr>
                <w:p w14:paraId="49DB8CEB">
                  <w:pPr>
                    <w:widowControl/>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①</w:t>
                  </w:r>
                  <w:r>
                    <w:rPr>
                      <w:rFonts w:hint="default" w:ascii="Times New Roman" w:hAnsi="Times New Roman" w:cs="Times New Roman"/>
                      <w:color w:val="auto"/>
                      <w:kern w:val="0"/>
                      <w:szCs w:val="21"/>
                      <w:highlight w:val="none"/>
                    </w:rPr>
                    <w:t>加强制药、农药、涂料、油墨、胶粘剂、橡胶和塑料制品等行业VOCs治理力度。</w:t>
                  </w:r>
                  <w:r>
                    <w:rPr>
                      <w:rFonts w:hint="default" w:ascii="Times New Roman" w:hAnsi="Times New Roman" w:cs="Times New Roman"/>
                      <w:color w:val="auto"/>
                      <w:kern w:val="0"/>
                      <w:szCs w:val="21"/>
                      <w:highlight w:val="none"/>
                    </w:rPr>
                    <w:t>重点提高涉VOCs排放主要工序密闭化水平，加强无组织排放收集，加大含VOCs物料储存和装卸治理力度；</w:t>
                  </w:r>
                </w:p>
                <w:p w14:paraId="4F347D86">
                  <w:pPr>
                    <w:pStyle w:val="43"/>
                    <w:ind w:left="0" w:leftChars="0"/>
                    <w:rPr>
                      <w:rFonts w:hint="default" w:ascii="Times New Roman" w:hAnsi="Times New Roman" w:cs="Times New Roman"/>
                      <w:color w:val="auto"/>
                      <w:szCs w:val="21"/>
                      <w:highlight w:val="none"/>
                    </w:rPr>
                  </w:pPr>
                  <w:r>
                    <w:rPr>
                      <w:rFonts w:hint="default" w:ascii="Times New Roman" w:hAnsi="Times New Roman" w:cs="Times New Roman"/>
                      <w:b w:val="0"/>
                      <w:bCs w:val="0"/>
                      <w:color w:val="auto"/>
                      <w:sz w:val="21"/>
                      <w:szCs w:val="21"/>
                      <w:highlight w:val="none"/>
                    </w:rPr>
                    <w:t>②</w:t>
                  </w:r>
                  <w:r>
                    <w:rPr>
                      <w:rFonts w:hint="default" w:ascii="Times New Roman" w:hAnsi="Times New Roman" w:cs="Times New Roman"/>
                      <w:b w:val="0"/>
                      <w:color w:val="auto"/>
                      <w:kern w:val="0"/>
                      <w:sz w:val="21"/>
                      <w:szCs w:val="21"/>
                      <w:highlight w:val="none"/>
                    </w:rPr>
                    <w:t>企业应系统梳理VOCs排放主要环节和工序，包括启停机、检维修作业等，制定具体操作规程，落实到具体责任人。健全内部考核制度。加强人员能力培训和技术交流。建立管理台账，记录企业生产和治污设施运行的关键参数，在线监控参数要确保能够实时调取，相关台账记录至少保存三年。</w:t>
                  </w:r>
                </w:p>
              </w:tc>
              <w:tc>
                <w:tcPr>
                  <w:tcW w:w="1292" w:type="pct"/>
                  <w:vAlign w:val="center"/>
                </w:tcPr>
                <w:p w14:paraId="21D3DEED">
                  <w:pPr>
                    <w:pStyle w:val="15"/>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①本项目不属于制药、农药、涂料、油墨、胶粘剂、橡胶和塑料制品等行业，项目清洗环节清洗剂挥发产生的有机废气（VOCs）、灌封与烘干过程产生的有机废气（VOCs）均采用集气罩＋过滤棉＋二级活性炭吸附装置处理后经34m高排气筒达标排放，排放浓度与排放速率满足《大气污染物综合排放标准》（GB16297-1996）表2中相关标准；</w:t>
                  </w:r>
                </w:p>
                <w:p w14:paraId="247B91C5">
                  <w:pPr>
                    <w:pStyle w:val="15"/>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②环评要求建设单位运营期将规范内部环保管理制度，建立管理台账；对有机废气开展自行监测，对设备进行维护，确保设施稳定运行。</w:t>
                  </w:r>
                </w:p>
              </w:tc>
              <w:tc>
                <w:tcPr>
                  <w:tcW w:w="284" w:type="pct"/>
                  <w:vAlign w:val="center"/>
                </w:tcPr>
                <w:p w14:paraId="622BE381">
                  <w:pPr>
                    <w:pStyle w:val="15"/>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rPr>
                    <w:t>符合</w:t>
                  </w:r>
                </w:p>
              </w:tc>
            </w:tr>
            <w:tr w14:paraId="6671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1197" w:type="pct"/>
                  <w:vAlign w:val="center"/>
                </w:tcPr>
                <w:p w14:paraId="22F86645">
                  <w:pPr>
                    <w:pStyle w:val="15"/>
                    <w:jc w:val="center"/>
                    <w:rPr>
                      <w:rFonts w:hint="default" w:ascii="Times New Roman" w:hAnsi="Times New Roman" w:cs="Times New Roman"/>
                      <w:color w:val="auto"/>
                      <w:highlight w:val="none"/>
                    </w:rPr>
                  </w:pPr>
                  <w:r>
                    <w:rPr>
                      <w:rFonts w:hint="default" w:ascii="Times New Roman" w:hAnsi="Times New Roman" w:cs="Times New Roman"/>
                      <w:color w:val="auto"/>
                      <w:kern w:val="0"/>
                      <w:sz w:val="21"/>
                      <w:szCs w:val="21"/>
                      <w:highlight w:val="none"/>
                    </w:rPr>
                    <w:t>《挥发性有机物（VOCs）污染防治技术政策》（公告2013年第31号）</w:t>
                  </w:r>
                </w:p>
              </w:tc>
              <w:tc>
                <w:tcPr>
                  <w:tcW w:w="2225" w:type="pct"/>
                  <w:vAlign w:val="center"/>
                </w:tcPr>
                <w:p w14:paraId="259D7518">
                  <w:pPr>
                    <w:pStyle w:val="43"/>
                    <w:ind w:left="0"/>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①对于含低浓度VOCs的废气，有回收价值时可采用吸附技术对有机溶剂回收后达标排放；不宜回收时，可采用吸附浓缩技术、生物技术、吸收技术、等离子体技术或紫外光高级氧化技术等净化后达标排放；</w:t>
                  </w:r>
                </w:p>
                <w:p w14:paraId="0335F053">
                  <w:pPr>
                    <w:pStyle w:val="43"/>
                    <w:ind w:left="0"/>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②</w:t>
                  </w:r>
                  <w:r>
                    <w:rPr>
                      <w:rFonts w:hint="default" w:ascii="Times New Roman" w:hAnsi="Times New Roman" w:eastAsia="宋体" w:cs="Times New Roman"/>
                      <w:b w:val="0"/>
                      <w:color w:val="auto"/>
                      <w:sz w:val="21"/>
                      <w:szCs w:val="21"/>
                      <w:highlight w:val="none"/>
                    </w:rPr>
                    <w:t>鼓励企业自行开展VOCs监测，并及时主动向当地环保行政主管部门报送监测结果；企业应建立健全VOCs治理设施的运行维护规程和台账等日常管理制度。并根据工艺要求定期对各类设备、电器、自控仪表等进行检修维护，确保设施的稳定运行。</w:t>
                  </w:r>
                </w:p>
              </w:tc>
              <w:tc>
                <w:tcPr>
                  <w:tcW w:w="1292" w:type="pct"/>
                  <w:vAlign w:val="center"/>
                </w:tcPr>
                <w:p w14:paraId="0A2F582C">
                  <w:pPr>
                    <w:pStyle w:val="43"/>
                    <w:ind w:left="0"/>
                    <w:rPr>
                      <w:rFonts w:hint="default" w:ascii="Times New Roman" w:hAnsi="Times New Roman" w:eastAsia="宋体" w:cs="Times New Roman"/>
                      <w:b w:val="0"/>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①本项目清洗环节清洗剂挥发产生的有机废气（VOCs）、灌封与烘干过程产生的有机废气（VOCs）均采用</w:t>
                  </w:r>
                  <w:r>
                    <w:rPr>
                      <w:rFonts w:hint="default" w:ascii="Times New Roman" w:hAnsi="Times New Roman" w:cs="Times New Roman"/>
                      <w:b w:val="0"/>
                      <w:color w:val="auto"/>
                      <w:sz w:val="21"/>
                      <w:szCs w:val="21"/>
                      <w:highlight w:val="none"/>
                      <w:lang w:val="en-US" w:eastAsia="zh-CN"/>
                    </w:rPr>
                    <w:t>集气罩</w:t>
                  </w:r>
                  <w:r>
                    <w:rPr>
                      <w:rFonts w:hint="default" w:ascii="Times New Roman" w:hAnsi="Times New Roman" w:eastAsia="宋体" w:cs="Times New Roman"/>
                      <w:b w:val="0"/>
                      <w:color w:val="auto"/>
                      <w:sz w:val="21"/>
                      <w:szCs w:val="21"/>
                      <w:highlight w:val="none"/>
                      <w:lang w:val="en-US" w:eastAsia="zh-CN"/>
                    </w:rPr>
                    <w:t>＋</w:t>
                  </w:r>
                  <w:r>
                    <w:rPr>
                      <w:rFonts w:hint="default" w:ascii="Times New Roman" w:hAnsi="Times New Roman" w:cs="Times New Roman"/>
                      <w:b w:val="0"/>
                      <w:color w:val="auto"/>
                      <w:sz w:val="21"/>
                      <w:szCs w:val="21"/>
                      <w:highlight w:val="none"/>
                      <w:lang w:val="en-US" w:eastAsia="zh-CN"/>
                    </w:rPr>
                    <w:t>过滤棉＋二级活性炭吸附装置</w:t>
                  </w:r>
                  <w:r>
                    <w:rPr>
                      <w:rFonts w:hint="default" w:ascii="Times New Roman" w:hAnsi="Times New Roman" w:eastAsia="宋体" w:cs="Times New Roman"/>
                      <w:b w:val="0"/>
                      <w:color w:val="auto"/>
                      <w:sz w:val="21"/>
                      <w:szCs w:val="21"/>
                      <w:highlight w:val="none"/>
                      <w:lang w:val="en-US" w:eastAsia="zh-CN"/>
                    </w:rPr>
                    <w:t>处理后经3</w:t>
                  </w:r>
                  <w:r>
                    <w:rPr>
                      <w:rFonts w:hint="default" w:ascii="Times New Roman" w:hAnsi="Times New Roman" w:cs="Times New Roman"/>
                      <w:b w:val="0"/>
                      <w:color w:val="auto"/>
                      <w:sz w:val="21"/>
                      <w:szCs w:val="21"/>
                      <w:highlight w:val="none"/>
                      <w:lang w:val="en-US" w:eastAsia="zh-CN"/>
                    </w:rPr>
                    <w:t>4</w:t>
                  </w:r>
                  <w:r>
                    <w:rPr>
                      <w:rFonts w:hint="default" w:ascii="Times New Roman" w:hAnsi="Times New Roman" w:eastAsia="宋体" w:cs="Times New Roman"/>
                      <w:b w:val="0"/>
                      <w:color w:val="auto"/>
                      <w:sz w:val="21"/>
                      <w:szCs w:val="21"/>
                      <w:highlight w:val="none"/>
                      <w:lang w:val="en-US" w:eastAsia="zh-CN"/>
                    </w:rPr>
                    <w:t>m高排气筒达标排放，排放浓度与排放速率满足《大气污染物综合排放标准》（GB16297-1996）表2中相关标准；</w:t>
                  </w:r>
                </w:p>
                <w:p w14:paraId="16B48E49">
                  <w:pPr>
                    <w:rPr>
                      <w:rFonts w:hint="default" w:ascii="Times New Roman" w:hAnsi="Times New Roman" w:cs="Times New Roman"/>
                      <w:color w:val="auto"/>
                      <w:highlight w:val="none"/>
                      <w:lang w:val="en-US" w:eastAsia="zh-CN"/>
                    </w:rPr>
                  </w:pPr>
                  <w:r>
                    <w:rPr>
                      <w:rFonts w:hint="default" w:ascii="Times New Roman" w:hAnsi="Times New Roman" w:eastAsia="宋体" w:cs="Times New Roman"/>
                      <w:b w:val="0"/>
                      <w:color w:val="auto"/>
                      <w:sz w:val="21"/>
                      <w:szCs w:val="21"/>
                      <w:highlight w:val="none"/>
                      <w:lang w:val="en-US" w:eastAsia="zh-CN"/>
                    </w:rPr>
                    <w:t>②环评</w:t>
                  </w:r>
                  <w:r>
                    <w:rPr>
                      <w:rFonts w:hint="default" w:ascii="Times New Roman" w:hAnsi="Times New Roman" w:cs="Times New Roman"/>
                      <w:b w:val="0"/>
                      <w:color w:val="auto"/>
                      <w:sz w:val="21"/>
                      <w:szCs w:val="21"/>
                      <w:highlight w:val="none"/>
                      <w:lang w:val="en-US" w:eastAsia="zh-CN"/>
                    </w:rPr>
                    <w:t>制定了监测方案，</w:t>
                  </w:r>
                  <w:r>
                    <w:rPr>
                      <w:rFonts w:hint="default" w:ascii="Times New Roman" w:hAnsi="Times New Roman" w:eastAsia="宋体" w:cs="Times New Roman"/>
                      <w:b w:val="0"/>
                      <w:color w:val="auto"/>
                      <w:sz w:val="21"/>
                      <w:szCs w:val="21"/>
                      <w:highlight w:val="none"/>
                      <w:lang w:val="en-US" w:eastAsia="zh-CN"/>
                    </w:rPr>
                    <w:t>要求项目运营期</w:t>
                  </w:r>
                  <w:r>
                    <w:rPr>
                      <w:rFonts w:hint="default" w:ascii="Times New Roman" w:hAnsi="Times New Roman" w:cs="Times New Roman"/>
                      <w:b w:val="0"/>
                      <w:color w:val="auto"/>
                      <w:sz w:val="21"/>
                      <w:szCs w:val="21"/>
                      <w:highlight w:val="none"/>
                      <w:lang w:val="en-US" w:eastAsia="zh-CN"/>
                    </w:rPr>
                    <w:t>严格按照监测方案自行监测并报送监测结果</w:t>
                  </w:r>
                  <w:r>
                    <w:rPr>
                      <w:rFonts w:hint="default" w:ascii="Times New Roman" w:hAnsi="Times New Roman" w:eastAsia="宋体" w:cs="Times New Roman"/>
                      <w:b w:val="0"/>
                      <w:color w:val="auto"/>
                      <w:sz w:val="21"/>
                      <w:szCs w:val="21"/>
                      <w:highlight w:val="none"/>
                      <w:lang w:val="en-US" w:eastAsia="zh-CN"/>
                    </w:rPr>
                    <w:t>，对设备进行维护，确保各环保设施稳定运行。</w:t>
                  </w:r>
                </w:p>
              </w:tc>
              <w:tc>
                <w:tcPr>
                  <w:tcW w:w="284" w:type="pct"/>
                  <w:vAlign w:val="center"/>
                </w:tcPr>
                <w:p w14:paraId="09F800E9">
                  <w:pPr>
                    <w:pStyle w:val="15"/>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highlight w:val="none"/>
                    </w:rPr>
                    <w:t>符合</w:t>
                  </w:r>
                </w:p>
              </w:tc>
            </w:tr>
          </w:tbl>
          <w:p w14:paraId="518EDD5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4、选址合理性分析</w:t>
            </w:r>
          </w:p>
          <w:p w14:paraId="757C7141">
            <w:pPr>
              <w:widowControl/>
              <w:adjustRightInd w:val="0"/>
              <w:snapToGrid w:val="0"/>
              <w:spacing w:line="360" w:lineRule="auto"/>
              <w:ind w:firstLine="480" w:firstLineChars="200"/>
              <w:rPr>
                <w:rFonts w:hint="default" w:ascii="Times New Roman" w:hAnsi="Times New Roman" w:cs="Times New Roman"/>
                <w:color w:val="auto"/>
                <w:sz w:val="24"/>
                <w:highlight w:val="none"/>
                <w:lang w:val="zh-CN"/>
              </w:rPr>
            </w:pPr>
            <w:r>
              <w:rPr>
                <w:rFonts w:hint="default" w:ascii="Times New Roman" w:hAnsi="Times New Roman" w:cs="Times New Roman"/>
                <w:color w:val="auto"/>
                <w:sz w:val="24"/>
                <w:highlight w:val="none"/>
                <w:lang w:val="zh-CN"/>
              </w:rPr>
              <w:t>（1）环境</w:t>
            </w:r>
            <w:r>
              <w:rPr>
                <w:rFonts w:hint="default" w:ascii="Times New Roman" w:hAnsi="Times New Roman" w:cs="Times New Roman"/>
                <w:color w:val="auto"/>
                <w:sz w:val="24"/>
                <w:highlight w:val="none"/>
                <w:lang w:val="en-US" w:eastAsia="zh-CN"/>
              </w:rPr>
              <w:t>合理</w:t>
            </w:r>
            <w:r>
              <w:rPr>
                <w:rFonts w:hint="default" w:ascii="Times New Roman" w:hAnsi="Times New Roman" w:cs="Times New Roman"/>
                <w:color w:val="auto"/>
                <w:sz w:val="24"/>
                <w:highlight w:val="none"/>
                <w:lang w:val="zh-CN"/>
              </w:rPr>
              <w:t>性分析</w:t>
            </w:r>
          </w:p>
          <w:p w14:paraId="52DCE595">
            <w:pPr>
              <w:widowControl/>
              <w:adjustRightInd w:val="0"/>
              <w:snapToGrid w:val="0"/>
              <w:spacing w:line="360" w:lineRule="auto"/>
              <w:ind w:firstLine="480" w:firstLineChars="200"/>
              <w:rPr>
                <w:rFonts w:hint="default" w:ascii="Times New Roman" w:hAnsi="Times New Roman" w:cs="Times New Roman"/>
                <w:color w:val="auto"/>
                <w:sz w:val="24"/>
                <w:highlight w:val="none"/>
                <w:lang w:val="zh-CN" w:eastAsia="zh-CN"/>
              </w:rPr>
            </w:pPr>
            <w:r>
              <w:rPr>
                <w:rFonts w:hint="default" w:ascii="Times New Roman" w:hAnsi="Times New Roman" w:cs="Times New Roman"/>
                <w:color w:val="auto"/>
                <w:sz w:val="24"/>
                <w:highlight w:val="none"/>
                <w:lang w:val="zh-CN"/>
              </w:rPr>
              <w:t>本项目位于</w:t>
            </w:r>
            <w:r>
              <w:rPr>
                <w:rFonts w:hint="default" w:ascii="Times New Roman" w:hAnsi="Times New Roman" w:cs="Times New Roman"/>
                <w:color w:val="auto"/>
                <w:sz w:val="24"/>
                <w:szCs w:val="24"/>
                <w:highlight w:val="none"/>
                <w:lang w:val="en-US" w:eastAsia="zh-CN"/>
              </w:rPr>
              <w:t>沣西新城创新港G板块咸户路以东、创智路以北、CXG东南二路以西。项目东侧为陕西星汉北辰新材料科技有限公司，南侧为联庄村，西侧为咸户路，路对侧为空地，北侧为空地。</w:t>
            </w:r>
            <w:r>
              <w:rPr>
                <w:rFonts w:hint="default" w:ascii="Times New Roman" w:hAnsi="Times New Roman" w:cs="Times New Roman"/>
                <w:color w:val="auto"/>
                <w:sz w:val="24"/>
                <w:highlight w:val="none"/>
                <w:lang w:val="zh-CN" w:eastAsia="zh-CN"/>
              </w:rPr>
              <w:t>项目在地块上新建厂区，用电由市政电网供给，用水由市政供水管网供给，周边交通便利、基础设施完善，可满足正常生产需求。</w:t>
            </w:r>
          </w:p>
          <w:p w14:paraId="61C1AD46">
            <w:pPr>
              <w:widowControl/>
              <w:spacing w:line="360" w:lineRule="auto"/>
              <w:ind w:firstLine="480" w:firstLineChars="200"/>
              <w:rPr>
                <w:rFonts w:hint="default" w:ascii="Times New Roman" w:hAnsi="Times New Roman" w:cs="Times New Roman"/>
                <w:color w:val="auto"/>
                <w:sz w:val="24"/>
                <w:highlight w:val="none"/>
                <w:lang w:val="zh-CN" w:eastAsia="zh-CN"/>
              </w:rPr>
            </w:pPr>
            <w:r>
              <w:rPr>
                <w:rFonts w:hint="default" w:ascii="Times New Roman" w:hAnsi="Times New Roman" w:cs="Times New Roman"/>
                <w:color w:val="auto"/>
                <w:sz w:val="24"/>
                <w:highlight w:val="none"/>
                <w:lang w:val="zh-CN"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val="zh-CN" w:eastAsia="zh-CN"/>
              </w:rPr>
              <w:t>）项目</w:t>
            </w:r>
            <w:r>
              <w:rPr>
                <w:rFonts w:hint="default" w:ascii="Times New Roman" w:hAnsi="Times New Roman" w:cs="Times New Roman"/>
                <w:color w:val="auto"/>
                <w:sz w:val="24"/>
                <w:highlight w:val="none"/>
                <w:lang w:val="zh-CN"/>
              </w:rPr>
              <w:t>所在地周边不存在自然保护区、风景名胜区、文物保护单位等需要特殊保护的环境敏感区，</w:t>
            </w:r>
            <w:r>
              <w:rPr>
                <w:rFonts w:hint="default" w:ascii="Times New Roman" w:hAnsi="Times New Roman" w:cs="Times New Roman"/>
                <w:color w:val="auto"/>
                <w:sz w:val="24"/>
                <w:highlight w:val="none"/>
                <w:lang w:val="en-US" w:eastAsia="zh-CN"/>
              </w:rPr>
              <w:t>联庄村征地拆迁进行中</w:t>
            </w:r>
            <w:r>
              <w:rPr>
                <w:rFonts w:hint="default" w:ascii="Times New Roman" w:hAnsi="Times New Roman" w:cs="Times New Roman"/>
                <w:color w:val="auto"/>
                <w:sz w:val="24"/>
                <w:highlight w:val="none"/>
                <w:lang w:val="zh-CN"/>
              </w:rPr>
              <w:t>；</w:t>
            </w:r>
            <w:r>
              <w:rPr>
                <w:rFonts w:hint="default" w:ascii="Times New Roman" w:hAnsi="Times New Roman" w:cs="Times New Roman"/>
                <w:color w:val="auto"/>
                <w:sz w:val="24"/>
                <w:highlight w:val="none"/>
                <w:lang w:val="en-US" w:eastAsia="zh-CN"/>
              </w:rPr>
              <w:t>项目用地性质为工业用地，已取得土地使用权的批复</w:t>
            </w:r>
            <w:r>
              <w:rPr>
                <w:rFonts w:hint="default" w:ascii="Times New Roman" w:hAnsi="Times New Roman" w:cs="Times New Roman"/>
                <w:color w:val="auto"/>
                <w:sz w:val="24"/>
                <w:highlight w:val="none"/>
                <w:lang w:val="zh-CN" w:eastAsia="zh-CN"/>
              </w:rPr>
              <w:t>。本项目生产废水为纯水机浓水，部分浓水回用于道路浇洒用水，多余的浓水经市政污水管网排入沣西新城大王污水处理厂</w:t>
            </w:r>
            <w:r>
              <w:rPr>
                <w:rFonts w:hint="eastAsia" w:cs="Times New Roman"/>
                <w:color w:val="auto"/>
                <w:sz w:val="24"/>
                <w:highlight w:val="none"/>
                <w:lang w:val="zh-CN" w:eastAsia="zh-CN"/>
              </w:rPr>
              <w:t>；</w:t>
            </w:r>
            <w:r>
              <w:rPr>
                <w:rFonts w:hint="eastAsia" w:cs="Times New Roman"/>
                <w:color w:val="auto"/>
                <w:sz w:val="24"/>
                <w:highlight w:val="none"/>
                <w:lang w:val="en-US" w:eastAsia="zh-CN"/>
              </w:rPr>
              <w:t>空调冷水机组</w:t>
            </w:r>
            <w:r>
              <w:rPr>
                <w:rFonts w:hint="default" w:ascii="Times New Roman" w:hAnsi="Times New Roman" w:cs="Times New Roman"/>
                <w:color w:val="auto"/>
                <w:sz w:val="24"/>
                <w:highlight w:val="none"/>
                <w:lang w:val="zh-CN" w:eastAsia="zh-CN"/>
              </w:rPr>
              <w:t>所用冷却水循环使用，定期补充损耗，不外排；食堂废水经油水分离器处理后与生活污水经化粪池预处理后通过市政污水管网排至沣西新城</w:t>
            </w:r>
            <w:r>
              <w:rPr>
                <w:rFonts w:hint="default" w:ascii="Times New Roman" w:hAnsi="Times New Roman" w:cs="Times New Roman"/>
                <w:color w:val="auto"/>
                <w:sz w:val="24"/>
                <w:highlight w:val="none"/>
                <w:lang w:val="en-US" w:eastAsia="zh-CN"/>
              </w:rPr>
              <w:t>大王</w:t>
            </w:r>
            <w:r>
              <w:rPr>
                <w:rFonts w:hint="default" w:ascii="Times New Roman" w:hAnsi="Times New Roman" w:cs="Times New Roman"/>
                <w:color w:val="auto"/>
                <w:sz w:val="24"/>
                <w:highlight w:val="none"/>
                <w:lang w:val="zh-CN" w:eastAsia="zh-CN"/>
              </w:rPr>
              <w:t>污水处理厂进一步处理。项目废气</w:t>
            </w:r>
            <w:r>
              <w:rPr>
                <w:rFonts w:hint="default" w:ascii="Times New Roman" w:hAnsi="Times New Roman" w:cs="Times New Roman"/>
                <w:color w:val="auto"/>
                <w:sz w:val="24"/>
                <w:highlight w:val="none"/>
                <w:lang w:val="en-US" w:eastAsia="zh-CN"/>
              </w:rPr>
              <w:t>为食堂油烟、</w:t>
            </w:r>
            <w:r>
              <w:rPr>
                <w:rFonts w:hint="default" w:ascii="Times New Roman" w:hAnsi="Times New Roman" w:cs="Times New Roman"/>
                <w:color w:val="auto"/>
                <w:sz w:val="24"/>
                <w:highlight w:val="none"/>
                <w:lang w:val="zh-CN" w:eastAsia="zh-CN"/>
              </w:rPr>
              <w:t>焊接环节产生的焊接烟尘、清洗环节清洗剂挥发产生的有机废气、灌封与烘干过程产生的有机废气。</w:t>
            </w:r>
            <w:r>
              <w:rPr>
                <w:rFonts w:hint="default" w:ascii="Times New Roman" w:hAnsi="Times New Roman" w:cs="Times New Roman"/>
                <w:color w:val="auto"/>
                <w:sz w:val="24"/>
                <w:highlight w:val="none"/>
                <w:lang w:val="en-US" w:eastAsia="zh-CN"/>
              </w:rPr>
              <w:t>食堂油烟经油烟净化装置净化后通过烟气管道排放，生产过程中所有废气均通过集气罩收集后经过滤棉+二级活性炭吸附装置处理后通过34m高排气筒</w:t>
            </w:r>
            <w:r>
              <w:rPr>
                <w:rFonts w:hint="default" w:ascii="Times New Roman" w:hAnsi="Times New Roman" w:eastAsia="宋体" w:cs="Times New Roman"/>
                <w:color w:val="auto"/>
                <w:sz w:val="24"/>
                <w:highlight w:val="none"/>
                <w:lang w:val="en-US" w:eastAsia="zh-CN"/>
              </w:rPr>
              <w:t>达标</w:t>
            </w:r>
            <w:r>
              <w:rPr>
                <w:rFonts w:hint="default" w:ascii="Times New Roman" w:hAnsi="Times New Roman" w:cs="Times New Roman"/>
                <w:color w:val="auto"/>
                <w:sz w:val="24"/>
                <w:highlight w:val="none"/>
                <w:lang w:val="en-US" w:eastAsia="zh-CN"/>
              </w:rPr>
              <w:t>排放</w:t>
            </w:r>
            <w:r>
              <w:rPr>
                <w:rFonts w:hint="default" w:ascii="Times New Roman" w:hAnsi="Times New Roman" w:cs="Times New Roman"/>
                <w:color w:val="auto"/>
                <w:sz w:val="24"/>
                <w:highlight w:val="none"/>
                <w:lang w:val="zh-CN" w:eastAsia="zh-CN"/>
              </w:rPr>
              <w:t>。危险废物（废清洗剂、不合格电路板、废活性炭等）分类收集后暂存于危废贮存库，交由有资质单位处置；一般固体废物（废</w:t>
            </w:r>
            <w:r>
              <w:rPr>
                <w:rFonts w:hint="default" w:ascii="Times New Roman" w:hAnsi="Times New Roman" w:cs="Times New Roman"/>
                <w:color w:val="auto"/>
                <w:sz w:val="24"/>
                <w:highlight w:val="none"/>
                <w:lang w:val="en-US" w:eastAsia="zh-CN"/>
              </w:rPr>
              <w:t>零件</w:t>
            </w:r>
            <w:r>
              <w:rPr>
                <w:rFonts w:hint="default" w:ascii="Times New Roman" w:hAnsi="Times New Roman" w:cs="Times New Roman"/>
                <w:color w:val="auto"/>
                <w:sz w:val="24"/>
                <w:highlight w:val="none"/>
                <w:lang w:val="zh-CN" w:eastAsia="zh-CN"/>
              </w:rPr>
              <w:t>）分类收集后暂存于一般固废暂存处，委托一般固废回收单位回收综合利用；生活垃圾设垃圾桶收集后由环卫部门定期清运，食堂废油脂交由有资质单位处置。</w:t>
            </w:r>
            <w:r>
              <w:rPr>
                <w:rFonts w:hint="default" w:ascii="Times New Roman" w:hAnsi="Times New Roman" w:cs="Times New Roman"/>
                <w:color w:val="auto"/>
                <w:sz w:val="24"/>
                <w:highlight w:val="none"/>
                <w:lang w:val="en-US" w:eastAsia="zh-CN"/>
              </w:rPr>
              <w:t>危废贮存库为重点防渗区，按照《环境影响评价技术导则 地下水》（HJ610-2016）《危险废物贮存污染控制标准》（GB18597-2023）相关防渗要求进行防渗。</w:t>
            </w:r>
            <w:r>
              <w:rPr>
                <w:rFonts w:hint="default" w:ascii="Times New Roman" w:hAnsi="Times New Roman" w:cs="Times New Roman"/>
                <w:color w:val="auto"/>
                <w:sz w:val="24"/>
                <w:highlight w:val="none"/>
                <w:lang w:val="zh-CN" w:eastAsia="zh-CN"/>
              </w:rPr>
              <w:t>项目经采取各类风险防范措施后，风险可控。</w:t>
            </w:r>
          </w:p>
          <w:p w14:paraId="7FA1F05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sz w:val="24"/>
                <w:highlight w:val="none"/>
                <w:lang w:val="zh-CN" w:eastAsia="zh-CN"/>
              </w:rPr>
              <w:t>综上所述，从环境保护角度分析，项目</w:t>
            </w:r>
            <w:r>
              <w:rPr>
                <w:rFonts w:hint="default" w:ascii="Times New Roman" w:hAnsi="Times New Roman" w:cs="Times New Roman"/>
                <w:color w:val="auto"/>
                <w:sz w:val="24"/>
                <w:highlight w:val="none"/>
                <w:lang w:val="zh-CN"/>
              </w:rPr>
              <w:t>对周围环境影响较小，选址合理。</w:t>
            </w:r>
          </w:p>
        </w:tc>
      </w:tr>
    </w:tbl>
    <w:p w14:paraId="3B31137B">
      <w:pPr>
        <w:spacing w:line="360" w:lineRule="auto"/>
        <w:outlineLvl w:val="0"/>
        <w:rPr>
          <w:rFonts w:hint="default" w:ascii="Times New Roman" w:hAnsi="Times New Roman" w:eastAsia="黑体" w:cs="Times New Roman"/>
          <w:color w:val="auto"/>
          <w:sz w:val="30"/>
          <w:highlight w:val="none"/>
        </w:rPr>
        <w:sectPr>
          <w:footerReference r:id="rId5" w:type="default"/>
          <w:pgSz w:w="11906" w:h="16838"/>
          <w:pgMar w:top="1417" w:right="1417" w:bottom="1417" w:left="141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1BCC702">
      <w:pPr>
        <w:pStyle w:val="25"/>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二、建设项目工程分析</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9"/>
        <w:gridCol w:w="8839"/>
      </w:tblGrid>
      <w:tr w14:paraId="09FDD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97" w:hRule="atLeast"/>
          <w:jc w:val="center"/>
        </w:trPr>
        <w:tc>
          <w:tcPr>
            <w:tcW w:w="242" w:type="pct"/>
            <w:noWrap w:val="0"/>
            <w:vAlign w:val="center"/>
          </w:tcPr>
          <w:p w14:paraId="23909568">
            <w:pPr>
              <w:pStyle w:val="25"/>
              <w:adjustRightInd w:val="0"/>
              <w:snapToGrid w:val="0"/>
              <w:spacing w:before="0" w:beforeAutospacing="0" w:after="0" w:afterAutospacing="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建设内容</w:t>
            </w:r>
          </w:p>
        </w:tc>
        <w:tc>
          <w:tcPr>
            <w:tcW w:w="4757" w:type="pct"/>
            <w:noWrap w:val="0"/>
            <w:vAlign w:val="top"/>
          </w:tcPr>
          <w:p w14:paraId="3B73342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1、项目基本情况</w:t>
            </w:r>
          </w:p>
          <w:p w14:paraId="3D0C36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项目名称：</w:t>
            </w:r>
            <w:r>
              <w:rPr>
                <w:rFonts w:hint="default" w:ascii="Times New Roman" w:hAnsi="Times New Roman" w:cs="Times New Roman"/>
                <w:color w:val="auto"/>
                <w:sz w:val="24"/>
                <w:szCs w:val="24"/>
                <w:highlight w:val="none"/>
                <w:lang w:val="en-US" w:eastAsia="zh-CN"/>
              </w:rPr>
              <w:t>威思曼智能创新产研总部基地建设项目</w:t>
            </w:r>
          </w:p>
          <w:p w14:paraId="16A121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建设单位：陕西威思曼高压电源股份有限公司</w:t>
            </w:r>
          </w:p>
          <w:p w14:paraId="186553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建设地点：</w:t>
            </w:r>
            <w:r>
              <w:rPr>
                <w:rFonts w:hint="default" w:ascii="Times New Roman" w:hAnsi="Times New Roman" w:cs="Times New Roman"/>
                <w:color w:val="auto"/>
                <w:sz w:val="24"/>
                <w:szCs w:val="24"/>
                <w:highlight w:val="none"/>
                <w:lang w:val="en-US" w:eastAsia="zh-CN"/>
              </w:rPr>
              <w:t>沣西新城创新港G板块咸户路以东、创智路以北、CXG东南二路以西</w:t>
            </w:r>
          </w:p>
          <w:p w14:paraId="0247CD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建设性质：新建</w:t>
            </w:r>
          </w:p>
          <w:p w14:paraId="22624F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总投资：25000万</w:t>
            </w:r>
            <w:r>
              <w:rPr>
                <w:rFonts w:hint="default" w:ascii="Times New Roman" w:hAnsi="Times New Roman" w:cs="Times New Roman"/>
                <w:bCs/>
                <w:color w:val="auto"/>
                <w:sz w:val="24"/>
                <w:szCs w:val="24"/>
                <w:highlight w:val="none"/>
                <w:lang w:val="en-US" w:eastAsia="zh-CN"/>
              </w:rPr>
              <w:t>元，其中环保投资12</w:t>
            </w:r>
            <w:r>
              <w:rPr>
                <w:rFonts w:hint="eastAsia" w:cs="Times New Roman"/>
                <w:bCs/>
                <w:color w:val="auto"/>
                <w:sz w:val="24"/>
                <w:szCs w:val="24"/>
                <w:highlight w:val="none"/>
                <w:lang w:val="en-US" w:eastAsia="zh-CN"/>
              </w:rPr>
              <w:t>9.0</w:t>
            </w:r>
            <w:r>
              <w:rPr>
                <w:rFonts w:hint="default" w:ascii="Times New Roman" w:hAnsi="Times New Roman" w:cs="Times New Roman"/>
                <w:bCs/>
                <w:color w:val="auto"/>
                <w:sz w:val="24"/>
                <w:szCs w:val="24"/>
                <w:highlight w:val="none"/>
                <w:lang w:val="en-US" w:eastAsia="zh-CN"/>
              </w:rPr>
              <w:t>万元，环保投资占比0.</w:t>
            </w:r>
            <w:r>
              <w:rPr>
                <w:rFonts w:hint="eastAsia" w:cs="Times New Roman"/>
                <w:bCs/>
                <w:color w:val="auto"/>
                <w:sz w:val="24"/>
                <w:szCs w:val="24"/>
                <w:highlight w:val="none"/>
                <w:lang w:val="en-US" w:eastAsia="zh-CN"/>
              </w:rPr>
              <w:t>52</w:t>
            </w:r>
            <w:r>
              <w:rPr>
                <w:rFonts w:hint="default" w:ascii="Times New Roman" w:hAnsi="Times New Roman" w:cs="Times New Roman"/>
                <w:bCs/>
                <w:color w:val="auto"/>
                <w:sz w:val="24"/>
                <w:szCs w:val="24"/>
                <w:highlight w:val="none"/>
                <w:lang w:val="en-US" w:eastAsia="zh-CN"/>
              </w:rPr>
              <w:t>%</w:t>
            </w:r>
          </w:p>
          <w:p w14:paraId="70ACAD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根据《中华人民共和国环境影响评价法》(2018年修正)和《建设项目环境影响评价分类管理名录》(2021版)等有关规定，本项目属于《建设项目环境影响评价分类管理名录》(2021版)中“</w:t>
            </w:r>
            <w:r>
              <w:rPr>
                <w:rFonts w:hint="default" w:ascii="Times New Roman" w:hAnsi="Times New Roman" w:eastAsia="宋体" w:cs="Times New Roman"/>
                <w:color w:val="auto"/>
                <w:sz w:val="24"/>
                <w:szCs w:val="24"/>
                <w:highlight w:val="none"/>
                <w:lang w:val="en-US" w:eastAsia="zh-CN"/>
              </w:rPr>
              <w:t>三十五、电气机械和器材制造业38电线、电缆、光缆及电工器材制造383中的</w:t>
            </w:r>
            <w:r>
              <w:rPr>
                <w:rFonts w:hint="default" w:ascii="Times New Roman" w:hAnsi="Times New Roman" w:cs="Times New Roman"/>
                <w:color w:val="auto"/>
                <w:sz w:val="24"/>
                <w:szCs w:val="24"/>
                <w:highlight w:val="none"/>
                <w:lang w:val="en-US" w:eastAsia="zh-CN"/>
              </w:rPr>
              <w:t>其他”</w:t>
            </w:r>
            <w:r>
              <w:rPr>
                <w:rFonts w:hint="default" w:ascii="Times New Roman" w:hAnsi="Times New Roman" w:cs="Times New Roman"/>
                <w:bCs/>
                <w:color w:val="auto"/>
                <w:sz w:val="24"/>
                <w:szCs w:val="24"/>
                <w:highlight w:val="none"/>
                <w:lang w:val="en-US" w:eastAsia="zh-CN"/>
              </w:rPr>
              <w:t>，本项目应编制报告表。</w:t>
            </w:r>
          </w:p>
          <w:p w14:paraId="2ABBD6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2026年7月，陕西威思曼高压电源股份有限公司委托我单位承担该项目环境影响评价工作。接受委托后，我单位赴现场踏勘、调查、收集评价所需资料，在认真分析建设工程和当地环境状况的基础上，编制完成了《陕西威思曼高压电源股份有限公司威思曼智能创新产研总部基地建设项目环境影响报告表》。</w:t>
            </w:r>
          </w:p>
          <w:p w14:paraId="1205FF8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2、</w:t>
            </w:r>
            <w:r>
              <w:rPr>
                <w:rFonts w:hint="default" w:ascii="Times New Roman" w:hAnsi="Times New Roman" w:eastAsia="宋体" w:cs="Times New Roman"/>
                <w:b/>
                <w:bCs w:val="0"/>
                <w:color w:val="auto"/>
                <w:sz w:val="24"/>
                <w:szCs w:val="24"/>
                <w:highlight w:val="none"/>
                <w:lang w:val="en-US" w:eastAsia="zh-CN"/>
              </w:rPr>
              <w:t>地理位置与四邻关系</w:t>
            </w:r>
          </w:p>
          <w:p w14:paraId="7EA720E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位于</w:t>
            </w:r>
            <w:r>
              <w:rPr>
                <w:rFonts w:hint="default" w:ascii="Times New Roman" w:hAnsi="Times New Roman" w:cs="Times New Roman"/>
                <w:color w:val="auto"/>
                <w:sz w:val="24"/>
                <w:szCs w:val="24"/>
                <w:highlight w:val="none"/>
                <w:lang w:val="en-US" w:eastAsia="zh-CN"/>
              </w:rPr>
              <w:t>沣西新城创新港G板块咸户路以东、创智路以北、CXG东南二路以西。</w:t>
            </w:r>
            <w:r>
              <w:rPr>
                <w:rFonts w:hint="default" w:ascii="Times New Roman" w:hAnsi="Times New Roman" w:eastAsia="宋体" w:cs="Times New Roman"/>
                <w:color w:val="auto"/>
                <w:sz w:val="24"/>
                <w:szCs w:val="24"/>
                <w:highlight w:val="none"/>
                <w:lang w:val="en-US" w:eastAsia="zh-CN"/>
              </w:rPr>
              <w:t>项目东侧为</w:t>
            </w:r>
            <w:r>
              <w:rPr>
                <w:rFonts w:hint="default" w:ascii="Times New Roman" w:hAnsi="Times New Roman" w:cs="Times New Roman"/>
                <w:color w:val="auto"/>
                <w:sz w:val="24"/>
                <w:szCs w:val="24"/>
                <w:highlight w:val="none"/>
                <w:lang w:val="en-US" w:eastAsia="zh-CN"/>
              </w:rPr>
              <w:t>陕西星汉北辰新材料科技有限公司，东</w:t>
            </w:r>
            <w:r>
              <w:rPr>
                <w:rFonts w:hint="default" w:ascii="Times New Roman" w:hAnsi="Times New Roman" w:eastAsia="宋体" w:cs="Times New Roman"/>
                <w:color w:val="auto"/>
                <w:sz w:val="24"/>
                <w:szCs w:val="24"/>
                <w:highlight w:val="none"/>
                <w:lang w:val="en-US" w:eastAsia="zh-CN"/>
              </w:rPr>
              <w:t>南侧</w:t>
            </w:r>
            <w:r>
              <w:rPr>
                <w:rFonts w:hint="default" w:ascii="Times New Roman" w:hAnsi="Times New Roman" w:cs="Times New Roman"/>
                <w:color w:val="auto"/>
                <w:sz w:val="24"/>
                <w:szCs w:val="24"/>
                <w:highlight w:val="none"/>
                <w:lang w:val="en-US" w:eastAsia="zh-CN"/>
              </w:rPr>
              <w:t>72m处</w:t>
            </w:r>
            <w:r>
              <w:rPr>
                <w:rFonts w:hint="default" w:ascii="Times New Roman" w:hAnsi="Times New Roman" w:eastAsia="宋体" w:cs="Times New Roman"/>
                <w:color w:val="auto"/>
                <w:sz w:val="24"/>
                <w:szCs w:val="24"/>
                <w:highlight w:val="none"/>
                <w:lang w:val="en-US" w:eastAsia="zh-CN"/>
              </w:rPr>
              <w:t>为</w:t>
            </w:r>
            <w:r>
              <w:rPr>
                <w:rFonts w:hint="default" w:ascii="Times New Roman" w:hAnsi="Times New Roman" w:cs="Times New Roman"/>
                <w:color w:val="auto"/>
                <w:sz w:val="24"/>
                <w:szCs w:val="24"/>
                <w:highlight w:val="none"/>
                <w:lang w:val="en-US" w:eastAsia="zh-CN"/>
              </w:rPr>
              <w:t>联庄村，南侧13m处有联庄村少量住宅，西侧为咸户路，路对侧目前为空地，</w:t>
            </w:r>
            <w:r>
              <w:rPr>
                <w:rFonts w:hint="default" w:ascii="Times New Roman" w:hAnsi="Times New Roman" w:eastAsia="宋体" w:cs="Times New Roman"/>
                <w:color w:val="auto"/>
                <w:sz w:val="24"/>
                <w:szCs w:val="24"/>
                <w:highlight w:val="none"/>
                <w:lang w:val="en-US" w:eastAsia="zh-CN"/>
              </w:rPr>
              <w:t>北侧为</w:t>
            </w:r>
            <w:r>
              <w:rPr>
                <w:rFonts w:hint="default" w:ascii="Times New Roman" w:hAnsi="Times New Roman" w:cs="Times New Roman"/>
                <w:color w:val="auto"/>
                <w:sz w:val="24"/>
                <w:szCs w:val="24"/>
                <w:highlight w:val="none"/>
                <w:lang w:val="en-US" w:eastAsia="zh-CN"/>
              </w:rPr>
              <w:t>空地</w:t>
            </w:r>
            <w:r>
              <w:rPr>
                <w:rFonts w:hint="default" w:ascii="Times New Roman" w:hAnsi="Times New Roman" w:eastAsia="宋体" w:cs="Times New Roman"/>
                <w:color w:val="auto"/>
                <w:sz w:val="24"/>
                <w:szCs w:val="24"/>
                <w:highlight w:val="none"/>
              </w:rPr>
              <w:t>。项目四邻关系图见附图</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p>
          <w:p w14:paraId="6BC0D2C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default" w:ascii="Times New Roman" w:hAnsi="Times New Roman" w:eastAsia="宋体" w:cs="Times New Roman"/>
                <w:b/>
                <w:bCs w:val="0"/>
                <w:color w:val="auto"/>
                <w:sz w:val="24"/>
                <w:szCs w:val="24"/>
                <w:highlight w:val="none"/>
                <w:lang w:val="en-US" w:eastAsia="zh-CN"/>
              </w:rPr>
            </w:pPr>
            <w:r>
              <w:rPr>
                <w:rFonts w:hint="default" w:ascii="Times New Roman" w:hAnsi="Times New Roman" w:cs="Times New Roman"/>
                <w:b/>
                <w:bCs w:val="0"/>
                <w:color w:val="auto"/>
                <w:sz w:val="24"/>
                <w:szCs w:val="24"/>
                <w:highlight w:val="none"/>
                <w:lang w:val="en-US" w:eastAsia="zh-CN"/>
              </w:rPr>
              <w:t>3、</w:t>
            </w:r>
            <w:r>
              <w:rPr>
                <w:rFonts w:hint="default" w:ascii="Times New Roman" w:hAnsi="Times New Roman" w:eastAsia="宋体" w:cs="Times New Roman"/>
                <w:b/>
                <w:bCs w:val="0"/>
                <w:color w:val="auto"/>
                <w:sz w:val="24"/>
                <w:szCs w:val="24"/>
                <w:highlight w:val="none"/>
                <w:lang w:val="en-US" w:eastAsia="zh-CN"/>
              </w:rPr>
              <w:t>项目建设内容及规模</w:t>
            </w:r>
          </w:p>
          <w:p w14:paraId="76EB43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在沣西新城创新港G板块咸户路以东、创智路以北、CXG东南二路以西地块上新建厂区。厂区共建五个厂房以及地下车库、非机动车充电区等配套设施。1#厂房为高压电源组装制造厂房，2#厂房为库房，3#厂房为高压电源调试厂房，5#厂房为办公楼，6#厂房为宿舍与食堂。项目用地面积为25890.24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，建成之后高压电源年产量预计达12万台。</w:t>
            </w:r>
            <w:r>
              <w:rPr>
                <w:rFonts w:hint="default" w:ascii="Times New Roman" w:hAnsi="Times New Roman" w:cs="Times New Roman"/>
                <w:color w:val="auto"/>
                <w:sz w:val="24"/>
                <w:szCs w:val="24"/>
                <w:highlight w:val="none"/>
                <w:lang w:val="en-US" w:eastAsia="zh-CN"/>
              </w:rPr>
              <w:t>具体建设内容详见</w:t>
            </w:r>
            <w:r>
              <w:rPr>
                <w:rFonts w:hint="default" w:ascii="Times New Roman" w:hAnsi="Times New Roman" w:eastAsia="宋体" w:cs="Times New Roman"/>
                <w:color w:val="auto"/>
                <w:sz w:val="24"/>
                <w:szCs w:val="24"/>
                <w:highlight w:val="none"/>
                <w:lang w:val="en-US" w:eastAsia="zh-CN"/>
              </w:rPr>
              <w:t>表2-1。</w:t>
            </w:r>
          </w:p>
          <w:p w14:paraId="03D5E319">
            <w:pPr>
              <w:pStyle w:val="37"/>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表2-1   项目建设内容一览表</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247"/>
              <w:gridCol w:w="4667"/>
              <w:gridCol w:w="1869"/>
            </w:tblGrid>
            <w:tr w14:paraId="5FD9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Align w:val="center"/>
                </w:tcPr>
                <w:p w14:paraId="1B1D26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项目组成</w:t>
                  </w:r>
                </w:p>
              </w:tc>
              <w:tc>
                <w:tcPr>
                  <w:tcW w:w="724" w:type="pct"/>
                  <w:vAlign w:val="center"/>
                </w:tcPr>
                <w:p w14:paraId="00D706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工程名称</w:t>
                  </w:r>
                </w:p>
              </w:tc>
              <w:tc>
                <w:tcPr>
                  <w:tcW w:w="2709" w:type="pct"/>
                  <w:vAlign w:val="center"/>
                </w:tcPr>
                <w:p w14:paraId="353A22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建设内容及规模</w:t>
                  </w:r>
                </w:p>
              </w:tc>
              <w:tc>
                <w:tcPr>
                  <w:tcW w:w="1085" w:type="pct"/>
                  <w:vAlign w:val="center"/>
                </w:tcPr>
                <w:p w14:paraId="1D77D6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备注</w:t>
                  </w:r>
                </w:p>
              </w:tc>
            </w:tr>
            <w:tr w14:paraId="0A15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restart"/>
                  <w:vAlign w:val="center"/>
                </w:tcPr>
                <w:p w14:paraId="419100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主体工程</w:t>
                  </w:r>
                </w:p>
              </w:tc>
              <w:tc>
                <w:tcPr>
                  <w:tcW w:w="724" w:type="pct"/>
                  <w:vAlign w:val="center"/>
                </w:tcPr>
                <w:p w14:paraId="7C6E43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1#生产厂房</w:t>
                  </w:r>
                </w:p>
              </w:tc>
              <w:tc>
                <w:tcPr>
                  <w:tcW w:w="2709" w:type="pct"/>
                  <w:vAlign w:val="center"/>
                </w:tcPr>
                <w:p w14:paraId="592E40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lang w:val="en-US" w:eastAsia="zh-CN"/>
                    </w:rPr>
                    <w:t>位于厂区北侧，占地6702.4m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vertAlign w:val="baseline"/>
                      <w:lang w:val="en-US" w:eastAsia="zh-CN"/>
                    </w:rPr>
                    <w:t>，共4层，厂房内有完整的高压电源生产线以及产品检测线，1层用于</w:t>
                  </w:r>
                  <w:r>
                    <w:rPr>
                      <w:rFonts w:hint="default" w:ascii="Times New Roman" w:hAnsi="Times New Roman" w:cs="Times New Roman"/>
                      <w:color w:val="auto"/>
                      <w:szCs w:val="21"/>
                      <w:highlight w:val="none"/>
                      <w:lang w:val="en-US" w:eastAsia="zh-CN"/>
                    </w:rPr>
                    <w:t>高压电源组装制造，其余三层用于测试产品各项数据指标是否满足需要。</w:t>
                  </w:r>
                </w:p>
              </w:tc>
              <w:tc>
                <w:tcPr>
                  <w:tcW w:w="1085" w:type="pct"/>
                  <w:vAlign w:val="center"/>
                </w:tcPr>
                <w:p w14:paraId="336506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新建厂房</w:t>
                  </w:r>
                </w:p>
              </w:tc>
            </w:tr>
            <w:tr w14:paraId="2C46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4DD203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012509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3#生产厂房</w:t>
                  </w:r>
                </w:p>
              </w:tc>
              <w:tc>
                <w:tcPr>
                  <w:tcW w:w="2709" w:type="pct"/>
                  <w:vAlign w:val="center"/>
                </w:tcPr>
                <w:p w14:paraId="5893EB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kern w:val="2"/>
                      <w:sz w:val="21"/>
                      <w:szCs w:val="21"/>
                      <w:highlight w:val="none"/>
                      <w:vertAlign w:val="baseline"/>
                      <w:lang w:val="en-US" w:eastAsia="zh-CN" w:bidi="ar-SA"/>
                    </w:rPr>
                    <w:t>位于厂区东侧，1#生产厂房东南侧，占地1236.4m</w:t>
                  </w:r>
                  <w:r>
                    <w:rPr>
                      <w:rFonts w:hint="default" w:ascii="Times New Roman" w:hAnsi="Times New Roman" w:cs="Times New Roman"/>
                      <w:color w:val="auto"/>
                      <w:kern w:val="2"/>
                      <w:sz w:val="21"/>
                      <w:szCs w:val="21"/>
                      <w:highlight w:val="none"/>
                      <w:vertAlign w:val="superscript"/>
                      <w:lang w:val="en-US" w:eastAsia="zh-CN" w:bidi="ar-SA"/>
                    </w:rPr>
                    <w:t>2</w:t>
                  </w:r>
                  <w:r>
                    <w:rPr>
                      <w:rFonts w:hint="default" w:ascii="Times New Roman" w:hAnsi="Times New Roman" w:cs="Times New Roman"/>
                      <w:color w:val="auto"/>
                      <w:kern w:val="2"/>
                      <w:sz w:val="21"/>
                      <w:szCs w:val="21"/>
                      <w:highlight w:val="none"/>
                      <w:vertAlign w:val="baseline"/>
                      <w:lang w:val="en-US" w:eastAsia="zh-CN" w:bidi="ar-SA"/>
                    </w:rPr>
                    <w:t>，共5层，厂房内有完整的产品检测线，五层均用于测试产品各项数据指标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输出电压、电流、功率、保护功能测试等</w:t>
                  </w:r>
                  <w:r>
                    <w:rPr>
                      <w:rFonts w:hint="default" w:ascii="Times New Roman" w:hAnsi="Times New Roman" w:cs="Times New Roman"/>
                      <w:color w:val="auto"/>
                      <w:highlight w:val="none"/>
                      <w:lang w:eastAsia="zh-CN"/>
                    </w:rPr>
                    <w:t>）</w:t>
                  </w:r>
                  <w:r>
                    <w:rPr>
                      <w:rFonts w:hint="default" w:ascii="Times New Roman" w:hAnsi="Times New Roman" w:cs="Times New Roman"/>
                      <w:color w:val="auto"/>
                      <w:kern w:val="2"/>
                      <w:sz w:val="21"/>
                      <w:szCs w:val="21"/>
                      <w:highlight w:val="none"/>
                      <w:vertAlign w:val="baseline"/>
                      <w:lang w:val="en-US" w:eastAsia="zh-CN" w:bidi="ar-SA"/>
                    </w:rPr>
                    <w:t>是否满足需要。</w:t>
                  </w:r>
                </w:p>
              </w:tc>
              <w:tc>
                <w:tcPr>
                  <w:tcW w:w="1085" w:type="pct"/>
                  <w:vAlign w:val="center"/>
                </w:tcPr>
                <w:p w14:paraId="713446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新建厂房</w:t>
                  </w:r>
                </w:p>
              </w:tc>
            </w:tr>
            <w:tr w14:paraId="5C2F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Align w:val="center"/>
                </w:tcPr>
                <w:p w14:paraId="041F02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储运工程</w:t>
                  </w:r>
                </w:p>
              </w:tc>
              <w:tc>
                <w:tcPr>
                  <w:tcW w:w="724" w:type="pct"/>
                  <w:vAlign w:val="center"/>
                </w:tcPr>
                <w:p w14:paraId="5BA6E9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2#库房</w:t>
                  </w:r>
                </w:p>
              </w:tc>
              <w:tc>
                <w:tcPr>
                  <w:tcW w:w="2709" w:type="pct"/>
                  <w:vAlign w:val="center"/>
                </w:tcPr>
                <w:p w14:paraId="4118D7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位于厂区西侧，1#生产厂房西南侧，占地1236.4m</w:t>
                  </w:r>
                  <w:r>
                    <w:rPr>
                      <w:rFonts w:hint="default" w:ascii="Times New Roman" w:hAnsi="Times New Roman" w:cs="Times New Roman"/>
                      <w:color w:val="auto"/>
                      <w:sz w:val="21"/>
                      <w:szCs w:val="21"/>
                      <w:highlight w:val="none"/>
                      <w:vertAlign w:val="superscript"/>
                      <w:lang w:val="en-US" w:eastAsia="zh-CN"/>
                    </w:rPr>
                    <w:t>2</w:t>
                  </w:r>
                  <w:r>
                    <w:rPr>
                      <w:rFonts w:hint="default" w:ascii="Times New Roman" w:hAnsi="Times New Roman" w:cs="Times New Roman"/>
                      <w:color w:val="auto"/>
                      <w:sz w:val="21"/>
                      <w:szCs w:val="21"/>
                      <w:highlight w:val="none"/>
                      <w:vertAlign w:val="baseline"/>
                      <w:lang w:val="en-US" w:eastAsia="zh-CN"/>
                    </w:rPr>
                    <w:t>，用于储存各类电子元器件、锡膏、灌封胶等原辅料（原辅料在库房内分类分区储存）。</w:t>
                  </w:r>
                </w:p>
              </w:tc>
              <w:tc>
                <w:tcPr>
                  <w:tcW w:w="1085" w:type="pct"/>
                  <w:vAlign w:val="center"/>
                </w:tcPr>
                <w:p w14:paraId="7F3CB1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66AF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restart"/>
                  <w:vAlign w:val="center"/>
                </w:tcPr>
                <w:p w14:paraId="145A5A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公用工程</w:t>
                  </w:r>
                </w:p>
              </w:tc>
              <w:tc>
                <w:tcPr>
                  <w:tcW w:w="724" w:type="pct"/>
                  <w:vAlign w:val="center"/>
                </w:tcPr>
                <w:p w14:paraId="15F7520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给水</w:t>
                  </w:r>
                </w:p>
              </w:tc>
              <w:tc>
                <w:tcPr>
                  <w:tcW w:w="2709" w:type="pct"/>
                  <w:vAlign w:val="center"/>
                </w:tcPr>
                <w:p w14:paraId="03261A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由市政自来水管网直接供给</w:t>
                  </w:r>
                </w:p>
              </w:tc>
              <w:tc>
                <w:tcPr>
                  <w:tcW w:w="1085" w:type="pct"/>
                  <w:vAlign w:val="center"/>
                </w:tcPr>
                <w:p w14:paraId="7265AD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5FE2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14F6BC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34297EB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排水</w:t>
                  </w:r>
                </w:p>
              </w:tc>
              <w:tc>
                <w:tcPr>
                  <w:tcW w:w="2709" w:type="pct"/>
                  <w:vAlign w:val="center"/>
                </w:tcPr>
                <w:p w14:paraId="0C54C8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项目采用雨污分流制排水系统，雨水经厂区室外雨水管道收集后排至市政雨水管道，本项目生产废水为纯水机浓水，部分浓水回用于道路浇洒用水，多余的浓水经市政污水管网排入沣西新城大王污水处理厂</w:t>
                  </w:r>
                  <w:r>
                    <w:rPr>
                      <w:rFonts w:hint="eastAsia" w:cs="Times New Roman"/>
                      <w:color w:val="auto"/>
                      <w:sz w:val="21"/>
                      <w:szCs w:val="21"/>
                      <w:highlight w:val="none"/>
                      <w:vertAlign w:val="baseline"/>
                      <w:lang w:val="en-US" w:eastAsia="zh-CN"/>
                    </w:rPr>
                    <w:t>；空调冷水机组</w:t>
                  </w:r>
                  <w:r>
                    <w:rPr>
                      <w:rFonts w:hint="default" w:ascii="Times New Roman" w:hAnsi="Times New Roman" w:cs="Times New Roman"/>
                      <w:color w:val="auto"/>
                      <w:sz w:val="21"/>
                      <w:szCs w:val="21"/>
                      <w:highlight w:val="none"/>
                      <w:vertAlign w:val="baseline"/>
                      <w:lang w:val="en-US" w:eastAsia="zh-CN"/>
                    </w:rPr>
                    <w:t>所用冷却水循环使用，定期补充损耗，不外排；食堂废水经油水分离器处理后与生活污水经化粪池预处理后通过市政污水管网排至沣西新城大王污水处理厂进一步处理。</w:t>
                  </w:r>
                </w:p>
              </w:tc>
              <w:tc>
                <w:tcPr>
                  <w:tcW w:w="1085" w:type="pct"/>
                  <w:vAlign w:val="center"/>
                </w:tcPr>
                <w:p w14:paraId="27BD7F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2E7B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799A63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0E0614E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Cs w:val="21"/>
                      <w:highlight w:val="none"/>
                    </w:rPr>
                    <w:t>供电</w:t>
                  </w:r>
                </w:p>
              </w:tc>
              <w:tc>
                <w:tcPr>
                  <w:tcW w:w="2709" w:type="pct"/>
                  <w:vAlign w:val="center"/>
                </w:tcPr>
                <w:p w14:paraId="603F09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Cs w:val="21"/>
                      <w:highlight w:val="none"/>
                      <w:lang w:val="en-US" w:eastAsia="zh-CN"/>
                    </w:rPr>
                    <w:t>由市政电网接入</w:t>
                  </w:r>
                </w:p>
              </w:tc>
              <w:tc>
                <w:tcPr>
                  <w:tcW w:w="1085" w:type="pct"/>
                  <w:vAlign w:val="center"/>
                </w:tcPr>
                <w:p w14:paraId="15DE3E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7CF1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28D9A8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07FD5D32">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供暖及制冷</w:t>
                  </w:r>
                </w:p>
              </w:tc>
              <w:tc>
                <w:tcPr>
                  <w:tcW w:w="2709" w:type="pct"/>
                  <w:vAlign w:val="center"/>
                </w:tcPr>
                <w:p w14:paraId="02B220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采用空调进行供暖及制冷</w:t>
                  </w:r>
                </w:p>
              </w:tc>
              <w:tc>
                <w:tcPr>
                  <w:tcW w:w="1085" w:type="pct"/>
                  <w:vAlign w:val="center"/>
                </w:tcPr>
                <w:p w14:paraId="4E2BEA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空调冷水机组采用纯水进行循环冷却</w:t>
                  </w:r>
                </w:p>
              </w:tc>
            </w:tr>
            <w:tr w14:paraId="41B4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446241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201082B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5#办公楼</w:t>
                  </w:r>
                </w:p>
              </w:tc>
              <w:tc>
                <w:tcPr>
                  <w:tcW w:w="2709" w:type="pct"/>
                  <w:vAlign w:val="center"/>
                </w:tcPr>
                <w:p w14:paraId="5366AC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位于厂区西南侧，占地1180.2m</w:t>
                  </w:r>
                  <w:r>
                    <w:rPr>
                      <w:rFonts w:hint="default" w:ascii="Times New Roman" w:hAnsi="Times New Roman" w:cs="Times New Roman"/>
                      <w:color w:val="auto"/>
                      <w:sz w:val="21"/>
                      <w:szCs w:val="21"/>
                      <w:highlight w:val="none"/>
                      <w:vertAlign w:val="superscript"/>
                      <w:lang w:val="en-US" w:eastAsia="zh-CN"/>
                    </w:rPr>
                    <w:t>2</w:t>
                  </w:r>
                </w:p>
              </w:tc>
              <w:tc>
                <w:tcPr>
                  <w:tcW w:w="1085" w:type="pct"/>
                  <w:vAlign w:val="center"/>
                </w:tcPr>
                <w:p w14:paraId="398F7A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4F8F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223B3B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7F4B78C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6#宿舍与食堂</w:t>
                  </w:r>
                </w:p>
              </w:tc>
              <w:tc>
                <w:tcPr>
                  <w:tcW w:w="2709" w:type="pct"/>
                  <w:vAlign w:val="center"/>
                </w:tcPr>
                <w:p w14:paraId="121FB5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位于厂区</w:t>
                  </w:r>
                  <w:r>
                    <w:rPr>
                      <w:rFonts w:hint="default" w:ascii="Times New Roman" w:hAnsi="Times New Roman" w:cs="Times New Roman"/>
                      <w:color w:val="auto"/>
                      <w:sz w:val="21"/>
                      <w:szCs w:val="21"/>
                      <w:highlight w:val="none"/>
                      <w:vertAlign w:val="baseline"/>
                      <w:lang w:val="en-US" w:eastAsia="zh-CN"/>
                    </w:rPr>
                    <w:t>东</w:t>
                  </w:r>
                  <w:r>
                    <w:rPr>
                      <w:rFonts w:hint="default" w:ascii="Times New Roman" w:hAnsi="Times New Roman" w:eastAsia="宋体" w:cs="Times New Roman"/>
                      <w:color w:val="auto"/>
                      <w:sz w:val="21"/>
                      <w:szCs w:val="21"/>
                      <w:highlight w:val="none"/>
                      <w:vertAlign w:val="baseline"/>
                      <w:lang w:val="en-US" w:eastAsia="zh-CN"/>
                    </w:rPr>
                    <w:t>南侧，占地1180.2m</w:t>
                  </w:r>
                  <w:r>
                    <w:rPr>
                      <w:rFonts w:hint="default" w:ascii="Times New Roman" w:hAnsi="Times New Roman" w:eastAsia="宋体" w:cs="Times New Roman"/>
                      <w:color w:val="auto"/>
                      <w:sz w:val="21"/>
                      <w:szCs w:val="21"/>
                      <w:highlight w:val="none"/>
                      <w:vertAlign w:val="superscript"/>
                      <w:lang w:val="en-US" w:eastAsia="zh-CN"/>
                    </w:rPr>
                    <w:t>2</w:t>
                  </w:r>
                </w:p>
              </w:tc>
              <w:tc>
                <w:tcPr>
                  <w:tcW w:w="1085" w:type="pct"/>
                  <w:vAlign w:val="center"/>
                </w:tcPr>
                <w:p w14:paraId="6C57E8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2FA0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restart"/>
                  <w:vAlign w:val="center"/>
                </w:tcPr>
                <w:p w14:paraId="68743C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环保工程</w:t>
                  </w:r>
                </w:p>
              </w:tc>
              <w:tc>
                <w:tcPr>
                  <w:tcW w:w="724" w:type="pct"/>
                  <w:vAlign w:val="center"/>
                </w:tcPr>
                <w:p w14:paraId="6B7074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废水</w:t>
                  </w:r>
                </w:p>
              </w:tc>
              <w:tc>
                <w:tcPr>
                  <w:tcW w:w="2709" w:type="pct"/>
                  <w:vAlign w:val="center"/>
                </w:tcPr>
                <w:p w14:paraId="3B067C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项目采用雨污分流制排水系统，雨水经厂区室外雨水管道收集后排至市政雨水管道，本项目生产废水为纯水机浓水，部分浓水回用于道路浇洒用水，多余的浓水经市政污水管网排入沣西新城大王污水处理厂</w:t>
                  </w:r>
                  <w:r>
                    <w:rPr>
                      <w:rFonts w:hint="eastAsia" w:cs="Times New Roman"/>
                      <w:color w:val="auto"/>
                      <w:sz w:val="21"/>
                      <w:szCs w:val="21"/>
                      <w:highlight w:val="none"/>
                      <w:vertAlign w:val="baseline"/>
                      <w:lang w:val="en-US" w:eastAsia="zh-CN"/>
                    </w:rPr>
                    <w:t>；空调冷水机组</w:t>
                  </w:r>
                  <w:r>
                    <w:rPr>
                      <w:rFonts w:hint="default" w:ascii="Times New Roman" w:hAnsi="Times New Roman" w:cs="Times New Roman"/>
                      <w:color w:val="auto"/>
                      <w:sz w:val="21"/>
                      <w:szCs w:val="21"/>
                      <w:highlight w:val="none"/>
                      <w:vertAlign w:val="baseline"/>
                      <w:lang w:val="en-US" w:eastAsia="zh-CN"/>
                    </w:rPr>
                    <w:t>所用冷却水循环使用，定期补充损耗，不外排；食堂废水经油水分离器处理后与生活污水经化粪池预处理后通过市政污水管网排至沣西新城大王污水处理厂进一步处理。</w:t>
                  </w:r>
                </w:p>
              </w:tc>
              <w:tc>
                <w:tcPr>
                  <w:tcW w:w="1085" w:type="pct"/>
                  <w:vAlign w:val="center"/>
                </w:tcPr>
                <w:p w14:paraId="5084FB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新建化粪池100m</w:t>
                  </w:r>
                  <w:r>
                    <w:rPr>
                      <w:rFonts w:hint="default" w:ascii="Times New Roman" w:hAnsi="Times New Roman"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vertAlign w:val="baseline"/>
                      <w:lang w:val="en-US" w:eastAsia="zh-CN"/>
                    </w:rPr>
                    <w:t>，位于厂区南侧</w:t>
                  </w:r>
                </w:p>
              </w:tc>
            </w:tr>
            <w:tr w14:paraId="4B0F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7C2CDD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3F9097F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eastAsia="zh-CN"/>
                    </w:rPr>
                    <w:t>废气</w:t>
                  </w:r>
                </w:p>
              </w:tc>
              <w:tc>
                <w:tcPr>
                  <w:tcW w:w="2709" w:type="pct"/>
                  <w:vAlign w:val="center"/>
                </w:tcPr>
                <w:p w14:paraId="6C9643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项目运营期产生的废气为焊接环节产生的焊接烟尘（颗粒物）、清洗环节清洗剂挥发产生的有机废气（非甲烷总烃）、灌封与烘干过程产生的有机废气（非甲烷总烃）、食堂油烟，本项目生产过程中产生的废气均采用集气罩＋过滤棉＋二级活性炭吸附装置处理后经34m高排气筒达标排放，食堂油烟经油烟净化器处理后经排烟管道排放。</w:t>
                  </w:r>
                </w:p>
              </w:tc>
              <w:tc>
                <w:tcPr>
                  <w:tcW w:w="1085" w:type="pct"/>
                  <w:vAlign w:val="center"/>
                </w:tcPr>
                <w:p w14:paraId="2263E5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7DC7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0830A1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18D2699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固废</w:t>
                  </w:r>
                </w:p>
              </w:tc>
              <w:tc>
                <w:tcPr>
                  <w:tcW w:w="2709" w:type="pct"/>
                  <w:vAlign w:val="center"/>
                </w:tcPr>
                <w:p w14:paraId="143D65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本项目生活垃圾设垃圾桶收集后由环卫部门定期清运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食堂废油脂交由有资质单位处置</w:t>
                  </w:r>
                  <w:r>
                    <w:rPr>
                      <w:rFonts w:hint="default" w:ascii="Times New Roman" w:hAnsi="Times New Roman" w:eastAsia="宋体" w:cs="Times New Roman"/>
                      <w:color w:val="auto"/>
                      <w:sz w:val="21"/>
                      <w:szCs w:val="21"/>
                      <w:highlight w:val="none"/>
                      <w:vertAlign w:val="baseline"/>
                      <w:lang w:val="en-US" w:eastAsia="zh-CN"/>
                    </w:rPr>
                    <w:t>；一般固体废物（废</w:t>
                  </w:r>
                  <w:r>
                    <w:rPr>
                      <w:rFonts w:hint="default" w:ascii="Times New Roman" w:hAnsi="Times New Roman" w:cs="Times New Roman"/>
                      <w:color w:val="auto"/>
                      <w:sz w:val="21"/>
                      <w:szCs w:val="21"/>
                      <w:highlight w:val="none"/>
                      <w:vertAlign w:val="baseline"/>
                      <w:lang w:val="en-US" w:eastAsia="zh-CN"/>
                    </w:rPr>
                    <w:t>零件</w:t>
                  </w:r>
                  <w:r>
                    <w:rPr>
                      <w:rFonts w:hint="default" w:ascii="Times New Roman" w:hAnsi="Times New Roman" w:eastAsia="宋体" w:cs="Times New Roman"/>
                      <w:color w:val="auto"/>
                      <w:sz w:val="21"/>
                      <w:szCs w:val="21"/>
                      <w:highlight w:val="none"/>
                      <w:vertAlign w:val="baseline"/>
                      <w:lang w:val="en-US" w:eastAsia="zh-CN"/>
                    </w:rPr>
                    <w:t>）分类收集后暂存于一般固废暂存处，委托一般固废回收单位回收综合利用；危险废物（废清洗剂、不合格电路板、废活性炭等）分类收集后暂存于危废贮存库，交由有资质单位处置</w:t>
                  </w:r>
                  <w:r>
                    <w:rPr>
                      <w:rFonts w:hint="default" w:ascii="Times New Roman" w:hAnsi="Times New Roman" w:cs="Times New Roman"/>
                      <w:color w:val="auto"/>
                      <w:sz w:val="21"/>
                      <w:szCs w:val="21"/>
                      <w:highlight w:val="none"/>
                      <w:vertAlign w:val="baseline"/>
                      <w:lang w:val="en-US" w:eastAsia="zh-CN"/>
                    </w:rPr>
                    <w:t>。</w:t>
                  </w:r>
                </w:p>
              </w:tc>
              <w:tc>
                <w:tcPr>
                  <w:tcW w:w="1085" w:type="pct"/>
                  <w:vAlign w:val="center"/>
                </w:tcPr>
                <w:p w14:paraId="31E9C3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新建危废贮存库</w:t>
                  </w:r>
                </w:p>
              </w:tc>
            </w:tr>
            <w:tr w14:paraId="6CF9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08F771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3491206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噪声</w:t>
                  </w:r>
                </w:p>
              </w:tc>
              <w:tc>
                <w:tcPr>
                  <w:tcW w:w="2709" w:type="pct"/>
                  <w:vAlign w:val="center"/>
                </w:tcPr>
                <w:p w14:paraId="15628F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lang w:val="en-US" w:eastAsia="zh-CN"/>
                    </w:rPr>
                    <w:t>1#与3#生产厂房采用专业隔声墙体和隔声门窗；高噪设备底部安装减振垫，风机进出口设置软连接；进气和排气系统均安装高效消声器</w:t>
                  </w:r>
                  <w:r>
                    <w:rPr>
                      <w:rFonts w:hint="default" w:ascii="Times New Roman" w:hAnsi="Times New Roman" w:cs="Times New Roman"/>
                      <w:color w:val="auto"/>
                      <w:sz w:val="21"/>
                      <w:szCs w:val="21"/>
                      <w:highlight w:val="none"/>
                      <w:lang w:eastAsia="zh-CN"/>
                    </w:rPr>
                    <w:t>。</w:t>
                  </w:r>
                </w:p>
              </w:tc>
              <w:tc>
                <w:tcPr>
                  <w:tcW w:w="1085" w:type="pct"/>
                  <w:vAlign w:val="center"/>
                </w:tcPr>
                <w:p w14:paraId="684F2F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2ECB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0" w:type="pct"/>
                  <w:vMerge w:val="continue"/>
                  <w:vAlign w:val="center"/>
                </w:tcPr>
                <w:p w14:paraId="71B64E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tc>
              <w:tc>
                <w:tcPr>
                  <w:tcW w:w="724" w:type="pct"/>
                  <w:vAlign w:val="center"/>
                </w:tcPr>
                <w:p w14:paraId="75E7B58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环境风险</w:t>
                  </w:r>
                </w:p>
              </w:tc>
              <w:tc>
                <w:tcPr>
                  <w:tcW w:w="2709" w:type="pct"/>
                  <w:vAlign w:val="center"/>
                </w:tcPr>
                <w:p w14:paraId="5D9F18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项目主要设施、装置与周边建、构筑物的防火间距满足根据《建筑设计防火规范》（GB50016-2014）（2018 年版）等规范的要求；危废贮存库门口设置高漫坡，</w:t>
                  </w:r>
                  <w:r>
                    <w:rPr>
                      <w:rFonts w:hint="default" w:ascii="Times New Roman" w:hAnsi="Times New Roman" w:cs="Times New Roman"/>
                      <w:color w:val="auto"/>
                      <w:sz w:val="21"/>
                      <w:szCs w:val="21"/>
                      <w:highlight w:val="none"/>
                      <w:lang w:val="en-US" w:eastAsia="zh-CN"/>
                    </w:rPr>
                    <w:t>地面进行基础防渗，防渗层为至少1m厚黏土层(渗透系数不大于10</w:t>
                  </w:r>
                  <w:r>
                    <w:rPr>
                      <w:rFonts w:hint="eastAsia" w:cs="Times New Roman"/>
                      <w:color w:val="auto"/>
                      <w:sz w:val="21"/>
                      <w:szCs w:val="21"/>
                      <w:highlight w:val="none"/>
                      <w:vertAlign w:val="superscript"/>
                      <w:lang w:val="en-US" w:eastAsia="zh-CN"/>
                    </w:rPr>
                    <w:t>-</w:t>
                  </w:r>
                  <w:r>
                    <w:rPr>
                      <w:rFonts w:hint="default" w:ascii="Times New Roman" w:hAnsi="Times New Roman" w:cs="Times New Roman"/>
                      <w:color w:val="auto"/>
                      <w:sz w:val="21"/>
                      <w:szCs w:val="21"/>
                      <w:highlight w:val="none"/>
                      <w:vertAlign w:val="superscript"/>
                      <w:lang w:val="en-US" w:eastAsia="zh-CN"/>
                    </w:rPr>
                    <w:t>7</w:t>
                  </w:r>
                  <w:r>
                    <w:rPr>
                      <w:rFonts w:hint="default" w:ascii="Times New Roman" w:hAnsi="Times New Roman" w:cs="Times New Roman"/>
                      <w:color w:val="auto"/>
                      <w:sz w:val="21"/>
                      <w:szCs w:val="21"/>
                      <w:highlight w:val="none"/>
                      <w:lang w:val="en-US" w:eastAsia="zh-CN"/>
                    </w:rPr>
                    <w:t>cm/s)，或至少2mm厚高密度聚乙烯膜等人工防渗材料(渗透系数不大于10</w:t>
                  </w:r>
                  <w:r>
                    <w:rPr>
                      <w:rFonts w:hint="default" w:ascii="Times New Roman" w:hAnsi="Times New Roman" w:cs="Times New Roman"/>
                      <w:color w:val="auto"/>
                      <w:sz w:val="21"/>
                      <w:szCs w:val="21"/>
                      <w:highlight w:val="none"/>
                      <w:vertAlign w:val="superscript"/>
                      <w:lang w:val="en-US" w:eastAsia="zh-CN"/>
                    </w:rPr>
                    <w:t>-10</w:t>
                  </w:r>
                  <w:r>
                    <w:rPr>
                      <w:rFonts w:hint="default" w:ascii="Times New Roman" w:hAnsi="Times New Roman" w:cs="Times New Roman"/>
                      <w:color w:val="auto"/>
                      <w:sz w:val="21"/>
                      <w:szCs w:val="21"/>
                      <w:highlight w:val="none"/>
                      <w:lang w:val="en-US" w:eastAsia="zh-CN"/>
                    </w:rPr>
                    <w:t>cm/s)，或其他防渗性能等效的材料。</w:t>
                  </w:r>
                </w:p>
              </w:tc>
              <w:tc>
                <w:tcPr>
                  <w:tcW w:w="1085" w:type="pct"/>
                  <w:vAlign w:val="center"/>
                </w:tcPr>
                <w:p w14:paraId="0B6074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bl>
          <w:p w14:paraId="771FC6CF">
            <w:pPr>
              <w:adjustRightInd w:val="0"/>
              <w:snapToGrid w:val="0"/>
              <w:spacing w:line="360" w:lineRule="auto"/>
              <w:jc w:val="lef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4、</w:t>
            </w:r>
            <w:r>
              <w:rPr>
                <w:rFonts w:hint="default" w:ascii="Times New Roman" w:hAnsi="Times New Roman" w:cs="Times New Roman"/>
                <w:b/>
                <w:color w:val="auto"/>
                <w:sz w:val="24"/>
                <w:szCs w:val="24"/>
                <w:highlight w:val="none"/>
              </w:rPr>
              <w:t>产品方案</w:t>
            </w:r>
          </w:p>
          <w:p w14:paraId="3F5178B0">
            <w:pPr>
              <w:pStyle w:val="46"/>
              <w:widowControl/>
              <w:adjustRightInd/>
              <w:spacing w:line="360" w:lineRule="auto"/>
              <w:ind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项目产品</w:t>
            </w:r>
            <w:r>
              <w:rPr>
                <w:rFonts w:hint="default" w:ascii="Times New Roman" w:hAnsi="Times New Roman" w:cs="Times New Roman"/>
                <w:bCs/>
                <w:color w:val="auto"/>
                <w:kern w:val="2"/>
                <w:sz w:val="24"/>
                <w:szCs w:val="24"/>
                <w:highlight w:val="none"/>
                <w:lang w:eastAsia="zh-CN"/>
              </w:rPr>
              <w:t>主要为</w:t>
            </w:r>
            <w:r>
              <w:rPr>
                <w:rFonts w:hint="default" w:ascii="Times New Roman" w:hAnsi="Times New Roman" w:cs="Times New Roman"/>
                <w:bCs/>
                <w:color w:val="auto"/>
                <w:kern w:val="2"/>
                <w:sz w:val="24"/>
                <w:szCs w:val="24"/>
                <w:highlight w:val="none"/>
                <w:lang w:val="en-US" w:eastAsia="zh-CN"/>
              </w:rPr>
              <w:t>高压电源</w:t>
            </w:r>
            <w:r>
              <w:rPr>
                <w:rFonts w:hint="default" w:ascii="Times New Roman" w:hAnsi="Times New Roman" w:cs="Times New Roman"/>
                <w:bCs/>
                <w:color w:val="auto"/>
                <w:kern w:val="2"/>
                <w:sz w:val="24"/>
                <w:szCs w:val="24"/>
                <w:highlight w:val="none"/>
              </w:rPr>
              <w:t>，</w:t>
            </w:r>
            <w:r>
              <w:rPr>
                <w:rFonts w:hint="default" w:ascii="Times New Roman" w:hAnsi="Times New Roman" w:cs="Times New Roman"/>
                <w:bCs/>
                <w:color w:val="auto"/>
                <w:kern w:val="2"/>
                <w:sz w:val="24"/>
                <w:szCs w:val="24"/>
                <w:highlight w:val="none"/>
                <w:lang w:val="en-US" w:eastAsia="zh-CN"/>
              </w:rPr>
              <w:t>组装制造的印制电路板成品为后续高压电源组装制造所用，</w:t>
            </w:r>
            <w:r>
              <w:rPr>
                <w:rFonts w:hint="default" w:ascii="Times New Roman" w:hAnsi="Times New Roman" w:cs="Times New Roman"/>
                <w:color w:val="auto"/>
                <w:kern w:val="2"/>
                <w:sz w:val="24"/>
                <w:szCs w:val="24"/>
                <w:highlight w:val="none"/>
              </w:rPr>
              <w:t>产品方案见表2-2</w:t>
            </w:r>
            <w:r>
              <w:rPr>
                <w:rFonts w:hint="default" w:ascii="Times New Roman" w:hAnsi="Times New Roman" w:cs="Times New Roman"/>
                <w:bCs/>
                <w:color w:val="auto"/>
                <w:kern w:val="2"/>
                <w:sz w:val="24"/>
                <w:szCs w:val="24"/>
                <w:highlight w:val="none"/>
              </w:rPr>
              <w:t>。</w:t>
            </w:r>
          </w:p>
          <w:p w14:paraId="1A07D1C3">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bidi="ar"/>
              </w:rPr>
              <w:t>表2-2    产品方案一览表</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68"/>
              <w:gridCol w:w="4322"/>
            </w:tblGrid>
            <w:tr w14:paraId="5320B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4" w:type="pct"/>
                  <w:tcBorders>
                    <w:tl2br w:val="nil"/>
                    <w:tr2bl w:val="nil"/>
                  </w:tcBorders>
                  <w:noWrap w:val="0"/>
                  <w:vAlign w:val="center"/>
                </w:tcPr>
                <w:p w14:paraId="59F4F080">
                  <w:pPr>
                    <w:adjustRightInd w:val="0"/>
                    <w:snapToGrid w:val="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bidi="ar"/>
                    </w:rPr>
                    <w:t>产品名称</w:t>
                  </w:r>
                </w:p>
              </w:tc>
              <w:tc>
                <w:tcPr>
                  <w:tcW w:w="2515" w:type="pct"/>
                  <w:tcBorders>
                    <w:tl2br w:val="nil"/>
                    <w:tr2bl w:val="nil"/>
                  </w:tcBorders>
                  <w:noWrap w:val="0"/>
                  <w:vAlign w:val="center"/>
                </w:tcPr>
                <w:p w14:paraId="795A305D">
                  <w:pPr>
                    <w:adjustRightInd w:val="0"/>
                    <w:snapToGrid w:val="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bidi="ar"/>
                    </w:rPr>
                    <w:t>产量</w:t>
                  </w:r>
                </w:p>
              </w:tc>
            </w:tr>
            <w:tr w14:paraId="2AC8C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84" w:type="pct"/>
                  <w:tcBorders>
                    <w:tl2br w:val="nil"/>
                    <w:tr2bl w:val="nil"/>
                  </w:tcBorders>
                  <w:noWrap w:val="0"/>
                  <w:vAlign w:val="center"/>
                </w:tcPr>
                <w:p w14:paraId="3EDC6F6A">
                  <w:pPr>
                    <w:spacing w:line="0" w:lineRule="atLeast"/>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高压电源</w:t>
                  </w:r>
                </w:p>
              </w:tc>
              <w:tc>
                <w:tcPr>
                  <w:tcW w:w="2515" w:type="pct"/>
                  <w:tcBorders>
                    <w:tl2br w:val="nil"/>
                    <w:tr2bl w:val="nil"/>
                  </w:tcBorders>
                  <w:noWrap w:val="0"/>
                  <w:vAlign w:val="center"/>
                </w:tcPr>
                <w:p w14:paraId="6C0AC148">
                  <w:pPr>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lang w:val="en-US" w:eastAsia="zh-CN"/>
                    </w:rPr>
                    <w:t>12万台</w:t>
                  </w:r>
                </w:p>
              </w:tc>
            </w:tr>
          </w:tbl>
          <w:p w14:paraId="39D2EAAA">
            <w:pPr>
              <w:adjustRightInd w:val="0"/>
              <w:snapToGrid w:val="0"/>
              <w:spacing w:line="360" w:lineRule="auto"/>
              <w:jc w:val="lef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5</w:t>
            </w:r>
            <w:r>
              <w:rPr>
                <w:rFonts w:hint="default" w:ascii="Times New Roman" w:hAnsi="Times New Roman" w:cs="Times New Roman"/>
                <w:b/>
                <w:color w:val="auto"/>
                <w:sz w:val="24"/>
                <w:szCs w:val="24"/>
                <w:highlight w:val="none"/>
              </w:rPr>
              <w:t>、主要原辅材料及能源消耗</w:t>
            </w:r>
          </w:p>
          <w:p w14:paraId="0F7C2E63">
            <w:pPr>
              <w:pStyle w:val="46"/>
              <w:widowControl/>
              <w:adjustRightInd/>
              <w:spacing w:line="360" w:lineRule="auto"/>
              <w:ind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项目原辅材料及能源消耗见表2-3。</w:t>
            </w:r>
          </w:p>
          <w:p w14:paraId="2CF46C25">
            <w:pPr>
              <w:pStyle w:val="46"/>
              <w:widowControl/>
              <w:adjustRightIn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表2-3    项目原辅材料及能源消耗一览表</w:t>
            </w:r>
          </w:p>
          <w:tbl>
            <w:tblPr>
              <w:tblStyle w:val="28"/>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73"/>
              <w:gridCol w:w="988"/>
              <w:gridCol w:w="1332"/>
              <w:gridCol w:w="2148"/>
              <w:gridCol w:w="1158"/>
              <w:gridCol w:w="1663"/>
            </w:tblGrid>
            <w:tr w14:paraId="5A5F9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63510098">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序号</w:t>
                  </w:r>
                </w:p>
              </w:tc>
              <w:tc>
                <w:tcPr>
                  <w:tcW w:w="508" w:type="pct"/>
                  <w:tcBorders>
                    <w:tl2br w:val="nil"/>
                    <w:tr2bl w:val="nil"/>
                  </w:tcBorders>
                  <w:noWrap w:val="0"/>
                  <w:vAlign w:val="center"/>
                </w:tcPr>
                <w:p w14:paraId="149F6936">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工序</w:t>
                  </w:r>
                </w:p>
              </w:tc>
              <w:tc>
                <w:tcPr>
                  <w:tcW w:w="575" w:type="pct"/>
                  <w:tcBorders>
                    <w:tl2br w:val="nil"/>
                    <w:tr2bl w:val="nil"/>
                  </w:tcBorders>
                  <w:noWrap w:val="0"/>
                  <w:vAlign w:val="center"/>
                </w:tcPr>
                <w:p w14:paraId="44DE19E7">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名称</w:t>
                  </w:r>
                </w:p>
              </w:tc>
              <w:tc>
                <w:tcPr>
                  <w:tcW w:w="775" w:type="pct"/>
                  <w:tcBorders>
                    <w:tl2br w:val="nil"/>
                    <w:tr2bl w:val="nil"/>
                  </w:tcBorders>
                  <w:noWrap w:val="0"/>
                  <w:vAlign w:val="center"/>
                </w:tcPr>
                <w:p w14:paraId="10B8AE87">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年用量</w:t>
                  </w:r>
                </w:p>
              </w:tc>
              <w:tc>
                <w:tcPr>
                  <w:tcW w:w="1250" w:type="pct"/>
                  <w:tcBorders>
                    <w:tl2br w:val="nil"/>
                    <w:tr2bl w:val="nil"/>
                  </w:tcBorders>
                  <w:noWrap w:val="0"/>
                  <w:vAlign w:val="center"/>
                </w:tcPr>
                <w:p w14:paraId="649477BE">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规格</w:t>
                  </w:r>
                </w:p>
              </w:tc>
              <w:tc>
                <w:tcPr>
                  <w:tcW w:w="674" w:type="pct"/>
                  <w:tcBorders>
                    <w:tl2br w:val="nil"/>
                    <w:tr2bl w:val="nil"/>
                  </w:tcBorders>
                  <w:noWrap w:val="0"/>
                  <w:vAlign w:val="center"/>
                </w:tcPr>
                <w:p w14:paraId="4E5506FD">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lang w:val="en-US" w:eastAsia="zh-CN"/>
                    </w:rPr>
                    <w:t>包装方式及存放位置</w:t>
                  </w:r>
                </w:p>
              </w:tc>
              <w:tc>
                <w:tcPr>
                  <w:tcW w:w="968" w:type="pct"/>
                  <w:tcBorders>
                    <w:tl2br w:val="nil"/>
                    <w:tr2bl w:val="nil"/>
                  </w:tcBorders>
                  <w:noWrap w:val="0"/>
                  <w:vAlign w:val="center"/>
                </w:tcPr>
                <w:p w14:paraId="0CDCF4F6">
                  <w:pPr>
                    <w:autoSpaceDE w:val="0"/>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备注</w:t>
                  </w:r>
                </w:p>
              </w:tc>
            </w:tr>
            <w:tr w14:paraId="3F754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31FC1ED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w:t>
                  </w:r>
                </w:p>
              </w:tc>
              <w:tc>
                <w:tcPr>
                  <w:tcW w:w="508" w:type="pct"/>
                  <w:vMerge w:val="restart"/>
                  <w:tcBorders>
                    <w:tl2br w:val="nil"/>
                    <w:tr2bl w:val="nil"/>
                  </w:tcBorders>
                  <w:noWrap w:val="0"/>
                  <w:vAlign w:val="center"/>
                </w:tcPr>
                <w:p w14:paraId="3E1973B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焊接</w:t>
                  </w:r>
                </w:p>
              </w:tc>
              <w:tc>
                <w:tcPr>
                  <w:tcW w:w="575" w:type="pct"/>
                  <w:tcBorders>
                    <w:tl2br w:val="nil"/>
                    <w:tr2bl w:val="nil"/>
                  </w:tcBorders>
                  <w:noWrap w:val="0"/>
                  <w:vAlign w:val="center"/>
                </w:tcPr>
                <w:p w14:paraId="1E86EF0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无铅</w:t>
                  </w:r>
                  <w:r>
                    <w:rPr>
                      <w:rFonts w:hint="default" w:ascii="Times New Roman" w:hAnsi="Times New Roman" w:eastAsia="宋体" w:cs="Times New Roman"/>
                      <w:color w:val="auto"/>
                      <w:szCs w:val="21"/>
                      <w:highlight w:val="none"/>
                      <w:lang w:val="en-US" w:eastAsia="zh-CN"/>
                    </w:rPr>
                    <w:t>锡膏</w:t>
                  </w:r>
                </w:p>
              </w:tc>
              <w:tc>
                <w:tcPr>
                  <w:tcW w:w="775" w:type="pct"/>
                  <w:tcBorders>
                    <w:tl2br w:val="nil"/>
                    <w:tr2bl w:val="nil"/>
                  </w:tcBorders>
                  <w:noWrap w:val="0"/>
                  <w:vAlign w:val="center"/>
                </w:tcPr>
                <w:p w14:paraId="783141F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100kg</w:t>
                  </w:r>
                </w:p>
              </w:tc>
              <w:tc>
                <w:tcPr>
                  <w:tcW w:w="1250" w:type="pct"/>
                  <w:tcBorders>
                    <w:tl2br w:val="nil"/>
                    <w:tr2bl w:val="nil"/>
                  </w:tcBorders>
                  <w:noWrap w:val="0"/>
                  <w:vAlign w:val="center"/>
                </w:tcPr>
                <w:p w14:paraId="367C6897">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TF225S-M105NI-D-885</w:t>
                  </w:r>
                </w:p>
              </w:tc>
              <w:tc>
                <w:tcPr>
                  <w:tcW w:w="674" w:type="pct"/>
                  <w:tcBorders>
                    <w:tl2br w:val="nil"/>
                    <w:tr2bl w:val="nil"/>
                  </w:tcBorders>
                  <w:noWrap w:val="0"/>
                  <w:vAlign w:val="center"/>
                </w:tcPr>
                <w:p w14:paraId="581FCF9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瓶装/库房</w:t>
                  </w:r>
                </w:p>
              </w:tc>
              <w:tc>
                <w:tcPr>
                  <w:tcW w:w="968" w:type="pct"/>
                  <w:tcBorders>
                    <w:tl2br w:val="nil"/>
                    <w:tr2bl w:val="nil"/>
                  </w:tcBorders>
                  <w:noWrap w:val="0"/>
                  <w:vAlign w:val="center"/>
                </w:tcPr>
                <w:p w14:paraId="6C08546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锡80-90%</w:t>
                  </w:r>
                </w:p>
                <w:p w14:paraId="7D70A0E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银2-4%</w:t>
                  </w:r>
                </w:p>
                <w:p w14:paraId="4628D8A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松香4-6%</w:t>
                  </w:r>
                </w:p>
                <w:p w14:paraId="70DB7BE1">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四乙二醇二甲醚2%</w:t>
                  </w:r>
                </w:p>
              </w:tc>
            </w:tr>
            <w:tr w14:paraId="63CD6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24D56D7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2</w:t>
                  </w:r>
                </w:p>
              </w:tc>
              <w:tc>
                <w:tcPr>
                  <w:tcW w:w="508" w:type="pct"/>
                  <w:vMerge w:val="continue"/>
                  <w:tcBorders>
                    <w:tl2br w:val="nil"/>
                    <w:tr2bl w:val="nil"/>
                  </w:tcBorders>
                  <w:noWrap w:val="0"/>
                  <w:vAlign w:val="center"/>
                </w:tcPr>
                <w:p w14:paraId="572D62CF">
                  <w:pPr>
                    <w:jc w:val="center"/>
                    <w:rPr>
                      <w:rFonts w:hint="default" w:ascii="Times New Roman" w:hAnsi="Times New Roman" w:eastAsia="宋体" w:cs="Times New Roman"/>
                      <w:color w:val="auto"/>
                      <w:szCs w:val="21"/>
                      <w:highlight w:val="none"/>
                      <w:lang w:val="en-US" w:eastAsia="zh-CN"/>
                    </w:rPr>
                  </w:pPr>
                </w:p>
              </w:tc>
              <w:tc>
                <w:tcPr>
                  <w:tcW w:w="575" w:type="pct"/>
                  <w:tcBorders>
                    <w:tl2br w:val="nil"/>
                    <w:tr2bl w:val="nil"/>
                  </w:tcBorders>
                  <w:noWrap w:val="0"/>
                  <w:vAlign w:val="center"/>
                </w:tcPr>
                <w:p w14:paraId="65ACCB1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各类电子元器件</w:t>
                  </w:r>
                </w:p>
              </w:tc>
              <w:tc>
                <w:tcPr>
                  <w:tcW w:w="775" w:type="pct"/>
                  <w:tcBorders>
                    <w:tl2br w:val="nil"/>
                    <w:tr2bl w:val="nil"/>
                  </w:tcBorders>
                  <w:noWrap w:val="0"/>
                  <w:vAlign w:val="center"/>
                </w:tcPr>
                <w:p w14:paraId="44A7CE2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12万套</w:t>
                  </w:r>
                </w:p>
              </w:tc>
              <w:tc>
                <w:tcPr>
                  <w:tcW w:w="1250" w:type="pct"/>
                  <w:tcBorders>
                    <w:tl2br w:val="nil"/>
                    <w:tr2bl w:val="nil"/>
                  </w:tcBorders>
                  <w:noWrap w:val="0"/>
                  <w:vAlign w:val="center"/>
                </w:tcPr>
                <w:p w14:paraId="072B162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674" w:type="pct"/>
                  <w:tcBorders>
                    <w:tl2br w:val="nil"/>
                    <w:tr2bl w:val="nil"/>
                  </w:tcBorders>
                  <w:noWrap w:val="0"/>
                  <w:vAlign w:val="center"/>
                </w:tcPr>
                <w:p w14:paraId="7641674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库房</w:t>
                  </w:r>
                </w:p>
              </w:tc>
              <w:tc>
                <w:tcPr>
                  <w:tcW w:w="968" w:type="pct"/>
                  <w:tcBorders>
                    <w:tl2br w:val="nil"/>
                    <w:tr2bl w:val="nil"/>
                  </w:tcBorders>
                  <w:noWrap w:val="0"/>
                  <w:vAlign w:val="center"/>
                </w:tcPr>
                <w:p w14:paraId="1D6F04F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0402FB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43F76D3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w:t>
                  </w:r>
                </w:p>
              </w:tc>
              <w:tc>
                <w:tcPr>
                  <w:tcW w:w="508" w:type="pct"/>
                  <w:tcBorders>
                    <w:tl2br w:val="nil"/>
                    <w:tr2bl w:val="nil"/>
                  </w:tcBorders>
                  <w:noWrap w:val="0"/>
                  <w:vAlign w:val="center"/>
                </w:tcPr>
                <w:p w14:paraId="780CCE1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清洗</w:t>
                  </w:r>
                </w:p>
              </w:tc>
              <w:tc>
                <w:tcPr>
                  <w:tcW w:w="575" w:type="pct"/>
                  <w:tcBorders>
                    <w:tl2br w:val="nil"/>
                    <w:tr2bl w:val="nil"/>
                  </w:tcBorders>
                  <w:noWrap w:val="0"/>
                  <w:vAlign w:val="center"/>
                </w:tcPr>
                <w:p w14:paraId="43261BA6">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环保清洗剂</w:t>
                  </w:r>
                </w:p>
              </w:tc>
              <w:tc>
                <w:tcPr>
                  <w:tcW w:w="775" w:type="pct"/>
                  <w:tcBorders>
                    <w:tl2br w:val="nil"/>
                    <w:tr2bl w:val="nil"/>
                  </w:tcBorders>
                  <w:noWrap w:val="0"/>
                  <w:vAlign w:val="center"/>
                </w:tcPr>
                <w:p w14:paraId="53C022D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50t</w:t>
                  </w:r>
                </w:p>
              </w:tc>
              <w:tc>
                <w:tcPr>
                  <w:tcW w:w="1250" w:type="pct"/>
                  <w:tcBorders>
                    <w:tl2br w:val="nil"/>
                    <w:tr2bl w:val="nil"/>
                  </w:tcBorders>
                  <w:noWrap w:val="0"/>
                  <w:vAlign w:val="center"/>
                </w:tcPr>
                <w:p w14:paraId="0A7C770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TC-20</w:t>
                  </w:r>
                </w:p>
              </w:tc>
              <w:tc>
                <w:tcPr>
                  <w:tcW w:w="674" w:type="pct"/>
                  <w:tcBorders>
                    <w:tl2br w:val="nil"/>
                    <w:tr2bl w:val="nil"/>
                  </w:tcBorders>
                  <w:noWrap w:val="0"/>
                  <w:vAlign w:val="center"/>
                </w:tcPr>
                <w:p w14:paraId="41C9EEC1">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桶装/库房</w:t>
                  </w:r>
                </w:p>
              </w:tc>
              <w:tc>
                <w:tcPr>
                  <w:tcW w:w="968" w:type="pct"/>
                  <w:tcBorders>
                    <w:tl2br w:val="nil"/>
                    <w:tr2bl w:val="nil"/>
                  </w:tcBorders>
                  <w:noWrap w:val="0"/>
                  <w:vAlign w:val="center"/>
                </w:tcPr>
                <w:p w14:paraId="585BFDE0">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混合醇40-50%</w:t>
                  </w:r>
                </w:p>
                <w:p w14:paraId="3931478D">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烷烃类30-45%</w:t>
                  </w:r>
                </w:p>
                <w:p w14:paraId="36166B55">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润湿剂8-10%</w:t>
                  </w:r>
                </w:p>
              </w:tc>
            </w:tr>
            <w:tr w14:paraId="664F82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6A692C9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p>
              </w:tc>
              <w:tc>
                <w:tcPr>
                  <w:tcW w:w="508" w:type="pct"/>
                  <w:tcBorders>
                    <w:tl2br w:val="nil"/>
                    <w:tr2bl w:val="nil"/>
                  </w:tcBorders>
                  <w:noWrap w:val="0"/>
                  <w:vAlign w:val="center"/>
                </w:tcPr>
                <w:p w14:paraId="3B4C3661">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灌封</w:t>
                  </w:r>
                </w:p>
              </w:tc>
              <w:tc>
                <w:tcPr>
                  <w:tcW w:w="575" w:type="pct"/>
                  <w:tcBorders>
                    <w:tl2br w:val="nil"/>
                    <w:tr2bl w:val="nil"/>
                  </w:tcBorders>
                  <w:noWrap w:val="0"/>
                  <w:vAlign w:val="center"/>
                </w:tcPr>
                <w:p w14:paraId="65A17FC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有机硅灌封胶</w:t>
                  </w:r>
                </w:p>
              </w:tc>
              <w:tc>
                <w:tcPr>
                  <w:tcW w:w="775" w:type="pct"/>
                  <w:tcBorders>
                    <w:tl2br w:val="nil"/>
                    <w:tr2bl w:val="nil"/>
                  </w:tcBorders>
                  <w:noWrap w:val="0"/>
                  <w:vAlign w:val="center"/>
                </w:tcPr>
                <w:p w14:paraId="15E1365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150t</w:t>
                  </w:r>
                </w:p>
              </w:tc>
              <w:tc>
                <w:tcPr>
                  <w:tcW w:w="1250" w:type="pct"/>
                  <w:tcBorders>
                    <w:tl2br w:val="nil"/>
                    <w:tr2bl w:val="nil"/>
                  </w:tcBorders>
                  <w:noWrap w:val="0"/>
                  <w:vAlign w:val="center"/>
                </w:tcPr>
                <w:p w14:paraId="6468323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DOWSIL CN-8760G EncapsulantA/B</w:t>
                  </w:r>
                </w:p>
              </w:tc>
              <w:tc>
                <w:tcPr>
                  <w:tcW w:w="674" w:type="pct"/>
                  <w:tcBorders>
                    <w:tl2br w:val="nil"/>
                    <w:tr2bl w:val="nil"/>
                  </w:tcBorders>
                  <w:noWrap w:val="0"/>
                  <w:vAlign w:val="center"/>
                </w:tcPr>
                <w:p w14:paraId="11F2411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罐装/库房</w:t>
                  </w:r>
                </w:p>
              </w:tc>
              <w:tc>
                <w:tcPr>
                  <w:tcW w:w="968" w:type="pct"/>
                  <w:tcBorders>
                    <w:tl2br w:val="nil"/>
                    <w:tr2bl w:val="nil"/>
                  </w:tcBorders>
                  <w:noWrap w:val="0"/>
                  <w:vAlign w:val="center"/>
                </w:tcPr>
                <w:p w14:paraId="10003F0A">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037E3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740BEB6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w:t>
                  </w:r>
                </w:p>
              </w:tc>
              <w:tc>
                <w:tcPr>
                  <w:tcW w:w="508" w:type="pct"/>
                  <w:tcBorders>
                    <w:tl2br w:val="nil"/>
                    <w:tr2bl w:val="nil"/>
                  </w:tcBorders>
                  <w:noWrap w:val="0"/>
                  <w:vAlign w:val="center"/>
                </w:tcPr>
                <w:p w14:paraId="16D31FF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组装</w:t>
                  </w:r>
                </w:p>
              </w:tc>
              <w:tc>
                <w:tcPr>
                  <w:tcW w:w="575" w:type="pct"/>
                  <w:tcBorders>
                    <w:tl2br w:val="nil"/>
                    <w:tr2bl w:val="nil"/>
                  </w:tcBorders>
                  <w:noWrap w:val="0"/>
                  <w:vAlign w:val="center"/>
                </w:tcPr>
                <w:p w14:paraId="6738C631">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机壳</w:t>
                  </w:r>
                </w:p>
              </w:tc>
              <w:tc>
                <w:tcPr>
                  <w:tcW w:w="775" w:type="pct"/>
                  <w:tcBorders>
                    <w:tl2br w:val="nil"/>
                    <w:tr2bl w:val="nil"/>
                  </w:tcBorders>
                  <w:noWrap w:val="0"/>
                  <w:vAlign w:val="center"/>
                </w:tcPr>
                <w:p w14:paraId="150856B6">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12万台</w:t>
                  </w:r>
                </w:p>
              </w:tc>
              <w:tc>
                <w:tcPr>
                  <w:tcW w:w="1250" w:type="pct"/>
                  <w:tcBorders>
                    <w:tl2br w:val="nil"/>
                    <w:tr2bl w:val="nil"/>
                  </w:tcBorders>
                  <w:noWrap w:val="0"/>
                  <w:vAlign w:val="center"/>
                </w:tcPr>
                <w:p w14:paraId="03A3725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定制</w:t>
                  </w:r>
                </w:p>
              </w:tc>
              <w:tc>
                <w:tcPr>
                  <w:tcW w:w="674" w:type="pct"/>
                  <w:tcBorders>
                    <w:tl2br w:val="nil"/>
                    <w:tr2bl w:val="nil"/>
                  </w:tcBorders>
                  <w:noWrap w:val="0"/>
                  <w:vAlign w:val="center"/>
                </w:tcPr>
                <w:p w14:paraId="4D3FB2F2">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铝</w:t>
                  </w:r>
                </w:p>
              </w:tc>
              <w:tc>
                <w:tcPr>
                  <w:tcW w:w="968" w:type="pct"/>
                  <w:tcBorders>
                    <w:tl2br w:val="nil"/>
                    <w:tr2bl w:val="nil"/>
                  </w:tcBorders>
                  <w:noWrap w:val="0"/>
                  <w:vAlign w:val="center"/>
                </w:tcPr>
                <w:p w14:paraId="0FA5AFD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787B2C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0BD01D2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6</w:t>
                  </w:r>
                </w:p>
              </w:tc>
              <w:tc>
                <w:tcPr>
                  <w:tcW w:w="508" w:type="pct"/>
                  <w:vMerge w:val="restart"/>
                  <w:tcBorders>
                    <w:tl2br w:val="nil"/>
                    <w:tr2bl w:val="nil"/>
                  </w:tcBorders>
                  <w:noWrap w:val="0"/>
                  <w:vAlign w:val="center"/>
                </w:tcPr>
                <w:p w14:paraId="1D603A0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2"/>
                      <w:sz w:val="21"/>
                      <w:szCs w:val="21"/>
                      <w:highlight w:val="none"/>
                      <w:lang w:val="en-US" w:eastAsia="zh-CN" w:bidi="ar-SA"/>
                    </w:rPr>
                    <w:t>能源</w:t>
                  </w:r>
                </w:p>
              </w:tc>
              <w:tc>
                <w:tcPr>
                  <w:tcW w:w="575" w:type="pct"/>
                  <w:tcBorders>
                    <w:tl2br w:val="nil"/>
                    <w:tr2bl w:val="nil"/>
                  </w:tcBorders>
                  <w:noWrap w:val="0"/>
                  <w:vAlign w:val="center"/>
                </w:tcPr>
                <w:p w14:paraId="6CFD845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水</w:t>
                  </w:r>
                </w:p>
              </w:tc>
              <w:tc>
                <w:tcPr>
                  <w:tcW w:w="775" w:type="pct"/>
                  <w:tcBorders>
                    <w:tl2br w:val="nil"/>
                    <w:tr2bl w:val="nil"/>
                  </w:tcBorders>
                  <w:noWrap w:val="0"/>
                  <w:vAlign w:val="center"/>
                </w:tcPr>
                <w:p w14:paraId="3DC6F70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39897.5m</w:t>
                  </w:r>
                  <w:r>
                    <w:rPr>
                      <w:rFonts w:hint="default" w:ascii="Times New Roman" w:hAnsi="Times New Roman" w:cs="Times New Roman"/>
                      <w:color w:val="auto"/>
                      <w:szCs w:val="21"/>
                      <w:highlight w:val="none"/>
                      <w:vertAlign w:val="superscript"/>
                      <w:lang w:val="en-US" w:eastAsia="zh-CN"/>
                    </w:rPr>
                    <w:t>3</w:t>
                  </w:r>
                </w:p>
              </w:tc>
              <w:tc>
                <w:tcPr>
                  <w:tcW w:w="1250" w:type="pct"/>
                  <w:tcBorders>
                    <w:tl2br w:val="nil"/>
                    <w:tr2bl w:val="nil"/>
                  </w:tcBorders>
                  <w:noWrap w:val="0"/>
                  <w:vAlign w:val="center"/>
                </w:tcPr>
                <w:p w14:paraId="27AF45D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674" w:type="pct"/>
                  <w:tcBorders>
                    <w:tl2br w:val="nil"/>
                    <w:tr2bl w:val="nil"/>
                  </w:tcBorders>
                  <w:noWrap w:val="0"/>
                  <w:vAlign w:val="center"/>
                </w:tcPr>
                <w:p w14:paraId="1465C14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市政管网/全厂用量</w:t>
                  </w:r>
                </w:p>
              </w:tc>
              <w:tc>
                <w:tcPr>
                  <w:tcW w:w="968" w:type="pct"/>
                  <w:tcBorders>
                    <w:tl2br w:val="nil"/>
                    <w:tr2bl w:val="nil"/>
                  </w:tcBorders>
                  <w:noWrap w:val="0"/>
                  <w:vAlign w:val="center"/>
                </w:tcPr>
                <w:p w14:paraId="21909F5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18C1FF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5B315CB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w:t>
                  </w:r>
                </w:p>
              </w:tc>
              <w:tc>
                <w:tcPr>
                  <w:tcW w:w="508" w:type="pct"/>
                  <w:vMerge w:val="continue"/>
                  <w:tcBorders>
                    <w:tl2br w:val="nil"/>
                    <w:tr2bl w:val="nil"/>
                  </w:tcBorders>
                  <w:noWrap w:val="0"/>
                  <w:vAlign w:val="center"/>
                </w:tcPr>
                <w:p w14:paraId="7BCED412">
                  <w:pPr>
                    <w:jc w:val="center"/>
                    <w:rPr>
                      <w:rFonts w:hint="default" w:ascii="Times New Roman" w:hAnsi="Times New Roman" w:eastAsia="宋体" w:cs="Times New Roman"/>
                      <w:color w:val="auto"/>
                      <w:szCs w:val="21"/>
                      <w:highlight w:val="none"/>
                      <w:lang w:val="en-US" w:eastAsia="zh-CN"/>
                    </w:rPr>
                  </w:pPr>
                </w:p>
              </w:tc>
              <w:tc>
                <w:tcPr>
                  <w:tcW w:w="575" w:type="pct"/>
                  <w:tcBorders>
                    <w:tl2br w:val="nil"/>
                    <w:tr2bl w:val="nil"/>
                  </w:tcBorders>
                  <w:noWrap w:val="0"/>
                  <w:vAlign w:val="center"/>
                </w:tcPr>
                <w:p w14:paraId="67B55FC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电</w:t>
                  </w:r>
                </w:p>
              </w:tc>
              <w:tc>
                <w:tcPr>
                  <w:tcW w:w="775" w:type="pct"/>
                  <w:tcBorders>
                    <w:tl2br w:val="nil"/>
                    <w:tr2bl w:val="nil"/>
                  </w:tcBorders>
                  <w:noWrap w:val="0"/>
                  <w:vAlign w:val="center"/>
                </w:tcPr>
                <w:p w14:paraId="677EDF32">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780万kW·h</w:t>
                  </w:r>
                </w:p>
              </w:tc>
              <w:tc>
                <w:tcPr>
                  <w:tcW w:w="1250" w:type="pct"/>
                  <w:tcBorders>
                    <w:tl2br w:val="nil"/>
                    <w:tr2bl w:val="nil"/>
                  </w:tcBorders>
                  <w:noWrap w:val="0"/>
                  <w:vAlign w:val="center"/>
                </w:tcPr>
                <w:p w14:paraId="12B1628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674" w:type="pct"/>
                  <w:tcBorders>
                    <w:tl2br w:val="nil"/>
                    <w:tr2bl w:val="nil"/>
                  </w:tcBorders>
                  <w:noWrap w:val="0"/>
                  <w:vAlign w:val="center"/>
                </w:tcPr>
                <w:p w14:paraId="2510A039">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市政电网/全厂用量</w:t>
                  </w:r>
                </w:p>
              </w:tc>
              <w:tc>
                <w:tcPr>
                  <w:tcW w:w="968" w:type="pct"/>
                  <w:tcBorders>
                    <w:tl2br w:val="nil"/>
                    <w:tr2bl w:val="nil"/>
                  </w:tcBorders>
                  <w:noWrap w:val="0"/>
                  <w:vAlign w:val="center"/>
                </w:tcPr>
                <w:p w14:paraId="7BEE526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0D32E3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 w:type="pct"/>
                  <w:tcBorders>
                    <w:tl2br w:val="nil"/>
                    <w:tr2bl w:val="nil"/>
                  </w:tcBorders>
                  <w:noWrap w:val="0"/>
                  <w:vAlign w:val="center"/>
                </w:tcPr>
                <w:p w14:paraId="6B5397C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w:t>
                  </w:r>
                </w:p>
              </w:tc>
              <w:tc>
                <w:tcPr>
                  <w:tcW w:w="508" w:type="pct"/>
                  <w:vMerge w:val="continue"/>
                  <w:tcBorders>
                    <w:tl2br w:val="nil"/>
                    <w:tr2bl w:val="nil"/>
                  </w:tcBorders>
                  <w:noWrap w:val="0"/>
                  <w:vAlign w:val="center"/>
                </w:tcPr>
                <w:p w14:paraId="238D5CB3">
                  <w:pPr>
                    <w:jc w:val="center"/>
                    <w:rPr>
                      <w:rFonts w:hint="default" w:ascii="Times New Roman" w:hAnsi="Times New Roman" w:eastAsia="宋体" w:cs="Times New Roman"/>
                      <w:color w:val="auto"/>
                      <w:szCs w:val="21"/>
                      <w:highlight w:val="none"/>
                      <w:lang w:val="en-US" w:eastAsia="zh-CN"/>
                    </w:rPr>
                  </w:pPr>
                </w:p>
              </w:tc>
              <w:tc>
                <w:tcPr>
                  <w:tcW w:w="575" w:type="pct"/>
                  <w:tcBorders>
                    <w:tl2br w:val="nil"/>
                    <w:tr2bl w:val="nil"/>
                  </w:tcBorders>
                  <w:noWrap w:val="0"/>
                  <w:vAlign w:val="center"/>
                </w:tcPr>
                <w:p w14:paraId="39763C62">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天然气</w:t>
                  </w:r>
                </w:p>
              </w:tc>
              <w:tc>
                <w:tcPr>
                  <w:tcW w:w="775" w:type="pct"/>
                  <w:tcBorders>
                    <w:tl2br w:val="nil"/>
                    <w:tr2bl w:val="nil"/>
                  </w:tcBorders>
                  <w:noWrap w:val="0"/>
                  <w:vAlign w:val="center"/>
                </w:tcPr>
                <w:p w14:paraId="63D7C6F6">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300000m</w:t>
                  </w:r>
                  <w:r>
                    <w:rPr>
                      <w:rFonts w:hint="default" w:ascii="Times New Roman" w:hAnsi="Times New Roman" w:cs="Times New Roman"/>
                      <w:color w:val="auto"/>
                      <w:szCs w:val="21"/>
                      <w:highlight w:val="none"/>
                      <w:vertAlign w:val="superscript"/>
                      <w:lang w:val="en-US" w:eastAsia="zh-CN"/>
                    </w:rPr>
                    <w:t>3</w:t>
                  </w:r>
                </w:p>
              </w:tc>
              <w:tc>
                <w:tcPr>
                  <w:tcW w:w="1250" w:type="pct"/>
                  <w:tcBorders>
                    <w:tl2br w:val="nil"/>
                    <w:tr2bl w:val="nil"/>
                  </w:tcBorders>
                  <w:noWrap w:val="0"/>
                  <w:vAlign w:val="center"/>
                </w:tcPr>
                <w:p w14:paraId="50EC11E9">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674" w:type="pct"/>
                  <w:tcBorders>
                    <w:tl2br w:val="nil"/>
                    <w:tr2bl w:val="nil"/>
                  </w:tcBorders>
                  <w:noWrap w:val="0"/>
                  <w:vAlign w:val="center"/>
                </w:tcPr>
                <w:p w14:paraId="4325FD8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市政天然气网</w:t>
                  </w:r>
                </w:p>
              </w:tc>
              <w:tc>
                <w:tcPr>
                  <w:tcW w:w="968" w:type="pct"/>
                  <w:tcBorders>
                    <w:tl2br w:val="nil"/>
                    <w:tr2bl w:val="nil"/>
                  </w:tcBorders>
                  <w:noWrap w:val="0"/>
                  <w:vAlign w:val="center"/>
                </w:tcPr>
                <w:p w14:paraId="14E69C4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bl>
          <w:p w14:paraId="36F2054A">
            <w:pPr>
              <w:adjustRightInd w:val="0"/>
              <w:snapToGrid w:val="0"/>
              <w:spacing w:line="360" w:lineRule="auto"/>
              <w:ind w:firstLine="480" w:firstLineChars="200"/>
              <w:jc w:val="left"/>
              <w:rPr>
                <w:rFonts w:hint="default" w:ascii="Times New Roman" w:hAnsi="Times New Roman" w:eastAsia="宋体" w:cs="Times New Roman"/>
                <w:bCs/>
                <w:color w:val="auto"/>
                <w:kern w:val="2"/>
                <w:sz w:val="24"/>
                <w:szCs w:val="24"/>
                <w:highlight w:val="none"/>
                <w:lang w:val="en-US" w:eastAsia="zh-CN" w:bidi="ar"/>
              </w:rPr>
            </w:pPr>
            <w:r>
              <w:rPr>
                <w:rFonts w:hint="default" w:ascii="Times New Roman" w:hAnsi="Times New Roman" w:cs="Times New Roman"/>
                <w:b w:val="0"/>
                <w:bCs/>
                <w:color w:val="auto"/>
                <w:sz w:val="24"/>
                <w:szCs w:val="24"/>
                <w:highlight w:val="none"/>
                <w:lang w:val="en-US" w:eastAsia="zh-CN"/>
              </w:rPr>
              <w:t>备</w:t>
            </w:r>
            <w:r>
              <w:rPr>
                <w:rFonts w:hint="default" w:ascii="Times New Roman" w:hAnsi="Times New Roman" w:eastAsia="宋体" w:cs="Times New Roman"/>
                <w:bCs/>
                <w:color w:val="auto"/>
                <w:kern w:val="2"/>
                <w:sz w:val="24"/>
                <w:szCs w:val="24"/>
                <w:highlight w:val="none"/>
                <w:lang w:val="en-US" w:eastAsia="zh-CN" w:bidi="ar"/>
              </w:rPr>
              <w:t>注：有机硅灌封胶分为A/B胶，使用时需AB胶混合，A胶主要成分：乙烯基聚二甲基硅氧烷（有机硅基础树脂）：30-50%，三氧化二铝：40-60%，结晶二氧化硅：5-15%，铂催化剂：0.1%；B胶主要成分：含氢聚二甲基硅氧烷：25-45%，三氧化二铝：40-60%，结晶二氧化硅：5-15%，炔醇类反应抑制剂：1%；混合胶主要成分：有机硅聚合物基体：30-40%，氧化铝导热填料：45-55%，结晶二氧化硅6-12%。</w:t>
            </w:r>
          </w:p>
          <w:p w14:paraId="09626CFE">
            <w:pPr>
              <w:adjustRightInd w:val="0"/>
              <w:snapToGrid w:val="0"/>
              <w:spacing w:line="360" w:lineRule="auto"/>
              <w:jc w:val="lef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6</w:t>
            </w:r>
            <w:r>
              <w:rPr>
                <w:rFonts w:hint="default" w:ascii="Times New Roman" w:hAnsi="Times New Roman" w:cs="Times New Roman"/>
                <w:b/>
                <w:color w:val="auto"/>
                <w:sz w:val="24"/>
                <w:szCs w:val="24"/>
                <w:highlight w:val="none"/>
              </w:rPr>
              <w:t>、主要生产设备</w:t>
            </w:r>
          </w:p>
          <w:p w14:paraId="009979C7">
            <w:pPr>
              <w:pStyle w:val="46"/>
              <w:widowControl/>
              <w:adjustRightInd/>
              <w:spacing w:line="360" w:lineRule="auto"/>
              <w:ind w:firstLine="480" w:firstLineChars="200"/>
              <w:rPr>
                <w:rFonts w:hint="default" w:ascii="Times New Roman" w:hAnsi="Times New Roman" w:cs="Times New Roman"/>
                <w:bCs/>
                <w:color w:val="auto"/>
                <w:kern w:val="2"/>
                <w:sz w:val="24"/>
                <w:szCs w:val="24"/>
                <w:highlight w:val="none"/>
              </w:rPr>
            </w:pPr>
            <w:r>
              <w:rPr>
                <w:rFonts w:hint="default" w:ascii="Times New Roman" w:hAnsi="Times New Roman" w:cs="Times New Roman"/>
                <w:bCs/>
                <w:color w:val="auto"/>
                <w:kern w:val="2"/>
                <w:sz w:val="24"/>
                <w:szCs w:val="24"/>
                <w:highlight w:val="none"/>
              </w:rPr>
              <w:t>项目主要生产设备见表2-</w:t>
            </w:r>
            <w:r>
              <w:rPr>
                <w:rFonts w:hint="default" w:ascii="Times New Roman" w:hAnsi="Times New Roman" w:cs="Times New Roman"/>
                <w:bCs/>
                <w:color w:val="auto"/>
                <w:kern w:val="2"/>
                <w:sz w:val="24"/>
                <w:szCs w:val="24"/>
                <w:highlight w:val="none"/>
                <w:lang w:val="en-US" w:eastAsia="zh-CN"/>
              </w:rPr>
              <w:t>4</w:t>
            </w:r>
            <w:r>
              <w:rPr>
                <w:rFonts w:hint="default" w:ascii="Times New Roman" w:hAnsi="Times New Roman" w:cs="Times New Roman"/>
                <w:bCs/>
                <w:color w:val="auto"/>
                <w:kern w:val="2"/>
                <w:sz w:val="24"/>
                <w:szCs w:val="24"/>
                <w:highlight w:val="none"/>
              </w:rPr>
              <w:t>。</w:t>
            </w:r>
          </w:p>
          <w:p w14:paraId="47CF8B59">
            <w:pPr>
              <w:pStyle w:val="46"/>
              <w:widowControl/>
              <w:adjustRightIn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表2-</w:t>
            </w:r>
            <w:r>
              <w:rPr>
                <w:rFonts w:hint="default" w:ascii="Times New Roman" w:hAnsi="Times New Roman" w:cs="Times New Roman"/>
                <w:b/>
                <w:color w:val="auto"/>
                <w:sz w:val="21"/>
                <w:szCs w:val="21"/>
                <w:highlight w:val="none"/>
                <w:lang w:val="en-US" w:eastAsia="zh-CN"/>
              </w:rPr>
              <w:t>4</w:t>
            </w:r>
            <w:r>
              <w:rPr>
                <w:rFonts w:hint="default" w:ascii="Times New Roman" w:hAnsi="Times New Roman" w:cs="Times New Roman"/>
                <w:b/>
                <w:color w:val="auto"/>
                <w:sz w:val="21"/>
                <w:szCs w:val="21"/>
                <w:highlight w:val="none"/>
              </w:rPr>
              <w:t xml:space="preserve">   项目主要生产设备一览表</w:t>
            </w:r>
          </w:p>
          <w:tbl>
            <w:tblPr>
              <w:tblStyle w:val="29"/>
              <w:tblW w:w="4998"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507"/>
              <w:gridCol w:w="1373"/>
              <w:gridCol w:w="969"/>
              <w:gridCol w:w="1035"/>
              <w:gridCol w:w="1912"/>
            </w:tblGrid>
            <w:tr w14:paraId="50B29D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416B9F63">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序号</w:t>
                  </w:r>
                </w:p>
              </w:tc>
              <w:tc>
                <w:tcPr>
                  <w:tcW w:w="1459" w:type="pct"/>
                  <w:tcBorders>
                    <w:tl2br w:val="nil"/>
                    <w:tr2bl w:val="nil"/>
                  </w:tcBorders>
                  <w:vAlign w:val="center"/>
                </w:tcPr>
                <w:p w14:paraId="0EE5A86B">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名称</w:t>
                  </w:r>
                </w:p>
              </w:tc>
              <w:tc>
                <w:tcPr>
                  <w:tcW w:w="799" w:type="pct"/>
                  <w:tcBorders>
                    <w:tl2br w:val="nil"/>
                    <w:tr2bl w:val="nil"/>
                  </w:tcBorders>
                  <w:vAlign w:val="center"/>
                </w:tcPr>
                <w:p w14:paraId="6497AF78">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型号</w:t>
                  </w:r>
                </w:p>
              </w:tc>
              <w:tc>
                <w:tcPr>
                  <w:tcW w:w="564" w:type="pct"/>
                  <w:tcBorders>
                    <w:tl2br w:val="nil"/>
                    <w:tr2bl w:val="nil"/>
                  </w:tcBorders>
                  <w:vAlign w:val="center"/>
                </w:tcPr>
                <w:p w14:paraId="1FFE3AE7">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数量</w:t>
                  </w:r>
                </w:p>
              </w:tc>
              <w:tc>
                <w:tcPr>
                  <w:tcW w:w="602" w:type="pct"/>
                  <w:tcBorders>
                    <w:tl2br w:val="nil"/>
                    <w:tr2bl w:val="nil"/>
                  </w:tcBorders>
                  <w:vAlign w:val="center"/>
                </w:tcPr>
                <w:p w14:paraId="0E4CCEEC">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单位</w:t>
                  </w:r>
                </w:p>
              </w:tc>
              <w:tc>
                <w:tcPr>
                  <w:tcW w:w="1112" w:type="pct"/>
                  <w:tcBorders>
                    <w:tl2br w:val="nil"/>
                    <w:tr2bl w:val="nil"/>
                  </w:tcBorders>
                  <w:vAlign w:val="center"/>
                </w:tcPr>
                <w:p w14:paraId="4956CA56">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用途</w:t>
                  </w:r>
                </w:p>
              </w:tc>
            </w:tr>
            <w:tr w14:paraId="7E9F68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3E2F926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w:t>
                  </w:r>
                </w:p>
              </w:tc>
              <w:tc>
                <w:tcPr>
                  <w:tcW w:w="1459" w:type="pct"/>
                  <w:tcBorders>
                    <w:tl2br w:val="nil"/>
                    <w:tr2bl w:val="nil"/>
                  </w:tcBorders>
                  <w:vAlign w:val="center"/>
                </w:tcPr>
                <w:p w14:paraId="43E52EFF">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焊接设备（焊台）</w:t>
                  </w:r>
                </w:p>
              </w:tc>
              <w:tc>
                <w:tcPr>
                  <w:tcW w:w="799" w:type="pct"/>
                  <w:tcBorders>
                    <w:tl2br w:val="nil"/>
                    <w:tr2bl w:val="nil"/>
                  </w:tcBorders>
                  <w:vAlign w:val="center"/>
                </w:tcPr>
                <w:p w14:paraId="29F2128B">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564" w:type="pct"/>
                  <w:tcBorders>
                    <w:tl2br w:val="nil"/>
                    <w:tr2bl w:val="nil"/>
                  </w:tcBorders>
                  <w:vAlign w:val="center"/>
                </w:tcPr>
                <w:p w14:paraId="5166597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350</w:t>
                  </w:r>
                </w:p>
              </w:tc>
              <w:tc>
                <w:tcPr>
                  <w:tcW w:w="602" w:type="pct"/>
                  <w:tcBorders>
                    <w:tl2br w:val="nil"/>
                    <w:tr2bl w:val="nil"/>
                  </w:tcBorders>
                  <w:vAlign w:val="center"/>
                </w:tcPr>
                <w:p w14:paraId="78CDFAA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台</w:t>
                  </w:r>
                </w:p>
              </w:tc>
              <w:tc>
                <w:tcPr>
                  <w:tcW w:w="1112" w:type="pct"/>
                  <w:tcBorders>
                    <w:tl2br w:val="nil"/>
                    <w:tr2bl w:val="nil"/>
                  </w:tcBorders>
                  <w:vAlign w:val="center"/>
                </w:tcPr>
                <w:p w14:paraId="49099CE7">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焊接</w:t>
                  </w:r>
                </w:p>
              </w:tc>
            </w:tr>
            <w:tr w14:paraId="32A70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14E794A7">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w:t>
                  </w:r>
                </w:p>
              </w:tc>
              <w:tc>
                <w:tcPr>
                  <w:tcW w:w="1459" w:type="pct"/>
                  <w:tcBorders>
                    <w:tl2br w:val="nil"/>
                    <w:tr2bl w:val="nil"/>
                  </w:tcBorders>
                  <w:vAlign w:val="center"/>
                </w:tcPr>
                <w:p w14:paraId="5A3FA11D">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贴片机</w:t>
                  </w:r>
                </w:p>
              </w:tc>
              <w:tc>
                <w:tcPr>
                  <w:tcW w:w="799" w:type="pct"/>
                  <w:tcBorders>
                    <w:tl2br w:val="nil"/>
                    <w:tr2bl w:val="nil"/>
                  </w:tcBorders>
                  <w:vAlign w:val="center"/>
                </w:tcPr>
                <w:p w14:paraId="78377E8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YSM10</w:t>
                  </w:r>
                </w:p>
              </w:tc>
              <w:tc>
                <w:tcPr>
                  <w:tcW w:w="564" w:type="pct"/>
                  <w:tcBorders>
                    <w:tl2br w:val="nil"/>
                    <w:tr2bl w:val="nil"/>
                  </w:tcBorders>
                  <w:vAlign w:val="center"/>
                </w:tcPr>
                <w:p w14:paraId="2300EF9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w:t>
                  </w:r>
                </w:p>
              </w:tc>
              <w:tc>
                <w:tcPr>
                  <w:tcW w:w="602" w:type="pct"/>
                  <w:tcBorders>
                    <w:tl2br w:val="nil"/>
                    <w:tr2bl w:val="nil"/>
                  </w:tcBorders>
                  <w:vAlign w:val="center"/>
                </w:tcPr>
                <w:p w14:paraId="23C01453">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74408B39">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焊接</w:t>
                  </w:r>
                </w:p>
              </w:tc>
            </w:tr>
            <w:tr w14:paraId="5C418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12D6440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w:t>
                  </w:r>
                </w:p>
              </w:tc>
              <w:tc>
                <w:tcPr>
                  <w:tcW w:w="1459" w:type="pct"/>
                  <w:tcBorders>
                    <w:tl2br w:val="nil"/>
                    <w:tr2bl w:val="nil"/>
                  </w:tcBorders>
                  <w:vAlign w:val="center"/>
                </w:tcPr>
                <w:p w14:paraId="4722D01E">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贴片机</w:t>
                  </w:r>
                </w:p>
              </w:tc>
              <w:tc>
                <w:tcPr>
                  <w:tcW w:w="799" w:type="pct"/>
                  <w:tcBorders>
                    <w:tl2br w:val="nil"/>
                    <w:tr2bl w:val="nil"/>
                  </w:tcBorders>
                  <w:vAlign w:val="center"/>
                </w:tcPr>
                <w:p w14:paraId="0D21426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YSM20R</w:t>
                  </w:r>
                </w:p>
              </w:tc>
              <w:tc>
                <w:tcPr>
                  <w:tcW w:w="564" w:type="pct"/>
                  <w:tcBorders>
                    <w:tl2br w:val="nil"/>
                    <w:tr2bl w:val="nil"/>
                  </w:tcBorders>
                  <w:vAlign w:val="center"/>
                </w:tcPr>
                <w:p w14:paraId="558C7AF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w:t>
                  </w:r>
                </w:p>
              </w:tc>
              <w:tc>
                <w:tcPr>
                  <w:tcW w:w="602" w:type="pct"/>
                  <w:tcBorders>
                    <w:tl2br w:val="nil"/>
                    <w:tr2bl w:val="nil"/>
                  </w:tcBorders>
                  <w:vAlign w:val="center"/>
                </w:tcPr>
                <w:p w14:paraId="711805ED">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0600AC43">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焊接</w:t>
                  </w:r>
                </w:p>
              </w:tc>
            </w:tr>
            <w:tr w14:paraId="445924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6F2189C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p>
              </w:tc>
              <w:tc>
                <w:tcPr>
                  <w:tcW w:w="1459" w:type="pct"/>
                  <w:tcBorders>
                    <w:tl2br w:val="nil"/>
                    <w:tr2bl w:val="nil"/>
                  </w:tcBorders>
                  <w:vAlign w:val="center"/>
                </w:tcPr>
                <w:p w14:paraId="69FF74C0">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送板机</w:t>
                  </w:r>
                </w:p>
              </w:tc>
              <w:tc>
                <w:tcPr>
                  <w:tcW w:w="799" w:type="pct"/>
                  <w:tcBorders>
                    <w:tl2br w:val="nil"/>
                    <w:tr2bl w:val="nil"/>
                  </w:tcBorders>
                  <w:vAlign w:val="center"/>
                </w:tcPr>
                <w:p w14:paraId="6FDD73DB">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564" w:type="pct"/>
                  <w:tcBorders>
                    <w:tl2br w:val="nil"/>
                    <w:tr2bl w:val="nil"/>
                  </w:tcBorders>
                  <w:vAlign w:val="center"/>
                </w:tcPr>
                <w:p w14:paraId="72704CB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p>
              </w:tc>
              <w:tc>
                <w:tcPr>
                  <w:tcW w:w="602" w:type="pct"/>
                  <w:tcBorders>
                    <w:tl2br w:val="nil"/>
                    <w:tr2bl w:val="nil"/>
                  </w:tcBorders>
                  <w:vAlign w:val="center"/>
                </w:tcPr>
                <w:p w14:paraId="78124B14">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1793AC32">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送料</w:t>
                  </w:r>
                </w:p>
              </w:tc>
            </w:tr>
            <w:tr w14:paraId="5DC098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7E098F1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w:t>
                  </w:r>
                </w:p>
              </w:tc>
              <w:tc>
                <w:tcPr>
                  <w:tcW w:w="1459" w:type="pct"/>
                  <w:tcBorders>
                    <w:tl2br w:val="nil"/>
                    <w:tr2bl w:val="nil"/>
                  </w:tcBorders>
                  <w:vAlign w:val="center"/>
                </w:tcPr>
                <w:p w14:paraId="3B40CA95">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接驳台</w:t>
                  </w:r>
                </w:p>
              </w:tc>
              <w:tc>
                <w:tcPr>
                  <w:tcW w:w="799" w:type="pct"/>
                  <w:tcBorders>
                    <w:tl2br w:val="nil"/>
                    <w:tr2bl w:val="nil"/>
                  </w:tcBorders>
                  <w:vAlign w:val="center"/>
                </w:tcPr>
                <w:p w14:paraId="652664B4">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564" w:type="pct"/>
                  <w:tcBorders>
                    <w:tl2br w:val="nil"/>
                    <w:tr2bl w:val="nil"/>
                  </w:tcBorders>
                  <w:vAlign w:val="center"/>
                </w:tcPr>
                <w:p w14:paraId="3A0D099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p>
              </w:tc>
              <w:tc>
                <w:tcPr>
                  <w:tcW w:w="602" w:type="pct"/>
                  <w:tcBorders>
                    <w:tl2br w:val="nil"/>
                    <w:tr2bl w:val="nil"/>
                  </w:tcBorders>
                  <w:vAlign w:val="center"/>
                </w:tcPr>
                <w:p w14:paraId="594DE8F4">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0CF7F4C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送料</w:t>
                  </w:r>
                </w:p>
              </w:tc>
            </w:tr>
            <w:tr w14:paraId="34BA99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78A2062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w:t>
                  </w:r>
                </w:p>
              </w:tc>
              <w:tc>
                <w:tcPr>
                  <w:tcW w:w="1459" w:type="pct"/>
                  <w:tcBorders>
                    <w:tl2br w:val="nil"/>
                    <w:tr2bl w:val="nil"/>
                  </w:tcBorders>
                  <w:vAlign w:val="center"/>
                </w:tcPr>
                <w:p w14:paraId="2736EC1D">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超声波清洗机</w:t>
                  </w:r>
                </w:p>
              </w:tc>
              <w:tc>
                <w:tcPr>
                  <w:tcW w:w="799" w:type="pct"/>
                  <w:tcBorders>
                    <w:tl2br w:val="nil"/>
                    <w:tr2bl w:val="nil"/>
                  </w:tcBorders>
                  <w:vAlign w:val="center"/>
                </w:tcPr>
                <w:p w14:paraId="13A1949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G-100S</w:t>
                  </w:r>
                </w:p>
              </w:tc>
              <w:tc>
                <w:tcPr>
                  <w:tcW w:w="564" w:type="pct"/>
                  <w:tcBorders>
                    <w:tl2br w:val="nil"/>
                    <w:tr2bl w:val="nil"/>
                  </w:tcBorders>
                  <w:vAlign w:val="center"/>
                </w:tcPr>
                <w:p w14:paraId="6AD8E59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w:t>
                  </w:r>
                </w:p>
              </w:tc>
              <w:tc>
                <w:tcPr>
                  <w:tcW w:w="602" w:type="pct"/>
                  <w:tcBorders>
                    <w:tl2br w:val="nil"/>
                    <w:tr2bl w:val="nil"/>
                  </w:tcBorders>
                  <w:vAlign w:val="center"/>
                </w:tcPr>
                <w:p w14:paraId="68C6E34C">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5E15C4B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清洗</w:t>
                  </w:r>
                </w:p>
              </w:tc>
            </w:tr>
            <w:tr w14:paraId="17D0A3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1E9F2662">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7</w:t>
                  </w:r>
                </w:p>
              </w:tc>
              <w:tc>
                <w:tcPr>
                  <w:tcW w:w="1459" w:type="pct"/>
                  <w:tcBorders>
                    <w:tl2br w:val="nil"/>
                    <w:tr2bl w:val="nil"/>
                  </w:tcBorders>
                  <w:vAlign w:val="center"/>
                </w:tcPr>
                <w:p w14:paraId="7A19526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超声波清洗机</w:t>
                  </w:r>
                </w:p>
              </w:tc>
              <w:tc>
                <w:tcPr>
                  <w:tcW w:w="799" w:type="pct"/>
                  <w:tcBorders>
                    <w:tl2br w:val="nil"/>
                    <w:tr2bl w:val="nil"/>
                  </w:tcBorders>
                  <w:vAlign w:val="center"/>
                </w:tcPr>
                <w:p w14:paraId="10D2B31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G-030S</w:t>
                  </w:r>
                </w:p>
              </w:tc>
              <w:tc>
                <w:tcPr>
                  <w:tcW w:w="564" w:type="pct"/>
                  <w:tcBorders>
                    <w:tl2br w:val="nil"/>
                    <w:tr2bl w:val="nil"/>
                  </w:tcBorders>
                  <w:vAlign w:val="center"/>
                </w:tcPr>
                <w:p w14:paraId="30326F25">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w:t>
                  </w:r>
                </w:p>
              </w:tc>
              <w:tc>
                <w:tcPr>
                  <w:tcW w:w="602" w:type="pct"/>
                  <w:tcBorders>
                    <w:tl2br w:val="nil"/>
                    <w:tr2bl w:val="nil"/>
                  </w:tcBorders>
                  <w:vAlign w:val="center"/>
                </w:tcPr>
                <w:p w14:paraId="69D72D9B">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67C6B2D8">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清洗</w:t>
                  </w:r>
                </w:p>
              </w:tc>
            </w:tr>
            <w:tr w14:paraId="54BF78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01122B1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8</w:t>
                  </w:r>
                </w:p>
              </w:tc>
              <w:tc>
                <w:tcPr>
                  <w:tcW w:w="1459" w:type="pct"/>
                  <w:tcBorders>
                    <w:tl2br w:val="nil"/>
                    <w:tr2bl w:val="nil"/>
                  </w:tcBorders>
                  <w:vAlign w:val="center"/>
                </w:tcPr>
                <w:p w14:paraId="36B1623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灌封设备</w:t>
                  </w:r>
                </w:p>
              </w:tc>
              <w:tc>
                <w:tcPr>
                  <w:tcW w:w="799" w:type="pct"/>
                  <w:tcBorders>
                    <w:tl2br w:val="nil"/>
                    <w:tr2bl w:val="nil"/>
                  </w:tcBorders>
                  <w:vAlign w:val="center"/>
                </w:tcPr>
                <w:p w14:paraId="74ACCDB9">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564" w:type="pct"/>
                  <w:tcBorders>
                    <w:tl2br w:val="nil"/>
                    <w:tr2bl w:val="nil"/>
                  </w:tcBorders>
                  <w:vAlign w:val="center"/>
                </w:tcPr>
                <w:p w14:paraId="5E8C9B82">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w:t>
                  </w:r>
                </w:p>
              </w:tc>
              <w:tc>
                <w:tcPr>
                  <w:tcW w:w="602" w:type="pct"/>
                  <w:tcBorders>
                    <w:tl2br w:val="nil"/>
                    <w:tr2bl w:val="nil"/>
                  </w:tcBorders>
                  <w:vAlign w:val="center"/>
                </w:tcPr>
                <w:p w14:paraId="1344AAB2">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套</w:t>
                  </w:r>
                </w:p>
              </w:tc>
              <w:tc>
                <w:tcPr>
                  <w:tcW w:w="1112" w:type="pct"/>
                  <w:tcBorders>
                    <w:tl2br w:val="nil"/>
                    <w:tr2bl w:val="nil"/>
                  </w:tcBorders>
                  <w:vAlign w:val="center"/>
                </w:tcPr>
                <w:p w14:paraId="7F31A53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灌封</w:t>
                  </w:r>
                </w:p>
              </w:tc>
            </w:tr>
            <w:tr w14:paraId="1CC1F3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4BE441A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9</w:t>
                  </w:r>
                </w:p>
              </w:tc>
              <w:tc>
                <w:tcPr>
                  <w:tcW w:w="1459" w:type="pct"/>
                  <w:tcBorders>
                    <w:tl2br w:val="nil"/>
                    <w:tr2bl w:val="nil"/>
                  </w:tcBorders>
                  <w:vAlign w:val="center"/>
                </w:tcPr>
                <w:p w14:paraId="163231AE">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烘箱</w:t>
                  </w:r>
                </w:p>
              </w:tc>
              <w:tc>
                <w:tcPr>
                  <w:tcW w:w="799" w:type="pct"/>
                  <w:tcBorders>
                    <w:tl2br w:val="nil"/>
                    <w:tr2bl w:val="nil"/>
                  </w:tcBorders>
                  <w:vAlign w:val="center"/>
                </w:tcPr>
                <w:p w14:paraId="4FA9F515">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w:t>
                  </w:r>
                </w:p>
              </w:tc>
              <w:tc>
                <w:tcPr>
                  <w:tcW w:w="564" w:type="pct"/>
                  <w:tcBorders>
                    <w:tl2br w:val="nil"/>
                    <w:tr2bl w:val="nil"/>
                  </w:tcBorders>
                  <w:vAlign w:val="center"/>
                </w:tcPr>
                <w:p w14:paraId="20DAE373">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w:t>
                  </w:r>
                </w:p>
              </w:tc>
              <w:tc>
                <w:tcPr>
                  <w:tcW w:w="602" w:type="pct"/>
                  <w:tcBorders>
                    <w:tl2br w:val="nil"/>
                    <w:tr2bl w:val="nil"/>
                  </w:tcBorders>
                  <w:vAlign w:val="center"/>
                </w:tcPr>
                <w:p w14:paraId="1C635EDF">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套</w:t>
                  </w:r>
                </w:p>
              </w:tc>
              <w:tc>
                <w:tcPr>
                  <w:tcW w:w="1112" w:type="pct"/>
                  <w:tcBorders>
                    <w:tl2br w:val="nil"/>
                    <w:tr2bl w:val="nil"/>
                  </w:tcBorders>
                  <w:vAlign w:val="center"/>
                </w:tcPr>
                <w:p w14:paraId="13D38FB9">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烘干</w:t>
                  </w:r>
                </w:p>
              </w:tc>
            </w:tr>
            <w:tr w14:paraId="2CC8E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18FF6B7A">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w:t>
                  </w:r>
                </w:p>
              </w:tc>
              <w:tc>
                <w:tcPr>
                  <w:tcW w:w="1459" w:type="pct"/>
                  <w:tcBorders>
                    <w:tl2br w:val="nil"/>
                    <w:tr2bl w:val="nil"/>
                  </w:tcBorders>
                  <w:vAlign w:val="center"/>
                </w:tcPr>
                <w:p w14:paraId="3E86933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空气压缩机</w:t>
                  </w:r>
                </w:p>
              </w:tc>
              <w:tc>
                <w:tcPr>
                  <w:tcW w:w="799" w:type="pct"/>
                  <w:tcBorders>
                    <w:tl2br w:val="nil"/>
                    <w:tr2bl w:val="nil"/>
                  </w:tcBorders>
                  <w:vAlign w:val="center"/>
                </w:tcPr>
                <w:p w14:paraId="57FAEF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50kW</w:t>
                  </w:r>
                </w:p>
              </w:tc>
              <w:tc>
                <w:tcPr>
                  <w:tcW w:w="564" w:type="pct"/>
                  <w:tcBorders>
                    <w:tl2br w:val="nil"/>
                    <w:tr2bl w:val="nil"/>
                  </w:tcBorders>
                  <w:vAlign w:val="center"/>
                </w:tcPr>
                <w:p w14:paraId="551B54F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2</w:t>
                  </w:r>
                </w:p>
              </w:tc>
              <w:tc>
                <w:tcPr>
                  <w:tcW w:w="602" w:type="pct"/>
                  <w:tcBorders>
                    <w:tl2br w:val="nil"/>
                    <w:tr2bl w:val="nil"/>
                  </w:tcBorders>
                  <w:vAlign w:val="center"/>
                </w:tcPr>
                <w:p w14:paraId="36F0A84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台</w:t>
                  </w:r>
                </w:p>
              </w:tc>
              <w:tc>
                <w:tcPr>
                  <w:tcW w:w="1112" w:type="pct"/>
                  <w:tcBorders>
                    <w:tl2br w:val="nil"/>
                    <w:tr2bl w:val="nil"/>
                  </w:tcBorders>
                  <w:vAlign w:val="center"/>
                </w:tcPr>
                <w:p w14:paraId="7BC9651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辅助设备</w:t>
                  </w:r>
                </w:p>
              </w:tc>
            </w:tr>
            <w:tr w14:paraId="3D630E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5F6460F7">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11</w:t>
                  </w:r>
                </w:p>
              </w:tc>
              <w:tc>
                <w:tcPr>
                  <w:tcW w:w="1459" w:type="pct"/>
                  <w:tcBorders>
                    <w:tl2br w:val="nil"/>
                    <w:tr2bl w:val="nil"/>
                  </w:tcBorders>
                  <w:vAlign w:val="center"/>
                </w:tcPr>
                <w:p w14:paraId="4A48E3FF">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FLUKE测试仪</w:t>
                  </w:r>
                </w:p>
              </w:tc>
              <w:tc>
                <w:tcPr>
                  <w:tcW w:w="799" w:type="pct"/>
                  <w:tcBorders>
                    <w:tl2br w:val="nil"/>
                    <w:tr2bl w:val="nil"/>
                  </w:tcBorders>
                  <w:vAlign w:val="center"/>
                </w:tcPr>
                <w:p w14:paraId="60C08469">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8588A-LEAD</w:t>
                  </w:r>
                </w:p>
              </w:tc>
              <w:tc>
                <w:tcPr>
                  <w:tcW w:w="564" w:type="pct"/>
                  <w:tcBorders>
                    <w:tl2br w:val="nil"/>
                    <w:tr2bl w:val="nil"/>
                  </w:tcBorders>
                  <w:vAlign w:val="center"/>
                </w:tcPr>
                <w:p w14:paraId="0186D991">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w:t>
                  </w:r>
                </w:p>
              </w:tc>
              <w:tc>
                <w:tcPr>
                  <w:tcW w:w="602" w:type="pct"/>
                  <w:tcBorders>
                    <w:tl2br w:val="nil"/>
                    <w:tr2bl w:val="nil"/>
                  </w:tcBorders>
                  <w:vAlign w:val="center"/>
                </w:tcPr>
                <w:p w14:paraId="7D0B47C4">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02A8FA7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测试</w:t>
                  </w:r>
                </w:p>
              </w:tc>
            </w:tr>
            <w:tr w14:paraId="3D4C6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4C736B95">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1459" w:type="pct"/>
                  <w:tcBorders>
                    <w:tl2br w:val="nil"/>
                    <w:tr2bl w:val="nil"/>
                  </w:tcBorders>
                  <w:vAlign w:val="center"/>
                </w:tcPr>
                <w:p w14:paraId="3C600396">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FLUKE测试仪</w:t>
                  </w:r>
                </w:p>
              </w:tc>
              <w:tc>
                <w:tcPr>
                  <w:tcW w:w="799" w:type="pct"/>
                  <w:tcBorders>
                    <w:tl2br w:val="nil"/>
                    <w:tr2bl w:val="nil"/>
                  </w:tcBorders>
                  <w:vAlign w:val="center"/>
                </w:tcPr>
                <w:p w14:paraId="259AAB67">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FLUKE-115C</w:t>
                  </w:r>
                </w:p>
              </w:tc>
              <w:tc>
                <w:tcPr>
                  <w:tcW w:w="564" w:type="pct"/>
                  <w:tcBorders>
                    <w:tl2br w:val="nil"/>
                    <w:tr2bl w:val="nil"/>
                  </w:tcBorders>
                  <w:vAlign w:val="center"/>
                </w:tcPr>
                <w:p w14:paraId="12098E59">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10</w:t>
                  </w:r>
                </w:p>
              </w:tc>
              <w:tc>
                <w:tcPr>
                  <w:tcW w:w="602" w:type="pct"/>
                  <w:tcBorders>
                    <w:tl2br w:val="nil"/>
                    <w:tr2bl w:val="nil"/>
                  </w:tcBorders>
                  <w:vAlign w:val="center"/>
                </w:tcPr>
                <w:p w14:paraId="754A5B93">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501528E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测试</w:t>
                  </w:r>
                </w:p>
              </w:tc>
            </w:tr>
            <w:tr w14:paraId="52C92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233F7FF1">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13</w:t>
                  </w:r>
                </w:p>
              </w:tc>
              <w:tc>
                <w:tcPr>
                  <w:tcW w:w="1459" w:type="pct"/>
                  <w:tcBorders>
                    <w:tl2br w:val="nil"/>
                    <w:tr2bl w:val="nil"/>
                  </w:tcBorders>
                  <w:vAlign w:val="center"/>
                </w:tcPr>
                <w:p w14:paraId="7D0A2DF0">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FLUKE测试仪</w:t>
                  </w:r>
                </w:p>
              </w:tc>
              <w:tc>
                <w:tcPr>
                  <w:tcW w:w="799" w:type="pct"/>
                  <w:tcBorders>
                    <w:tl2br w:val="nil"/>
                    <w:tr2bl w:val="nil"/>
                  </w:tcBorders>
                  <w:vAlign w:val="center"/>
                </w:tcPr>
                <w:p w14:paraId="020EB5DC">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8588A</w:t>
                  </w:r>
                </w:p>
              </w:tc>
              <w:tc>
                <w:tcPr>
                  <w:tcW w:w="564" w:type="pct"/>
                  <w:tcBorders>
                    <w:tl2br w:val="nil"/>
                    <w:tr2bl w:val="nil"/>
                  </w:tcBorders>
                  <w:vAlign w:val="center"/>
                </w:tcPr>
                <w:p w14:paraId="57EA303D">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w:t>
                  </w:r>
                </w:p>
              </w:tc>
              <w:tc>
                <w:tcPr>
                  <w:tcW w:w="602" w:type="pct"/>
                  <w:tcBorders>
                    <w:tl2br w:val="nil"/>
                    <w:tr2bl w:val="nil"/>
                  </w:tcBorders>
                  <w:vAlign w:val="center"/>
                </w:tcPr>
                <w:p w14:paraId="0D8F7786">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1DF1961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老化测试</w:t>
                  </w:r>
                </w:p>
              </w:tc>
            </w:tr>
            <w:tr w14:paraId="171192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41673DD7">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14</w:t>
                  </w:r>
                </w:p>
              </w:tc>
              <w:tc>
                <w:tcPr>
                  <w:tcW w:w="1459" w:type="pct"/>
                  <w:tcBorders>
                    <w:tl2br w:val="nil"/>
                    <w:tr2bl w:val="nil"/>
                  </w:tcBorders>
                  <w:vAlign w:val="center"/>
                </w:tcPr>
                <w:p w14:paraId="52D7C736">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混合信号数字荧光示波器</w:t>
                  </w:r>
                </w:p>
              </w:tc>
              <w:tc>
                <w:tcPr>
                  <w:tcW w:w="799" w:type="pct"/>
                  <w:tcBorders>
                    <w:tl2br w:val="nil"/>
                    <w:tr2bl w:val="nil"/>
                  </w:tcBorders>
                  <w:vAlign w:val="center"/>
                </w:tcPr>
                <w:p w14:paraId="543CF7DC">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MSO3054HD</w:t>
                  </w:r>
                </w:p>
              </w:tc>
              <w:tc>
                <w:tcPr>
                  <w:tcW w:w="564" w:type="pct"/>
                  <w:tcBorders>
                    <w:tl2br w:val="nil"/>
                    <w:tr2bl w:val="nil"/>
                  </w:tcBorders>
                  <w:vAlign w:val="center"/>
                </w:tcPr>
                <w:p w14:paraId="0EDDE198">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602" w:type="pct"/>
                  <w:tcBorders>
                    <w:tl2br w:val="nil"/>
                    <w:tr2bl w:val="nil"/>
                  </w:tcBorders>
                  <w:vAlign w:val="center"/>
                </w:tcPr>
                <w:p w14:paraId="60FF6FC7">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23635F9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测试</w:t>
                  </w:r>
                </w:p>
              </w:tc>
            </w:tr>
            <w:tr w14:paraId="4470B7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3EA56EA9">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1459" w:type="pct"/>
                  <w:tcBorders>
                    <w:tl2br w:val="nil"/>
                    <w:tr2bl w:val="nil"/>
                  </w:tcBorders>
                  <w:vAlign w:val="center"/>
                </w:tcPr>
                <w:p w14:paraId="5DB3E0F7">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函数发生器</w:t>
                  </w:r>
                </w:p>
              </w:tc>
              <w:tc>
                <w:tcPr>
                  <w:tcW w:w="799" w:type="pct"/>
                  <w:tcBorders>
                    <w:tl2br w:val="nil"/>
                    <w:tr2bl w:val="nil"/>
                  </w:tcBorders>
                  <w:vAlign w:val="center"/>
                </w:tcPr>
                <w:p w14:paraId="11F2C6BE">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FG33532A</w:t>
                  </w:r>
                </w:p>
              </w:tc>
              <w:tc>
                <w:tcPr>
                  <w:tcW w:w="564" w:type="pct"/>
                  <w:tcBorders>
                    <w:tl2br w:val="nil"/>
                    <w:tr2bl w:val="nil"/>
                  </w:tcBorders>
                  <w:vAlign w:val="center"/>
                </w:tcPr>
                <w:p w14:paraId="660D9868">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10</w:t>
                  </w:r>
                </w:p>
              </w:tc>
              <w:tc>
                <w:tcPr>
                  <w:tcW w:w="602" w:type="pct"/>
                  <w:tcBorders>
                    <w:tl2br w:val="nil"/>
                    <w:tr2bl w:val="nil"/>
                  </w:tcBorders>
                  <w:vAlign w:val="center"/>
                </w:tcPr>
                <w:p w14:paraId="75B1788B">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060B74C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测试</w:t>
                  </w:r>
                </w:p>
              </w:tc>
            </w:tr>
            <w:tr w14:paraId="487145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18204CC6">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16</w:t>
                  </w:r>
                </w:p>
              </w:tc>
              <w:tc>
                <w:tcPr>
                  <w:tcW w:w="1459" w:type="pct"/>
                  <w:tcBorders>
                    <w:tl2br w:val="nil"/>
                    <w:tr2bl w:val="nil"/>
                  </w:tcBorders>
                  <w:vAlign w:val="center"/>
                </w:tcPr>
                <w:p w14:paraId="383FFB2D">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示波器</w:t>
                  </w:r>
                </w:p>
              </w:tc>
              <w:tc>
                <w:tcPr>
                  <w:tcW w:w="799" w:type="pct"/>
                  <w:tcBorders>
                    <w:tl2br w:val="nil"/>
                    <w:tr2bl w:val="nil"/>
                  </w:tcBorders>
                  <w:vAlign w:val="center"/>
                </w:tcPr>
                <w:p w14:paraId="6A135C9F">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HD304MSO</w:t>
                  </w:r>
                </w:p>
              </w:tc>
              <w:tc>
                <w:tcPr>
                  <w:tcW w:w="564" w:type="pct"/>
                  <w:tcBorders>
                    <w:tl2br w:val="nil"/>
                    <w:tr2bl w:val="nil"/>
                  </w:tcBorders>
                  <w:vAlign w:val="center"/>
                </w:tcPr>
                <w:p w14:paraId="2CA15FCB">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602" w:type="pct"/>
                  <w:tcBorders>
                    <w:tl2br w:val="nil"/>
                    <w:tr2bl w:val="nil"/>
                  </w:tcBorders>
                  <w:vAlign w:val="center"/>
                </w:tcPr>
                <w:p w14:paraId="503297DA">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5219BCC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测试</w:t>
                  </w:r>
                </w:p>
              </w:tc>
            </w:tr>
            <w:tr w14:paraId="307BB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5E9F8BC8">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w:t>
                  </w:r>
                </w:p>
              </w:tc>
              <w:tc>
                <w:tcPr>
                  <w:tcW w:w="1459" w:type="pct"/>
                  <w:tcBorders>
                    <w:tl2br w:val="nil"/>
                    <w:tr2bl w:val="nil"/>
                  </w:tcBorders>
                  <w:vAlign w:val="center"/>
                </w:tcPr>
                <w:p w14:paraId="6742B3A7">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示波器</w:t>
                  </w:r>
                </w:p>
              </w:tc>
              <w:tc>
                <w:tcPr>
                  <w:tcW w:w="799" w:type="pct"/>
                  <w:tcBorders>
                    <w:tl2br w:val="nil"/>
                    <w:tr2bl w:val="nil"/>
                  </w:tcBorders>
                  <w:vAlign w:val="center"/>
                </w:tcPr>
                <w:p w14:paraId="7C4AE137">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EXR604A</w:t>
                  </w:r>
                </w:p>
              </w:tc>
              <w:tc>
                <w:tcPr>
                  <w:tcW w:w="564" w:type="pct"/>
                  <w:tcBorders>
                    <w:tl2br w:val="nil"/>
                    <w:tr2bl w:val="nil"/>
                  </w:tcBorders>
                  <w:vAlign w:val="center"/>
                </w:tcPr>
                <w:p w14:paraId="6A52FAC1">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602" w:type="pct"/>
                  <w:tcBorders>
                    <w:tl2br w:val="nil"/>
                    <w:tr2bl w:val="nil"/>
                  </w:tcBorders>
                  <w:vAlign w:val="center"/>
                </w:tcPr>
                <w:p w14:paraId="43F2124C">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台</w:t>
                  </w:r>
                </w:p>
              </w:tc>
              <w:tc>
                <w:tcPr>
                  <w:tcW w:w="1112" w:type="pct"/>
                  <w:tcBorders>
                    <w:tl2br w:val="nil"/>
                    <w:tr2bl w:val="nil"/>
                  </w:tcBorders>
                  <w:vAlign w:val="center"/>
                </w:tcPr>
                <w:p w14:paraId="228494F0">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测试</w:t>
                  </w:r>
                </w:p>
              </w:tc>
            </w:tr>
            <w:tr w14:paraId="56958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62" w:type="pct"/>
                  <w:tcBorders>
                    <w:tl2br w:val="nil"/>
                    <w:tr2bl w:val="nil"/>
                  </w:tcBorders>
                  <w:vAlign w:val="center"/>
                </w:tcPr>
                <w:p w14:paraId="0185825E">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18</w:t>
                  </w:r>
                </w:p>
              </w:tc>
              <w:tc>
                <w:tcPr>
                  <w:tcW w:w="1459" w:type="pct"/>
                  <w:tcBorders>
                    <w:tl2br w:val="nil"/>
                    <w:tr2bl w:val="nil"/>
                  </w:tcBorders>
                  <w:vAlign w:val="center"/>
                </w:tcPr>
                <w:p w14:paraId="52A3D8A4">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BGA返修设备</w:t>
                  </w:r>
                </w:p>
              </w:tc>
              <w:tc>
                <w:tcPr>
                  <w:tcW w:w="799" w:type="pct"/>
                  <w:tcBorders>
                    <w:tl2br w:val="nil"/>
                    <w:tr2bl w:val="nil"/>
                  </w:tcBorders>
                  <w:vAlign w:val="center"/>
                </w:tcPr>
                <w:p w14:paraId="55C9897C">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ZM-R7220A</w:t>
                  </w:r>
                </w:p>
              </w:tc>
              <w:tc>
                <w:tcPr>
                  <w:tcW w:w="564" w:type="pct"/>
                  <w:tcBorders>
                    <w:tl2br w:val="nil"/>
                    <w:tr2bl w:val="nil"/>
                  </w:tcBorders>
                  <w:vAlign w:val="center"/>
                </w:tcPr>
                <w:p w14:paraId="70BA4866">
                  <w:pPr>
                    <w:keepNext w:val="0"/>
                    <w:keepLines w:val="0"/>
                    <w:widowControl/>
                    <w:suppressLineNumbers w:val="0"/>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602" w:type="pct"/>
                  <w:tcBorders>
                    <w:tl2br w:val="nil"/>
                    <w:tr2bl w:val="nil"/>
                  </w:tcBorders>
                  <w:vAlign w:val="center"/>
                </w:tcPr>
                <w:p w14:paraId="325CF42F">
                  <w:pPr>
                    <w:keepNext w:val="0"/>
                    <w:keepLines w:val="0"/>
                    <w:widowControl/>
                    <w:suppressLineNumbers w:val="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套</w:t>
                  </w:r>
                </w:p>
              </w:tc>
              <w:tc>
                <w:tcPr>
                  <w:tcW w:w="1112" w:type="pct"/>
                  <w:tcBorders>
                    <w:tl2br w:val="nil"/>
                    <w:tr2bl w:val="nil"/>
                  </w:tcBorders>
                  <w:vAlign w:val="center"/>
                </w:tcPr>
                <w:p w14:paraId="6DF43E33">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对焊接不合格的电路板进行返修</w:t>
                  </w:r>
                </w:p>
              </w:tc>
            </w:tr>
          </w:tbl>
          <w:p w14:paraId="38DA6617">
            <w:pPr>
              <w:adjustRightInd w:val="0"/>
              <w:snapToGrid w:val="0"/>
              <w:spacing w:line="360" w:lineRule="auto"/>
              <w:jc w:val="lef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7</w:t>
            </w:r>
            <w:r>
              <w:rPr>
                <w:rFonts w:hint="default" w:ascii="Times New Roman" w:hAnsi="Times New Roman" w:cs="Times New Roman"/>
                <w:b/>
                <w:color w:val="auto"/>
                <w:sz w:val="24"/>
                <w:szCs w:val="24"/>
                <w:highlight w:val="none"/>
              </w:rPr>
              <w:t>、公用工程</w:t>
            </w:r>
          </w:p>
          <w:p w14:paraId="6EA972D2">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（1）给水</w:t>
            </w:r>
          </w:p>
          <w:p w14:paraId="4FE03E2C">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本项目用水由市政供水管网统一供给。</w:t>
            </w:r>
          </w:p>
          <w:p w14:paraId="1D68C839">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rPr>
            </w:pPr>
            <w:r>
              <w:rPr>
                <w:rFonts w:hint="default" w:ascii="Times New Roman" w:hAnsi="Times New Roman" w:cs="Times New Roman"/>
                <w:bCs/>
                <w:color w:val="auto"/>
                <w:sz w:val="24"/>
                <w:szCs w:val="24"/>
                <w:highlight w:val="none"/>
              </w:rPr>
              <w:fldChar w:fldCharType="begin"/>
            </w:r>
            <w:r>
              <w:rPr>
                <w:rFonts w:hint="default" w:ascii="Times New Roman" w:hAnsi="Times New Roman" w:cs="Times New Roman"/>
                <w:bCs/>
                <w:color w:val="auto"/>
                <w:sz w:val="24"/>
                <w:szCs w:val="24"/>
                <w:highlight w:val="none"/>
              </w:rPr>
              <w:instrText xml:space="preserve"> = 1 \* GB3 \* MERGEFORMAT </w:instrText>
            </w:r>
            <w:r>
              <w:rPr>
                <w:rFonts w:hint="default" w:ascii="Times New Roman" w:hAnsi="Times New Roman" w:cs="Times New Roman"/>
                <w:bCs/>
                <w:color w:val="auto"/>
                <w:sz w:val="24"/>
                <w:szCs w:val="24"/>
                <w:highlight w:val="none"/>
              </w:rPr>
              <w:fldChar w:fldCharType="separate"/>
            </w:r>
            <w:r>
              <w:rPr>
                <w:rFonts w:hint="default" w:ascii="Times New Roman" w:hAnsi="Times New Roman" w:cs="Times New Roman"/>
                <w:color w:val="auto"/>
                <w:highlight w:val="none"/>
              </w:rPr>
              <w:t>①</w:t>
            </w:r>
            <w:r>
              <w:rPr>
                <w:rFonts w:hint="default" w:ascii="Times New Roman" w:hAnsi="Times New Roman" w:cs="Times New Roman"/>
                <w:bCs/>
                <w:color w:val="auto"/>
                <w:sz w:val="24"/>
                <w:szCs w:val="24"/>
                <w:highlight w:val="none"/>
              </w:rPr>
              <w:fldChar w:fldCharType="end"/>
            </w:r>
            <w:r>
              <w:rPr>
                <w:rFonts w:hint="default" w:ascii="Times New Roman" w:hAnsi="Times New Roman" w:cs="Times New Roman"/>
                <w:bCs/>
                <w:color w:val="auto"/>
                <w:sz w:val="24"/>
                <w:szCs w:val="24"/>
                <w:highlight w:val="none"/>
              </w:rPr>
              <w:t>生活用</w:t>
            </w:r>
            <w:r>
              <w:rPr>
                <w:rFonts w:hint="default" w:ascii="Times New Roman" w:hAnsi="Times New Roman" w:eastAsia="宋体" w:cs="Times New Roman"/>
                <w:bCs/>
                <w:color w:val="auto"/>
                <w:sz w:val="24"/>
                <w:szCs w:val="24"/>
                <w:highlight w:val="none"/>
              </w:rPr>
              <w:t>水</w:t>
            </w:r>
          </w:p>
          <w:p w14:paraId="7BC75130">
            <w:pPr>
              <w:adjustRightInd w:val="0"/>
              <w:snapToGrid w:val="0"/>
              <w:spacing w:line="360" w:lineRule="auto"/>
              <w:ind w:firstLine="480" w:firstLineChars="200"/>
              <w:jc w:val="left"/>
              <w:rPr>
                <w:rFonts w:hint="default" w:ascii="Times New Roman" w:hAnsi="Times New Roman" w:eastAsia="宋体" w:cs="Times New Roman"/>
                <w:bCs/>
                <w:color w:val="auto"/>
                <w:sz w:val="24"/>
                <w:szCs w:val="32"/>
                <w:highlight w:val="none"/>
                <w:lang w:val="en-US" w:eastAsia="zh-CN"/>
              </w:rPr>
            </w:pPr>
            <w:r>
              <w:rPr>
                <w:rFonts w:hint="default" w:ascii="Times New Roman" w:hAnsi="Times New Roman" w:eastAsia="宋体" w:cs="Times New Roman"/>
                <w:bCs/>
                <w:color w:val="auto"/>
                <w:sz w:val="24"/>
                <w:szCs w:val="32"/>
                <w:highlight w:val="none"/>
              </w:rPr>
              <w:t>本项目</w:t>
            </w:r>
            <w:r>
              <w:rPr>
                <w:rFonts w:hint="default" w:ascii="Times New Roman" w:hAnsi="Times New Roman" w:eastAsia="宋体" w:cs="Times New Roman"/>
                <w:bCs/>
                <w:color w:val="auto"/>
                <w:sz w:val="24"/>
                <w:szCs w:val="32"/>
                <w:highlight w:val="none"/>
                <w:lang w:val="en-US" w:eastAsia="zh-CN"/>
              </w:rPr>
              <w:t>新增工作人员</w:t>
            </w:r>
            <w:r>
              <w:rPr>
                <w:rFonts w:hint="default" w:ascii="Times New Roman" w:hAnsi="Times New Roman" w:eastAsia="宋体" w:cs="Times New Roman"/>
                <w:bCs/>
                <w:color w:val="auto"/>
                <w:sz w:val="24"/>
                <w:szCs w:val="32"/>
                <w:highlight w:val="none"/>
              </w:rPr>
              <w:t>共</w:t>
            </w:r>
            <w:r>
              <w:rPr>
                <w:rFonts w:hint="default" w:ascii="Times New Roman" w:hAnsi="Times New Roman" w:cs="Times New Roman"/>
                <w:bCs/>
                <w:color w:val="auto"/>
                <w:sz w:val="24"/>
                <w:szCs w:val="32"/>
                <w:highlight w:val="none"/>
                <w:lang w:val="en-US" w:eastAsia="zh-CN"/>
              </w:rPr>
              <w:t>1200</w:t>
            </w:r>
            <w:r>
              <w:rPr>
                <w:rFonts w:hint="default" w:ascii="Times New Roman" w:hAnsi="Times New Roman" w:eastAsia="宋体" w:cs="Times New Roman"/>
                <w:bCs/>
                <w:color w:val="auto"/>
                <w:sz w:val="24"/>
                <w:szCs w:val="32"/>
                <w:highlight w:val="none"/>
              </w:rPr>
              <w:t>人，</w:t>
            </w:r>
            <w:r>
              <w:rPr>
                <w:rFonts w:hint="default" w:ascii="Times New Roman" w:hAnsi="Times New Roman" w:eastAsia="宋体" w:cs="Times New Roman"/>
                <w:bCs/>
                <w:color w:val="auto"/>
                <w:sz w:val="24"/>
                <w:szCs w:val="32"/>
                <w:highlight w:val="none"/>
                <w:lang w:val="en-US" w:eastAsia="zh-CN"/>
              </w:rPr>
              <w:t>年工作250天，厂区建有食堂</w:t>
            </w:r>
            <w:r>
              <w:rPr>
                <w:rFonts w:hint="default" w:ascii="Times New Roman" w:hAnsi="Times New Roman" w:cs="Times New Roman"/>
                <w:bCs/>
                <w:color w:val="auto"/>
                <w:sz w:val="24"/>
                <w:szCs w:val="32"/>
                <w:highlight w:val="none"/>
                <w:lang w:val="en-US" w:eastAsia="zh-CN"/>
              </w:rPr>
              <w:t>、宿舍</w:t>
            </w:r>
            <w:r>
              <w:rPr>
                <w:rFonts w:hint="default" w:ascii="Times New Roman" w:hAnsi="Times New Roman" w:eastAsia="宋体" w:cs="Times New Roman"/>
                <w:bCs/>
                <w:color w:val="auto"/>
                <w:sz w:val="24"/>
                <w:szCs w:val="32"/>
                <w:highlight w:val="none"/>
                <w:lang w:val="en-US" w:eastAsia="zh-CN"/>
              </w:rPr>
              <w:t>，</w:t>
            </w:r>
            <w:r>
              <w:rPr>
                <w:rFonts w:hint="default" w:ascii="Times New Roman" w:hAnsi="Times New Roman" w:cs="Times New Roman"/>
                <w:bCs/>
                <w:color w:val="auto"/>
                <w:sz w:val="24"/>
                <w:szCs w:val="32"/>
                <w:highlight w:val="none"/>
                <w:lang w:val="en-US" w:eastAsia="zh-CN"/>
              </w:rPr>
              <w:t>食堂面积为1000m</w:t>
            </w:r>
            <w:r>
              <w:rPr>
                <w:rFonts w:hint="default" w:ascii="Times New Roman" w:hAnsi="Times New Roman" w:cs="Times New Roman"/>
                <w:bCs/>
                <w:color w:val="auto"/>
                <w:sz w:val="24"/>
                <w:szCs w:val="32"/>
                <w:highlight w:val="none"/>
                <w:vertAlign w:val="superscript"/>
                <w:lang w:val="en-US" w:eastAsia="zh-CN"/>
              </w:rPr>
              <w:t>2</w:t>
            </w:r>
            <w:r>
              <w:rPr>
                <w:rFonts w:hint="default" w:ascii="Times New Roman" w:hAnsi="Times New Roman" w:cs="Times New Roman"/>
                <w:bCs/>
                <w:color w:val="auto"/>
                <w:sz w:val="24"/>
                <w:szCs w:val="32"/>
                <w:highlight w:val="none"/>
                <w:vertAlign w:val="baseline"/>
                <w:lang w:val="en-US" w:eastAsia="zh-CN"/>
              </w:rPr>
              <w:t>，</w:t>
            </w:r>
            <w:r>
              <w:rPr>
                <w:rFonts w:hint="default" w:ascii="Times New Roman" w:hAnsi="Times New Roman" w:cs="Times New Roman"/>
                <w:bCs/>
                <w:color w:val="auto"/>
                <w:sz w:val="24"/>
                <w:szCs w:val="32"/>
                <w:highlight w:val="none"/>
                <w:lang w:val="en-US" w:eastAsia="zh-CN"/>
              </w:rPr>
              <w:t>为240人提供</w:t>
            </w:r>
            <w:r>
              <w:rPr>
                <w:rFonts w:hint="default" w:ascii="Times New Roman" w:hAnsi="Times New Roman" w:eastAsia="宋体" w:cs="Times New Roman"/>
                <w:bCs/>
                <w:color w:val="auto"/>
                <w:sz w:val="24"/>
                <w:szCs w:val="32"/>
                <w:highlight w:val="none"/>
                <w:lang w:val="en-US" w:eastAsia="zh-CN"/>
              </w:rPr>
              <w:t>住宿</w:t>
            </w:r>
            <w:r>
              <w:rPr>
                <w:rFonts w:hint="default" w:ascii="Times New Roman" w:hAnsi="Times New Roman" w:eastAsia="宋体" w:cs="Times New Roman"/>
                <w:bCs/>
                <w:color w:val="auto"/>
                <w:sz w:val="24"/>
                <w:szCs w:val="32"/>
                <w:highlight w:val="none"/>
              </w:rPr>
              <w:t>。</w:t>
            </w:r>
            <w:r>
              <w:rPr>
                <w:rFonts w:hint="default" w:ascii="Times New Roman" w:hAnsi="Times New Roman" w:eastAsia="宋体" w:cs="Times New Roman"/>
                <w:bCs/>
                <w:color w:val="auto"/>
                <w:sz w:val="24"/>
                <w:szCs w:val="32"/>
                <w:highlight w:val="none"/>
                <w:lang w:val="en-US" w:eastAsia="zh-CN"/>
              </w:rPr>
              <w:t>参考《行业用水定额》（DB 61/T 943-2020），</w:t>
            </w:r>
            <w:r>
              <w:rPr>
                <w:rFonts w:hint="default" w:ascii="Times New Roman" w:hAnsi="Times New Roman" w:cs="Times New Roman"/>
                <w:bCs/>
                <w:color w:val="auto"/>
                <w:sz w:val="24"/>
                <w:szCs w:val="32"/>
                <w:highlight w:val="none"/>
                <w:lang w:val="en-US" w:eastAsia="zh-CN"/>
              </w:rPr>
              <w:t>240名员工生活用水取120L/（人·d）（餐饮用水部分与另外960名员工统一计算），960名</w:t>
            </w:r>
            <w:r>
              <w:rPr>
                <w:rFonts w:hint="default" w:ascii="Times New Roman" w:hAnsi="Times New Roman" w:eastAsia="宋体" w:cs="Times New Roman"/>
                <w:bCs/>
                <w:color w:val="auto"/>
                <w:sz w:val="24"/>
                <w:szCs w:val="32"/>
                <w:highlight w:val="none"/>
                <w:lang w:val="en-US" w:eastAsia="zh-CN"/>
              </w:rPr>
              <w:t>员工生活用水取</w:t>
            </w:r>
            <w:r>
              <w:rPr>
                <w:rFonts w:hint="default" w:ascii="Times New Roman" w:hAnsi="Times New Roman" w:cs="Times New Roman"/>
                <w:bCs/>
                <w:color w:val="auto"/>
                <w:sz w:val="24"/>
                <w:szCs w:val="32"/>
                <w:highlight w:val="none"/>
                <w:lang w:val="en-US" w:eastAsia="zh-CN"/>
              </w:rPr>
              <w:t>0.0685m</w:t>
            </w:r>
            <w:r>
              <w:rPr>
                <w:rFonts w:hint="default" w:ascii="Times New Roman" w:hAnsi="Times New Roman" w:cs="Times New Roman"/>
                <w:bCs/>
                <w:color w:val="auto"/>
                <w:sz w:val="24"/>
                <w:szCs w:val="32"/>
                <w:highlight w:val="none"/>
                <w:vertAlign w:val="superscript"/>
                <w:lang w:val="en-US" w:eastAsia="zh-CN"/>
              </w:rPr>
              <w:t>3</w:t>
            </w:r>
            <w:r>
              <w:rPr>
                <w:rFonts w:hint="default" w:ascii="Times New Roman" w:hAnsi="Times New Roman" w:cs="Times New Roman"/>
                <w:bCs/>
                <w:color w:val="auto"/>
                <w:sz w:val="24"/>
                <w:szCs w:val="32"/>
                <w:highlight w:val="none"/>
                <w:lang w:val="en-US" w:eastAsia="zh-CN"/>
              </w:rPr>
              <w:t>/（人·d）</w:t>
            </w:r>
            <w:r>
              <w:rPr>
                <w:rFonts w:hint="default" w:ascii="Times New Roman" w:hAnsi="Times New Roman" w:eastAsia="宋体" w:cs="Times New Roman"/>
                <w:bCs/>
                <w:color w:val="auto"/>
                <w:sz w:val="24"/>
                <w:szCs w:val="32"/>
                <w:highlight w:val="none"/>
                <w:lang w:val="en-US" w:eastAsia="zh-CN"/>
              </w:rPr>
              <w:t>，食堂属于</w:t>
            </w:r>
            <w:r>
              <w:rPr>
                <w:rFonts w:hint="default" w:ascii="Times New Roman" w:hAnsi="Times New Roman" w:cs="Times New Roman"/>
                <w:bCs/>
                <w:color w:val="auto"/>
                <w:sz w:val="24"/>
                <w:szCs w:val="32"/>
                <w:highlight w:val="none"/>
                <w:lang w:val="en-US" w:eastAsia="zh-CN"/>
              </w:rPr>
              <w:t>“</w:t>
            </w:r>
            <w:r>
              <w:rPr>
                <w:rFonts w:hint="default" w:ascii="Times New Roman" w:hAnsi="Times New Roman" w:eastAsia="宋体" w:cs="Times New Roman"/>
                <w:bCs/>
                <w:color w:val="auto"/>
                <w:sz w:val="24"/>
                <w:szCs w:val="32"/>
                <w:highlight w:val="none"/>
                <w:lang w:val="en-US" w:eastAsia="zh-CN"/>
              </w:rPr>
              <w:t>其他餐饮业</w:t>
            </w:r>
            <w:r>
              <w:rPr>
                <w:rFonts w:hint="default" w:ascii="Times New Roman" w:hAnsi="Times New Roman" w:cs="Times New Roman"/>
                <w:bCs/>
                <w:color w:val="auto"/>
                <w:sz w:val="24"/>
                <w:szCs w:val="32"/>
                <w:highlight w:val="none"/>
                <w:lang w:val="en-US" w:eastAsia="zh-CN"/>
              </w:rPr>
              <w:t>”</w:t>
            </w:r>
            <w:r>
              <w:rPr>
                <w:rFonts w:hint="default" w:ascii="Times New Roman" w:hAnsi="Times New Roman" w:eastAsia="宋体" w:cs="Times New Roman"/>
                <w:bCs/>
                <w:color w:val="auto"/>
                <w:sz w:val="24"/>
                <w:szCs w:val="32"/>
                <w:highlight w:val="none"/>
                <w:lang w:val="en-US" w:eastAsia="zh-CN"/>
              </w:rPr>
              <w:t>，</w:t>
            </w:r>
            <w:r>
              <w:rPr>
                <w:rFonts w:hint="default" w:ascii="Times New Roman" w:hAnsi="Times New Roman" w:cs="Times New Roman"/>
                <w:bCs/>
                <w:color w:val="auto"/>
                <w:sz w:val="24"/>
                <w:szCs w:val="32"/>
                <w:highlight w:val="none"/>
                <w:lang w:val="en-US" w:eastAsia="zh-CN"/>
              </w:rPr>
              <w:t>故</w:t>
            </w:r>
            <w:r>
              <w:rPr>
                <w:rFonts w:hint="default" w:ascii="Times New Roman" w:hAnsi="Times New Roman" w:eastAsia="宋体" w:cs="Times New Roman"/>
                <w:bCs/>
                <w:color w:val="auto"/>
                <w:sz w:val="24"/>
                <w:szCs w:val="32"/>
                <w:highlight w:val="none"/>
                <w:lang w:val="en-US" w:eastAsia="zh-CN"/>
              </w:rPr>
              <w:t>食堂用水取6</w:t>
            </w:r>
            <w:r>
              <w:rPr>
                <w:rFonts w:hint="default" w:ascii="Times New Roman" w:hAnsi="Times New Roman" w:cs="Times New Roman"/>
                <w:bCs/>
                <w:color w:val="auto"/>
                <w:sz w:val="24"/>
                <w:szCs w:val="32"/>
                <w:highlight w:val="none"/>
                <w:lang w:val="en-US" w:eastAsia="zh-CN"/>
              </w:rPr>
              <w:t>.3</w:t>
            </w:r>
            <w:r>
              <w:rPr>
                <w:rFonts w:hint="default" w:ascii="Times New Roman" w:hAnsi="Times New Roman" w:eastAsia="宋体" w:cs="Times New Roman"/>
                <w:bCs/>
                <w:color w:val="auto"/>
                <w:sz w:val="24"/>
                <w:szCs w:val="32"/>
                <w:highlight w:val="none"/>
                <w:lang w:val="en-US" w:eastAsia="zh-CN"/>
              </w:rPr>
              <w:t>m</w:t>
            </w:r>
            <w:r>
              <w:rPr>
                <w:rFonts w:hint="default" w:ascii="Times New Roman" w:hAnsi="Times New Roman" w:eastAsia="宋体" w:cs="Times New Roman"/>
                <w:bCs/>
                <w:color w:val="auto"/>
                <w:sz w:val="24"/>
                <w:szCs w:val="32"/>
                <w:highlight w:val="none"/>
                <w:vertAlign w:val="superscript"/>
                <w:lang w:val="en-US" w:eastAsia="zh-CN"/>
              </w:rPr>
              <w:t>3</w:t>
            </w:r>
            <w:r>
              <w:rPr>
                <w:rFonts w:hint="default" w:ascii="Times New Roman" w:hAnsi="Times New Roman" w:eastAsia="宋体" w:cs="Times New Roman"/>
                <w:bCs/>
                <w:color w:val="auto"/>
                <w:sz w:val="24"/>
                <w:szCs w:val="32"/>
                <w:highlight w:val="none"/>
                <w:lang w:val="en-US" w:eastAsia="zh-CN"/>
              </w:rPr>
              <w:t>/（m</w:t>
            </w:r>
            <w:r>
              <w:rPr>
                <w:rFonts w:hint="default" w:ascii="Times New Roman" w:hAnsi="Times New Roman" w:eastAsia="宋体" w:cs="Times New Roman"/>
                <w:bCs/>
                <w:color w:val="auto"/>
                <w:sz w:val="24"/>
                <w:szCs w:val="32"/>
                <w:highlight w:val="none"/>
                <w:vertAlign w:val="superscript"/>
                <w:lang w:val="en-US" w:eastAsia="zh-CN"/>
              </w:rPr>
              <w:t>2</w:t>
            </w:r>
            <w:r>
              <w:rPr>
                <w:rFonts w:hint="default" w:ascii="Times New Roman" w:hAnsi="Times New Roman" w:eastAsia="宋体" w:cs="Times New Roman"/>
                <w:bCs/>
                <w:color w:val="auto"/>
                <w:sz w:val="24"/>
                <w:szCs w:val="32"/>
                <w:highlight w:val="none"/>
                <w:lang w:val="en-US" w:eastAsia="zh-CN"/>
              </w:rPr>
              <w:t>·a）</w:t>
            </w:r>
            <w:r>
              <w:rPr>
                <w:rFonts w:hint="default" w:ascii="Times New Roman" w:hAnsi="Times New Roman" w:cs="Times New Roman"/>
                <w:bCs/>
                <w:color w:val="auto"/>
                <w:sz w:val="24"/>
                <w:szCs w:val="32"/>
                <w:highlight w:val="none"/>
                <w:lang w:val="en-US" w:eastAsia="zh-CN"/>
              </w:rPr>
              <w:t>，</w:t>
            </w:r>
            <w:r>
              <w:rPr>
                <w:rFonts w:hint="default" w:ascii="Times New Roman" w:hAnsi="Times New Roman" w:eastAsia="宋体" w:cs="Times New Roman"/>
                <w:bCs/>
                <w:color w:val="auto"/>
                <w:sz w:val="24"/>
                <w:szCs w:val="32"/>
                <w:highlight w:val="none"/>
              </w:rPr>
              <w:t>则项目生活用水量为</w:t>
            </w:r>
            <w:r>
              <w:rPr>
                <w:rFonts w:hint="default" w:ascii="Times New Roman" w:hAnsi="Times New Roman" w:cs="Times New Roman"/>
                <w:bCs/>
                <w:color w:val="auto"/>
                <w:sz w:val="24"/>
                <w:szCs w:val="32"/>
                <w:highlight w:val="none"/>
                <w:lang w:val="en-US" w:eastAsia="zh-CN"/>
              </w:rPr>
              <w:t>119.76</w:t>
            </w:r>
            <w:r>
              <w:rPr>
                <w:rFonts w:hint="default" w:ascii="Times New Roman" w:hAnsi="Times New Roman" w:eastAsia="宋体" w:cs="Times New Roman"/>
                <w:bCs/>
                <w:color w:val="auto"/>
                <w:sz w:val="24"/>
                <w:szCs w:val="32"/>
                <w:highlight w:val="none"/>
                <w:lang w:val="en-US" w:eastAsia="zh-CN"/>
              </w:rPr>
              <w:t xml:space="preserve"> </w:t>
            </w:r>
            <w:r>
              <w:rPr>
                <w:rFonts w:hint="default" w:ascii="Times New Roman" w:hAnsi="Times New Roman" w:eastAsia="宋体" w:cs="Times New Roman"/>
                <w:bCs/>
                <w:color w:val="auto"/>
                <w:sz w:val="24"/>
                <w:szCs w:val="32"/>
                <w:highlight w:val="none"/>
              </w:rPr>
              <w:t>m</w:t>
            </w:r>
            <w:r>
              <w:rPr>
                <w:rFonts w:hint="default" w:ascii="Times New Roman" w:hAnsi="Times New Roman" w:eastAsia="宋体" w:cs="Times New Roman"/>
                <w:bCs/>
                <w:color w:val="auto"/>
                <w:sz w:val="24"/>
                <w:szCs w:val="32"/>
                <w:highlight w:val="none"/>
                <w:vertAlign w:val="superscript"/>
              </w:rPr>
              <w:t>3</w:t>
            </w:r>
            <w:r>
              <w:rPr>
                <w:rFonts w:hint="default" w:ascii="Times New Roman" w:hAnsi="Times New Roman" w:eastAsia="宋体" w:cs="Times New Roman"/>
                <w:bCs/>
                <w:color w:val="auto"/>
                <w:sz w:val="24"/>
                <w:szCs w:val="32"/>
                <w:highlight w:val="none"/>
              </w:rPr>
              <w:t>/d（</w:t>
            </w:r>
            <w:r>
              <w:rPr>
                <w:rFonts w:hint="default" w:ascii="Times New Roman" w:hAnsi="Times New Roman" w:cs="Times New Roman"/>
                <w:bCs/>
                <w:color w:val="auto"/>
                <w:sz w:val="24"/>
                <w:szCs w:val="32"/>
                <w:highlight w:val="none"/>
                <w:lang w:val="en-US" w:eastAsia="zh-CN"/>
              </w:rPr>
              <w:t>29940</w:t>
            </w:r>
            <w:r>
              <w:rPr>
                <w:rFonts w:hint="default" w:ascii="Times New Roman" w:hAnsi="Times New Roman" w:eastAsia="宋体" w:cs="Times New Roman"/>
                <w:bCs/>
                <w:color w:val="auto"/>
                <w:sz w:val="24"/>
                <w:szCs w:val="32"/>
                <w:highlight w:val="none"/>
                <w:lang w:val="en-US" w:eastAsia="zh-CN"/>
              </w:rPr>
              <w:t xml:space="preserve"> </w:t>
            </w:r>
            <w:r>
              <w:rPr>
                <w:rFonts w:hint="default" w:ascii="Times New Roman" w:hAnsi="Times New Roman" w:eastAsia="宋体" w:cs="Times New Roman"/>
                <w:bCs/>
                <w:color w:val="auto"/>
                <w:sz w:val="24"/>
                <w:szCs w:val="32"/>
                <w:highlight w:val="none"/>
              </w:rPr>
              <w:t>m</w:t>
            </w:r>
            <w:r>
              <w:rPr>
                <w:rFonts w:hint="default" w:ascii="Times New Roman" w:hAnsi="Times New Roman" w:eastAsia="宋体" w:cs="Times New Roman"/>
                <w:bCs/>
                <w:color w:val="auto"/>
                <w:sz w:val="24"/>
                <w:szCs w:val="32"/>
                <w:highlight w:val="none"/>
                <w:vertAlign w:val="superscript"/>
              </w:rPr>
              <w:t>3</w:t>
            </w:r>
            <w:r>
              <w:rPr>
                <w:rFonts w:hint="default" w:ascii="Times New Roman" w:hAnsi="Times New Roman" w:eastAsia="宋体" w:cs="Times New Roman"/>
                <w:bCs/>
                <w:color w:val="auto"/>
                <w:sz w:val="24"/>
                <w:szCs w:val="32"/>
                <w:highlight w:val="none"/>
              </w:rPr>
              <w:t>/a）。</w:t>
            </w:r>
          </w:p>
          <w:p w14:paraId="06DC8C13">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fldChar w:fldCharType="begin"/>
            </w:r>
            <w:r>
              <w:rPr>
                <w:rFonts w:hint="default" w:ascii="Times New Roman" w:hAnsi="Times New Roman" w:eastAsia="宋体" w:cs="Times New Roman"/>
                <w:bCs/>
                <w:color w:val="auto"/>
                <w:sz w:val="24"/>
                <w:szCs w:val="24"/>
                <w:highlight w:val="none"/>
              </w:rPr>
              <w:instrText xml:space="preserve"> = 2 \* GB3 \* MERGEFORMAT </w:instrText>
            </w:r>
            <w:r>
              <w:rPr>
                <w:rFonts w:hint="default" w:ascii="Times New Roman" w:hAnsi="Times New Roman" w:eastAsia="宋体" w:cs="Times New Roman"/>
                <w:bCs/>
                <w:color w:val="auto"/>
                <w:sz w:val="24"/>
                <w:szCs w:val="24"/>
                <w:highlight w:val="none"/>
              </w:rPr>
              <w:fldChar w:fldCharType="separate"/>
            </w:r>
            <w:r>
              <w:rPr>
                <w:rFonts w:hint="default" w:ascii="Times New Roman" w:hAnsi="Times New Roman" w:eastAsia="宋体" w:cs="Times New Roman"/>
                <w:color w:val="auto"/>
                <w:sz w:val="24"/>
                <w:szCs w:val="24"/>
                <w:highlight w:val="none"/>
              </w:rPr>
              <w:t>②</w:t>
            </w:r>
            <w:r>
              <w:rPr>
                <w:rFonts w:hint="default" w:ascii="Times New Roman" w:hAnsi="Times New Roman" w:eastAsia="宋体" w:cs="Times New Roman"/>
                <w:bCs/>
                <w:color w:val="auto"/>
                <w:sz w:val="24"/>
                <w:szCs w:val="24"/>
                <w:highlight w:val="none"/>
              </w:rPr>
              <w:fldChar w:fldCharType="end"/>
            </w:r>
            <w:r>
              <w:rPr>
                <w:rFonts w:hint="default" w:ascii="Times New Roman" w:hAnsi="Times New Roman" w:eastAsia="宋体" w:cs="Times New Roman"/>
                <w:bCs/>
                <w:color w:val="auto"/>
                <w:sz w:val="24"/>
                <w:szCs w:val="24"/>
                <w:highlight w:val="none"/>
                <w:lang w:val="en-US" w:eastAsia="zh-CN"/>
              </w:rPr>
              <w:t>循环冷却水</w:t>
            </w:r>
          </w:p>
          <w:p w14:paraId="78619563">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项目</w:t>
            </w:r>
            <w:r>
              <w:rPr>
                <w:rFonts w:hint="eastAsia" w:cs="Times New Roman"/>
                <w:bCs/>
                <w:color w:val="auto"/>
                <w:sz w:val="24"/>
                <w:szCs w:val="24"/>
                <w:highlight w:val="none"/>
                <w:lang w:val="en-US" w:eastAsia="zh-CN"/>
              </w:rPr>
              <w:t>空调冷水机组</w:t>
            </w:r>
            <w:r>
              <w:rPr>
                <w:rFonts w:hint="default" w:ascii="Times New Roman" w:hAnsi="Times New Roman" w:cs="Times New Roman"/>
                <w:bCs/>
                <w:color w:val="auto"/>
                <w:sz w:val="24"/>
                <w:szCs w:val="24"/>
                <w:highlight w:val="none"/>
                <w:lang w:val="en-US" w:eastAsia="zh-CN"/>
              </w:rPr>
              <w:t>使用纯水作为设备循环冷却水，水循环使用。企业共设置二十台风冷式冷水机，根据建设单位提供资料可知冷却水系统中冷却水循环使用，不外排并定期补充损耗，</w:t>
            </w:r>
            <w:r>
              <w:rPr>
                <w:rFonts w:hint="eastAsia" w:cs="Times New Roman"/>
                <w:bCs/>
                <w:color w:val="auto"/>
                <w:sz w:val="24"/>
                <w:szCs w:val="24"/>
                <w:highlight w:val="none"/>
                <w:lang w:val="en-US" w:eastAsia="zh-CN"/>
              </w:rPr>
              <w:t>本项目最大循环水量</w:t>
            </w:r>
            <w:r>
              <w:rPr>
                <w:rFonts w:hint="default" w:ascii="Times New Roman" w:hAnsi="Times New Roman" w:cs="Times New Roman"/>
                <w:bCs/>
                <w:color w:val="auto"/>
                <w:sz w:val="24"/>
                <w:szCs w:val="24"/>
                <w:highlight w:val="none"/>
                <w:lang w:val="en-US" w:eastAsia="zh-CN"/>
              </w:rPr>
              <w:t>为</w:t>
            </w:r>
            <w:r>
              <w:rPr>
                <w:rFonts w:hint="eastAsia" w:cs="Times New Roman"/>
                <w:bCs/>
                <w:color w:val="auto"/>
                <w:sz w:val="24"/>
                <w:szCs w:val="24"/>
                <w:highlight w:val="none"/>
                <w:lang w:val="en-US" w:eastAsia="zh-CN"/>
              </w:rPr>
              <w:t>200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3</w:t>
            </w:r>
            <w:r>
              <w:rPr>
                <w:rFonts w:hint="eastAsia" w:cs="Times New Roman"/>
                <w:bCs/>
                <w:color w:val="auto"/>
                <w:sz w:val="24"/>
                <w:szCs w:val="24"/>
                <w:highlight w:val="none"/>
                <w:vertAlign w:val="baseline"/>
                <w:lang w:val="en-US" w:eastAsia="zh-CN"/>
              </w:rPr>
              <w:t>/h</w:t>
            </w:r>
            <w:r>
              <w:rPr>
                <w:rFonts w:hint="default" w:ascii="Times New Roman" w:hAnsi="Times New Roman" w:cs="Times New Roman"/>
                <w:bCs/>
                <w:color w:val="auto"/>
                <w:sz w:val="24"/>
                <w:szCs w:val="24"/>
                <w:highlight w:val="none"/>
                <w:lang w:val="en-US" w:eastAsia="zh-CN"/>
              </w:rPr>
              <w:t>，项目蒸发</w:t>
            </w:r>
            <w:r>
              <w:rPr>
                <w:rFonts w:hint="eastAsia" w:cs="Times New Roman"/>
                <w:bCs/>
                <w:color w:val="auto"/>
                <w:sz w:val="24"/>
                <w:szCs w:val="24"/>
                <w:highlight w:val="none"/>
                <w:lang w:val="en-US" w:eastAsia="zh-CN"/>
              </w:rPr>
              <w:t>水量为3.0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2</w:t>
            </w:r>
            <w:r>
              <w:rPr>
                <w:rFonts w:hint="default" w:ascii="Times New Roman" w:hAnsi="Times New Roman" w:cs="Times New Roman"/>
                <w:bCs/>
                <w:color w:val="auto"/>
                <w:sz w:val="24"/>
                <w:szCs w:val="24"/>
                <w:highlight w:val="none"/>
                <w:lang w:val="en-US" w:eastAsia="zh-CN"/>
              </w:rPr>
              <w:t>/h</w:t>
            </w:r>
            <w:r>
              <w:rPr>
                <w:rFonts w:hint="eastAsia" w:cs="Times New Roman"/>
                <w:bCs/>
                <w:color w:val="auto"/>
                <w:sz w:val="24"/>
                <w:szCs w:val="24"/>
                <w:highlight w:val="none"/>
                <w:lang w:val="en-US" w:eastAsia="zh-CN"/>
              </w:rPr>
              <w:t>（24.0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3</w:t>
            </w:r>
            <w:r>
              <w:rPr>
                <w:rFonts w:hint="default" w:ascii="Times New Roman" w:hAnsi="Times New Roman" w:cs="Times New Roman"/>
                <w:bCs/>
                <w:color w:val="auto"/>
                <w:sz w:val="24"/>
                <w:szCs w:val="24"/>
                <w:highlight w:val="none"/>
                <w:lang w:val="en-US" w:eastAsia="zh-CN"/>
              </w:rPr>
              <w:t>/d</w:t>
            </w:r>
            <w:r>
              <w:rPr>
                <w:rFonts w:hint="eastAsia"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lang w:val="en-US" w:eastAsia="zh-CN"/>
              </w:rPr>
              <w:t>，则项目循环冷却水补充</w:t>
            </w:r>
            <w:r>
              <w:rPr>
                <w:rFonts w:hint="eastAsia" w:cs="Times New Roman"/>
                <w:bCs/>
                <w:color w:val="auto"/>
                <w:sz w:val="24"/>
                <w:szCs w:val="24"/>
                <w:highlight w:val="none"/>
                <w:lang w:val="en-US" w:eastAsia="zh-CN"/>
              </w:rPr>
              <w:t>纯</w:t>
            </w:r>
            <w:r>
              <w:rPr>
                <w:rFonts w:hint="default" w:ascii="Times New Roman" w:hAnsi="Times New Roman" w:cs="Times New Roman"/>
                <w:bCs/>
                <w:color w:val="auto"/>
                <w:sz w:val="24"/>
                <w:szCs w:val="24"/>
                <w:highlight w:val="none"/>
                <w:lang w:val="en-US" w:eastAsia="zh-CN"/>
              </w:rPr>
              <w:t>水</w:t>
            </w:r>
            <w:r>
              <w:rPr>
                <w:rFonts w:hint="eastAsia" w:cs="Times New Roman"/>
                <w:bCs/>
                <w:color w:val="auto"/>
                <w:sz w:val="24"/>
                <w:szCs w:val="24"/>
                <w:highlight w:val="none"/>
                <w:lang w:val="en-US" w:eastAsia="zh-CN"/>
              </w:rPr>
              <w:t>量为6000m</w:t>
            </w:r>
            <w:r>
              <w:rPr>
                <w:rFonts w:hint="eastAsia" w:cs="Times New Roman"/>
                <w:bCs/>
                <w:color w:val="auto"/>
                <w:sz w:val="24"/>
                <w:szCs w:val="24"/>
                <w:highlight w:val="none"/>
                <w:vertAlign w:val="superscript"/>
                <w:lang w:val="en-US" w:eastAsia="zh-CN"/>
              </w:rPr>
              <w:t>3</w:t>
            </w:r>
            <w:r>
              <w:rPr>
                <w:rFonts w:hint="eastAsia" w:cs="Times New Roman"/>
                <w:bCs/>
                <w:color w:val="auto"/>
                <w:sz w:val="24"/>
                <w:szCs w:val="24"/>
                <w:highlight w:val="none"/>
                <w:lang w:val="en-US" w:eastAsia="zh-CN"/>
              </w:rPr>
              <w:t>/a。</w:t>
            </w:r>
          </w:p>
          <w:p w14:paraId="693EFD45">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③</w:t>
            </w:r>
            <w:r>
              <w:rPr>
                <w:rFonts w:hint="default" w:ascii="Times New Roman" w:hAnsi="Times New Roman" w:cs="Times New Roman"/>
                <w:bCs/>
                <w:color w:val="auto"/>
                <w:sz w:val="24"/>
                <w:szCs w:val="24"/>
                <w:highlight w:val="none"/>
                <w:lang w:val="en-US" w:eastAsia="zh-CN"/>
              </w:rPr>
              <w:t>道路浇洒用水</w:t>
            </w:r>
          </w:p>
          <w:p w14:paraId="6B17798C">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厂区需进行浇洒的道路面积为8000m</w:t>
            </w:r>
            <w:r>
              <w:rPr>
                <w:rFonts w:hint="default" w:ascii="Times New Roman" w:hAnsi="Times New Roman" w:cs="Times New Roman"/>
                <w:bCs/>
                <w:color w:val="auto"/>
                <w:sz w:val="24"/>
                <w:szCs w:val="24"/>
                <w:highlight w:val="none"/>
                <w:vertAlign w:val="superscript"/>
                <w:lang w:val="en-US" w:eastAsia="zh-CN"/>
              </w:rPr>
              <w:t>2</w:t>
            </w:r>
            <w:r>
              <w:rPr>
                <w:rFonts w:hint="default" w:ascii="Times New Roman" w:hAnsi="Times New Roman" w:cs="Times New Roman"/>
                <w:bCs/>
                <w:color w:val="auto"/>
                <w:sz w:val="24"/>
                <w:szCs w:val="24"/>
                <w:highlight w:val="none"/>
                <w:lang w:val="en-US" w:eastAsia="zh-CN"/>
              </w:rPr>
              <w:t>，参考《行业用水定额》（DB 61/T 943-2020）表B.8公共设施管理业用水定额，道路浇洒用水取2.0L/（m</w:t>
            </w:r>
            <w:r>
              <w:rPr>
                <w:rFonts w:hint="default" w:ascii="Times New Roman" w:hAnsi="Times New Roman" w:cs="Times New Roman"/>
                <w:bCs/>
                <w:color w:val="auto"/>
                <w:sz w:val="24"/>
                <w:szCs w:val="24"/>
                <w:highlight w:val="none"/>
                <w:vertAlign w:val="superscript"/>
                <w:lang w:val="en-US" w:eastAsia="zh-CN"/>
              </w:rPr>
              <w:t>2</w:t>
            </w:r>
            <w:r>
              <w:rPr>
                <w:rFonts w:hint="default" w:ascii="Times New Roman" w:hAnsi="Times New Roman" w:cs="Times New Roman"/>
                <w:bCs/>
                <w:color w:val="auto"/>
                <w:sz w:val="24"/>
                <w:szCs w:val="24"/>
                <w:highlight w:val="none"/>
                <w:lang w:val="en-US" w:eastAsia="zh-CN"/>
              </w:rPr>
              <w:t>·d），取两天进行一次浇洒，浇洒天数为125天，</w:t>
            </w:r>
            <w:r>
              <w:rPr>
                <w:rFonts w:hint="eastAsia" w:ascii="Times New Roman" w:hAnsi="Times New Roman" w:cs="Times New Roman"/>
                <w:bCs/>
                <w:color w:val="auto"/>
                <w:sz w:val="24"/>
                <w:szCs w:val="24"/>
                <w:highlight w:val="none"/>
                <w:lang w:val="en-US" w:eastAsia="zh-CN"/>
              </w:rPr>
              <w:t>回用纯水机浓水进行道路浇洒</w:t>
            </w:r>
            <w:r>
              <w:rPr>
                <w:rFonts w:hint="eastAsia" w:cs="Times New Roman"/>
                <w:bCs/>
                <w:color w:val="auto"/>
                <w:sz w:val="24"/>
                <w:szCs w:val="24"/>
                <w:highlight w:val="none"/>
                <w:lang w:val="en-US" w:eastAsia="zh-CN"/>
              </w:rPr>
              <w:t>，回用水量为2000m</w:t>
            </w:r>
            <w:r>
              <w:rPr>
                <w:rFonts w:hint="eastAsia" w:cs="Times New Roman"/>
                <w:bCs/>
                <w:color w:val="auto"/>
                <w:sz w:val="24"/>
                <w:szCs w:val="24"/>
                <w:highlight w:val="none"/>
                <w:vertAlign w:val="superscript"/>
                <w:lang w:val="en-US" w:eastAsia="zh-CN"/>
              </w:rPr>
              <w:t>3</w:t>
            </w:r>
            <w:r>
              <w:rPr>
                <w:rFonts w:hint="eastAsia" w:cs="Times New Roman"/>
                <w:bCs/>
                <w:color w:val="auto"/>
                <w:sz w:val="24"/>
                <w:szCs w:val="24"/>
                <w:highlight w:val="none"/>
                <w:lang w:val="en-US" w:eastAsia="zh-CN"/>
              </w:rPr>
              <w:t>/a</w:t>
            </w:r>
            <w:r>
              <w:rPr>
                <w:rFonts w:hint="default" w:ascii="Times New Roman" w:hAnsi="Times New Roman" w:cs="Times New Roman"/>
                <w:bCs/>
                <w:color w:val="auto"/>
                <w:sz w:val="24"/>
                <w:szCs w:val="24"/>
                <w:highlight w:val="none"/>
                <w:lang w:val="en-US" w:eastAsia="zh-CN"/>
              </w:rPr>
              <w:t>。</w:t>
            </w:r>
          </w:p>
          <w:p w14:paraId="57874E68">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④绿化用水</w:t>
            </w:r>
          </w:p>
          <w:p w14:paraId="0CBA51ED">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厂区绿化面积共</w:t>
            </w:r>
            <w:r>
              <w:rPr>
                <w:rFonts w:hint="default" w:ascii="Times New Roman" w:hAnsi="Times New Roman" w:cs="Times New Roman"/>
                <w:bCs/>
                <w:color w:val="auto"/>
                <w:sz w:val="24"/>
                <w:szCs w:val="24"/>
                <w:highlight w:val="none"/>
                <w:lang w:val="en-US" w:eastAsia="zh-CN"/>
              </w:rPr>
              <w:t>1020</w:t>
            </w:r>
            <w:r>
              <w:rPr>
                <w:rFonts w:hint="default" w:ascii="Times New Roman" w:hAnsi="Times New Roman" w:eastAsia="宋体" w:cs="Times New Roman"/>
                <w:bCs/>
                <w:color w:val="auto"/>
                <w:sz w:val="24"/>
                <w:szCs w:val="24"/>
                <w:highlight w:val="none"/>
                <w:lang w:val="en-US" w:eastAsia="zh-CN"/>
              </w:rPr>
              <w:t>m</w:t>
            </w:r>
            <w:r>
              <w:rPr>
                <w:rFonts w:hint="default" w:ascii="Times New Roman" w:hAnsi="Times New Roman" w:eastAsia="宋体" w:cs="Times New Roman"/>
                <w:bCs/>
                <w:color w:val="auto"/>
                <w:sz w:val="24"/>
                <w:szCs w:val="24"/>
                <w:highlight w:val="none"/>
                <w:vertAlign w:val="superscript"/>
                <w:lang w:val="en-US" w:eastAsia="zh-CN"/>
              </w:rPr>
              <w:t>2</w:t>
            </w:r>
            <w:r>
              <w:rPr>
                <w:rFonts w:hint="default" w:ascii="Times New Roman" w:hAnsi="Times New Roman" w:eastAsia="宋体" w:cs="Times New Roman"/>
                <w:bCs/>
                <w:color w:val="auto"/>
                <w:sz w:val="24"/>
                <w:szCs w:val="24"/>
                <w:highlight w:val="none"/>
                <w:lang w:val="en-US" w:eastAsia="zh-CN"/>
              </w:rPr>
              <w:t>，参考《行业用水定额》（DB 61/T 943-2020）表B.8公共设施管理业用水定额，绿化用水取3.3L/（m</w:t>
            </w:r>
            <w:r>
              <w:rPr>
                <w:rFonts w:hint="default" w:ascii="Times New Roman" w:hAnsi="Times New Roman" w:eastAsia="宋体" w:cs="Times New Roman"/>
                <w:bCs/>
                <w:color w:val="auto"/>
                <w:sz w:val="24"/>
                <w:szCs w:val="24"/>
                <w:highlight w:val="none"/>
                <w:vertAlign w:val="superscript"/>
                <w:lang w:val="en-US" w:eastAsia="zh-CN"/>
              </w:rPr>
              <w:t>2</w:t>
            </w:r>
            <w:r>
              <w:rPr>
                <w:rFonts w:hint="default" w:ascii="Times New Roman" w:hAnsi="Times New Roman" w:eastAsia="宋体" w:cs="Times New Roman"/>
                <w:bCs/>
                <w:color w:val="auto"/>
                <w:sz w:val="24"/>
                <w:szCs w:val="24"/>
                <w:highlight w:val="none"/>
                <w:lang w:val="en-US" w:eastAsia="zh-CN"/>
              </w:rPr>
              <w:t>·d），</w:t>
            </w:r>
            <w:r>
              <w:rPr>
                <w:rFonts w:hint="default" w:ascii="Times New Roman" w:hAnsi="Times New Roman" w:cs="Times New Roman"/>
                <w:bCs/>
                <w:color w:val="auto"/>
                <w:sz w:val="24"/>
                <w:szCs w:val="24"/>
                <w:highlight w:val="none"/>
                <w:lang w:val="en-US" w:eastAsia="zh-CN"/>
              </w:rPr>
              <w:t>取两天进行一次绿化用水，绿化用水</w:t>
            </w:r>
            <w:r>
              <w:rPr>
                <w:rFonts w:hint="default" w:ascii="Times New Roman" w:hAnsi="Times New Roman" w:eastAsia="宋体" w:cs="Times New Roman"/>
                <w:bCs/>
                <w:color w:val="auto"/>
                <w:sz w:val="24"/>
                <w:szCs w:val="24"/>
                <w:highlight w:val="none"/>
                <w:lang w:val="en-US" w:eastAsia="zh-CN"/>
              </w:rPr>
              <w:t>天数为</w:t>
            </w:r>
            <w:r>
              <w:rPr>
                <w:rFonts w:hint="default" w:ascii="Times New Roman" w:hAnsi="Times New Roman" w:cs="Times New Roman"/>
                <w:bCs/>
                <w:color w:val="auto"/>
                <w:sz w:val="24"/>
                <w:szCs w:val="24"/>
                <w:highlight w:val="none"/>
                <w:lang w:val="en-US" w:eastAsia="zh-CN"/>
              </w:rPr>
              <w:t>125</w:t>
            </w:r>
            <w:r>
              <w:rPr>
                <w:rFonts w:hint="default" w:ascii="Times New Roman" w:hAnsi="Times New Roman" w:eastAsia="宋体" w:cs="Times New Roman"/>
                <w:bCs/>
                <w:color w:val="auto"/>
                <w:sz w:val="24"/>
                <w:szCs w:val="24"/>
                <w:highlight w:val="none"/>
                <w:lang w:val="en-US" w:eastAsia="zh-CN"/>
              </w:rPr>
              <w:t>天，则项目绿化用水量为</w:t>
            </w:r>
            <w:r>
              <w:rPr>
                <w:rFonts w:hint="default" w:ascii="Times New Roman" w:hAnsi="Times New Roman" w:cs="Times New Roman"/>
                <w:bCs/>
                <w:color w:val="auto"/>
                <w:sz w:val="24"/>
                <w:szCs w:val="24"/>
                <w:highlight w:val="none"/>
                <w:lang w:val="en-US" w:eastAsia="zh-CN"/>
              </w:rPr>
              <w:t>3.37</w:t>
            </w:r>
            <w:r>
              <w:rPr>
                <w:rFonts w:hint="default" w:ascii="Times New Roman" w:hAnsi="Times New Roman" w:eastAsia="宋体" w:cs="Times New Roman"/>
                <w:bCs/>
                <w:color w:val="auto"/>
                <w:sz w:val="24"/>
                <w:szCs w:val="24"/>
                <w:highlight w:val="none"/>
                <w:lang w:val="en-US" w:eastAsia="zh-CN"/>
              </w:rPr>
              <w:t>m</w:t>
            </w:r>
            <w:r>
              <w:rPr>
                <w:rFonts w:hint="default" w:ascii="Times New Roman" w:hAnsi="Times New Roman" w:eastAsia="宋体" w:cs="Times New Roman"/>
                <w:bCs/>
                <w:color w:val="auto"/>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lang w:val="en-US" w:eastAsia="zh-CN"/>
              </w:rPr>
              <w:t>/d（</w:t>
            </w:r>
            <w:r>
              <w:rPr>
                <w:rFonts w:hint="default" w:ascii="Times New Roman" w:hAnsi="Times New Roman" w:cs="Times New Roman"/>
                <w:bCs/>
                <w:color w:val="auto"/>
                <w:sz w:val="24"/>
                <w:szCs w:val="24"/>
                <w:highlight w:val="none"/>
                <w:lang w:val="en-US" w:eastAsia="zh-CN"/>
              </w:rPr>
              <w:t>420.8</w:t>
            </w:r>
            <w:r>
              <w:rPr>
                <w:rFonts w:hint="default" w:ascii="Times New Roman" w:hAnsi="Times New Roman" w:eastAsia="宋体" w:cs="Times New Roman"/>
                <w:bCs/>
                <w:color w:val="auto"/>
                <w:sz w:val="24"/>
                <w:szCs w:val="24"/>
                <w:highlight w:val="none"/>
                <w:lang w:val="en-US" w:eastAsia="zh-CN"/>
              </w:rPr>
              <w:t>m</w:t>
            </w:r>
            <w:r>
              <w:rPr>
                <w:rFonts w:hint="default" w:ascii="Times New Roman" w:hAnsi="Times New Roman" w:eastAsia="宋体" w:cs="Times New Roman"/>
                <w:bCs/>
                <w:color w:val="auto"/>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lang w:val="en-US" w:eastAsia="zh-CN"/>
              </w:rPr>
              <w:t>/a）</w:t>
            </w:r>
            <w:r>
              <w:rPr>
                <w:rFonts w:hint="default" w:ascii="Times New Roman" w:hAnsi="Times New Roman" w:cs="Times New Roman"/>
                <w:bCs/>
                <w:color w:val="auto"/>
                <w:sz w:val="24"/>
                <w:szCs w:val="24"/>
                <w:highlight w:val="none"/>
              </w:rPr>
              <w:t>。</w:t>
            </w:r>
          </w:p>
          <w:p w14:paraId="11F58868">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⑤纯水制备</w:t>
            </w:r>
          </w:p>
          <w:p w14:paraId="6F4BC774">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项目</w:t>
            </w:r>
            <w:r>
              <w:rPr>
                <w:rFonts w:hint="eastAsia" w:cs="Times New Roman"/>
                <w:bCs/>
                <w:color w:val="auto"/>
                <w:sz w:val="24"/>
                <w:szCs w:val="24"/>
                <w:highlight w:val="none"/>
                <w:lang w:val="en-US" w:eastAsia="zh-CN"/>
              </w:rPr>
              <w:t>空调冷水机组</w:t>
            </w:r>
            <w:r>
              <w:rPr>
                <w:rFonts w:hint="default" w:ascii="Times New Roman" w:hAnsi="Times New Roman" w:cs="Times New Roman"/>
                <w:bCs/>
                <w:color w:val="auto"/>
                <w:sz w:val="24"/>
                <w:szCs w:val="24"/>
                <w:highlight w:val="none"/>
                <w:lang w:val="en-US" w:eastAsia="zh-CN"/>
              </w:rPr>
              <w:t>使用纯水作为设备循环冷却水，水循环使用，单次</w:t>
            </w:r>
            <w:r>
              <w:rPr>
                <w:rFonts w:hint="eastAsia" w:cs="Times New Roman"/>
                <w:bCs/>
                <w:color w:val="auto"/>
                <w:sz w:val="24"/>
                <w:szCs w:val="24"/>
                <w:highlight w:val="none"/>
                <w:lang w:val="en-US" w:eastAsia="zh-CN"/>
              </w:rPr>
              <w:t>循环</w:t>
            </w:r>
            <w:r>
              <w:rPr>
                <w:rFonts w:hint="default" w:ascii="Times New Roman" w:hAnsi="Times New Roman" w:cs="Times New Roman"/>
                <w:bCs/>
                <w:color w:val="auto"/>
                <w:sz w:val="24"/>
                <w:szCs w:val="24"/>
                <w:highlight w:val="none"/>
                <w:lang w:val="en-US" w:eastAsia="zh-CN"/>
              </w:rPr>
              <w:t>用水量为</w:t>
            </w:r>
            <w:r>
              <w:rPr>
                <w:rFonts w:hint="eastAsia" w:cs="Times New Roman"/>
                <w:bCs/>
                <w:color w:val="auto"/>
                <w:sz w:val="24"/>
                <w:szCs w:val="24"/>
                <w:highlight w:val="none"/>
                <w:lang w:val="en-US" w:eastAsia="zh-CN"/>
              </w:rPr>
              <w:t>200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3</w:t>
            </w:r>
            <w:r>
              <w:rPr>
                <w:rFonts w:hint="default" w:ascii="Times New Roman" w:hAnsi="Times New Roman" w:cs="Times New Roman"/>
                <w:bCs/>
                <w:color w:val="auto"/>
                <w:sz w:val="24"/>
                <w:szCs w:val="24"/>
                <w:highlight w:val="none"/>
                <w:vertAlign w:val="baseline"/>
                <w:lang w:val="en-US" w:eastAsia="zh-CN"/>
              </w:rPr>
              <w:t>，</w:t>
            </w:r>
            <w:r>
              <w:rPr>
                <w:rFonts w:hint="default" w:ascii="Times New Roman" w:hAnsi="Times New Roman" w:cs="Times New Roman"/>
                <w:bCs/>
                <w:color w:val="auto"/>
                <w:sz w:val="24"/>
                <w:szCs w:val="24"/>
                <w:highlight w:val="none"/>
                <w:lang w:val="en-US" w:eastAsia="zh-CN"/>
              </w:rPr>
              <w:t>年补充水量为</w:t>
            </w:r>
            <w:r>
              <w:rPr>
                <w:rFonts w:hint="eastAsia" w:cs="Times New Roman"/>
                <w:bCs/>
                <w:color w:val="auto"/>
                <w:sz w:val="24"/>
                <w:szCs w:val="24"/>
                <w:highlight w:val="none"/>
                <w:lang w:val="en-US" w:eastAsia="zh-CN"/>
              </w:rPr>
              <w:t>6000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3</w:t>
            </w:r>
            <w:r>
              <w:rPr>
                <w:rFonts w:hint="default" w:ascii="Times New Roman" w:hAnsi="Times New Roman" w:cs="Times New Roman"/>
                <w:bCs/>
                <w:color w:val="auto"/>
                <w:sz w:val="24"/>
                <w:szCs w:val="24"/>
                <w:highlight w:val="none"/>
                <w:lang w:val="en-US" w:eastAsia="zh-CN"/>
              </w:rPr>
              <w:t>。纯水制备采用RO净水器。RO纯水机纯水：原水比为1:2，因此纯水制备用水量为</w:t>
            </w:r>
            <w:r>
              <w:rPr>
                <w:rFonts w:hint="eastAsia" w:cs="Times New Roman"/>
                <w:bCs/>
                <w:color w:val="auto"/>
                <w:sz w:val="24"/>
                <w:szCs w:val="24"/>
                <w:highlight w:val="none"/>
                <w:lang w:val="en-US" w:eastAsia="zh-CN"/>
              </w:rPr>
              <w:t>12400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3</w:t>
            </w:r>
            <w:r>
              <w:rPr>
                <w:rFonts w:hint="default" w:ascii="Times New Roman" w:hAnsi="Times New Roman" w:cs="Times New Roman"/>
                <w:bCs/>
                <w:color w:val="auto"/>
                <w:sz w:val="24"/>
                <w:szCs w:val="24"/>
                <w:highlight w:val="none"/>
                <w:lang w:val="en-US" w:eastAsia="zh-CN"/>
              </w:rPr>
              <w:t>/a，纯水机浓水为</w:t>
            </w:r>
            <w:r>
              <w:rPr>
                <w:rFonts w:hint="eastAsia" w:cs="Times New Roman"/>
                <w:bCs/>
                <w:color w:val="auto"/>
                <w:sz w:val="24"/>
                <w:szCs w:val="24"/>
                <w:highlight w:val="none"/>
                <w:lang w:val="en-US" w:eastAsia="zh-CN"/>
              </w:rPr>
              <w:t>6200</w:t>
            </w:r>
            <w:r>
              <w:rPr>
                <w:rFonts w:hint="default" w:ascii="Times New Roman" w:hAnsi="Times New Roman" w:cs="Times New Roman"/>
                <w:bCs/>
                <w:color w:val="auto"/>
                <w:sz w:val="24"/>
                <w:szCs w:val="24"/>
                <w:highlight w:val="none"/>
                <w:lang w:val="en-US" w:eastAsia="zh-CN"/>
              </w:rPr>
              <w:t>m</w:t>
            </w:r>
            <w:r>
              <w:rPr>
                <w:rFonts w:hint="default" w:ascii="Times New Roman" w:hAnsi="Times New Roman" w:cs="Times New Roman"/>
                <w:bCs/>
                <w:color w:val="auto"/>
                <w:sz w:val="24"/>
                <w:szCs w:val="24"/>
                <w:highlight w:val="none"/>
                <w:vertAlign w:val="superscript"/>
                <w:lang w:val="en-US" w:eastAsia="zh-CN"/>
              </w:rPr>
              <w:t>3</w:t>
            </w:r>
            <w:r>
              <w:rPr>
                <w:rFonts w:hint="default" w:ascii="Times New Roman" w:hAnsi="Times New Roman" w:cs="Times New Roman"/>
                <w:bCs/>
                <w:color w:val="auto"/>
                <w:sz w:val="24"/>
                <w:szCs w:val="24"/>
                <w:highlight w:val="none"/>
                <w:lang w:val="en-US" w:eastAsia="zh-CN"/>
              </w:rPr>
              <w:t>/a，产生的</w:t>
            </w:r>
            <w:r>
              <w:rPr>
                <w:rFonts w:hint="eastAsia" w:cs="Times New Roman"/>
                <w:bCs/>
                <w:color w:val="auto"/>
                <w:sz w:val="24"/>
                <w:szCs w:val="24"/>
                <w:highlight w:val="none"/>
                <w:lang w:val="en-US" w:eastAsia="zh-CN"/>
              </w:rPr>
              <w:t>部分</w:t>
            </w:r>
            <w:r>
              <w:rPr>
                <w:rFonts w:hint="default" w:ascii="Times New Roman" w:hAnsi="Times New Roman" w:cs="Times New Roman"/>
                <w:bCs/>
                <w:color w:val="auto"/>
                <w:sz w:val="24"/>
                <w:szCs w:val="24"/>
                <w:highlight w:val="none"/>
                <w:lang w:val="en-US" w:eastAsia="zh-CN"/>
              </w:rPr>
              <w:t>浓水回用于道路浇洒用水</w:t>
            </w:r>
            <w:r>
              <w:rPr>
                <w:rFonts w:hint="eastAsia" w:cs="Times New Roman"/>
                <w:bCs/>
                <w:color w:val="auto"/>
                <w:sz w:val="24"/>
                <w:szCs w:val="24"/>
                <w:highlight w:val="none"/>
                <w:lang w:val="en-US" w:eastAsia="zh-CN"/>
              </w:rPr>
              <w:t>，多余的浓水经市政污水管网排入沣西新城大王污水处理厂</w:t>
            </w:r>
            <w:r>
              <w:rPr>
                <w:rFonts w:hint="default" w:ascii="Times New Roman" w:hAnsi="Times New Roman" w:cs="Times New Roman"/>
                <w:bCs/>
                <w:color w:val="auto"/>
                <w:sz w:val="24"/>
                <w:szCs w:val="24"/>
                <w:highlight w:val="none"/>
                <w:lang w:val="en-US" w:eastAsia="zh-CN"/>
              </w:rPr>
              <w:t>。</w:t>
            </w:r>
          </w:p>
          <w:p w14:paraId="6861F251">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（2）排水</w:t>
            </w:r>
          </w:p>
          <w:p w14:paraId="3B7F42E1">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项目</w:t>
            </w:r>
            <w:r>
              <w:rPr>
                <w:rFonts w:hint="default" w:ascii="Times New Roman" w:hAnsi="Times New Roman" w:cs="Times New Roman"/>
                <w:bCs/>
                <w:color w:val="auto"/>
                <w:sz w:val="24"/>
                <w:szCs w:val="24"/>
                <w:highlight w:val="none"/>
                <w:lang w:val="en-US" w:eastAsia="zh-CN"/>
              </w:rPr>
              <w:t>排水为生活污水</w:t>
            </w:r>
            <w:r>
              <w:rPr>
                <w:rFonts w:hint="eastAsia"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lang w:val="en-US" w:eastAsia="zh-CN"/>
              </w:rPr>
              <w:t>食堂废水</w:t>
            </w:r>
            <w:r>
              <w:rPr>
                <w:rFonts w:hint="eastAsia" w:cs="Times New Roman"/>
                <w:bCs/>
                <w:color w:val="auto"/>
                <w:sz w:val="24"/>
                <w:szCs w:val="24"/>
                <w:highlight w:val="none"/>
                <w:lang w:val="en-US" w:eastAsia="zh-CN"/>
              </w:rPr>
              <w:t>与纯水机浓水</w:t>
            </w:r>
            <w:r>
              <w:rPr>
                <w:rFonts w:hint="default" w:ascii="Times New Roman" w:hAnsi="Times New Roman" w:cs="Times New Roman"/>
                <w:bCs/>
                <w:color w:val="auto"/>
                <w:sz w:val="24"/>
                <w:szCs w:val="24"/>
                <w:highlight w:val="none"/>
              </w:rPr>
              <w:t>；生活污水产</w:t>
            </w:r>
            <w:r>
              <w:rPr>
                <w:rFonts w:hint="default" w:ascii="Times New Roman" w:hAnsi="Times New Roman" w:cs="Times New Roman"/>
                <w:bCs/>
                <w:color w:val="auto"/>
                <w:sz w:val="24"/>
                <w:szCs w:val="24"/>
                <w:highlight w:val="none"/>
              </w:rPr>
              <w:t>污系数取0.8，生活污水产生量为</w:t>
            </w:r>
            <w:r>
              <w:rPr>
                <w:rFonts w:hint="default" w:ascii="Times New Roman" w:hAnsi="Times New Roman" w:cs="Times New Roman"/>
                <w:bCs/>
                <w:color w:val="auto"/>
                <w:sz w:val="24"/>
                <w:szCs w:val="24"/>
                <w:highlight w:val="none"/>
                <w:lang w:val="en-US" w:eastAsia="zh-CN"/>
              </w:rPr>
              <w:t>95.81</w:t>
            </w:r>
            <w:r>
              <w:rPr>
                <w:rFonts w:hint="default" w:ascii="Times New Roman" w:hAnsi="Times New Roman" w:eastAsia="宋体" w:cs="Times New Roman"/>
                <w:bCs/>
                <w:color w:val="auto"/>
                <w:sz w:val="24"/>
                <w:szCs w:val="32"/>
                <w:highlight w:val="none"/>
              </w:rPr>
              <w:t>m</w:t>
            </w:r>
            <w:r>
              <w:rPr>
                <w:rFonts w:hint="default" w:ascii="Times New Roman" w:hAnsi="Times New Roman" w:eastAsia="宋体" w:cs="Times New Roman"/>
                <w:bCs/>
                <w:color w:val="auto"/>
                <w:sz w:val="24"/>
                <w:szCs w:val="32"/>
                <w:highlight w:val="none"/>
                <w:vertAlign w:val="superscript"/>
                <w:lang w:val="en-US" w:eastAsia="zh-CN"/>
              </w:rPr>
              <w:t>3</w:t>
            </w:r>
            <w:r>
              <w:rPr>
                <w:rFonts w:hint="default" w:ascii="Times New Roman" w:hAnsi="Times New Roman" w:eastAsia="宋体" w:cs="Times New Roman"/>
                <w:bCs/>
                <w:color w:val="auto"/>
                <w:sz w:val="24"/>
                <w:szCs w:val="32"/>
                <w:highlight w:val="none"/>
              </w:rPr>
              <w:t>/d</w:t>
            </w:r>
            <w:r>
              <w:rPr>
                <w:rFonts w:hint="default" w:ascii="Times New Roman" w:hAnsi="Times New Roman" w:eastAsia="宋体" w:cs="Times New Roman"/>
                <w:bCs/>
                <w:color w:val="auto"/>
                <w:sz w:val="24"/>
                <w:szCs w:val="32"/>
                <w:highlight w:val="none"/>
                <w:lang w:eastAsia="zh-CN"/>
              </w:rPr>
              <w:t>（</w:t>
            </w:r>
            <w:r>
              <w:rPr>
                <w:rFonts w:hint="default" w:ascii="Times New Roman" w:hAnsi="Times New Roman" w:cs="Times New Roman"/>
                <w:bCs/>
                <w:color w:val="auto"/>
                <w:sz w:val="24"/>
                <w:szCs w:val="32"/>
                <w:highlight w:val="none"/>
                <w:lang w:val="en-US" w:eastAsia="zh-CN"/>
              </w:rPr>
              <w:t>23952</w:t>
            </w:r>
            <w:r>
              <w:rPr>
                <w:rFonts w:hint="default" w:ascii="Times New Roman" w:hAnsi="Times New Roman" w:eastAsia="宋体" w:cs="Times New Roman"/>
                <w:bCs/>
                <w:color w:val="auto"/>
                <w:sz w:val="24"/>
                <w:szCs w:val="32"/>
                <w:highlight w:val="none"/>
              </w:rPr>
              <w:t>m</w:t>
            </w:r>
            <w:r>
              <w:rPr>
                <w:rFonts w:hint="default" w:ascii="Times New Roman" w:hAnsi="Times New Roman" w:eastAsia="宋体" w:cs="Times New Roman"/>
                <w:bCs/>
                <w:color w:val="auto"/>
                <w:sz w:val="24"/>
                <w:szCs w:val="32"/>
                <w:highlight w:val="none"/>
                <w:vertAlign w:val="superscript"/>
                <w:lang w:val="en-US" w:eastAsia="zh-CN"/>
              </w:rPr>
              <w:t>3</w:t>
            </w:r>
            <w:r>
              <w:rPr>
                <w:rFonts w:hint="default" w:ascii="Times New Roman" w:hAnsi="Times New Roman" w:eastAsia="宋体" w:cs="Times New Roman"/>
                <w:bCs/>
                <w:color w:val="auto"/>
                <w:sz w:val="24"/>
                <w:szCs w:val="32"/>
                <w:highlight w:val="none"/>
              </w:rPr>
              <w:t>/</w:t>
            </w:r>
            <w:r>
              <w:rPr>
                <w:rFonts w:hint="default" w:ascii="Times New Roman" w:hAnsi="Times New Roman" w:eastAsia="宋体" w:cs="Times New Roman"/>
                <w:bCs/>
                <w:color w:val="auto"/>
                <w:sz w:val="24"/>
                <w:szCs w:val="32"/>
                <w:highlight w:val="none"/>
                <w:lang w:val="en-US" w:eastAsia="zh-CN"/>
              </w:rPr>
              <w:t>a</w:t>
            </w:r>
            <w:r>
              <w:rPr>
                <w:rFonts w:hint="default" w:ascii="Times New Roman" w:hAnsi="Times New Roman" w:eastAsia="宋体" w:cs="Times New Roman"/>
                <w:bCs/>
                <w:color w:val="auto"/>
                <w:sz w:val="24"/>
                <w:szCs w:val="32"/>
                <w:highlight w:val="none"/>
                <w:lang w:eastAsia="zh-CN"/>
              </w:rPr>
              <w:t>）</w:t>
            </w:r>
            <w:r>
              <w:rPr>
                <w:rFonts w:hint="eastAsia" w:cs="Times New Roman"/>
                <w:bCs/>
                <w:color w:val="auto"/>
                <w:sz w:val="24"/>
                <w:szCs w:val="32"/>
                <w:highlight w:val="none"/>
                <w:lang w:eastAsia="zh-CN"/>
              </w:rPr>
              <w:t>，</w:t>
            </w:r>
            <w:r>
              <w:rPr>
                <w:rFonts w:hint="eastAsia" w:cs="Times New Roman"/>
                <w:bCs/>
                <w:color w:val="auto"/>
                <w:sz w:val="24"/>
                <w:szCs w:val="32"/>
                <w:highlight w:val="none"/>
                <w:lang w:val="en-US" w:eastAsia="zh-CN"/>
              </w:rPr>
              <w:t>浓水排放量为4200m</w:t>
            </w:r>
            <w:r>
              <w:rPr>
                <w:rFonts w:hint="eastAsia" w:cs="Times New Roman"/>
                <w:bCs/>
                <w:color w:val="auto"/>
                <w:sz w:val="24"/>
                <w:szCs w:val="32"/>
                <w:highlight w:val="none"/>
                <w:vertAlign w:val="superscript"/>
                <w:lang w:val="en-US" w:eastAsia="zh-CN"/>
              </w:rPr>
              <w:t>3</w:t>
            </w:r>
            <w:r>
              <w:rPr>
                <w:rFonts w:hint="eastAsia" w:cs="Times New Roman"/>
                <w:bCs/>
                <w:color w:val="auto"/>
                <w:sz w:val="24"/>
                <w:szCs w:val="32"/>
                <w:highlight w:val="none"/>
                <w:lang w:val="en-US" w:eastAsia="zh-CN"/>
              </w:rPr>
              <w:t>/a</w:t>
            </w:r>
            <w:r>
              <w:rPr>
                <w:rFonts w:hint="default" w:ascii="Times New Roman" w:hAnsi="Times New Roman" w:cs="Times New Roman"/>
                <w:bCs/>
                <w:color w:val="auto"/>
                <w:sz w:val="24"/>
                <w:szCs w:val="24"/>
                <w:highlight w:val="none"/>
                <w:lang w:eastAsia="zh-CN"/>
              </w:rPr>
              <w:t>。</w:t>
            </w:r>
            <w:r>
              <w:rPr>
                <w:rFonts w:hint="eastAsia" w:cs="Times New Roman"/>
                <w:bCs/>
                <w:color w:val="auto"/>
                <w:sz w:val="24"/>
                <w:szCs w:val="24"/>
                <w:highlight w:val="none"/>
                <w:lang w:val="en-US" w:eastAsia="zh-CN"/>
              </w:rPr>
              <w:t>纯水机制备纯水产生的部分浓水回用于道路浇洒用水，多余的浓水经市政污水管网排入沣西新城大王污水处理厂</w:t>
            </w:r>
            <w:r>
              <w:rPr>
                <w:rFonts w:hint="eastAsia" w:cs="Times New Roman"/>
                <w:bCs/>
                <w:color w:val="auto"/>
                <w:sz w:val="24"/>
                <w:szCs w:val="24"/>
                <w:highlight w:val="none"/>
                <w:lang w:val="en-US" w:eastAsia="zh-CN"/>
              </w:rPr>
              <w:t>；</w:t>
            </w:r>
            <w:r>
              <w:rPr>
                <w:rFonts w:hint="default" w:ascii="Times New Roman" w:hAnsi="Times New Roman" w:cs="Times New Roman"/>
                <w:bCs/>
                <w:color w:val="auto"/>
                <w:sz w:val="24"/>
                <w:szCs w:val="24"/>
                <w:highlight w:val="none"/>
                <w:lang w:val="en-US" w:eastAsia="zh-CN"/>
              </w:rPr>
              <w:t>食堂废水经油水分离器处理后与生活污水经厂区化粪池预处理，后通过市政污水管网排至沣西新城大王污水处理厂进一步处理</w:t>
            </w:r>
            <w:r>
              <w:rPr>
                <w:rFonts w:hint="default" w:ascii="Times New Roman" w:hAnsi="Times New Roman" w:cs="Times New Roman"/>
                <w:bCs/>
                <w:color w:val="auto"/>
                <w:sz w:val="24"/>
                <w:szCs w:val="24"/>
                <w:highlight w:val="none"/>
              </w:rPr>
              <w:t>。</w:t>
            </w:r>
          </w:p>
          <w:p w14:paraId="2B3A3B87">
            <w:pPr>
              <w:pStyle w:val="48"/>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表</w:t>
            </w:r>
            <w:r>
              <w:rPr>
                <w:rFonts w:hint="default" w:ascii="Times New Roman" w:hAnsi="Times New Roman" w:eastAsia="宋体" w:cs="Times New Roman"/>
                <w:b/>
                <w:bCs/>
                <w:color w:val="auto"/>
                <w:szCs w:val="22"/>
                <w:highlight w:val="none"/>
                <w:lang w:val="en-US" w:eastAsia="zh-CN"/>
              </w:rPr>
              <w:t xml:space="preserve">2-5  </w:t>
            </w:r>
            <w:r>
              <w:rPr>
                <w:rFonts w:hint="default" w:ascii="Times New Roman" w:hAnsi="Times New Roman" w:eastAsia="宋体" w:cs="Times New Roman"/>
                <w:b/>
                <w:bCs/>
                <w:color w:val="auto"/>
                <w:szCs w:val="22"/>
                <w:highlight w:val="none"/>
              </w:rPr>
              <w:t xml:space="preserve"> </w:t>
            </w:r>
            <w:r>
              <w:rPr>
                <w:rFonts w:hint="default" w:ascii="Times New Roman" w:hAnsi="Times New Roman" w:eastAsia="宋体" w:cs="Times New Roman"/>
                <w:b/>
                <w:bCs/>
                <w:color w:val="auto"/>
                <w:szCs w:val="22"/>
                <w:highlight w:val="none"/>
                <w:lang w:eastAsia="zh-CN"/>
              </w:rPr>
              <w:t>项目用排水情况</w:t>
            </w:r>
            <w:r>
              <w:rPr>
                <w:rFonts w:hint="default" w:ascii="Times New Roman" w:hAnsi="Times New Roman" w:eastAsia="宋体" w:cs="Times New Roman"/>
                <w:b/>
                <w:bCs/>
                <w:color w:val="auto"/>
                <w:szCs w:val="22"/>
                <w:highlight w:val="none"/>
              </w:rPr>
              <w:t>一览表</w:t>
            </w:r>
          </w:p>
          <w:tbl>
            <w:tblPr>
              <w:tblStyle w:val="29"/>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404"/>
              <w:gridCol w:w="404"/>
              <w:gridCol w:w="1031"/>
              <w:gridCol w:w="959"/>
              <w:gridCol w:w="1134"/>
              <w:gridCol w:w="1130"/>
              <w:gridCol w:w="839"/>
              <w:gridCol w:w="882"/>
              <w:gridCol w:w="873"/>
              <w:gridCol w:w="934"/>
            </w:tblGrid>
            <w:tr w14:paraId="3213B0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vMerge w:val="restart"/>
                  <w:tcBorders>
                    <w:tl2br w:val="nil"/>
                    <w:tr2bl w:val="nil"/>
                  </w:tcBorders>
                  <w:noWrap w:val="0"/>
                  <w:vAlign w:val="center"/>
                </w:tcPr>
                <w:p w14:paraId="3F35114F">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序号</w:t>
                  </w:r>
                </w:p>
              </w:tc>
              <w:tc>
                <w:tcPr>
                  <w:tcW w:w="235" w:type="pct"/>
                  <w:vMerge w:val="restart"/>
                  <w:tcBorders>
                    <w:tl2br w:val="nil"/>
                    <w:tr2bl w:val="nil"/>
                  </w:tcBorders>
                  <w:noWrap w:val="0"/>
                  <w:vAlign w:val="center"/>
                </w:tcPr>
                <w:p w14:paraId="25E7EFE5">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用水类型</w:t>
                  </w:r>
                </w:p>
              </w:tc>
              <w:tc>
                <w:tcPr>
                  <w:tcW w:w="1818" w:type="pct"/>
                  <w:gridSpan w:val="3"/>
                  <w:tcBorders>
                    <w:tl2br w:val="nil"/>
                    <w:tr2bl w:val="nil"/>
                  </w:tcBorders>
                  <w:noWrap w:val="0"/>
                  <w:vAlign w:val="center"/>
                </w:tcPr>
                <w:p w14:paraId="12B6C625">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进入</w:t>
                  </w:r>
                </w:p>
              </w:tc>
              <w:tc>
                <w:tcPr>
                  <w:tcW w:w="2711" w:type="pct"/>
                  <w:gridSpan w:val="5"/>
                  <w:tcBorders>
                    <w:tl2br w:val="nil"/>
                    <w:tr2bl w:val="nil"/>
                  </w:tcBorders>
                  <w:noWrap w:val="0"/>
                  <w:vAlign w:val="center"/>
                </w:tcPr>
                <w:p w14:paraId="7E632008">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排出</w:t>
                  </w:r>
                </w:p>
              </w:tc>
            </w:tr>
            <w:tr w14:paraId="4FE1AD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vMerge w:val="continue"/>
                  <w:tcBorders>
                    <w:tl2br w:val="nil"/>
                    <w:tr2bl w:val="nil"/>
                  </w:tcBorders>
                  <w:noWrap w:val="0"/>
                  <w:vAlign w:val="center"/>
                </w:tcPr>
                <w:p w14:paraId="6AA41D74">
                  <w:pPr>
                    <w:spacing w:line="240" w:lineRule="auto"/>
                    <w:ind w:firstLine="0" w:firstLineChars="0"/>
                    <w:jc w:val="center"/>
                    <w:rPr>
                      <w:rFonts w:hint="default" w:ascii="Times New Roman" w:hAnsi="Times New Roman" w:cs="Times New Roman"/>
                      <w:color w:val="auto"/>
                      <w:spacing w:val="-11"/>
                      <w:sz w:val="21"/>
                      <w:szCs w:val="21"/>
                      <w:highlight w:val="none"/>
                    </w:rPr>
                  </w:pPr>
                </w:p>
              </w:tc>
              <w:tc>
                <w:tcPr>
                  <w:tcW w:w="235" w:type="pct"/>
                  <w:vMerge w:val="continue"/>
                  <w:tcBorders>
                    <w:tl2br w:val="nil"/>
                    <w:tr2bl w:val="nil"/>
                  </w:tcBorders>
                  <w:noWrap w:val="0"/>
                  <w:vAlign w:val="center"/>
                </w:tcPr>
                <w:p w14:paraId="7465FF07">
                  <w:pPr>
                    <w:spacing w:line="240" w:lineRule="auto"/>
                    <w:ind w:firstLine="0" w:firstLineChars="0"/>
                    <w:jc w:val="center"/>
                    <w:rPr>
                      <w:rFonts w:hint="default" w:ascii="Times New Roman" w:hAnsi="Times New Roman" w:cs="Times New Roman"/>
                      <w:color w:val="auto"/>
                      <w:spacing w:val="-11"/>
                      <w:sz w:val="21"/>
                      <w:szCs w:val="21"/>
                      <w:highlight w:val="none"/>
                    </w:rPr>
                  </w:pPr>
                </w:p>
              </w:tc>
              <w:tc>
                <w:tcPr>
                  <w:tcW w:w="600" w:type="pct"/>
                  <w:tcBorders>
                    <w:tl2br w:val="nil"/>
                    <w:tr2bl w:val="nil"/>
                  </w:tcBorders>
                  <w:noWrap w:val="0"/>
                  <w:vAlign w:val="center"/>
                </w:tcPr>
                <w:p w14:paraId="6C2039A5">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lang w:eastAsia="zh-CN"/>
                    </w:rPr>
                    <w:t>新鲜水</w:t>
                  </w:r>
                  <w:r>
                    <w:rPr>
                      <w:rFonts w:hint="default" w:ascii="Times New Roman" w:hAnsi="Times New Roman" w:cs="Times New Roman"/>
                      <w:color w:val="auto"/>
                      <w:spacing w:val="-11"/>
                      <w:sz w:val="21"/>
                      <w:szCs w:val="21"/>
                      <w:highlight w:val="none"/>
                    </w:rPr>
                    <w:t>量</w:t>
                  </w:r>
                </w:p>
                <w:p w14:paraId="292A948F">
                  <w:pPr>
                    <w:spacing w:line="240" w:lineRule="auto"/>
                    <w:ind w:firstLine="0" w:firstLineChars="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rPr>
                    <w:t>（m</w:t>
                  </w:r>
                  <w:r>
                    <w:rPr>
                      <w:rFonts w:hint="default" w:ascii="Times New Roman" w:hAnsi="Times New Roman" w:cs="Times New Roman"/>
                      <w:color w:val="auto"/>
                      <w:spacing w:val="-11"/>
                      <w:sz w:val="21"/>
                      <w:szCs w:val="21"/>
                      <w:highlight w:val="none"/>
                      <w:vertAlign w:val="superscript"/>
                    </w:rPr>
                    <w:t>3</w:t>
                  </w:r>
                  <w:r>
                    <w:rPr>
                      <w:rFonts w:hint="default" w:ascii="Times New Roman" w:hAnsi="Times New Roman" w:cs="Times New Roman"/>
                      <w:color w:val="auto"/>
                      <w:spacing w:val="-11"/>
                      <w:sz w:val="21"/>
                      <w:szCs w:val="21"/>
                      <w:highlight w:val="none"/>
                    </w:rPr>
                    <w:t>/</w:t>
                  </w:r>
                  <w:r>
                    <w:rPr>
                      <w:rFonts w:hint="default" w:ascii="Times New Roman" w:hAnsi="Times New Roman"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w:t>
                  </w:r>
                </w:p>
              </w:tc>
              <w:tc>
                <w:tcPr>
                  <w:tcW w:w="558" w:type="pct"/>
                  <w:tcBorders>
                    <w:tl2br w:val="nil"/>
                    <w:tr2bl w:val="nil"/>
                  </w:tcBorders>
                  <w:noWrap w:val="0"/>
                  <w:vAlign w:val="center"/>
                </w:tcPr>
                <w:p w14:paraId="1EF6808C">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纯水</w:t>
                  </w:r>
                  <w:r>
                    <w:rPr>
                      <w:rFonts w:hint="default" w:ascii="Times New Roman" w:hAnsi="Times New Roman" w:cs="Times New Roman"/>
                      <w:color w:val="auto"/>
                      <w:spacing w:val="-11"/>
                      <w:sz w:val="21"/>
                      <w:szCs w:val="21"/>
                      <w:highlight w:val="none"/>
                    </w:rPr>
                    <w:t>（m</w:t>
                  </w:r>
                  <w:r>
                    <w:rPr>
                      <w:rFonts w:hint="default" w:ascii="Times New Roman" w:hAnsi="Times New Roman" w:cs="Times New Roman"/>
                      <w:color w:val="auto"/>
                      <w:spacing w:val="-11"/>
                      <w:sz w:val="21"/>
                      <w:szCs w:val="21"/>
                      <w:highlight w:val="none"/>
                      <w:vertAlign w:val="superscript"/>
                    </w:rPr>
                    <w:t>3</w:t>
                  </w:r>
                  <w:r>
                    <w:rPr>
                      <w:rFonts w:hint="default" w:ascii="Times New Roman" w:hAnsi="Times New Roman" w:cs="Times New Roman"/>
                      <w:color w:val="auto"/>
                      <w:spacing w:val="-11"/>
                      <w:sz w:val="21"/>
                      <w:szCs w:val="21"/>
                      <w:highlight w:val="none"/>
                    </w:rPr>
                    <w:t>/</w:t>
                  </w:r>
                  <w:r>
                    <w:rPr>
                      <w:rFonts w:hint="default" w:ascii="Times New Roman" w:hAnsi="Times New Roman"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w:t>
                  </w:r>
                </w:p>
              </w:tc>
              <w:tc>
                <w:tcPr>
                  <w:tcW w:w="660" w:type="pct"/>
                  <w:tcBorders>
                    <w:tl2br w:val="nil"/>
                    <w:tr2bl w:val="nil"/>
                  </w:tcBorders>
                  <w:noWrap w:val="0"/>
                  <w:vAlign w:val="center"/>
                </w:tcPr>
                <w:p w14:paraId="42F2DEB5">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回用水量（m</w:t>
                  </w:r>
                  <w:r>
                    <w:rPr>
                      <w:rFonts w:hint="default" w:ascii="Times New Roman" w:hAnsi="Times New Roman" w:cs="Times New Roman"/>
                      <w:color w:val="auto"/>
                      <w:spacing w:val="-11"/>
                      <w:sz w:val="21"/>
                      <w:szCs w:val="21"/>
                      <w:highlight w:val="none"/>
                      <w:vertAlign w:val="superscript"/>
                      <w:lang w:val="en-US" w:eastAsia="zh-CN"/>
                    </w:rPr>
                    <w:t>3</w:t>
                  </w:r>
                  <w:r>
                    <w:rPr>
                      <w:rFonts w:hint="default" w:ascii="Times New Roman" w:hAnsi="Times New Roman" w:cs="Times New Roman"/>
                      <w:color w:val="auto"/>
                      <w:spacing w:val="-11"/>
                      <w:sz w:val="21"/>
                      <w:szCs w:val="21"/>
                      <w:highlight w:val="none"/>
                      <w:vertAlign w:val="baseline"/>
                      <w:lang w:val="en-US" w:eastAsia="zh-CN"/>
                    </w:rPr>
                    <w:t>/</w:t>
                  </w:r>
                  <w:r>
                    <w:rPr>
                      <w:rFonts w:hint="default" w:ascii="Times New Roman" w:hAnsi="Times New Roman" w:cs="Times New Roman"/>
                      <w:color w:val="auto"/>
                      <w:spacing w:val="-11"/>
                      <w:sz w:val="21"/>
                      <w:szCs w:val="21"/>
                      <w:highlight w:val="none"/>
                      <w:lang w:val="en-US" w:eastAsia="zh-CN"/>
                    </w:rPr>
                    <w:t>a）</w:t>
                  </w:r>
                </w:p>
              </w:tc>
              <w:tc>
                <w:tcPr>
                  <w:tcW w:w="657" w:type="pct"/>
                  <w:tcBorders>
                    <w:tl2br w:val="nil"/>
                    <w:tr2bl w:val="nil"/>
                  </w:tcBorders>
                  <w:noWrap w:val="0"/>
                  <w:vAlign w:val="center"/>
                </w:tcPr>
                <w:p w14:paraId="20B09289">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回用水量（m</w:t>
                  </w:r>
                  <w:r>
                    <w:rPr>
                      <w:rFonts w:hint="default" w:ascii="Times New Roman" w:hAnsi="Times New Roman" w:cs="Times New Roman"/>
                      <w:color w:val="auto"/>
                      <w:spacing w:val="-11"/>
                      <w:sz w:val="21"/>
                      <w:szCs w:val="21"/>
                      <w:highlight w:val="none"/>
                      <w:vertAlign w:val="superscript"/>
                      <w:lang w:val="en-US" w:eastAsia="zh-CN"/>
                    </w:rPr>
                    <w:t>3</w:t>
                  </w:r>
                  <w:r>
                    <w:rPr>
                      <w:rFonts w:hint="default" w:ascii="Times New Roman" w:hAnsi="Times New Roman" w:cs="Times New Roman"/>
                      <w:color w:val="auto"/>
                      <w:spacing w:val="-11"/>
                      <w:sz w:val="21"/>
                      <w:szCs w:val="21"/>
                      <w:highlight w:val="none"/>
                      <w:lang w:val="en-US" w:eastAsia="zh-CN"/>
                    </w:rPr>
                    <w:t>/a）</w:t>
                  </w:r>
                </w:p>
              </w:tc>
              <w:tc>
                <w:tcPr>
                  <w:tcW w:w="488" w:type="pct"/>
                  <w:tcBorders>
                    <w:tl2br w:val="nil"/>
                    <w:tr2bl w:val="nil"/>
                  </w:tcBorders>
                  <w:noWrap w:val="0"/>
                  <w:vAlign w:val="center"/>
                </w:tcPr>
                <w:p w14:paraId="3F639EF6">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消耗量</w:t>
                  </w:r>
                </w:p>
                <w:p w14:paraId="79799E37">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（m</w:t>
                  </w:r>
                  <w:r>
                    <w:rPr>
                      <w:rFonts w:hint="default" w:ascii="Times New Roman" w:hAnsi="Times New Roman" w:cs="Times New Roman"/>
                      <w:color w:val="auto"/>
                      <w:spacing w:val="-11"/>
                      <w:sz w:val="21"/>
                      <w:szCs w:val="21"/>
                      <w:highlight w:val="none"/>
                      <w:vertAlign w:val="superscript"/>
                    </w:rPr>
                    <w:t>3</w:t>
                  </w:r>
                  <w:r>
                    <w:rPr>
                      <w:rFonts w:hint="default" w:ascii="Times New Roman" w:hAnsi="Times New Roman" w:cs="Times New Roman"/>
                      <w:color w:val="auto"/>
                      <w:spacing w:val="-11"/>
                      <w:sz w:val="21"/>
                      <w:szCs w:val="21"/>
                      <w:highlight w:val="none"/>
                    </w:rPr>
                    <w:t>/</w:t>
                  </w:r>
                  <w:r>
                    <w:rPr>
                      <w:rFonts w:hint="default" w:ascii="Times New Roman" w:hAnsi="Times New Roman"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w:t>
                  </w:r>
                </w:p>
              </w:tc>
              <w:tc>
                <w:tcPr>
                  <w:tcW w:w="513" w:type="pct"/>
                  <w:tcBorders>
                    <w:tl2br w:val="nil"/>
                    <w:tr2bl w:val="nil"/>
                  </w:tcBorders>
                  <w:noWrap w:val="0"/>
                  <w:vAlign w:val="center"/>
                </w:tcPr>
                <w:p w14:paraId="1350C57C">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lang w:eastAsia="zh-CN"/>
                    </w:rPr>
                    <w:t>循环量</w:t>
                  </w:r>
                  <w:r>
                    <w:rPr>
                      <w:rFonts w:hint="default" w:ascii="Times New Roman" w:hAnsi="Times New Roman" w:cs="Times New Roman"/>
                      <w:color w:val="auto"/>
                      <w:spacing w:val="-11"/>
                      <w:sz w:val="21"/>
                      <w:szCs w:val="21"/>
                      <w:highlight w:val="none"/>
                    </w:rPr>
                    <w:t>（m</w:t>
                  </w:r>
                  <w:r>
                    <w:rPr>
                      <w:rFonts w:hint="default" w:ascii="Times New Roman" w:hAnsi="Times New Roman" w:cs="Times New Roman"/>
                      <w:color w:val="auto"/>
                      <w:spacing w:val="-11"/>
                      <w:sz w:val="21"/>
                      <w:szCs w:val="21"/>
                      <w:highlight w:val="none"/>
                      <w:vertAlign w:val="superscript"/>
                    </w:rPr>
                    <w:t>3</w:t>
                  </w:r>
                  <w:r>
                    <w:rPr>
                      <w:rFonts w:hint="default" w:ascii="Times New Roman" w:hAnsi="Times New Roman" w:cs="Times New Roman"/>
                      <w:color w:val="auto"/>
                      <w:spacing w:val="-11"/>
                      <w:sz w:val="21"/>
                      <w:szCs w:val="21"/>
                      <w:highlight w:val="none"/>
                    </w:rPr>
                    <w:t>/</w:t>
                  </w:r>
                  <w:r>
                    <w:rPr>
                      <w:rFonts w:hint="default" w:ascii="Times New Roman" w:hAnsi="Times New Roman"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w:t>
                  </w:r>
                </w:p>
              </w:tc>
              <w:tc>
                <w:tcPr>
                  <w:tcW w:w="508" w:type="pct"/>
                  <w:tcBorders>
                    <w:tl2br w:val="nil"/>
                    <w:tr2bl w:val="nil"/>
                  </w:tcBorders>
                  <w:noWrap w:val="0"/>
                  <w:vAlign w:val="center"/>
                </w:tcPr>
                <w:p w14:paraId="0385286F">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纯水</w:t>
                  </w:r>
                  <w:r>
                    <w:rPr>
                      <w:rFonts w:hint="default" w:ascii="Times New Roman" w:hAnsi="Times New Roman" w:cs="Times New Roman"/>
                      <w:color w:val="auto"/>
                      <w:spacing w:val="-11"/>
                      <w:sz w:val="21"/>
                      <w:szCs w:val="21"/>
                      <w:highlight w:val="none"/>
                    </w:rPr>
                    <w:t>（m</w:t>
                  </w:r>
                  <w:r>
                    <w:rPr>
                      <w:rFonts w:hint="default" w:ascii="Times New Roman" w:hAnsi="Times New Roman" w:cs="Times New Roman"/>
                      <w:color w:val="auto"/>
                      <w:spacing w:val="-11"/>
                      <w:sz w:val="21"/>
                      <w:szCs w:val="21"/>
                      <w:highlight w:val="none"/>
                      <w:vertAlign w:val="superscript"/>
                    </w:rPr>
                    <w:t>3</w:t>
                  </w:r>
                  <w:r>
                    <w:rPr>
                      <w:rFonts w:hint="default" w:ascii="Times New Roman" w:hAnsi="Times New Roman" w:cs="Times New Roman"/>
                      <w:color w:val="auto"/>
                      <w:spacing w:val="-11"/>
                      <w:sz w:val="21"/>
                      <w:szCs w:val="21"/>
                      <w:highlight w:val="none"/>
                    </w:rPr>
                    <w:t>/</w:t>
                  </w:r>
                  <w:r>
                    <w:rPr>
                      <w:rFonts w:hint="default" w:ascii="Times New Roman" w:hAnsi="Times New Roman"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w:t>
                  </w:r>
                </w:p>
              </w:tc>
              <w:tc>
                <w:tcPr>
                  <w:tcW w:w="543" w:type="pct"/>
                  <w:tcBorders>
                    <w:tl2br w:val="nil"/>
                    <w:tr2bl w:val="nil"/>
                  </w:tcBorders>
                  <w:noWrap w:val="0"/>
                  <w:vAlign w:val="center"/>
                </w:tcPr>
                <w:p w14:paraId="2526438C">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排水量</w:t>
                  </w:r>
                </w:p>
                <w:p w14:paraId="33E78E62">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（m</w:t>
                  </w:r>
                  <w:r>
                    <w:rPr>
                      <w:rFonts w:hint="default" w:ascii="Times New Roman" w:hAnsi="Times New Roman" w:cs="Times New Roman"/>
                      <w:color w:val="auto"/>
                      <w:spacing w:val="-11"/>
                      <w:sz w:val="21"/>
                      <w:szCs w:val="21"/>
                      <w:highlight w:val="none"/>
                      <w:vertAlign w:val="superscript"/>
                    </w:rPr>
                    <w:t>3</w:t>
                  </w:r>
                  <w:r>
                    <w:rPr>
                      <w:rFonts w:hint="default" w:ascii="Times New Roman" w:hAnsi="Times New Roman" w:cs="Times New Roman"/>
                      <w:color w:val="auto"/>
                      <w:spacing w:val="-11"/>
                      <w:sz w:val="21"/>
                      <w:szCs w:val="21"/>
                      <w:highlight w:val="none"/>
                    </w:rPr>
                    <w:t>/</w:t>
                  </w:r>
                  <w:r>
                    <w:rPr>
                      <w:rFonts w:hint="default" w:ascii="Times New Roman" w:hAnsi="Times New Roman"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w:t>
                  </w:r>
                </w:p>
              </w:tc>
            </w:tr>
            <w:tr w14:paraId="74E46F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tcBorders>
                    <w:tl2br w:val="nil"/>
                    <w:tr2bl w:val="nil"/>
                  </w:tcBorders>
                  <w:noWrap w:val="0"/>
                  <w:vAlign w:val="center"/>
                </w:tcPr>
                <w:p w14:paraId="033B290E">
                  <w:pPr>
                    <w:spacing w:line="240" w:lineRule="auto"/>
                    <w:ind w:firstLine="0" w:firstLineChars="0"/>
                    <w:jc w:val="center"/>
                    <w:rPr>
                      <w:rFonts w:hint="default" w:ascii="Times New Roman" w:hAnsi="Times New Roman" w:eastAsia="宋体" w:cs="Times New Roman"/>
                      <w:color w:val="auto"/>
                      <w:spacing w:val="-11"/>
                      <w:sz w:val="21"/>
                      <w:szCs w:val="21"/>
                      <w:highlight w:val="none"/>
                      <w:lang w:eastAsia="zh-CN"/>
                    </w:rPr>
                  </w:pPr>
                  <w:r>
                    <w:rPr>
                      <w:rFonts w:hint="default" w:ascii="Times New Roman" w:hAnsi="Times New Roman" w:cs="Times New Roman"/>
                      <w:color w:val="auto"/>
                      <w:spacing w:val="-11"/>
                      <w:sz w:val="21"/>
                      <w:szCs w:val="21"/>
                      <w:highlight w:val="none"/>
                      <w:lang w:val="en-US" w:eastAsia="zh-CN"/>
                    </w:rPr>
                    <w:t>1</w:t>
                  </w:r>
                </w:p>
              </w:tc>
              <w:tc>
                <w:tcPr>
                  <w:tcW w:w="235" w:type="pct"/>
                  <w:tcBorders>
                    <w:tl2br w:val="nil"/>
                    <w:tr2bl w:val="nil"/>
                  </w:tcBorders>
                  <w:noWrap w:val="0"/>
                  <w:vAlign w:val="center"/>
                </w:tcPr>
                <w:p w14:paraId="77B797CA">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生活用水</w:t>
                  </w:r>
                </w:p>
              </w:tc>
              <w:tc>
                <w:tcPr>
                  <w:tcW w:w="600" w:type="pct"/>
                  <w:tcBorders>
                    <w:tl2br w:val="nil"/>
                    <w:tr2bl w:val="nil"/>
                  </w:tcBorders>
                  <w:noWrap w:val="0"/>
                  <w:vAlign w:val="center"/>
                </w:tcPr>
                <w:p w14:paraId="40DAC87D">
                  <w:pPr>
                    <w:spacing w:line="240" w:lineRule="auto"/>
                    <w:ind w:firstLine="0" w:firstLineChars="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29940</w:t>
                  </w:r>
                </w:p>
              </w:tc>
              <w:tc>
                <w:tcPr>
                  <w:tcW w:w="558" w:type="pct"/>
                  <w:tcBorders>
                    <w:tl2br w:val="nil"/>
                    <w:tr2bl w:val="nil"/>
                  </w:tcBorders>
                  <w:noWrap w:val="0"/>
                  <w:vAlign w:val="center"/>
                </w:tcPr>
                <w:p w14:paraId="1008F74E">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60" w:type="pct"/>
                  <w:tcBorders>
                    <w:tl2br w:val="nil"/>
                    <w:tr2bl w:val="nil"/>
                  </w:tcBorders>
                  <w:noWrap w:val="0"/>
                  <w:vAlign w:val="center"/>
                </w:tcPr>
                <w:p w14:paraId="65955789">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57" w:type="pct"/>
                  <w:tcBorders>
                    <w:tl2br w:val="nil"/>
                    <w:tr2bl w:val="nil"/>
                  </w:tcBorders>
                  <w:noWrap w:val="0"/>
                  <w:vAlign w:val="center"/>
                </w:tcPr>
                <w:p w14:paraId="18F01EF1">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488" w:type="pct"/>
                  <w:tcBorders>
                    <w:tl2br w:val="nil"/>
                    <w:tr2bl w:val="nil"/>
                  </w:tcBorders>
                  <w:noWrap w:val="0"/>
                  <w:vAlign w:val="center"/>
                </w:tcPr>
                <w:p w14:paraId="4A4FCD4D">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5988</w:t>
                  </w:r>
                </w:p>
              </w:tc>
              <w:tc>
                <w:tcPr>
                  <w:tcW w:w="513" w:type="pct"/>
                  <w:tcBorders>
                    <w:tl2br w:val="nil"/>
                    <w:tr2bl w:val="nil"/>
                  </w:tcBorders>
                  <w:noWrap w:val="0"/>
                  <w:vAlign w:val="center"/>
                </w:tcPr>
                <w:p w14:paraId="79CE3995">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0</w:t>
                  </w:r>
                </w:p>
              </w:tc>
              <w:tc>
                <w:tcPr>
                  <w:tcW w:w="508" w:type="pct"/>
                  <w:tcBorders>
                    <w:tl2br w:val="nil"/>
                    <w:tr2bl w:val="nil"/>
                  </w:tcBorders>
                  <w:noWrap w:val="0"/>
                  <w:vAlign w:val="center"/>
                </w:tcPr>
                <w:p w14:paraId="620295C6">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43" w:type="pct"/>
                  <w:tcBorders>
                    <w:tl2br w:val="nil"/>
                    <w:tr2bl w:val="nil"/>
                  </w:tcBorders>
                  <w:noWrap w:val="0"/>
                  <w:vAlign w:val="center"/>
                </w:tcPr>
                <w:p w14:paraId="36BD1B45">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23952</w:t>
                  </w:r>
                </w:p>
              </w:tc>
            </w:tr>
            <w:tr w14:paraId="35DD7A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tcBorders>
                    <w:tl2br w:val="nil"/>
                    <w:tr2bl w:val="nil"/>
                  </w:tcBorders>
                  <w:noWrap w:val="0"/>
                  <w:vAlign w:val="center"/>
                </w:tcPr>
                <w:p w14:paraId="43B75707">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2</w:t>
                  </w:r>
                </w:p>
              </w:tc>
              <w:tc>
                <w:tcPr>
                  <w:tcW w:w="235" w:type="pct"/>
                  <w:tcBorders>
                    <w:tl2br w:val="nil"/>
                    <w:tr2bl w:val="nil"/>
                  </w:tcBorders>
                  <w:noWrap w:val="0"/>
                  <w:vAlign w:val="center"/>
                </w:tcPr>
                <w:p w14:paraId="3062D689">
                  <w:pPr>
                    <w:spacing w:line="240" w:lineRule="auto"/>
                    <w:ind w:firstLine="0" w:firstLineChars="0"/>
                    <w:jc w:val="center"/>
                    <w:rPr>
                      <w:rFonts w:hint="default" w:ascii="Times New Roman" w:hAnsi="Times New Roman" w:cs="Times New Roman"/>
                      <w:color w:val="auto"/>
                      <w:spacing w:val="-11"/>
                      <w:sz w:val="21"/>
                      <w:szCs w:val="21"/>
                      <w:highlight w:val="none"/>
                      <w:lang w:val="en-US"/>
                    </w:rPr>
                  </w:pPr>
                  <w:r>
                    <w:rPr>
                      <w:rFonts w:hint="default" w:ascii="Times New Roman" w:hAnsi="Times New Roman" w:cs="Times New Roman"/>
                      <w:color w:val="auto"/>
                      <w:spacing w:val="-11"/>
                      <w:sz w:val="21"/>
                      <w:szCs w:val="21"/>
                      <w:highlight w:val="none"/>
                      <w:lang w:val="en-US" w:eastAsia="zh-CN"/>
                    </w:rPr>
                    <w:t>纯水制备</w:t>
                  </w:r>
                </w:p>
              </w:tc>
              <w:tc>
                <w:tcPr>
                  <w:tcW w:w="600" w:type="pct"/>
                  <w:tcBorders>
                    <w:tl2br w:val="nil"/>
                    <w:tr2bl w:val="nil"/>
                  </w:tcBorders>
                  <w:noWrap w:val="0"/>
                  <w:vAlign w:val="center"/>
                </w:tcPr>
                <w:p w14:paraId="14C62608">
                  <w:pPr>
                    <w:spacing w:line="240" w:lineRule="auto"/>
                    <w:ind w:firstLine="0" w:firstLineChars="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eastAsia" w:cs="Times New Roman"/>
                      <w:color w:val="auto"/>
                      <w:spacing w:val="-11"/>
                      <w:kern w:val="2"/>
                      <w:sz w:val="21"/>
                      <w:szCs w:val="21"/>
                      <w:highlight w:val="none"/>
                      <w:lang w:val="en-US" w:eastAsia="zh-CN" w:bidi="ar-SA"/>
                    </w:rPr>
                    <w:t>12400</w:t>
                  </w:r>
                </w:p>
              </w:tc>
              <w:tc>
                <w:tcPr>
                  <w:tcW w:w="558" w:type="pct"/>
                  <w:tcBorders>
                    <w:tl2br w:val="nil"/>
                    <w:tr2bl w:val="nil"/>
                  </w:tcBorders>
                  <w:noWrap w:val="0"/>
                  <w:vAlign w:val="center"/>
                </w:tcPr>
                <w:p w14:paraId="7A4ED28A">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60" w:type="pct"/>
                  <w:tcBorders>
                    <w:tl2br w:val="nil"/>
                    <w:tr2bl w:val="nil"/>
                  </w:tcBorders>
                  <w:noWrap w:val="0"/>
                  <w:vAlign w:val="center"/>
                </w:tcPr>
                <w:p w14:paraId="43844435">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57" w:type="pct"/>
                  <w:tcBorders>
                    <w:tl2br w:val="nil"/>
                    <w:tr2bl w:val="nil"/>
                  </w:tcBorders>
                  <w:noWrap w:val="0"/>
                  <w:vAlign w:val="center"/>
                </w:tcPr>
                <w:p w14:paraId="07D89E63">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2000</w:t>
                  </w:r>
                </w:p>
              </w:tc>
              <w:tc>
                <w:tcPr>
                  <w:tcW w:w="488" w:type="pct"/>
                  <w:tcBorders>
                    <w:tl2br w:val="nil"/>
                    <w:tr2bl w:val="nil"/>
                  </w:tcBorders>
                  <w:noWrap w:val="0"/>
                  <w:vAlign w:val="center"/>
                </w:tcPr>
                <w:p w14:paraId="6CEEF4C3">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13" w:type="pct"/>
                  <w:tcBorders>
                    <w:tl2br w:val="nil"/>
                    <w:tr2bl w:val="nil"/>
                  </w:tcBorders>
                  <w:noWrap w:val="0"/>
                  <w:vAlign w:val="center"/>
                </w:tcPr>
                <w:p w14:paraId="18FEADAC">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08" w:type="pct"/>
                  <w:tcBorders>
                    <w:tl2br w:val="nil"/>
                    <w:tr2bl w:val="nil"/>
                  </w:tcBorders>
                  <w:noWrap w:val="0"/>
                  <w:vAlign w:val="center"/>
                </w:tcPr>
                <w:p w14:paraId="7B322E0F">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6200</w:t>
                  </w:r>
                </w:p>
              </w:tc>
              <w:tc>
                <w:tcPr>
                  <w:tcW w:w="543" w:type="pct"/>
                  <w:tcBorders>
                    <w:tl2br w:val="nil"/>
                    <w:tr2bl w:val="nil"/>
                  </w:tcBorders>
                  <w:noWrap w:val="0"/>
                  <w:vAlign w:val="center"/>
                </w:tcPr>
                <w:p w14:paraId="3789820A">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4200</w:t>
                  </w:r>
                </w:p>
              </w:tc>
            </w:tr>
            <w:tr w14:paraId="14C0BA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235" w:type="pct"/>
                  <w:tcBorders>
                    <w:tl2br w:val="nil"/>
                    <w:tr2bl w:val="nil"/>
                  </w:tcBorders>
                  <w:noWrap w:val="0"/>
                  <w:vAlign w:val="center"/>
                </w:tcPr>
                <w:p w14:paraId="221DF917">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3</w:t>
                  </w:r>
                </w:p>
              </w:tc>
              <w:tc>
                <w:tcPr>
                  <w:tcW w:w="235" w:type="pct"/>
                  <w:tcBorders>
                    <w:tl2br w:val="nil"/>
                    <w:tr2bl w:val="nil"/>
                  </w:tcBorders>
                  <w:noWrap w:val="0"/>
                  <w:vAlign w:val="center"/>
                </w:tcPr>
                <w:p w14:paraId="63BE364B">
                  <w:pPr>
                    <w:spacing w:line="240" w:lineRule="auto"/>
                    <w:ind w:firstLine="0" w:firstLineChars="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循环冷却水</w:t>
                  </w:r>
                </w:p>
              </w:tc>
              <w:tc>
                <w:tcPr>
                  <w:tcW w:w="600" w:type="pct"/>
                  <w:tcBorders>
                    <w:tl2br w:val="nil"/>
                    <w:tr2bl w:val="nil"/>
                  </w:tcBorders>
                  <w:noWrap w:val="0"/>
                  <w:vAlign w:val="center"/>
                </w:tcPr>
                <w:p w14:paraId="002C5ACB">
                  <w:pPr>
                    <w:spacing w:line="240" w:lineRule="auto"/>
                    <w:ind w:firstLine="0" w:firstLineChars="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0</w:t>
                  </w:r>
                </w:p>
              </w:tc>
              <w:tc>
                <w:tcPr>
                  <w:tcW w:w="558" w:type="pct"/>
                  <w:tcBorders>
                    <w:tl2br w:val="nil"/>
                    <w:tr2bl w:val="nil"/>
                  </w:tcBorders>
                  <w:noWrap w:val="0"/>
                  <w:vAlign w:val="center"/>
                </w:tcPr>
                <w:p w14:paraId="1A5CA286">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6200</w:t>
                  </w:r>
                </w:p>
              </w:tc>
              <w:tc>
                <w:tcPr>
                  <w:tcW w:w="660" w:type="pct"/>
                  <w:tcBorders>
                    <w:tl2br w:val="nil"/>
                    <w:tr2bl w:val="nil"/>
                  </w:tcBorders>
                  <w:noWrap w:val="0"/>
                  <w:vAlign w:val="center"/>
                </w:tcPr>
                <w:p w14:paraId="5746C65B">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57" w:type="pct"/>
                  <w:tcBorders>
                    <w:tl2br w:val="nil"/>
                    <w:tr2bl w:val="nil"/>
                  </w:tcBorders>
                  <w:noWrap w:val="0"/>
                  <w:vAlign w:val="center"/>
                </w:tcPr>
                <w:p w14:paraId="454AA0CD">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488" w:type="pct"/>
                  <w:tcBorders>
                    <w:tl2br w:val="nil"/>
                    <w:tr2bl w:val="nil"/>
                  </w:tcBorders>
                  <w:noWrap w:val="0"/>
                  <w:vAlign w:val="center"/>
                </w:tcPr>
                <w:p w14:paraId="064433A3">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6000</w:t>
                  </w:r>
                </w:p>
              </w:tc>
              <w:tc>
                <w:tcPr>
                  <w:tcW w:w="513" w:type="pct"/>
                  <w:tcBorders>
                    <w:tl2br w:val="nil"/>
                    <w:tr2bl w:val="nil"/>
                  </w:tcBorders>
                  <w:noWrap w:val="0"/>
                  <w:vAlign w:val="center"/>
                </w:tcPr>
                <w:p w14:paraId="339A1C9F">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200</w:t>
                  </w:r>
                </w:p>
              </w:tc>
              <w:tc>
                <w:tcPr>
                  <w:tcW w:w="508" w:type="pct"/>
                  <w:tcBorders>
                    <w:tl2br w:val="nil"/>
                    <w:tr2bl w:val="nil"/>
                  </w:tcBorders>
                  <w:noWrap w:val="0"/>
                  <w:vAlign w:val="center"/>
                </w:tcPr>
                <w:p w14:paraId="5516CE52">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43" w:type="pct"/>
                  <w:tcBorders>
                    <w:tl2br w:val="nil"/>
                    <w:tr2bl w:val="nil"/>
                  </w:tcBorders>
                  <w:noWrap w:val="0"/>
                  <w:vAlign w:val="center"/>
                </w:tcPr>
                <w:p w14:paraId="6E06F885">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r>
            <w:tr w14:paraId="0766D3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tcBorders>
                    <w:tl2br w:val="nil"/>
                    <w:tr2bl w:val="nil"/>
                  </w:tcBorders>
                  <w:noWrap w:val="0"/>
                  <w:vAlign w:val="center"/>
                </w:tcPr>
                <w:p w14:paraId="13C3DD5B">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4</w:t>
                  </w:r>
                </w:p>
              </w:tc>
              <w:tc>
                <w:tcPr>
                  <w:tcW w:w="235" w:type="pct"/>
                  <w:tcBorders>
                    <w:tl2br w:val="nil"/>
                    <w:tr2bl w:val="nil"/>
                  </w:tcBorders>
                  <w:noWrap w:val="0"/>
                  <w:vAlign w:val="center"/>
                </w:tcPr>
                <w:p w14:paraId="5012BBF0">
                  <w:pPr>
                    <w:spacing w:line="240" w:lineRule="auto"/>
                    <w:ind w:firstLine="0" w:firstLineChars="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道路浇洒用水</w:t>
                  </w:r>
                </w:p>
              </w:tc>
              <w:tc>
                <w:tcPr>
                  <w:tcW w:w="600" w:type="pct"/>
                  <w:tcBorders>
                    <w:tl2br w:val="nil"/>
                    <w:tr2bl w:val="nil"/>
                  </w:tcBorders>
                  <w:noWrap w:val="0"/>
                  <w:vAlign w:val="center"/>
                </w:tcPr>
                <w:p w14:paraId="4A7071CB">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0</w:t>
                  </w:r>
                </w:p>
              </w:tc>
              <w:tc>
                <w:tcPr>
                  <w:tcW w:w="558" w:type="pct"/>
                  <w:tcBorders>
                    <w:tl2br w:val="nil"/>
                    <w:tr2bl w:val="nil"/>
                  </w:tcBorders>
                  <w:noWrap w:val="0"/>
                  <w:vAlign w:val="center"/>
                </w:tcPr>
                <w:p w14:paraId="231696FE">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60" w:type="pct"/>
                  <w:tcBorders>
                    <w:tl2br w:val="nil"/>
                    <w:tr2bl w:val="nil"/>
                  </w:tcBorders>
                  <w:noWrap w:val="0"/>
                  <w:vAlign w:val="center"/>
                </w:tcPr>
                <w:p w14:paraId="38B7B82B">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2000</w:t>
                  </w:r>
                </w:p>
              </w:tc>
              <w:tc>
                <w:tcPr>
                  <w:tcW w:w="657" w:type="pct"/>
                  <w:tcBorders>
                    <w:tl2br w:val="nil"/>
                    <w:tr2bl w:val="nil"/>
                  </w:tcBorders>
                  <w:noWrap w:val="0"/>
                  <w:vAlign w:val="center"/>
                </w:tcPr>
                <w:p w14:paraId="62883150">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488" w:type="pct"/>
                  <w:tcBorders>
                    <w:tl2br w:val="nil"/>
                    <w:tr2bl w:val="nil"/>
                  </w:tcBorders>
                  <w:noWrap w:val="0"/>
                  <w:vAlign w:val="center"/>
                </w:tcPr>
                <w:p w14:paraId="12431C8A">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2000</w:t>
                  </w:r>
                </w:p>
              </w:tc>
              <w:tc>
                <w:tcPr>
                  <w:tcW w:w="513" w:type="pct"/>
                  <w:tcBorders>
                    <w:tl2br w:val="nil"/>
                    <w:tr2bl w:val="nil"/>
                  </w:tcBorders>
                  <w:noWrap w:val="0"/>
                  <w:vAlign w:val="center"/>
                </w:tcPr>
                <w:p w14:paraId="7A8AC10E">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08" w:type="pct"/>
                  <w:tcBorders>
                    <w:tl2br w:val="nil"/>
                    <w:tr2bl w:val="nil"/>
                  </w:tcBorders>
                  <w:noWrap w:val="0"/>
                  <w:vAlign w:val="center"/>
                </w:tcPr>
                <w:p w14:paraId="4280C869">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43" w:type="pct"/>
                  <w:tcBorders>
                    <w:tl2br w:val="nil"/>
                    <w:tr2bl w:val="nil"/>
                  </w:tcBorders>
                  <w:noWrap w:val="0"/>
                  <w:vAlign w:val="center"/>
                </w:tcPr>
                <w:p w14:paraId="335E542E">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r>
            <w:tr w14:paraId="3B08E1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tcBorders>
                    <w:tl2br w:val="nil"/>
                    <w:tr2bl w:val="nil"/>
                  </w:tcBorders>
                  <w:noWrap w:val="0"/>
                  <w:vAlign w:val="center"/>
                </w:tcPr>
                <w:p w14:paraId="4ECB08BE">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5</w:t>
                  </w:r>
                </w:p>
              </w:tc>
              <w:tc>
                <w:tcPr>
                  <w:tcW w:w="235" w:type="pct"/>
                  <w:tcBorders>
                    <w:tl2br w:val="nil"/>
                    <w:tr2bl w:val="nil"/>
                  </w:tcBorders>
                  <w:noWrap w:val="0"/>
                  <w:vAlign w:val="center"/>
                </w:tcPr>
                <w:p w14:paraId="26977F2C">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绿化用水</w:t>
                  </w:r>
                </w:p>
              </w:tc>
              <w:tc>
                <w:tcPr>
                  <w:tcW w:w="600" w:type="pct"/>
                  <w:tcBorders>
                    <w:tl2br w:val="nil"/>
                    <w:tr2bl w:val="nil"/>
                  </w:tcBorders>
                  <w:noWrap w:val="0"/>
                  <w:vAlign w:val="center"/>
                </w:tcPr>
                <w:p w14:paraId="6CE5D638">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420.8</w:t>
                  </w:r>
                </w:p>
              </w:tc>
              <w:tc>
                <w:tcPr>
                  <w:tcW w:w="558" w:type="pct"/>
                  <w:tcBorders>
                    <w:tl2br w:val="nil"/>
                    <w:tr2bl w:val="nil"/>
                  </w:tcBorders>
                  <w:noWrap w:val="0"/>
                  <w:vAlign w:val="center"/>
                </w:tcPr>
                <w:p w14:paraId="03B103EC">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60" w:type="pct"/>
                  <w:tcBorders>
                    <w:tl2br w:val="nil"/>
                    <w:tr2bl w:val="nil"/>
                  </w:tcBorders>
                  <w:noWrap w:val="0"/>
                  <w:vAlign w:val="center"/>
                </w:tcPr>
                <w:p w14:paraId="3FAD80CA">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657" w:type="pct"/>
                  <w:tcBorders>
                    <w:tl2br w:val="nil"/>
                    <w:tr2bl w:val="nil"/>
                  </w:tcBorders>
                  <w:noWrap w:val="0"/>
                  <w:vAlign w:val="center"/>
                </w:tcPr>
                <w:p w14:paraId="1FF8D685">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488" w:type="pct"/>
                  <w:tcBorders>
                    <w:tl2br w:val="nil"/>
                    <w:tr2bl w:val="nil"/>
                  </w:tcBorders>
                  <w:noWrap w:val="0"/>
                  <w:vAlign w:val="center"/>
                </w:tcPr>
                <w:p w14:paraId="5407F69F">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420.8</w:t>
                  </w:r>
                </w:p>
              </w:tc>
              <w:tc>
                <w:tcPr>
                  <w:tcW w:w="513" w:type="pct"/>
                  <w:tcBorders>
                    <w:tl2br w:val="nil"/>
                    <w:tr2bl w:val="nil"/>
                  </w:tcBorders>
                  <w:noWrap w:val="0"/>
                  <w:vAlign w:val="center"/>
                </w:tcPr>
                <w:p w14:paraId="2707D7E1">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08" w:type="pct"/>
                  <w:tcBorders>
                    <w:tl2br w:val="nil"/>
                    <w:tr2bl w:val="nil"/>
                  </w:tcBorders>
                  <w:noWrap w:val="0"/>
                  <w:vAlign w:val="center"/>
                </w:tcPr>
                <w:p w14:paraId="6659BD58">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c>
                <w:tcPr>
                  <w:tcW w:w="543" w:type="pct"/>
                  <w:tcBorders>
                    <w:tl2br w:val="nil"/>
                    <w:tr2bl w:val="nil"/>
                  </w:tcBorders>
                  <w:noWrap w:val="0"/>
                  <w:vAlign w:val="center"/>
                </w:tcPr>
                <w:p w14:paraId="33181EF7">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0</w:t>
                  </w:r>
                </w:p>
              </w:tc>
            </w:tr>
            <w:tr w14:paraId="5E7F81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235" w:type="pct"/>
                  <w:tcBorders>
                    <w:tl2br w:val="nil"/>
                    <w:tr2bl w:val="nil"/>
                  </w:tcBorders>
                  <w:noWrap w:val="0"/>
                  <w:vAlign w:val="center"/>
                </w:tcPr>
                <w:p w14:paraId="50E40A76">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合计</w:t>
                  </w:r>
                </w:p>
              </w:tc>
              <w:tc>
                <w:tcPr>
                  <w:tcW w:w="235" w:type="pct"/>
                  <w:tcBorders>
                    <w:tl2br w:val="nil"/>
                    <w:tr2bl w:val="nil"/>
                  </w:tcBorders>
                  <w:noWrap w:val="0"/>
                  <w:vAlign w:val="center"/>
                </w:tcPr>
                <w:p w14:paraId="06AB9C78">
                  <w:pPr>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w:t>
                  </w:r>
                </w:p>
              </w:tc>
              <w:tc>
                <w:tcPr>
                  <w:tcW w:w="600" w:type="pct"/>
                  <w:tcBorders>
                    <w:tl2br w:val="nil"/>
                    <w:tr2bl w:val="nil"/>
                  </w:tcBorders>
                  <w:noWrap w:val="0"/>
                  <w:vAlign w:val="center"/>
                </w:tcPr>
                <w:p w14:paraId="4B30588C">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42760.8</w:t>
                  </w:r>
                </w:p>
              </w:tc>
              <w:tc>
                <w:tcPr>
                  <w:tcW w:w="558" w:type="pct"/>
                  <w:tcBorders>
                    <w:tl2br w:val="nil"/>
                    <w:tr2bl w:val="nil"/>
                  </w:tcBorders>
                  <w:noWrap w:val="0"/>
                  <w:vAlign w:val="center"/>
                </w:tcPr>
                <w:p w14:paraId="4E50283A">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6200</w:t>
                  </w:r>
                </w:p>
              </w:tc>
              <w:tc>
                <w:tcPr>
                  <w:tcW w:w="660" w:type="pct"/>
                  <w:tcBorders>
                    <w:tl2br w:val="nil"/>
                    <w:tr2bl w:val="nil"/>
                  </w:tcBorders>
                  <w:noWrap w:val="0"/>
                  <w:vAlign w:val="center"/>
                </w:tcPr>
                <w:p w14:paraId="1EA35EF4">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2000</w:t>
                  </w:r>
                </w:p>
              </w:tc>
              <w:tc>
                <w:tcPr>
                  <w:tcW w:w="657" w:type="pct"/>
                  <w:tcBorders>
                    <w:tl2br w:val="nil"/>
                    <w:tr2bl w:val="nil"/>
                  </w:tcBorders>
                  <w:noWrap w:val="0"/>
                  <w:vAlign w:val="center"/>
                </w:tcPr>
                <w:p w14:paraId="01D58181">
                  <w:pPr>
                    <w:spacing w:line="240" w:lineRule="auto"/>
                    <w:ind w:firstLine="0" w:firstLineChars="0"/>
                    <w:jc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2000</w:t>
                  </w:r>
                </w:p>
              </w:tc>
              <w:tc>
                <w:tcPr>
                  <w:tcW w:w="488" w:type="pct"/>
                  <w:tcBorders>
                    <w:tl2br w:val="nil"/>
                    <w:tr2bl w:val="nil"/>
                  </w:tcBorders>
                  <w:noWrap w:val="0"/>
                  <w:vAlign w:val="center"/>
                </w:tcPr>
                <w:p w14:paraId="490F17D5">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14408.8</w:t>
                  </w:r>
                </w:p>
              </w:tc>
              <w:tc>
                <w:tcPr>
                  <w:tcW w:w="513" w:type="pct"/>
                  <w:tcBorders>
                    <w:tl2br w:val="nil"/>
                    <w:tr2bl w:val="nil"/>
                  </w:tcBorders>
                  <w:noWrap w:val="0"/>
                  <w:vAlign w:val="center"/>
                </w:tcPr>
                <w:p w14:paraId="33D2BFA1">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200</w:t>
                  </w:r>
                </w:p>
              </w:tc>
              <w:tc>
                <w:tcPr>
                  <w:tcW w:w="508" w:type="pct"/>
                  <w:tcBorders>
                    <w:tl2br w:val="nil"/>
                    <w:tr2bl w:val="nil"/>
                  </w:tcBorders>
                  <w:noWrap w:val="0"/>
                  <w:vAlign w:val="center"/>
                </w:tcPr>
                <w:p w14:paraId="451CD5F0">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6200</w:t>
                  </w:r>
                </w:p>
              </w:tc>
              <w:tc>
                <w:tcPr>
                  <w:tcW w:w="543" w:type="pct"/>
                  <w:tcBorders>
                    <w:tl2br w:val="nil"/>
                    <w:tr2bl w:val="nil"/>
                  </w:tcBorders>
                  <w:noWrap w:val="0"/>
                  <w:vAlign w:val="center"/>
                </w:tcPr>
                <w:p w14:paraId="519215BC">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28152</w:t>
                  </w:r>
                </w:p>
              </w:tc>
            </w:tr>
          </w:tbl>
          <w:p w14:paraId="379B615A">
            <w:pPr>
              <w:adjustRightInd w:val="0"/>
              <w:snapToGrid w:val="0"/>
              <w:spacing w:line="360" w:lineRule="auto"/>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
                <w:color w:val="auto"/>
                <w:sz w:val="21"/>
                <w:szCs w:val="21"/>
                <w:highlight w:val="none"/>
              </w:rPr>
              <w:object>
                <v:shape id="_x0000_i1025" o:spt="75" type="#_x0000_t75" style="height:247.7pt;width:440.6pt;" o:ole="t" filled="f" o:preferrelative="t" stroked="f" coordsize="21600,21600">
                  <v:path/>
                  <v:fill on="f" focussize="0,0"/>
                  <v:stroke on="f"/>
                  <v:imagedata r:id="rId12" o:title=""/>
                  <o:lock v:ext="edit" aspectratio="f"/>
                  <w10:wrap type="none"/>
                  <w10:anchorlock/>
                </v:shape>
                <o:OLEObject Type="Embed" ProgID="Visio.Drawing.11" ShapeID="_x0000_i1025" DrawAspect="Content" ObjectID="_1468075725" r:id="rId11">
                  <o:LockedField>false</o:LockedField>
                </o:OLEObject>
              </w:object>
            </w:r>
            <w:r>
              <w:rPr>
                <w:rFonts w:hint="default" w:ascii="Times New Roman" w:hAnsi="Times New Roman" w:cs="Times New Roman"/>
                <w:b/>
                <w:color w:val="auto"/>
                <w:sz w:val="21"/>
                <w:szCs w:val="21"/>
                <w:highlight w:val="none"/>
              </w:rPr>
              <w:t>图2-1   项目水平衡图    单位：m</w:t>
            </w:r>
            <w:r>
              <w:rPr>
                <w:rFonts w:hint="default" w:ascii="Times New Roman" w:hAnsi="Times New Roman" w:cs="Times New Roman"/>
                <w:b/>
                <w:color w:val="auto"/>
                <w:sz w:val="21"/>
                <w:szCs w:val="21"/>
                <w:highlight w:val="none"/>
                <w:vertAlign w:val="superscript"/>
              </w:rPr>
              <w:t>3</w:t>
            </w:r>
            <w:r>
              <w:rPr>
                <w:rFonts w:hint="default" w:ascii="Times New Roman" w:hAnsi="Times New Roman" w:cs="Times New Roman"/>
                <w:b/>
                <w:color w:val="auto"/>
                <w:sz w:val="21"/>
                <w:szCs w:val="21"/>
                <w:highlight w:val="none"/>
              </w:rPr>
              <w:t>/</w:t>
            </w:r>
            <w:r>
              <w:rPr>
                <w:rFonts w:hint="default" w:ascii="Times New Roman" w:hAnsi="Times New Roman" w:cs="Times New Roman"/>
                <w:b/>
                <w:color w:val="auto"/>
                <w:sz w:val="21"/>
                <w:szCs w:val="21"/>
                <w:highlight w:val="none"/>
                <w:lang w:val="en-US" w:eastAsia="zh-CN"/>
              </w:rPr>
              <w:t>a</w:t>
            </w:r>
          </w:p>
          <w:p w14:paraId="58FD206C">
            <w:pPr>
              <w:adjustRightInd w:val="0"/>
              <w:snapToGrid w:val="0"/>
              <w:spacing w:line="360" w:lineRule="auto"/>
              <w:jc w:val="lef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8</w:t>
            </w:r>
            <w:r>
              <w:rPr>
                <w:rFonts w:hint="default" w:ascii="Times New Roman" w:hAnsi="Times New Roman" w:cs="Times New Roman"/>
                <w:b/>
                <w:color w:val="auto"/>
                <w:sz w:val="24"/>
                <w:szCs w:val="24"/>
                <w:highlight w:val="none"/>
              </w:rPr>
              <w:t>、劳动定员及工作制度</w:t>
            </w:r>
          </w:p>
          <w:p w14:paraId="40088CF1">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rPr>
              <w:t>项目劳动定员</w:t>
            </w:r>
            <w:r>
              <w:rPr>
                <w:rFonts w:hint="default" w:ascii="Times New Roman" w:hAnsi="Times New Roman" w:cs="Times New Roman"/>
                <w:bCs/>
                <w:color w:val="auto"/>
                <w:sz w:val="24"/>
                <w:szCs w:val="24"/>
                <w:highlight w:val="none"/>
                <w:lang w:val="en-US" w:eastAsia="zh-CN"/>
              </w:rPr>
              <w:t>1200</w:t>
            </w:r>
            <w:r>
              <w:rPr>
                <w:rFonts w:hint="default" w:ascii="Times New Roman" w:hAnsi="Times New Roman" w:cs="Times New Roman"/>
                <w:bCs/>
                <w:color w:val="auto"/>
                <w:sz w:val="24"/>
                <w:szCs w:val="24"/>
                <w:highlight w:val="none"/>
              </w:rPr>
              <w:t>人，</w:t>
            </w:r>
            <w:r>
              <w:rPr>
                <w:rFonts w:hint="default" w:ascii="Times New Roman" w:hAnsi="Times New Roman" w:cs="Times New Roman"/>
                <w:bCs/>
                <w:color w:val="auto"/>
                <w:sz w:val="24"/>
                <w:szCs w:val="24"/>
                <w:highlight w:val="none"/>
                <w:lang w:val="en-US" w:eastAsia="zh-CN"/>
              </w:rPr>
              <w:t>设有食堂</w:t>
            </w:r>
            <w:r>
              <w:rPr>
                <w:rFonts w:hint="default" w:ascii="Times New Roman" w:hAnsi="Times New Roman" w:cs="Times New Roman"/>
                <w:bCs/>
                <w:color w:val="auto"/>
                <w:sz w:val="24"/>
                <w:szCs w:val="24"/>
                <w:highlight w:val="none"/>
              </w:rPr>
              <w:t>，</w:t>
            </w:r>
            <w:r>
              <w:rPr>
                <w:rFonts w:hint="default" w:ascii="Times New Roman" w:hAnsi="Times New Roman" w:cs="Times New Roman"/>
                <w:bCs/>
                <w:color w:val="auto"/>
                <w:sz w:val="24"/>
                <w:szCs w:val="24"/>
                <w:highlight w:val="none"/>
                <w:lang w:val="en-US" w:eastAsia="zh-CN"/>
              </w:rPr>
              <w:t>为240人提供住宿，1200人均为每日</w:t>
            </w:r>
            <w:r>
              <w:rPr>
                <w:rFonts w:hint="default" w:ascii="Times New Roman" w:hAnsi="Times New Roman" w:cs="Times New Roman"/>
                <w:bCs/>
                <w:color w:val="auto"/>
                <w:sz w:val="24"/>
                <w:szCs w:val="24"/>
                <w:highlight w:val="none"/>
              </w:rPr>
              <w:t>工作8小时</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年工作2</w:t>
            </w:r>
            <w:r>
              <w:rPr>
                <w:rFonts w:hint="default" w:ascii="Times New Roman" w:hAnsi="Times New Roman" w:cs="Times New Roman"/>
                <w:bCs/>
                <w:color w:val="auto"/>
                <w:sz w:val="24"/>
                <w:szCs w:val="24"/>
                <w:highlight w:val="none"/>
                <w:lang w:val="en-US" w:eastAsia="zh-CN"/>
              </w:rPr>
              <w:t>5</w:t>
            </w:r>
            <w:r>
              <w:rPr>
                <w:rFonts w:hint="default" w:ascii="Times New Roman" w:hAnsi="Times New Roman" w:cs="Times New Roman"/>
                <w:bCs/>
                <w:color w:val="auto"/>
                <w:sz w:val="24"/>
                <w:szCs w:val="24"/>
                <w:highlight w:val="none"/>
              </w:rPr>
              <w:t>0天</w:t>
            </w:r>
            <w:r>
              <w:rPr>
                <w:rFonts w:hint="default" w:ascii="Times New Roman" w:hAnsi="Times New Roman" w:cs="Times New Roman"/>
                <w:bCs/>
                <w:color w:val="auto"/>
                <w:sz w:val="24"/>
                <w:szCs w:val="24"/>
                <w:highlight w:val="none"/>
                <w:lang w:eastAsia="zh-CN"/>
              </w:rPr>
              <w:t>。</w:t>
            </w:r>
          </w:p>
        </w:tc>
      </w:tr>
      <w:tr w14:paraId="614C9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42" w:type="pct"/>
            <w:noWrap w:val="0"/>
            <w:vAlign w:val="center"/>
          </w:tcPr>
          <w:p w14:paraId="2C503A1D">
            <w:pPr>
              <w:pStyle w:val="25"/>
              <w:adjustRightInd w:val="0"/>
              <w:snapToGrid w:val="0"/>
              <w:spacing w:before="0" w:beforeAutospacing="0" w:after="0" w:afterAutospacing="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工艺流程和产排污环节</w:t>
            </w:r>
          </w:p>
        </w:tc>
        <w:tc>
          <w:tcPr>
            <w:tcW w:w="4757" w:type="pct"/>
            <w:noWrap w:val="0"/>
            <w:vAlign w:val="top"/>
          </w:tcPr>
          <w:p w14:paraId="3152377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一、施工期</w:t>
            </w:r>
          </w:p>
          <w:p w14:paraId="473F98B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1.施工期工艺流程及排污节点</w:t>
            </w:r>
          </w:p>
          <w:p w14:paraId="2C5DBEB7">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本项目施工期建设内容为厂房建设、设备安装及调试，本环评对其进行简要分析。施工期主要工艺流程见图2-2，施工期主要产污环节见表2-5。</w:t>
            </w:r>
          </w:p>
          <w:p w14:paraId="7A7CBB96">
            <w:pPr>
              <w:keepNext w:val="0"/>
              <w:keepLines w:val="0"/>
              <w:pageBreakBefore w:val="0"/>
              <w:widowControl/>
              <w:suppressLineNumbers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mc:AlternateContent>
                <mc:Choice Requires="wps">
                  <w:drawing>
                    <wp:anchor distT="0" distB="0" distL="114300" distR="114300" simplePos="0" relativeHeight="251664384" behindDoc="0" locked="0" layoutInCell="1" allowOverlap="1">
                      <wp:simplePos x="0" y="0"/>
                      <wp:positionH relativeFrom="column">
                        <wp:posOffset>533400</wp:posOffset>
                      </wp:positionH>
                      <wp:positionV relativeFrom="paragraph">
                        <wp:posOffset>791845</wp:posOffset>
                      </wp:positionV>
                      <wp:extent cx="0" cy="333375"/>
                      <wp:effectExtent l="48895" t="0" r="65405" b="9525"/>
                      <wp:wrapNone/>
                      <wp:docPr id="6" name="直接箭头连接符 6"/>
                      <wp:cNvGraphicFramePr/>
                      <a:graphic xmlns:a="http://schemas.openxmlformats.org/drawingml/2006/main">
                        <a:graphicData uri="http://schemas.microsoft.com/office/word/2010/wordprocessingShape">
                          <wps:wsp>
                            <wps:cNvCnPr/>
                            <wps:spPr>
                              <a:xfrm flipV="1">
                                <a:off x="0" y="0"/>
                                <a:ext cx="0" cy="33337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_x0000_s1026" o:spid="_x0000_s1026" o:spt="32" type="#_x0000_t32" style="position:absolute;left:0pt;flip:y;margin-left:42pt;margin-top:62.35pt;height:26.25pt;width:0pt;z-index:251664384;mso-width-relative:page;mso-height-relative:page;" filled="f" stroked="t" coordsize="21600,21600" o:gfxdata="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Y2GFi1gAAAAkBAAAPAAAAAAAAAAEAIAAAACIAAABkcnMv&#10;ZG93bnJldi54bWxQSwECFAAUAAAACACHTuJAOnWtgQUCAAD2AwAADgAAAAAAAAABACAAAAAlAQAA&#10;ZHJzL2Uyb0RvYy54bWxQSwUGAAAAAAYABgBZAQAAnAUAAAAA&#10;">
                      <v:fill on="f" focussize="0,0"/>
                      <v:stroke color="#000000" joinstyle="round" endarrow="open"/>
                      <v:imagedata o:title=""/>
                      <o:lock v:ext="edit" aspectratio="f"/>
                    </v:shape>
                  </w:pict>
                </mc:Fallback>
              </mc:AlternateContent>
            </w:r>
            <w:r>
              <w:rPr>
                <w:rFonts w:hint="default" w:ascii="Times New Roman" w:hAnsi="Times New Roman" w:eastAsia="宋体" w:cs="Times New Roman"/>
                <w:b/>
                <w:bCs/>
                <w:color w:val="auto"/>
                <w:kern w:val="0"/>
                <w:sz w:val="24"/>
                <w:szCs w:val="24"/>
                <w:highlight w:val="none"/>
                <w:lang w:val="en-US" w:eastAsia="zh-CN" w:bidi="ar"/>
              </w:rPr>
              <mc:AlternateContent>
                <mc:Choice Requires="wpc">
                  <w:drawing>
                    <wp:inline distT="0" distB="0" distL="114300" distR="114300">
                      <wp:extent cx="5045075" cy="1458595"/>
                      <wp:effectExtent l="0" t="0" r="3175" b="7620"/>
                      <wp:docPr id="26" name="画布 26"/>
                      <wp:cNvGraphicFramePr/>
                      <a:graphic xmlns:a="http://schemas.openxmlformats.org/drawingml/2006/main">
                        <a:graphicData uri="http://schemas.microsoft.com/office/word/2010/wordprocessingCanvas">
                          <wpc:wpc>
                            <wpc:bg>
                              <a:noFill/>
                            </wpc:bg>
                            <wpc:whole>
                              <a:ln>
                                <a:noFill/>
                              </a:ln>
                            </wpc:whole>
                            <wps:wsp>
                              <wps:cNvPr id="59" name="文本框 7"/>
                              <wps:cNvSpPr txBox="1"/>
                              <wps:spPr>
                                <a:xfrm>
                                  <a:off x="94615" y="1119507"/>
                                  <a:ext cx="84772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D5FD1C">
                                    <w:pPr>
                                      <w:rPr>
                                        <w:rFonts w:hint="eastAsia"/>
                                      </w:rPr>
                                    </w:pPr>
                                    <w:r>
                                      <w:rPr>
                                        <w:rFonts w:hint="eastAsia"/>
                                      </w:rPr>
                                      <w:t>基础工程</w:t>
                                    </w:r>
                                  </w:p>
                                </w:txbxContent>
                              </wps:txbx>
                              <wps:bodyPr upright="1"/>
                            </wps:wsp>
                            <wps:wsp>
                              <wps:cNvPr id="60" name="文本框 8"/>
                              <wps:cNvSpPr txBox="1"/>
                              <wps:spPr>
                                <a:xfrm>
                                  <a:off x="3110230" y="1122681"/>
                                  <a:ext cx="847725" cy="33337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7E422F">
                                    <w:r>
                                      <w:rPr>
                                        <w:rFonts w:hint="eastAsia"/>
                                      </w:rPr>
                                      <w:t>设备调试</w:t>
                                    </w:r>
                                  </w:p>
                                  <w:p w14:paraId="735D0C9B"/>
                                </w:txbxContent>
                              </wps:txbx>
                              <wps:bodyPr upright="1"/>
                            </wps:wsp>
                            <wps:wsp>
                              <wps:cNvPr id="61" name="文本框 9"/>
                              <wps:cNvSpPr txBox="1"/>
                              <wps:spPr>
                                <a:xfrm>
                                  <a:off x="2118360" y="1122681"/>
                                  <a:ext cx="847725" cy="33337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F4D1AB">
                                    <w:pPr>
                                      <w:rPr>
                                        <w:rFonts w:hint="eastAsia"/>
                                      </w:rPr>
                                    </w:pPr>
                                    <w:r>
                                      <w:rPr>
                                        <w:rFonts w:hint="eastAsia"/>
                                      </w:rPr>
                                      <w:t>设备安装</w:t>
                                    </w:r>
                                  </w:p>
                                </w:txbxContent>
                              </wps:txbx>
                              <wps:bodyPr upright="1"/>
                            </wps:wsp>
                            <wps:wsp>
                              <wps:cNvPr id="62" name="文本框 10"/>
                              <wps:cNvSpPr txBox="1"/>
                              <wps:spPr>
                                <a:xfrm>
                                  <a:off x="1106170" y="1122682"/>
                                  <a:ext cx="84772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787F8E">
                                    <w:pPr>
                                      <w:rPr>
                                        <w:rFonts w:hint="eastAsia"/>
                                      </w:rPr>
                                    </w:pPr>
                                    <w:r>
                                      <w:rPr>
                                        <w:rFonts w:hint="eastAsia"/>
                                      </w:rPr>
                                      <w:t>结构施工</w:t>
                                    </w:r>
                                  </w:p>
                                </w:txbxContent>
                              </wps:txbx>
                              <wps:bodyPr upright="1"/>
                            </wps:wsp>
                            <wps:wsp>
                              <wps:cNvPr id="63" name="文本框 11"/>
                              <wps:cNvSpPr txBox="1"/>
                              <wps:spPr>
                                <a:xfrm>
                                  <a:off x="4102100" y="1122682"/>
                                  <a:ext cx="84772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91DAD5">
                                    <w:pPr>
                                      <w:jc w:val="center"/>
                                    </w:pPr>
                                    <w:r>
                                      <w:rPr>
                                        <w:rFonts w:hint="eastAsia"/>
                                      </w:rPr>
                                      <w:t>运营</w:t>
                                    </w:r>
                                  </w:p>
                                </w:txbxContent>
                              </wps:txbx>
                              <wps:bodyPr upright="1"/>
                            </wps:wsp>
                            <wps:wsp>
                              <wps:cNvPr id="64" name="直接箭头连接符 12"/>
                              <wps:cNvCnPr/>
                              <wps:spPr>
                                <a:xfrm>
                                  <a:off x="942340" y="1286510"/>
                                  <a:ext cx="163830" cy="3175"/>
                                </a:xfrm>
                                <a:prstGeom prst="straightConnector1">
                                  <a:avLst/>
                                </a:prstGeom>
                                <a:ln w="9525" cap="flat" cmpd="sng">
                                  <a:solidFill>
                                    <a:srgbClr val="000000"/>
                                  </a:solidFill>
                                  <a:prstDash val="solid"/>
                                  <a:headEnd type="none" w="med" len="med"/>
                                  <a:tailEnd type="arrow" w="med" len="med"/>
                                </a:ln>
                              </wps:spPr>
                              <wps:bodyPr/>
                            </wps:wsp>
                            <wps:wsp>
                              <wps:cNvPr id="65" name="直接箭头连接符 16"/>
                              <wps:cNvCnPr/>
                              <wps:spPr>
                                <a:xfrm>
                                  <a:off x="1953895" y="1289685"/>
                                  <a:ext cx="164465" cy="0"/>
                                </a:xfrm>
                                <a:prstGeom prst="straightConnector1">
                                  <a:avLst/>
                                </a:prstGeom>
                                <a:ln w="9525" cap="flat" cmpd="sng">
                                  <a:solidFill>
                                    <a:srgbClr val="000000"/>
                                  </a:solidFill>
                                  <a:prstDash val="solid"/>
                                  <a:headEnd type="none" w="med" len="med"/>
                                  <a:tailEnd type="arrow" w="med" len="med"/>
                                </a:ln>
                              </wps:spPr>
                              <wps:bodyPr/>
                            </wps:wsp>
                            <wps:wsp>
                              <wps:cNvPr id="66" name="直接箭头连接符 17"/>
                              <wps:cNvCnPr/>
                              <wps:spPr>
                                <a:xfrm>
                                  <a:off x="2966085" y="1289685"/>
                                  <a:ext cx="144145" cy="0"/>
                                </a:xfrm>
                                <a:prstGeom prst="straightConnector1">
                                  <a:avLst/>
                                </a:prstGeom>
                                <a:ln w="9525" cap="flat" cmpd="sng">
                                  <a:solidFill>
                                    <a:srgbClr val="000000"/>
                                  </a:solidFill>
                                  <a:prstDash val="solid"/>
                                  <a:headEnd type="none" w="med" len="med"/>
                                  <a:tailEnd type="arrow" w="med" len="med"/>
                                </a:ln>
                              </wps:spPr>
                              <wps:bodyPr/>
                            </wps:wsp>
                            <wps:wsp>
                              <wps:cNvPr id="67" name="直接箭头连接符 18"/>
                              <wps:cNvCnPr/>
                              <wps:spPr>
                                <a:xfrm>
                                  <a:off x="3957955" y="1289685"/>
                                  <a:ext cx="144145" cy="0"/>
                                </a:xfrm>
                                <a:prstGeom prst="straightConnector1">
                                  <a:avLst/>
                                </a:prstGeom>
                                <a:ln w="9525" cap="flat" cmpd="sng">
                                  <a:solidFill>
                                    <a:srgbClr val="000000"/>
                                  </a:solidFill>
                                  <a:prstDash val="solid"/>
                                  <a:headEnd type="none" w="med" len="med"/>
                                  <a:tailEnd type="arrow" w="med" len="med"/>
                                </a:ln>
                              </wps:spPr>
                              <wps:bodyPr/>
                            </wps:wsp>
                            <wps:wsp>
                              <wps:cNvPr id="68" name="文本框 19"/>
                              <wps:cNvSpPr txBox="1"/>
                              <wps:spPr>
                                <a:xfrm>
                                  <a:off x="74930" y="198755"/>
                                  <a:ext cx="941070" cy="606425"/>
                                </a:xfrm>
                                <a:prstGeom prst="rect">
                                  <a:avLst/>
                                </a:prstGeom>
                                <a:solidFill>
                                  <a:srgbClr val="FFFFFF"/>
                                </a:solidFill>
                                <a:ln>
                                  <a:noFill/>
                                </a:ln>
                              </wps:spPr>
                              <wps:txbx>
                                <w:txbxContent>
                                  <w:p w14:paraId="550E4183">
                                    <w:pPr>
                                      <w:rPr>
                                        <w:sz w:val="21"/>
                                        <w:szCs w:val="21"/>
                                      </w:rPr>
                                    </w:pPr>
                                    <w:r>
                                      <w:rPr>
                                        <w:rFonts w:hint="eastAsia"/>
                                        <w:sz w:val="21"/>
                                        <w:szCs w:val="21"/>
                                      </w:rPr>
                                      <w:t>噪声、扬尘、车辆废气、废水</w:t>
                                    </w:r>
                                  </w:p>
                                </w:txbxContent>
                              </wps:txbx>
                              <wps:bodyPr upright="1"/>
                            </wps:wsp>
                            <wps:wsp>
                              <wps:cNvPr id="69" name="文本框 20"/>
                              <wps:cNvSpPr txBox="1"/>
                              <wps:spPr>
                                <a:xfrm>
                                  <a:off x="1154430" y="494030"/>
                                  <a:ext cx="824230" cy="264160"/>
                                </a:xfrm>
                                <a:prstGeom prst="rect">
                                  <a:avLst/>
                                </a:prstGeom>
                                <a:solidFill>
                                  <a:srgbClr val="FFFFFF"/>
                                </a:solidFill>
                                <a:ln>
                                  <a:noFill/>
                                </a:ln>
                              </wps:spPr>
                              <wps:txbx>
                                <w:txbxContent>
                                  <w:p w14:paraId="34B1C26E">
                                    <w:pPr>
                                      <w:rPr>
                                        <w:sz w:val="21"/>
                                        <w:szCs w:val="21"/>
                                      </w:rPr>
                                    </w:pPr>
                                    <w:r>
                                      <w:rPr>
                                        <w:rFonts w:hint="eastAsia"/>
                                        <w:sz w:val="21"/>
                                        <w:szCs w:val="21"/>
                                      </w:rPr>
                                      <w:t>噪声、废水</w:t>
                                    </w:r>
                                  </w:p>
                                </w:txbxContent>
                              </wps:txbx>
                              <wps:bodyPr upright="1"/>
                            </wps:wsp>
                            <wps:wsp>
                              <wps:cNvPr id="70" name="文本框 21"/>
                              <wps:cNvSpPr txBox="1"/>
                              <wps:spPr>
                                <a:xfrm>
                                  <a:off x="2127250" y="178435"/>
                                  <a:ext cx="829945" cy="626745"/>
                                </a:xfrm>
                                <a:prstGeom prst="rect">
                                  <a:avLst/>
                                </a:prstGeom>
                                <a:noFill/>
                                <a:ln>
                                  <a:noFill/>
                                </a:ln>
                              </wps:spPr>
                              <wps:txbx>
                                <w:txbxContent>
                                  <w:p w14:paraId="410E045F">
                                    <w:pPr>
                                      <w:jc w:val="left"/>
                                    </w:pPr>
                                    <w:r>
                                      <w:rPr>
                                        <w:rFonts w:hint="eastAsia"/>
                                        <w:sz w:val="21"/>
                                        <w:szCs w:val="21"/>
                                      </w:rPr>
                                      <w:t>机械噪声、废包材、废水</w:t>
                                    </w:r>
                                  </w:p>
                                </w:txbxContent>
                              </wps:txbx>
                              <wps:bodyPr upright="1"/>
                            </wps:wsp>
                            <wps:wsp>
                              <wps:cNvPr id="71" name="文本框 22"/>
                              <wps:cNvSpPr txBox="1"/>
                              <wps:spPr>
                                <a:xfrm>
                                  <a:off x="3274060" y="465455"/>
                                  <a:ext cx="520700" cy="330200"/>
                                </a:xfrm>
                                <a:prstGeom prst="rect">
                                  <a:avLst/>
                                </a:prstGeom>
                                <a:solidFill>
                                  <a:srgbClr val="FFFFFF"/>
                                </a:solidFill>
                                <a:ln>
                                  <a:noFill/>
                                </a:ln>
                              </wps:spPr>
                              <wps:txbx>
                                <w:txbxContent>
                                  <w:p w14:paraId="3C7AAF09">
                                    <w:pPr>
                                      <w:rPr>
                                        <w:sz w:val="21"/>
                                        <w:szCs w:val="21"/>
                                      </w:rPr>
                                    </w:pPr>
                                    <w:r>
                                      <w:rPr>
                                        <w:rFonts w:hint="eastAsia"/>
                                        <w:sz w:val="21"/>
                                        <w:szCs w:val="21"/>
                                      </w:rPr>
                                      <w:t>噪声</w:t>
                                    </w:r>
                                  </w:p>
                                </w:txbxContent>
                              </wps:txbx>
                              <wps:bodyPr upright="1"/>
                            </wps:wsp>
                            <wps:wsp>
                              <wps:cNvPr id="72" name="直接箭头连接符 23"/>
                              <wps:cNvCnPr/>
                              <wps:spPr>
                                <a:xfrm flipV="1">
                                  <a:off x="1530350" y="758190"/>
                                  <a:ext cx="5715" cy="364490"/>
                                </a:xfrm>
                                <a:prstGeom prst="straightConnector1">
                                  <a:avLst/>
                                </a:prstGeom>
                                <a:ln w="9525" cap="flat" cmpd="sng">
                                  <a:solidFill>
                                    <a:srgbClr val="000000"/>
                                  </a:solidFill>
                                  <a:prstDash val="solid"/>
                                  <a:headEnd type="none" w="med" len="med"/>
                                  <a:tailEnd type="arrow" w="med" len="med"/>
                                </a:ln>
                              </wps:spPr>
                              <wps:bodyPr/>
                            </wps:wsp>
                            <wps:wsp>
                              <wps:cNvPr id="73" name="直接箭头连接符 24"/>
                              <wps:cNvCnPr/>
                              <wps:spPr>
                                <a:xfrm flipV="1">
                                  <a:off x="2542540" y="805180"/>
                                  <a:ext cx="0" cy="317500"/>
                                </a:xfrm>
                                <a:prstGeom prst="straightConnector1">
                                  <a:avLst/>
                                </a:prstGeom>
                                <a:ln w="9525" cap="flat" cmpd="sng">
                                  <a:solidFill>
                                    <a:srgbClr val="000000"/>
                                  </a:solidFill>
                                  <a:prstDash val="solid"/>
                                  <a:headEnd type="none" w="med" len="med"/>
                                  <a:tailEnd type="arrow" w="med" len="med"/>
                                </a:ln>
                              </wps:spPr>
                              <wps:bodyPr/>
                            </wps:wsp>
                            <wps:wsp>
                              <wps:cNvPr id="74" name="直接箭头连接符 25"/>
                              <wps:cNvCnPr/>
                              <wps:spPr>
                                <a:xfrm flipV="1">
                                  <a:off x="3534410" y="795655"/>
                                  <a:ext cx="0" cy="327025"/>
                                </a:xfrm>
                                <a:prstGeom prst="straightConnector1">
                                  <a:avLst/>
                                </a:prstGeom>
                                <a:ln w="9525" cap="flat" cmpd="sng">
                                  <a:solidFill>
                                    <a:srgbClr val="000000"/>
                                  </a:solidFill>
                                  <a:prstDash val="solid"/>
                                  <a:headEnd type="none" w="med" len="med"/>
                                  <a:tailEnd type="arrow" w="med" len="med"/>
                                </a:ln>
                              </wps:spPr>
                              <wps:bodyPr/>
                            </wps:wsp>
                          </wpc:wpc>
                        </a:graphicData>
                      </a:graphic>
                    </wp:inline>
                  </w:drawing>
                </mc:Choice>
                <mc:Fallback>
                  <w:pict>
                    <v:group id="_x0000_s1026" o:spid="_x0000_s1026" o:spt="203" style="height:114.85pt;width:397.25pt;" coordsize="5045075,1458595" editas="canvas" o:gfxdata="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">
                      <o:lock v:ext="edit" aspectratio="f"/>
                      <v:shape id="_x0000_s1026" o:spid="_x0000_s1026" style="position:absolute;left:0;top:0;height:1458595;width:5045075;" filled="f" stroked="f" coordsize="21600,21600" o:gfxdata="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">
                        <v:fill on="f" focussize="0,0"/>
                        <v:stroke on="f"/>
                        <v:imagedata o:title=""/>
                        <o:lock v:ext="edit" aspectratio="f"/>
                      </v:shape>
                      <v:shape id="文本框 7" o:spid="_x0000_s1026" o:spt="202" type="#_x0000_t202" style="position:absolute;left:94615;top:1119507;height:333375;width:847725;" fillcolor="#FFFFFF" filled="t" stroked="t" coordsize="21600,21600" o:gfxdata="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pRNYtYAAAAFAQAADwAAAAAAAAAB&#10;ACAAAAAiAAAAZHJzL2Rvd25yZXYueG1sUEsBAhQAFAAAAAgAh07iQLo/CpoSAgAAQAQAAA4AAAAA&#10;AAAAAQAgAAAAJQEAAGRycy9lMm9Eb2MueG1sUEsFBgAAAAAGAAYAWQEAAKkFAAAAAA==&#10;">
                        <v:fill on="t" focussize="0,0"/>
                        <v:stroke color="#000000" joinstyle="miter"/>
                        <v:imagedata o:title=""/>
                        <o:lock v:ext="edit" aspectratio="f"/>
                        <v:textbox>
                          <w:txbxContent>
                            <w:p w14:paraId="74D5FD1C">
                              <w:pPr>
                                <w:rPr>
                                  <w:rFonts w:hint="eastAsia"/>
                                </w:rPr>
                              </w:pPr>
                              <w:r>
                                <w:rPr>
                                  <w:rFonts w:hint="eastAsia"/>
                                </w:rPr>
                                <w:t>基础工程</w:t>
                              </w:r>
                            </w:p>
                          </w:txbxContent>
                        </v:textbox>
                      </v:shape>
                      <v:shape id="文本框 8" o:spid="_x0000_s1026" o:spt="202" type="#_x0000_t202" style="position:absolute;left:3110230;top:1122681;height:333374;width:847725;" fillcolor="#FFFFFF" filled="t" stroked="t" coordsize="21600,21600" o:gfxdata="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GlE1i1gAAAAUBAAAPAAAAAAAA&#10;AAEAIAAAACIAAABkcnMvZG93bnJldi54bWxQSwECFAAUAAAACACHTuJAkZvBlxQCAABCBAAADgAA&#10;AAAAAAABACAAAAAlAQAAZHJzL2Uyb0RvYy54bWxQSwUGAAAAAAYABgBZAQAAqwUAAAAA&#10;">
                        <v:fill on="t" focussize="0,0"/>
                        <v:stroke color="#000000" joinstyle="miter"/>
                        <v:imagedata o:title=""/>
                        <o:lock v:ext="edit" aspectratio="f"/>
                        <v:textbox>
                          <w:txbxContent>
                            <w:p w14:paraId="427E422F">
                              <w:r>
                                <w:rPr>
                                  <w:rFonts w:hint="eastAsia"/>
                                </w:rPr>
                                <w:t>设备调试</w:t>
                              </w:r>
                            </w:p>
                            <w:p w14:paraId="735D0C9B"/>
                          </w:txbxContent>
                        </v:textbox>
                      </v:shape>
                      <v:shape id="文本框 9" o:spid="_x0000_s1026" o:spt="202" type="#_x0000_t202" style="position:absolute;left:2118360;top:1122681;height:333374;width:847725;" fillcolor="#FFFFFF" filled="t" stroked="t" coordsize="21600,21600" o:gfxdata="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BpRNYtYAAAAFAQAADwAAAAAA&#10;AAABACAAAAAiAAAAZHJzL2Rvd25yZXYueG1sUEsBAhQAFAAAAAgAh07iQLids00VAgAAQgQAAA4A&#10;AAAAAAAAAQAgAAAAJQEAAGRycy9lMm9Eb2MueG1sUEsFBgAAAAAGAAYAWQEAAKwFAAAAAA==&#10;">
                        <v:fill on="t" focussize="0,0"/>
                        <v:stroke color="#000000" joinstyle="miter"/>
                        <v:imagedata o:title=""/>
                        <o:lock v:ext="edit" aspectratio="f"/>
                        <v:textbox>
                          <w:txbxContent>
                            <w:p w14:paraId="3CF4D1AB">
                              <w:pPr>
                                <w:rPr>
                                  <w:rFonts w:hint="eastAsia"/>
                                </w:rPr>
                              </w:pPr>
                              <w:r>
                                <w:rPr>
                                  <w:rFonts w:hint="eastAsia"/>
                                </w:rPr>
                                <w:t>设备安装</w:t>
                              </w:r>
                            </w:p>
                          </w:txbxContent>
                        </v:textbox>
                      </v:shape>
                      <v:shape id="文本框 10" o:spid="_x0000_s1026" o:spt="202" type="#_x0000_t202" style="position:absolute;left:1106170;top:1122682;height:333375;width:847725;" fillcolor="#FFFFFF" filled="t" stroked="t" coordsize="21600,21600" o:gfxdata="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pRNYtYAAAAFAQAADwAAAAAAAAAB&#10;ACAAAAAiAAAAZHJzL2Rvd25yZXYueG1sUEsBAhQAFAAAAAgAh07iQDV9lucSAgAAQwQAAA4AAAAA&#10;AAAAAQAgAAAAJQEAAGRycy9lMm9Eb2MueG1sUEsFBgAAAAAGAAYAWQEAAKkFAAAAAA==&#10;">
                        <v:fill on="t" focussize="0,0"/>
                        <v:stroke color="#000000" joinstyle="miter"/>
                        <v:imagedata o:title=""/>
                        <o:lock v:ext="edit" aspectratio="f"/>
                        <v:textbox>
                          <w:txbxContent>
                            <w:p w14:paraId="79787F8E">
                              <w:pPr>
                                <w:rPr>
                                  <w:rFonts w:hint="eastAsia"/>
                                </w:rPr>
                              </w:pPr>
                              <w:r>
                                <w:rPr>
                                  <w:rFonts w:hint="eastAsia"/>
                                </w:rPr>
                                <w:t>结构施工</w:t>
                              </w:r>
                            </w:p>
                          </w:txbxContent>
                        </v:textbox>
                      </v:shape>
                      <v:shape id="文本框 11" o:spid="_x0000_s1026" o:spt="202" type="#_x0000_t202" style="position:absolute;left:4102100;top:1122682;height:333375;width:847725;" fillcolor="#FFFFFF" filled="t" stroked="t" coordsize="21600,21600" o:gfxdata="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aUTWLWAAAABQEAAA8AAAAAAAAA&#10;AQAgAAAAIgAAAGRycy9kb3ducmV2LnhtbFBLAQIUABQAAAAIAIdO4kDBjhq2EwIAAEMEAAAOAAAA&#10;AAAAAAEAIAAAACUBAABkcnMvZTJvRG9jLnhtbFBLBQYAAAAABgAGAFkBAACqBQAAAAA=&#10;">
                        <v:fill on="t" focussize="0,0"/>
                        <v:stroke color="#000000" joinstyle="miter"/>
                        <v:imagedata o:title=""/>
                        <o:lock v:ext="edit" aspectratio="f"/>
                        <v:textbox>
                          <w:txbxContent>
                            <w:p w14:paraId="0D91DAD5">
                              <w:pPr>
                                <w:jc w:val="center"/>
                              </w:pPr>
                              <w:r>
                                <w:rPr>
                                  <w:rFonts w:hint="eastAsia"/>
                                </w:rPr>
                                <w:t>运营</w:t>
                              </w:r>
                            </w:p>
                          </w:txbxContent>
                        </v:textbox>
                      </v:shape>
                      <v:shape id="直接箭头连接符 12" o:spid="_x0000_s1026" o:spt="32" type="#_x0000_t32" style="position:absolute;left:942340;top:1286510;height:3175;width:163830;" filled="f" stroked="t" coordsize="21600,21600" o:gfxdata="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OS1bVAAAABQEAAA8AAAAAAAAAAQAg&#10;AAAAIgAAAGRycy9kb3ducmV2LnhtbFBLAQIUABQAAAAIAIdO4kDCgYqyEQIAAPwDAAAOAAAAAAAA&#10;AAEAIAAAACQBAABkcnMvZTJvRG9jLnhtbFBLBQYAAAAABgAGAFkBAACnBQAAAAA=&#10;">
                        <v:fill on="f" focussize="0,0"/>
                        <v:stroke color="#000000" joinstyle="round" endarrow="open"/>
                        <v:imagedata o:title=""/>
                        <o:lock v:ext="edit" aspectratio="f"/>
                      </v:shape>
                      <v:shape id="直接箭头连接符 16" o:spid="_x0000_s1026" o:spt="32" type="#_x0000_t32" style="position:absolute;left:1953895;top:1289685;height:0;width:164465;" filled="f" stroked="t" coordsize="21600,21600" o:gfxdata="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45LVtUAAAAFAQAADwAAAAAAAAABACAA&#10;AAAiAAAAZHJzL2Rvd25yZXYueG1sUEsBAhQAFAAAAAgAh07iQDb/1QcQAgAA+gMAAA4AAAAAAAAA&#10;AQAgAAAAJAEAAGRycy9lMm9Eb2MueG1sUEsFBgAAAAAGAAYAWQEAAKYFAAAAAA==&#10;">
                        <v:fill on="f" focussize="0,0"/>
                        <v:stroke color="#000000" joinstyle="round" endarrow="open"/>
                        <v:imagedata o:title=""/>
                        <o:lock v:ext="edit" aspectratio="f"/>
                      </v:shape>
                      <v:shape id="直接箭头连接符 17" o:spid="_x0000_s1026" o:spt="32" type="#_x0000_t32" style="position:absolute;left:2966085;top:1289685;height:0;width:144145;" filled="f" stroked="t" coordsize="21600,21600" o:gfxdata="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OS1bVAAAABQEAAA8AAAAAAAAAAQAg&#10;AAAAIgAAAGRycy9kb3ducmV2LnhtbFBLAQIUABQAAAAIAIdO4kAtuMgoEQIAAPoDAAAOAAAAAAAA&#10;AAEAIAAAACQBAABkcnMvZTJvRG9jLnhtbFBLBQYAAAAABgAGAFkBAACnBQAAAAA=&#10;">
                        <v:fill on="f" focussize="0,0"/>
                        <v:stroke color="#000000" joinstyle="round" endarrow="open"/>
                        <v:imagedata o:title=""/>
                        <o:lock v:ext="edit" aspectratio="f"/>
                      </v:shape>
                      <v:shape id="直接箭头连接符 18" o:spid="_x0000_s1026" o:spt="32" type="#_x0000_t32" style="position:absolute;left:3957955;top:1289685;height:0;width:144145;" filled="f" stroked="t" coordsize="21600,21600" o:gfxdata="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OS1bVAAAABQEAAA8AAAAAAAAA&#10;AQAgAAAAIgAAAGRycy9kb3ducmV2LnhtbFBLAQIUABQAAAAIAIdO4kDTEfd/FAIAAPoDAAAOAAAA&#10;AAAAAAEAIAAAACQBAABkcnMvZTJvRG9jLnhtbFBLBQYAAAAABgAGAFkBAACqBQAAAAA=&#10;">
                        <v:fill on="f" focussize="0,0"/>
                        <v:stroke color="#000000" joinstyle="round" endarrow="open"/>
                        <v:imagedata o:title=""/>
                        <o:lock v:ext="edit" aspectratio="f"/>
                      </v:shape>
                      <v:shape id="文本框 19" o:spid="_x0000_s1026" o:spt="202" type="#_x0000_t202" style="position:absolute;left:74930;top:198755;height:606425;width:941070;" fillcolor="#FFFFFF" filled="t" stroked="f" coordsize="21600,21600" o:gfxdata="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jfClXUAAAABQEAAA8AAAAAAAAAAQAgAAAAIgAAAGRycy9k&#10;b3ducmV2LnhtbFBLAQIUABQAAAAIAIdO4kB1UaS1zQEAAIEDAAAOAAAAAAAAAAEAIAAAACMBAABk&#10;cnMvZTJvRG9jLnhtbFBLBQYAAAAABgAGAFkBAABiBQAAAAA=&#10;">
                        <v:fill on="t" focussize="0,0"/>
                        <v:stroke on="f"/>
                        <v:imagedata o:title=""/>
                        <o:lock v:ext="edit" aspectratio="f"/>
                        <v:textbox>
                          <w:txbxContent>
                            <w:p w14:paraId="550E4183">
                              <w:pPr>
                                <w:rPr>
                                  <w:sz w:val="21"/>
                                  <w:szCs w:val="21"/>
                                </w:rPr>
                              </w:pPr>
                              <w:r>
                                <w:rPr>
                                  <w:rFonts w:hint="eastAsia"/>
                                  <w:sz w:val="21"/>
                                  <w:szCs w:val="21"/>
                                </w:rPr>
                                <w:t>噪声、扬尘、车辆废气、废水</w:t>
                              </w:r>
                            </w:p>
                          </w:txbxContent>
                        </v:textbox>
                      </v:shape>
                      <v:shape id="文本框 20" o:spid="_x0000_s1026" o:spt="202" type="#_x0000_t202" style="position:absolute;left:1154430;top:494030;height:264160;width:824230;" fillcolor="#FFFFFF" filled="t" stroked="f" coordsize="21600,21600" o:gfxdata="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I3wpV1AAAAAUBAAAPAAAAAAAAAAEAIAAAACIAAABkcnMvZG93&#10;bnJldi54bWxQSwECFAAUAAAACACHTuJARrRGBssBAACDAwAADgAAAAAAAAABACAAAAAjAQAAZHJz&#10;L2Uyb0RvYy54bWxQSwUGAAAAAAYABgBZAQAAYAUAAAAA&#10;">
                        <v:fill on="t" focussize="0,0"/>
                        <v:stroke on="f"/>
                        <v:imagedata o:title=""/>
                        <o:lock v:ext="edit" aspectratio="f"/>
                        <v:textbox>
                          <w:txbxContent>
                            <w:p w14:paraId="34B1C26E">
                              <w:pPr>
                                <w:rPr>
                                  <w:sz w:val="21"/>
                                  <w:szCs w:val="21"/>
                                </w:rPr>
                              </w:pPr>
                              <w:r>
                                <w:rPr>
                                  <w:rFonts w:hint="eastAsia"/>
                                  <w:sz w:val="21"/>
                                  <w:szCs w:val="21"/>
                                </w:rPr>
                                <w:t>噪声、废水</w:t>
                              </w:r>
                            </w:p>
                          </w:txbxContent>
                        </v:textbox>
                      </v:shape>
                      <v:shape id="文本框 21" o:spid="_x0000_s1026" o:spt="202" type="#_x0000_t202" style="position:absolute;left:2127250;top:178435;height:626745;width:829945;" filled="f" stroked="f" coordsize="21600,21600" o:gfxdata="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WnEd/UAAAABQEAAA8AAAAAAAAAAQAgAAAAIgAAAGRycy9kb3ducmV2LnhtbFBLAQIUABQAAAAI&#10;AIdO4kBKZeIbuAEAAFoDAAAOAAAAAAAAAAEAIAAAACMBAABkcnMvZTJvRG9jLnhtbFBLBQYAAAAA&#10;BgAGAFkBAABNBQAAAAA=&#10;">
                        <v:fill on="f" focussize="0,0"/>
                        <v:stroke on="f"/>
                        <v:imagedata o:title=""/>
                        <o:lock v:ext="edit" aspectratio="f"/>
                        <v:textbox>
                          <w:txbxContent>
                            <w:p w14:paraId="410E045F">
                              <w:pPr>
                                <w:jc w:val="left"/>
                              </w:pPr>
                              <w:r>
                                <w:rPr>
                                  <w:rFonts w:hint="eastAsia"/>
                                  <w:sz w:val="21"/>
                                  <w:szCs w:val="21"/>
                                </w:rPr>
                                <w:t>机械噪声、废包材、废水</w:t>
                              </w:r>
                            </w:p>
                          </w:txbxContent>
                        </v:textbox>
                      </v:shape>
                      <v:shape id="文本框 22" o:spid="_x0000_s1026" o:spt="202" type="#_x0000_t202" style="position:absolute;left:3274060;top:465455;height:330200;width:520700;" fillcolor="#FFFFFF" filled="t" stroked="f" coordsize="21600,21600" o:gfxdata="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CN8KVdQAAAAFAQAADwAAAAAAAAABACAAAAAiAAAAZHJzL2Rv&#10;d25yZXYueG1sUEsBAhQAFAAAAAgAh07iQBSEGnHMAQAAgwMAAA4AAAAAAAAAAQAgAAAAIwEAAGRy&#10;cy9lMm9Eb2MueG1sUEsFBgAAAAAGAAYAWQEAAGEFAAAAAA==&#10;">
                        <v:fill on="t" focussize="0,0"/>
                        <v:stroke on="f"/>
                        <v:imagedata o:title=""/>
                        <o:lock v:ext="edit" aspectratio="f"/>
                        <v:textbox>
                          <w:txbxContent>
                            <w:p w14:paraId="3C7AAF09">
                              <w:pPr>
                                <w:rPr>
                                  <w:sz w:val="21"/>
                                  <w:szCs w:val="21"/>
                                </w:rPr>
                              </w:pPr>
                              <w:r>
                                <w:rPr>
                                  <w:rFonts w:hint="eastAsia"/>
                                  <w:sz w:val="21"/>
                                  <w:szCs w:val="21"/>
                                </w:rPr>
                                <w:t>噪声</w:t>
                              </w:r>
                            </w:p>
                          </w:txbxContent>
                        </v:textbox>
                      </v:shape>
                      <v:shape id="直接箭头连接符 23" o:spid="_x0000_s1026" o:spt="32" type="#_x0000_t32" style="position:absolute;left:1530350;top:758190;flip:y;height:364490;width:5715;" filled="f" stroked="t" coordsize="21600,21600" o:gfxdata="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JvTAJ3WAAAABQEAAA8A&#10;AAAAAAAAAQAgAAAAIgAAAGRycy9kb3ducmV2LnhtbFBLAQIUABQAAAAIAIdO4kBZJXrOGQIAAAYE&#10;AAAOAAAAAAAAAAEAIAAAACUBAABkcnMvZTJvRG9jLnhtbFBLBQYAAAAABgAGAFkBAACwBQAAAAA=&#10;">
                        <v:fill on="f" focussize="0,0"/>
                        <v:stroke color="#000000" joinstyle="round" endarrow="open"/>
                        <v:imagedata o:title=""/>
                        <o:lock v:ext="edit" aspectratio="f"/>
                      </v:shape>
                      <v:shape id="直接箭头连接符 24" o:spid="_x0000_s1026" o:spt="32" type="#_x0000_t32" style="position:absolute;left:2542540;top:805180;flip:y;height:317500;width:0;" filled="f" stroked="t" coordsize="21600,21600" o:gfxdata="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9MAndYAAAAFAQAADwAA&#10;AAAAAAABACAAAAAiAAAAZHJzL2Rvd25yZXYueG1sUEsBAhQAFAAAAAgAh07iQOSGey0YAgAAAwQA&#10;AA4AAAAAAAAAAQAgAAAAJQEAAGRycy9lMm9Eb2MueG1sUEsFBgAAAAAGAAYAWQEAAK8FAAAAAA==&#10;">
                        <v:fill on="f" focussize="0,0"/>
                        <v:stroke color="#000000" joinstyle="round" endarrow="open"/>
                        <v:imagedata o:title=""/>
                        <o:lock v:ext="edit" aspectratio="f"/>
                      </v:shape>
                      <v:shape id="直接箭头连接符 25" o:spid="_x0000_s1026" o:spt="32" type="#_x0000_t32" style="position:absolute;left:3534410;top:795655;flip:y;height:327025;width:0;" filled="f" stroked="t" coordsize="21600,21600" o:gfxdata="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9MAndYAAAAFAQAADwAA&#10;AAAAAAABACAAAAAiAAAAZHJzL2Rvd25yZXYueG1sUEsBAhQAFAAAAAgAh07iQGKJbrYYAgAAAwQA&#10;AA4AAAAAAAAAAQAgAAAAJQEAAGRycy9lMm9Eb2MueG1sUEsFBgAAAAAGAAYAWQEAAK8FAAAAAA==&#10;">
                        <v:fill on="f" focussize="0,0"/>
                        <v:stroke color="#000000" joinstyle="round" endarrow="open"/>
                        <v:imagedata o:title=""/>
                        <o:lock v:ext="edit" aspectratio="f"/>
                      </v:shape>
                      <w10:wrap type="none"/>
                      <w10:anchorlock/>
                    </v:group>
                  </w:pict>
                </mc:Fallback>
              </mc:AlternateContent>
            </w:r>
          </w:p>
          <w:p w14:paraId="0B123491">
            <w:pPr>
              <w:pStyle w:val="3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图2-2   施工期流程及产污环节图</w:t>
            </w:r>
          </w:p>
          <w:p w14:paraId="16C9AAFB">
            <w:pPr>
              <w:pStyle w:val="39"/>
              <w:bidi w:val="0"/>
              <w:spacing w:line="240" w:lineRule="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表2-</w:t>
            </w:r>
            <w:r>
              <w:rPr>
                <w:rFonts w:hint="default" w:ascii="Times New Roman" w:hAnsi="Times New Roman" w:cs="Times New Roman"/>
                <w:color w:val="auto"/>
                <w:highlight w:val="none"/>
                <w:lang w:val="en-US" w:eastAsia="zh-CN"/>
              </w:rPr>
              <w:t>6</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施工期产污环节一览表</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3"/>
              <w:gridCol w:w="2688"/>
              <w:gridCol w:w="4069"/>
            </w:tblGrid>
            <w:tr w14:paraId="48856C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7" w:type="pct"/>
                  <w:tcBorders>
                    <w:tl2br w:val="nil"/>
                    <w:tr2bl w:val="nil"/>
                  </w:tcBorders>
                  <w:noWrap w:val="0"/>
                  <w:vAlign w:val="center"/>
                </w:tcPr>
                <w:p w14:paraId="01C49A8C">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污染类别</w:t>
                  </w:r>
                </w:p>
              </w:tc>
              <w:tc>
                <w:tcPr>
                  <w:tcW w:w="1564" w:type="pct"/>
                  <w:tcBorders>
                    <w:tl2br w:val="nil"/>
                    <w:tr2bl w:val="nil"/>
                  </w:tcBorders>
                  <w:noWrap w:val="0"/>
                  <w:vAlign w:val="center"/>
                </w:tcPr>
                <w:p w14:paraId="6668ADE8">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产生工序</w:t>
                  </w:r>
                </w:p>
              </w:tc>
              <w:tc>
                <w:tcPr>
                  <w:tcW w:w="2368" w:type="pct"/>
                  <w:tcBorders>
                    <w:tl2br w:val="nil"/>
                    <w:tr2bl w:val="nil"/>
                  </w:tcBorders>
                  <w:noWrap w:val="0"/>
                  <w:vAlign w:val="center"/>
                </w:tcPr>
                <w:p w14:paraId="2E0CD759">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主要污染因子</w:t>
                  </w:r>
                </w:p>
              </w:tc>
            </w:tr>
            <w:tr w14:paraId="3A3800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7" w:type="pct"/>
                  <w:tcBorders>
                    <w:tl2br w:val="nil"/>
                    <w:tr2bl w:val="nil"/>
                  </w:tcBorders>
                  <w:noWrap w:val="0"/>
                  <w:vAlign w:val="center"/>
                </w:tcPr>
                <w:p w14:paraId="4F6D8275">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废气</w:t>
                  </w:r>
                </w:p>
              </w:tc>
              <w:tc>
                <w:tcPr>
                  <w:tcW w:w="1564" w:type="pct"/>
                  <w:tcBorders>
                    <w:tl2br w:val="nil"/>
                    <w:tr2bl w:val="nil"/>
                  </w:tcBorders>
                  <w:noWrap w:val="0"/>
                  <w:vAlign w:val="center"/>
                </w:tcPr>
                <w:p w14:paraId="592B227C">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运输车辆扬尘</w:t>
                  </w:r>
                </w:p>
              </w:tc>
              <w:tc>
                <w:tcPr>
                  <w:tcW w:w="2368" w:type="pct"/>
                  <w:tcBorders>
                    <w:tl2br w:val="nil"/>
                    <w:tr2bl w:val="nil"/>
                  </w:tcBorders>
                  <w:noWrap w:val="0"/>
                  <w:vAlign w:val="center"/>
                </w:tcPr>
                <w:p w14:paraId="0DE9D811">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颗粒物、CO、NO</w:t>
                  </w:r>
                  <w:r>
                    <w:rPr>
                      <w:rFonts w:hint="default" w:ascii="Times New Roman" w:hAnsi="Times New Roman" w:eastAsia="宋体" w:cs="Times New Roman"/>
                      <w:color w:val="auto"/>
                      <w:spacing w:val="-11"/>
                      <w:sz w:val="21"/>
                      <w:szCs w:val="21"/>
                      <w:highlight w:val="none"/>
                      <w:vertAlign w:val="subscript"/>
                      <w:lang w:val="en-US" w:eastAsia="zh-CN"/>
                    </w:rPr>
                    <w:t>X</w:t>
                  </w:r>
                  <w:r>
                    <w:rPr>
                      <w:rFonts w:hint="default" w:ascii="Times New Roman" w:hAnsi="Times New Roman" w:eastAsia="宋体" w:cs="Times New Roman"/>
                      <w:color w:val="auto"/>
                      <w:spacing w:val="-11"/>
                      <w:sz w:val="21"/>
                      <w:szCs w:val="21"/>
                      <w:highlight w:val="none"/>
                      <w:lang w:val="en-US" w:eastAsia="zh-CN"/>
                    </w:rPr>
                    <w:t>、THC</w:t>
                  </w:r>
                </w:p>
              </w:tc>
            </w:tr>
            <w:tr w14:paraId="188C6C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67" w:type="pct"/>
                  <w:tcBorders>
                    <w:tl2br w:val="nil"/>
                    <w:tr2bl w:val="nil"/>
                  </w:tcBorders>
                  <w:noWrap w:val="0"/>
                  <w:vAlign w:val="center"/>
                </w:tcPr>
                <w:p w14:paraId="00A433A0">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废水</w:t>
                  </w:r>
                </w:p>
              </w:tc>
              <w:tc>
                <w:tcPr>
                  <w:tcW w:w="1564" w:type="pct"/>
                  <w:tcBorders>
                    <w:tl2br w:val="nil"/>
                    <w:tr2bl w:val="nil"/>
                  </w:tcBorders>
                  <w:noWrap w:val="0"/>
                  <w:vAlign w:val="center"/>
                </w:tcPr>
                <w:p w14:paraId="435D4D28">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生活污水</w:t>
                  </w:r>
                </w:p>
              </w:tc>
              <w:tc>
                <w:tcPr>
                  <w:tcW w:w="2368" w:type="pct"/>
                  <w:tcBorders>
                    <w:tl2br w:val="nil"/>
                    <w:tr2bl w:val="nil"/>
                  </w:tcBorders>
                  <w:noWrap w:val="0"/>
                  <w:vAlign w:val="center"/>
                </w:tcPr>
                <w:p w14:paraId="17C42108">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COD、BOD</w:t>
                  </w:r>
                  <w:r>
                    <w:rPr>
                      <w:rFonts w:hint="default" w:ascii="Times New Roman" w:hAnsi="Times New Roman" w:eastAsia="宋体" w:cs="Times New Roman"/>
                      <w:color w:val="auto"/>
                      <w:spacing w:val="-11"/>
                      <w:sz w:val="21"/>
                      <w:szCs w:val="21"/>
                      <w:highlight w:val="none"/>
                      <w:vertAlign w:val="subscript"/>
                      <w:lang w:val="en-US" w:eastAsia="zh-CN"/>
                    </w:rPr>
                    <w:t>5</w:t>
                  </w:r>
                  <w:r>
                    <w:rPr>
                      <w:rFonts w:hint="default" w:ascii="Times New Roman" w:hAnsi="Times New Roman" w:eastAsia="宋体" w:cs="Times New Roman"/>
                      <w:color w:val="auto"/>
                      <w:spacing w:val="-11"/>
                      <w:sz w:val="21"/>
                      <w:szCs w:val="21"/>
                      <w:highlight w:val="none"/>
                      <w:lang w:val="en-US" w:eastAsia="zh-CN"/>
                    </w:rPr>
                    <w:t>、SS、NH</w:t>
                  </w:r>
                  <w:r>
                    <w:rPr>
                      <w:rFonts w:hint="default" w:ascii="Times New Roman" w:hAnsi="Times New Roman" w:eastAsia="宋体" w:cs="Times New Roman"/>
                      <w:color w:val="auto"/>
                      <w:spacing w:val="-11"/>
                      <w:sz w:val="21"/>
                      <w:szCs w:val="21"/>
                      <w:highlight w:val="none"/>
                      <w:vertAlign w:val="subscript"/>
                      <w:lang w:val="en-US" w:eastAsia="zh-CN"/>
                    </w:rPr>
                    <w:t>3</w:t>
                  </w:r>
                  <w:r>
                    <w:rPr>
                      <w:rFonts w:hint="default" w:ascii="Times New Roman" w:hAnsi="Times New Roman" w:eastAsia="宋体" w:cs="Times New Roman"/>
                      <w:color w:val="auto"/>
                      <w:spacing w:val="-11"/>
                      <w:sz w:val="21"/>
                      <w:szCs w:val="21"/>
                      <w:highlight w:val="none"/>
                      <w:lang w:val="en-US" w:eastAsia="zh-CN"/>
                    </w:rPr>
                    <w:t>-N、TP、TN</w:t>
                  </w:r>
                </w:p>
              </w:tc>
            </w:tr>
            <w:tr w14:paraId="55DA1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7" w:type="pct"/>
                  <w:vMerge w:val="restart"/>
                  <w:tcBorders>
                    <w:tl2br w:val="nil"/>
                    <w:tr2bl w:val="nil"/>
                  </w:tcBorders>
                  <w:noWrap w:val="0"/>
                  <w:vAlign w:val="center"/>
                </w:tcPr>
                <w:p w14:paraId="0FAA0A77">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噪声</w:t>
                  </w:r>
                </w:p>
              </w:tc>
              <w:tc>
                <w:tcPr>
                  <w:tcW w:w="1564" w:type="pct"/>
                  <w:tcBorders>
                    <w:tl2br w:val="nil"/>
                    <w:tr2bl w:val="nil"/>
                  </w:tcBorders>
                  <w:noWrap w:val="0"/>
                  <w:vAlign w:val="center"/>
                </w:tcPr>
                <w:p w14:paraId="0E541E4E">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设备安装、调试</w:t>
                  </w:r>
                </w:p>
              </w:tc>
              <w:tc>
                <w:tcPr>
                  <w:tcW w:w="2368" w:type="pct"/>
                  <w:tcBorders>
                    <w:tl2br w:val="nil"/>
                    <w:tr2bl w:val="nil"/>
                  </w:tcBorders>
                  <w:noWrap w:val="0"/>
                  <w:vAlign w:val="center"/>
                </w:tcPr>
                <w:p w14:paraId="1AB2C0A0">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Leq(A)</w:t>
                  </w:r>
                </w:p>
              </w:tc>
            </w:tr>
            <w:tr w14:paraId="7DFEC1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7" w:type="pct"/>
                  <w:vMerge w:val="continue"/>
                  <w:tcBorders>
                    <w:tl2br w:val="nil"/>
                    <w:tr2bl w:val="nil"/>
                  </w:tcBorders>
                  <w:noWrap w:val="0"/>
                  <w:vAlign w:val="center"/>
                </w:tcPr>
                <w:p w14:paraId="7C0DC02A">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p>
              </w:tc>
              <w:tc>
                <w:tcPr>
                  <w:tcW w:w="1564" w:type="pct"/>
                  <w:tcBorders>
                    <w:tl2br w:val="nil"/>
                    <w:tr2bl w:val="nil"/>
                  </w:tcBorders>
                  <w:noWrap w:val="0"/>
                  <w:vAlign w:val="center"/>
                </w:tcPr>
                <w:p w14:paraId="28CDB399">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运输车辆</w:t>
                  </w:r>
                </w:p>
              </w:tc>
              <w:tc>
                <w:tcPr>
                  <w:tcW w:w="2368" w:type="pct"/>
                  <w:tcBorders>
                    <w:tl2br w:val="nil"/>
                    <w:tr2bl w:val="nil"/>
                  </w:tcBorders>
                  <w:noWrap w:val="0"/>
                  <w:vAlign w:val="center"/>
                </w:tcPr>
                <w:p w14:paraId="56BBCA0E">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Leq(A)</w:t>
                  </w:r>
                </w:p>
              </w:tc>
            </w:tr>
            <w:tr w14:paraId="4F229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7" w:type="pct"/>
                  <w:vMerge w:val="restart"/>
                  <w:tcBorders>
                    <w:tl2br w:val="nil"/>
                    <w:tr2bl w:val="nil"/>
                  </w:tcBorders>
                  <w:noWrap w:val="0"/>
                  <w:vAlign w:val="center"/>
                </w:tcPr>
                <w:p w14:paraId="58CD204A">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固废</w:t>
                  </w:r>
                </w:p>
              </w:tc>
              <w:tc>
                <w:tcPr>
                  <w:tcW w:w="1564" w:type="pct"/>
                  <w:tcBorders>
                    <w:tl2br w:val="nil"/>
                    <w:tr2bl w:val="nil"/>
                  </w:tcBorders>
                  <w:noWrap w:val="0"/>
                  <w:vAlign w:val="center"/>
                </w:tcPr>
                <w:p w14:paraId="685CF90D">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设备包装</w:t>
                  </w:r>
                </w:p>
              </w:tc>
              <w:tc>
                <w:tcPr>
                  <w:tcW w:w="2368" w:type="pct"/>
                  <w:tcBorders>
                    <w:tl2br w:val="nil"/>
                    <w:tr2bl w:val="nil"/>
                  </w:tcBorders>
                  <w:noWrap w:val="0"/>
                  <w:vAlign w:val="center"/>
                </w:tcPr>
                <w:p w14:paraId="36901715">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废弃包装物</w:t>
                  </w:r>
                </w:p>
              </w:tc>
            </w:tr>
            <w:tr w14:paraId="0469DC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7" w:type="pct"/>
                  <w:vMerge w:val="continue"/>
                  <w:tcBorders>
                    <w:tl2br w:val="nil"/>
                    <w:tr2bl w:val="nil"/>
                  </w:tcBorders>
                  <w:noWrap w:val="0"/>
                  <w:vAlign w:val="center"/>
                </w:tcPr>
                <w:p w14:paraId="789B765B">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p>
              </w:tc>
              <w:tc>
                <w:tcPr>
                  <w:tcW w:w="1564" w:type="pct"/>
                  <w:tcBorders>
                    <w:tl2br w:val="nil"/>
                    <w:tr2bl w:val="nil"/>
                  </w:tcBorders>
                  <w:noWrap w:val="0"/>
                  <w:vAlign w:val="center"/>
                </w:tcPr>
                <w:p w14:paraId="4A918462">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施工人员生活垃圾</w:t>
                  </w:r>
                </w:p>
              </w:tc>
              <w:tc>
                <w:tcPr>
                  <w:tcW w:w="2368" w:type="pct"/>
                  <w:tcBorders>
                    <w:tl2br w:val="nil"/>
                    <w:tr2bl w:val="nil"/>
                  </w:tcBorders>
                  <w:noWrap w:val="0"/>
                  <w:vAlign w:val="center"/>
                </w:tcPr>
                <w:p w14:paraId="1DFF2F05">
                  <w:pPr>
                    <w:spacing w:line="240" w:lineRule="auto"/>
                    <w:ind w:firstLine="0" w:firstLineChars="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生活垃圾</w:t>
                  </w:r>
                </w:p>
              </w:tc>
            </w:tr>
          </w:tbl>
          <w:p w14:paraId="6A47BA9A">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施工结束后，所有污染随之消失，对外环境影响较小。</w:t>
            </w:r>
          </w:p>
          <w:p w14:paraId="1F430599">
            <w:pPr>
              <w:keepNext w:val="0"/>
              <w:keepLines w:val="0"/>
              <w:pageBreakBefore w:val="0"/>
              <w:widowControl/>
              <w:numPr>
                <w:ilvl w:val="0"/>
                <w:numId w:val="9"/>
              </w:numPr>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运营期</w:t>
            </w:r>
          </w:p>
          <w:p w14:paraId="5D394C4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1、高压电源生产工艺流程</w:t>
            </w:r>
          </w:p>
          <w:p w14:paraId="64CA1CE4">
            <w:pPr>
              <w:adjustRightInd w:val="0"/>
              <w:snapToGrid w:val="0"/>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object>
                <v:shape id="_x0000_i1026" o:spt="75" type="#_x0000_t75" style="height:378.45pt;width:302.65pt;" o:ole="t" filled="f" o:preferrelative="t" stroked="f" coordsize="21600,21600">
                  <v:path/>
                  <v:fill on="f" focussize="0,0"/>
                  <v:stroke on="f"/>
                  <v:imagedata r:id="rId14" o:title=""/>
                  <o:lock v:ext="edit" aspectratio="f"/>
                  <w10:wrap type="none"/>
                  <w10:anchorlock/>
                </v:shape>
                <o:OLEObject Type="Embed" ProgID="Visio.Drawing.11" ShapeID="_x0000_i1026" DrawAspect="Content" ObjectID="_1468075726" r:id="rId13">
                  <o:LockedField>false</o:LockedField>
                </o:OLEObject>
              </w:object>
            </w:r>
          </w:p>
          <w:p w14:paraId="41E13910">
            <w:pPr>
              <w:adjustRightInd w:val="0"/>
              <w:snapToGrid w:val="0"/>
              <w:spacing w:line="240" w:lineRule="auto"/>
              <w:jc w:val="center"/>
              <w:rPr>
                <w:rFonts w:hint="default" w:ascii="Times New Roman" w:hAnsi="Times New Roman"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图2-3   本项目生产工艺流程图</w:t>
            </w:r>
          </w:p>
          <w:p w14:paraId="3365C53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工艺流程简述：</w:t>
            </w:r>
          </w:p>
          <w:p w14:paraId="5D82DE9D">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焊接</w:t>
            </w:r>
          </w:p>
          <w:p w14:paraId="6C38B65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采用表面贴装技术（SMT）进行电路板组装。首先通过锡膏印刷机将焊锡膏精确涂覆于电路板焊盘表面，经SPI锡膏厚度检测仪自动检测印刷质量后，由贴片机将电子元器件贴装于指定位置。完成贴装的电路板进入回流焊炉，通过高温加热使无铅锡膏熔化并完成焊接。焊接后的电路板经AOI自动光学检测设备对外观及焊点质量进行检测，确保焊接质量合格。</w:t>
            </w:r>
          </w:p>
          <w:p w14:paraId="79B3393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产污环节：</w:t>
            </w:r>
          </w:p>
          <w:p w14:paraId="6004120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废气：回流焊过程中产生焊接烟尘（颗粒物、锡及其化合物）。</w:t>
            </w:r>
          </w:p>
          <w:p w14:paraId="616DB0A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固废：检测环节产生少量不合格电路板。</w:t>
            </w:r>
          </w:p>
          <w:p w14:paraId="323E2B21">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清洗</w:t>
            </w:r>
          </w:p>
          <w:p w14:paraId="77D120E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焊接完成后的电路板采用环保清洗剂（TC-20型）进行清洗，去除表面残留杂质，确保电路板表面清洁。</w:t>
            </w:r>
          </w:p>
          <w:p w14:paraId="0B4AD26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产污环节：</w:t>
            </w:r>
          </w:p>
          <w:p w14:paraId="73E287A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废气：清洗过程及清洗后晾干过程中清洗剂挥发产生有机废气（以非甲烷总烃计）。</w:t>
            </w:r>
          </w:p>
          <w:p w14:paraId="706CD6F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废液：清洗工序定期更换产生的废清洗剂。</w:t>
            </w:r>
          </w:p>
          <w:p w14:paraId="0F688F9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固废：清洗工序产生废清洗剂包装桶。</w:t>
            </w:r>
          </w:p>
          <w:p w14:paraId="1226E0FD">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灌封</w:t>
            </w:r>
          </w:p>
          <w:p w14:paraId="16390C5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清洗后的电路板进入灌封工序。在真空条件下，将双组份灌封胶（DOWSIL CN-8760G Encapsulant A/B）注入模块腔体，利用真空环境排出胶体内气泡，确保灌封层致密均匀。灌封完成后进行电加热固化，固化后模块进行除泡处理及耐压测试，验证绝缘性能符合要求。</w:t>
            </w:r>
          </w:p>
          <w:p w14:paraId="75934A6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产污环节：</w:t>
            </w:r>
          </w:p>
          <w:p w14:paraId="4D18148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废气：灌封胶调配、灌注及加热固化过程中产生有机废气（以非甲烷总烃计）。</w:t>
            </w:r>
          </w:p>
          <w:p w14:paraId="1F88DC6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固废：灌封工序产生废灌封胶包装桶/罐、废胶渣。</w:t>
            </w:r>
          </w:p>
          <w:p w14:paraId="41765604">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烘干</w:t>
            </w:r>
          </w:p>
          <w:p w14:paraId="00D062D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灌封固化后的模块送入</w:t>
            </w:r>
            <w:r>
              <w:rPr>
                <w:rFonts w:hint="default" w:ascii="Times New Roman" w:hAnsi="Times New Roman" w:cs="Times New Roman"/>
                <w:b w:val="0"/>
                <w:bCs w:val="0"/>
                <w:color w:val="auto"/>
                <w:kern w:val="0"/>
                <w:sz w:val="24"/>
                <w:szCs w:val="24"/>
                <w:highlight w:val="none"/>
                <w:lang w:val="en-US" w:eastAsia="zh-CN" w:bidi="ar"/>
              </w:rPr>
              <w:t>电</w:t>
            </w:r>
            <w:r>
              <w:rPr>
                <w:rFonts w:hint="default" w:ascii="Times New Roman" w:hAnsi="Times New Roman" w:eastAsia="宋体" w:cs="Times New Roman"/>
                <w:b w:val="0"/>
                <w:bCs w:val="0"/>
                <w:color w:val="auto"/>
                <w:kern w:val="0"/>
                <w:sz w:val="24"/>
                <w:szCs w:val="24"/>
                <w:highlight w:val="none"/>
                <w:lang w:val="en-US" w:eastAsia="zh-CN" w:bidi="ar"/>
              </w:rPr>
              <w:t>烘箱进行低温烘干处理，烘干温度控制在80~90℃，烘干时间1~2小时，使灌封胶性能进一步稳定。</w:t>
            </w:r>
          </w:p>
          <w:p w14:paraId="4A5F73A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产污环节：</w:t>
            </w:r>
          </w:p>
          <w:p w14:paraId="011DD86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废气：烘干过程中灌封胶中残留微量挥发性有机物进一步逸出，产生少量有机废气（以非甲烷总烃计）。</w:t>
            </w:r>
          </w:p>
          <w:p w14:paraId="66118F59">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测试</w:t>
            </w:r>
          </w:p>
          <w:p w14:paraId="3A61F315">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烘干完成后的模块进行电气性能测试和功能测试。电气测试：包括耐压测试（交/直流）、绝缘电阻测试及漏电流测试；功能测试：对模块的稳压、稳流、保护触发及远程控制等功能进行逐项检测，确保性能指标满足设计要求。</w:t>
            </w:r>
          </w:p>
          <w:p w14:paraId="5AE1B03A">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老化试验</w:t>
            </w:r>
          </w:p>
          <w:p w14:paraId="44F828B1">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通过测试的</w:t>
            </w:r>
            <w:r>
              <w:rPr>
                <w:rFonts w:hint="default" w:ascii="Times New Roman" w:hAnsi="Times New Roman" w:cs="Times New Roman"/>
                <w:b w:val="0"/>
                <w:bCs w:val="0"/>
                <w:color w:val="auto"/>
                <w:kern w:val="0"/>
                <w:sz w:val="24"/>
                <w:szCs w:val="24"/>
                <w:highlight w:val="none"/>
                <w:lang w:val="en-US" w:eastAsia="zh-CN" w:bidi="ar"/>
              </w:rPr>
              <w:t>所有</w:t>
            </w:r>
            <w:r>
              <w:rPr>
                <w:rFonts w:hint="default" w:ascii="Times New Roman" w:hAnsi="Times New Roman" w:eastAsia="宋体" w:cs="Times New Roman"/>
                <w:b w:val="0"/>
                <w:bCs w:val="0"/>
                <w:color w:val="auto"/>
                <w:kern w:val="0"/>
                <w:sz w:val="24"/>
                <w:szCs w:val="24"/>
                <w:highlight w:val="none"/>
                <w:lang w:val="en-US" w:eastAsia="zh-CN" w:bidi="ar"/>
              </w:rPr>
              <w:t>模块进行老化试验。在常温或高温（45℃）条件下，满载连续运行24~48小时，考核产品的稳定性和可靠性。</w:t>
            </w:r>
          </w:p>
          <w:p w14:paraId="05253A3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产污环节：</w:t>
            </w:r>
          </w:p>
          <w:p w14:paraId="111AB7D5">
            <w:pPr>
              <w:pStyle w:val="2"/>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固废：不合格电源模块。</w:t>
            </w:r>
          </w:p>
          <w:p w14:paraId="5B3D5B8E">
            <w:pPr>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cs="Times New Roman"/>
                <w:b w:val="0"/>
                <w:bCs w:val="0"/>
                <w:color w:val="auto"/>
                <w:kern w:val="0"/>
                <w:sz w:val="24"/>
                <w:szCs w:val="24"/>
                <w:highlight w:val="none"/>
                <w:lang w:val="en-US" w:eastAsia="zh-CN" w:bidi="ar"/>
              </w:rPr>
              <w:t>组装</w:t>
            </w:r>
          </w:p>
          <w:p w14:paraId="0176EA15">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将老化合格的电源模块安装至最终外壳或系统组件中，包括盖板安装、螺丝紧固、引出线或接插件连接等。</w:t>
            </w:r>
          </w:p>
          <w:p w14:paraId="1ED6681E">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产污环节：</w:t>
            </w:r>
          </w:p>
          <w:p w14:paraId="65F8DA1E">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固废：废包装、废零件。</w:t>
            </w:r>
          </w:p>
          <w:p w14:paraId="69A66509">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（8）检验</w:t>
            </w:r>
          </w:p>
          <w:p w14:paraId="09512551">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对组装完成的成品进行全面检验，包括外观检查（标识、丝印、划痕、清洁度等）及功能抽检，确认产品无外观缺陷且功能正常。</w:t>
            </w:r>
          </w:p>
          <w:p w14:paraId="37045069">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（9）包装入库</w:t>
            </w:r>
          </w:p>
          <w:p w14:paraId="533D6FE5">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检验合格的产品粘贴铭牌、标签，采用防静电或防潮材料进行包装，完成后办理入库手续，成品待发。</w:t>
            </w:r>
          </w:p>
          <w:p w14:paraId="24645A72">
            <w:pPr>
              <w:pStyle w:val="6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备注：1#厂房具备全流程生产条件，3#厂房仅拥有测试、老化试验以及检验部分工艺，不涉及焊接、清洗、灌封、烘干工序。</w:t>
            </w:r>
          </w:p>
          <w:p w14:paraId="746916CE">
            <w:pPr>
              <w:widowControl/>
              <w:adjustRightInd w:val="0"/>
              <w:snapToGrid w:val="0"/>
              <w:spacing w:line="360" w:lineRule="auto"/>
              <w:ind w:firstLine="482" w:firstLineChars="200"/>
              <w:jc w:val="left"/>
              <w:rPr>
                <w:rFonts w:hint="default" w:ascii="Times New Roman" w:hAnsi="Times New Roman" w:cs="Times New Roman"/>
                <w:color w:val="auto"/>
                <w:highlight w:val="none"/>
              </w:rPr>
            </w:pPr>
            <w:r>
              <w:rPr>
                <w:rFonts w:hint="default" w:ascii="Times New Roman" w:hAnsi="Times New Roman" w:cs="Times New Roman"/>
                <w:b/>
                <w:bCs/>
                <w:color w:val="auto"/>
                <w:kern w:val="0"/>
                <w:sz w:val="24"/>
                <w:highlight w:val="none"/>
              </w:rPr>
              <w:t>三、项目污染工序及污染因子表</w:t>
            </w:r>
          </w:p>
          <w:p w14:paraId="218208DF">
            <w:pPr>
              <w:widowControl/>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kern w:val="0"/>
                <w:szCs w:val="21"/>
                <w:highlight w:val="none"/>
              </w:rPr>
              <w:t>表2-7   运营期污染工序及污染因子情况一览表</w:t>
            </w:r>
          </w:p>
          <w:tbl>
            <w:tblPr>
              <w:tblStyle w:val="2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217"/>
              <w:gridCol w:w="2540"/>
              <w:gridCol w:w="1497"/>
              <w:gridCol w:w="2846"/>
            </w:tblGrid>
            <w:tr w14:paraId="4C3BCF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tcBorders>
                    <w:tl2br w:val="nil"/>
                    <w:tr2bl w:val="nil"/>
                  </w:tcBorders>
                  <w:vAlign w:val="center"/>
                </w:tcPr>
                <w:p w14:paraId="3D069153">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类型</w:t>
                  </w:r>
                </w:p>
              </w:tc>
              <w:tc>
                <w:tcPr>
                  <w:tcW w:w="708" w:type="pct"/>
                  <w:tcBorders>
                    <w:tl2br w:val="nil"/>
                    <w:tr2bl w:val="nil"/>
                  </w:tcBorders>
                  <w:vAlign w:val="center"/>
                </w:tcPr>
                <w:p w14:paraId="12084A2E">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产生工序</w:t>
                  </w:r>
                </w:p>
              </w:tc>
              <w:tc>
                <w:tcPr>
                  <w:tcW w:w="1478" w:type="pct"/>
                  <w:tcBorders>
                    <w:tl2br w:val="nil"/>
                    <w:tr2bl w:val="nil"/>
                  </w:tcBorders>
                  <w:vAlign w:val="center"/>
                </w:tcPr>
                <w:p w14:paraId="6FF64C16">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主要污染物</w:t>
                  </w:r>
                </w:p>
              </w:tc>
              <w:tc>
                <w:tcPr>
                  <w:tcW w:w="2527" w:type="pct"/>
                  <w:gridSpan w:val="2"/>
                  <w:tcBorders>
                    <w:tl2br w:val="nil"/>
                    <w:tr2bl w:val="nil"/>
                  </w:tcBorders>
                  <w:vAlign w:val="center"/>
                </w:tcPr>
                <w:p w14:paraId="10ADC9BF">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污染防治设施</w:t>
                  </w:r>
                </w:p>
              </w:tc>
            </w:tr>
            <w:tr w14:paraId="64C2D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restart"/>
                  <w:tcBorders>
                    <w:tl2br w:val="nil"/>
                    <w:tr2bl w:val="nil"/>
                  </w:tcBorders>
                  <w:vAlign w:val="center"/>
                </w:tcPr>
                <w:p w14:paraId="24DEB03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废气</w:t>
                  </w:r>
                </w:p>
              </w:tc>
              <w:tc>
                <w:tcPr>
                  <w:tcW w:w="708" w:type="pct"/>
                  <w:tcBorders>
                    <w:tl2br w:val="nil"/>
                    <w:tr2bl w:val="nil"/>
                  </w:tcBorders>
                  <w:vAlign w:val="center"/>
                </w:tcPr>
                <w:p w14:paraId="26566E47">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焊接</w:t>
                  </w:r>
                </w:p>
              </w:tc>
              <w:tc>
                <w:tcPr>
                  <w:tcW w:w="1478" w:type="pct"/>
                  <w:tcBorders>
                    <w:tl2br w:val="nil"/>
                    <w:tr2bl w:val="nil"/>
                  </w:tcBorders>
                  <w:vAlign w:val="center"/>
                </w:tcPr>
                <w:p w14:paraId="53A38C09">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锡及其化合物、颗粒物</w:t>
                  </w:r>
                </w:p>
              </w:tc>
              <w:tc>
                <w:tcPr>
                  <w:tcW w:w="871" w:type="pct"/>
                  <w:tcBorders>
                    <w:tl2br w:val="nil"/>
                    <w:tr2bl w:val="nil"/>
                  </w:tcBorders>
                  <w:vAlign w:val="center"/>
                </w:tcPr>
                <w:p w14:paraId="0C61B232">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集气罩收集</w:t>
                  </w:r>
                </w:p>
              </w:tc>
              <w:tc>
                <w:tcPr>
                  <w:tcW w:w="1656" w:type="pct"/>
                  <w:vMerge w:val="restart"/>
                  <w:tcBorders>
                    <w:tl2br w:val="nil"/>
                    <w:tr2bl w:val="nil"/>
                  </w:tcBorders>
                  <w:vAlign w:val="center"/>
                </w:tcPr>
                <w:p w14:paraId="0CFDA14F">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Cs w:val="21"/>
                      <w:highlight w:val="none"/>
                      <w:lang w:val="en-US" w:eastAsia="zh-CN"/>
                    </w:rPr>
                    <w:t>1</w:t>
                  </w:r>
                  <w:r>
                    <w:rPr>
                      <w:rFonts w:hint="default" w:ascii="Times New Roman" w:hAnsi="Times New Roman" w:cs="Times New Roman"/>
                      <w:color w:val="auto"/>
                      <w:kern w:val="0"/>
                      <w:szCs w:val="21"/>
                      <w:highlight w:val="none"/>
                    </w:rPr>
                    <w:t>套</w:t>
                  </w:r>
                  <w:r>
                    <w:rPr>
                      <w:rFonts w:hint="default" w:ascii="Times New Roman" w:hAnsi="Times New Roman" w:cs="Times New Roman"/>
                      <w:color w:val="auto"/>
                      <w:kern w:val="0"/>
                      <w:szCs w:val="21"/>
                      <w:highlight w:val="none"/>
                      <w:lang w:val="en-US" w:eastAsia="zh-CN"/>
                    </w:rPr>
                    <w:t>过滤棉+</w:t>
                  </w:r>
                  <w:r>
                    <w:rPr>
                      <w:rFonts w:hint="default" w:ascii="Times New Roman" w:hAnsi="Times New Roman" w:cs="Times New Roman"/>
                      <w:color w:val="auto"/>
                      <w:kern w:val="0"/>
                      <w:szCs w:val="21"/>
                      <w:highlight w:val="none"/>
                      <w:lang w:eastAsia="zh-CN"/>
                    </w:rPr>
                    <w:t>二级活性炭吸附装置</w:t>
                  </w:r>
                  <w:r>
                    <w:rPr>
                      <w:rFonts w:hint="default" w:ascii="Times New Roman" w:hAnsi="Times New Roman" w:cs="Times New Roman"/>
                      <w:color w:val="auto"/>
                      <w:kern w:val="0"/>
                      <w:szCs w:val="21"/>
                      <w:highlight w:val="none"/>
                    </w:rPr>
                    <w:t>+</w:t>
                  </w:r>
                  <w:r>
                    <w:rPr>
                      <w:rFonts w:hint="default" w:ascii="Times New Roman" w:hAnsi="Times New Roman" w:cs="Times New Roman"/>
                      <w:color w:val="auto"/>
                      <w:kern w:val="0"/>
                      <w:szCs w:val="21"/>
                      <w:highlight w:val="none"/>
                      <w:lang w:val="en-US" w:eastAsia="zh-CN"/>
                    </w:rPr>
                    <w:t>1</w:t>
                  </w:r>
                  <w:r>
                    <w:rPr>
                      <w:rFonts w:hint="default" w:ascii="Times New Roman" w:hAnsi="Times New Roman" w:cs="Times New Roman"/>
                      <w:color w:val="auto"/>
                      <w:kern w:val="0"/>
                      <w:szCs w:val="21"/>
                      <w:highlight w:val="none"/>
                    </w:rPr>
                    <w:t>根</w:t>
                  </w:r>
                  <w:r>
                    <w:rPr>
                      <w:rFonts w:hint="default" w:ascii="Times New Roman" w:hAnsi="Times New Roman" w:cs="Times New Roman"/>
                      <w:color w:val="auto"/>
                      <w:kern w:val="0"/>
                      <w:szCs w:val="21"/>
                      <w:highlight w:val="none"/>
                      <w:lang w:val="en-US" w:eastAsia="zh-CN"/>
                    </w:rPr>
                    <w:t>34</w:t>
                  </w:r>
                  <w:r>
                    <w:rPr>
                      <w:rFonts w:hint="default" w:ascii="Times New Roman" w:hAnsi="Times New Roman" w:cs="Times New Roman"/>
                      <w:color w:val="auto"/>
                      <w:kern w:val="0"/>
                      <w:szCs w:val="21"/>
                      <w:highlight w:val="none"/>
                    </w:rPr>
                    <w:t>m高排气筒</w:t>
                  </w:r>
                </w:p>
              </w:tc>
            </w:tr>
            <w:tr w14:paraId="0BFDB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0830B866">
                  <w:pPr>
                    <w:widowControl/>
                    <w:adjustRightInd w:val="0"/>
                    <w:snapToGrid w:val="0"/>
                    <w:jc w:val="center"/>
                    <w:rPr>
                      <w:rFonts w:hint="default" w:ascii="Times New Roman" w:hAnsi="Times New Roman" w:cs="Times New Roman"/>
                      <w:color w:val="auto"/>
                      <w:kern w:val="0"/>
                      <w:szCs w:val="21"/>
                      <w:highlight w:val="none"/>
                    </w:rPr>
                  </w:pPr>
                </w:p>
              </w:tc>
              <w:tc>
                <w:tcPr>
                  <w:tcW w:w="708" w:type="pct"/>
                  <w:tcBorders>
                    <w:tl2br w:val="nil"/>
                    <w:tr2bl w:val="nil"/>
                  </w:tcBorders>
                  <w:vAlign w:val="center"/>
                </w:tcPr>
                <w:p w14:paraId="5E842350">
                  <w:pPr>
                    <w:widowControl/>
                    <w:adjustRightInd w:val="0"/>
                    <w:snapToGrid w:val="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cs="Times New Roman"/>
                      <w:color w:val="auto"/>
                      <w:kern w:val="0"/>
                      <w:szCs w:val="21"/>
                      <w:highlight w:val="none"/>
                      <w:lang w:val="en-US" w:eastAsia="zh-CN"/>
                    </w:rPr>
                    <w:t>清洗</w:t>
                  </w:r>
                </w:p>
              </w:tc>
              <w:tc>
                <w:tcPr>
                  <w:tcW w:w="1478" w:type="pct"/>
                  <w:tcBorders>
                    <w:tl2br w:val="nil"/>
                    <w:tr2bl w:val="nil"/>
                  </w:tcBorders>
                  <w:vAlign w:val="center"/>
                </w:tcPr>
                <w:p w14:paraId="1BAA05E6">
                  <w:pPr>
                    <w:widowControl/>
                    <w:adjustRightInd w:val="0"/>
                    <w:snapToGrid w:val="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cs="Times New Roman"/>
                      <w:color w:val="auto"/>
                      <w:kern w:val="0"/>
                      <w:szCs w:val="21"/>
                      <w:highlight w:val="none"/>
                      <w:lang w:val="en-US" w:eastAsia="zh-CN"/>
                    </w:rPr>
                    <w:t>非甲烷总烃</w:t>
                  </w:r>
                </w:p>
              </w:tc>
              <w:tc>
                <w:tcPr>
                  <w:tcW w:w="871" w:type="pct"/>
                  <w:tcBorders>
                    <w:tl2br w:val="nil"/>
                    <w:tr2bl w:val="nil"/>
                  </w:tcBorders>
                  <w:vAlign w:val="center"/>
                </w:tcPr>
                <w:p w14:paraId="2EBA979A">
                  <w:pPr>
                    <w:adjustRightInd w:val="0"/>
                    <w:snapToGrid w:val="0"/>
                    <w:jc w:val="center"/>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Cs w:val="21"/>
                      <w:highlight w:val="none"/>
                      <w:lang w:val="en-US" w:eastAsia="zh-CN"/>
                    </w:rPr>
                    <w:t>集气罩收集</w:t>
                  </w:r>
                </w:p>
              </w:tc>
              <w:tc>
                <w:tcPr>
                  <w:tcW w:w="1656" w:type="pct"/>
                  <w:vMerge w:val="continue"/>
                  <w:tcBorders>
                    <w:tl2br w:val="nil"/>
                    <w:tr2bl w:val="nil"/>
                  </w:tcBorders>
                  <w:vAlign w:val="center"/>
                </w:tcPr>
                <w:p w14:paraId="0A5FF76E">
                  <w:pPr>
                    <w:adjustRightInd w:val="0"/>
                    <w:snapToGrid w:val="0"/>
                    <w:jc w:val="center"/>
                    <w:rPr>
                      <w:rFonts w:hint="default" w:ascii="Times New Roman" w:hAnsi="Times New Roman" w:cs="Times New Roman"/>
                      <w:color w:val="auto"/>
                      <w:kern w:val="0"/>
                      <w:sz w:val="21"/>
                      <w:szCs w:val="21"/>
                      <w:highlight w:val="none"/>
                      <w:lang w:val="en-US"/>
                    </w:rPr>
                  </w:pPr>
                </w:p>
              </w:tc>
            </w:tr>
            <w:tr w14:paraId="21219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621C0E43">
                  <w:pPr>
                    <w:widowControl/>
                    <w:adjustRightInd w:val="0"/>
                    <w:snapToGrid w:val="0"/>
                    <w:jc w:val="center"/>
                    <w:rPr>
                      <w:rFonts w:hint="default" w:ascii="Times New Roman" w:hAnsi="Times New Roman" w:cs="Times New Roman"/>
                      <w:color w:val="auto"/>
                      <w:kern w:val="0"/>
                      <w:szCs w:val="21"/>
                      <w:highlight w:val="none"/>
                    </w:rPr>
                  </w:pPr>
                </w:p>
              </w:tc>
              <w:tc>
                <w:tcPr>
                  <w:tcW w:w="708" w:type="pct"/>
                  <w:tcBorders>
                    <w:tl2br w:val="nil"/>
                    <w:tr2bl w:val="nil"/>
                  </w:tcBorders>
                  <w:vAlign w:val="center"/>
                </w:tcPr>
                <w:p w14:paraId="09214310">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灌封</w:t>
                  </w:r>
                </w:p>
              </w:tc>
              <w:tc>
                <w:tcPr>
                  <w:tcW w:w="1478" w:type="pct"/>
                  <w:tcBorders>
                    <w:tl2br w:val="nil"/>
                    <w:tr2bl w:val="nil"/>
                  </w:tcBorders>
                  <w:vAlign w:val="center"/>
                </w:tcPr>
                <w:p w14:paraId="320E625D">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非甲烷总烃</w:t>
                  </w:r>
                </w:p>
              </w:tc>
              <w:tc>
                <w:tcPr>
                  <w:tcW w:w="871" w:type="pct"/>
                  <w:tcBorders>
                    <w:tl2br w:val="nil"/>
                    <w:tr2bl w:val="nil"/>
                  </w:tcBorders>
                  <w:vAlign w:val="center"/>
                </w:tcPr>
                <w:p w14:paraId="0599BCAB">
                  <w:pPr>
                    <w:adjustRightInd w:val="0"/>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Cs w:val="21"/>
                      <w:highlight w:val="none"/>
                      <w:lang w:val="en-US" w:eastAsia="zh-CN"/>
                    </w:rPr>
                    <w:t>集气罩收集</w:t>
                  </w:r>
                </w:p>
              </w:tc>
              <w:tc>
                <w:tcPr>
                  <w:tcW w:w="1656" w:type="pct"/>
                  <w:vMerge w:val="continue"/>
                  <w:tcBorders>
                    <w:tl2br w:val="nil"/>
                    <w:tr2bl w:val="nil"/>
                  </w:tcBorders>
                  <w:vAlign w:val="center"/>
                </w:tcPr>
                <w:p w14:paraId="1DDAD02F">
                  <w:pPr>
                    <w:adjustRightInd w:val="0"/>
                    <w:snapToGrid w:val="0"/>
                    <w:jc w:val="center"/>
                    <w:rPr>
                      <w:rFonts w:hint="default" w:ascii="Times New Roman" w:hAnsi="Times New Roman" w:cs="Times New Roman"/>
                      <w:color w:val="auto"/>
                      <w:sz w:val="21"/>
                      <w:szCs w:val="21"/>
                      <w:highlight w:val="none"/>
                      <w:lang w:val="en-US" w:eastAsia="zh-CN"/>
                    </w:rPr>
                  </w:pPr>
                </w:p>
              </w:tc>
            </w:tr>
            <w:tr w14:paraId="08652A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07BEAD7C">
                  <w:pPr>
                    <w:widowControl/>
                    <w:adjustRightInd w:val="0"/>
                    <w:snapToGrid w:val="0"/>
                    <w:jc w:val="center"/>
                    <w:rPr>
                      <w:rFonts w:hint="default" w:ascii="Times New Roman" w:hAnsi="Times New Roman" w:cs="Times New Roman"/>
                      <w:color w:val="auto"/>
                      <w:kern w:val="0"/>
                      <w:szCs w:val="21"/>
                      <w:highlight w:val="none"/>
                    </w:rPr>
                  </w:pPr>
                </w:p>
              </w:tc>
              <w:tc>
                <w:tcPr>
                  <w:tcW w:w="708" w:type="pct"/>
                  <w:tcBorders>
                    <w:tl2br w:val="nil"/>
                    <w:tr2bl w:val="nil"/>
                  </w:tcBorders>
                  <w:vAlign w:val="center"/>
                </w:tcPr>
                <w:p w14:paraId="1946672B">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烘干</w:t>
                  </w:r>
                </w:p>
              </w:tc>
              <w:tc>
                <w:tcPr>
                  <w:tcW w:w="1478" w:type="pct"/>
                  <w:tcBorders>
                    <w:tl2br w:val="nil"/>
                    <w:tr2bl w:val="nil"/>
                  </w:tcBorders>
                  <w:vAlign w:val="center"/>
                </w:tcPr>
                <w:p w14:paraId="19D82346">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非甲烷总烃</w:t>
                  </w:r>
                </w:p>
              </w:tc>
              <w:tc>
                <w:tcPr>
                  <w:tcW w:w="871" w:type="pct"/>
                  <w:tcBorders>
                    <w:tl2br w:val="nil"/>
                    <w:tr2bl w:val="nil"/>
                  </w:tcBorders>
                  <w:vAlign w:val="center"/>
                </w:tcPr>
                <w:p w14:paraId="66CA83EB">
                  <w:pPr>
                    <w:adjustRightInd w:val="0"/>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0"/>
                      <w:szCs w:val="21"/>
                      <w:highlight w:val="none"/>
                      <w:lang w:val="en-US" w:eastAsia="zh-CN"/>
                    </w:rPr>
                    <w:t>集气罩收集</w:t>
                  </w:r>
                </w:p>
              </w:tc>
              <w:tc>
                <w:tcPr>
                  <w:tcW w:w="1656" w:type="pct"/>
                  <w:vMerge w:val="continue"/>
                  <w:tcBorders>
                    <w:tl2br w:val="nil"/>
                    <w:tr2bl w:val="nil"/>
                  </w:tcBorders>
                  <w:vAlign w:val="center"/>
                </w:tcPr>
                <w:p w14:paraId="1E48E7BF">
                  <w:pPr>
                    <w:adjustRightInd w:val="0"/>
                    <w:snapToGrid w:val="0"/>
                    <w:jc w:val="center"/>
                    <w:rPr>
                      <w:rFonts w:hint="default" w:ascii="Times New Roman" w:hAnsi="Times New Roman" w:cs="Times New Roman"/>
                      <w:color w:val="auto"/>
                      <w:sz w:val="21"/>
                      <w:szCs w:val="21"/>
                      <w:highlight w:val="none"/>
                      <w:lang w:val="en-US" w:eastAsia="zh-CN"/>
                    </w:rPr>
                  </w:pPr>
                </w:p>
              </w:tc>
            </w:tr>
            <w:tr w14:paraId="6A4DFB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6C58E08C">
                  <w:pPr>
                    <w:widowControl/>
                    <w:adjustRightInd w:val="0"/>
                    <w:snapToGrid w:val="0"/>
                    <w:jc w:val="center"/>
                    <w:rPr>
                      <w:rFonts w:hint="default" w:ascii="Times New Roman" w:hAnsi="Times New Roman" w:cs="Times New Roman"/>
                      <w:color w:val="auto"/>
                      <w:kern w:val="0"/>
                      <w:szCs w:val="21"/>
                      <w:highlight w:val="none"/>
                    </w:rPr>
                  </w:pPr>
                </w:p>
              </w:tc>
              <w:tc>
                <w:tcPr>
                  <w:tcW w:w="708" w:type="pct"/>
                  <w:tcBorders>
                    <w:tl2br w:val="nil"/>
                    <w:tr2bl w:val="nil"/>
                  </w:tcBorders>
                  <w:vAlign w:val="center"/>
                </w:tcPr>
                <w:p w14:paraId="0740D4A0">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食堂烹饪</w:t>
                  </w:r>
                </w:p>
              </w:tc>
              <w:tc>
                <w:tcPr>
                  <w:tcW w:w="1478" w:type="pct"/>
                  <w:tcBorders>
                    <w:tl2br w:val="nil"/>
                    <w:tr2bl w:val="nil"/>
                  </w:tcBorders>
                  <w:vAlign w:val="center"/>
                </w:tcPr>
                <w:p w14:paraId="29761FE3">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油烟</w:t>
                  </w:r>
                </w:p>
              </w:tc>
              <w:tc>
                <w:tcPr>
                  <w:tcW w:w="2527" w:type="pct"/>
                  <w:gridSpan w:val="2"/>
                  <w:tcBorders>
                    <w:tl2br w:val="nil"/>
                    <w:tr2bl w:val="nil"/>
                  </w:tcBorders>
                  <w:vAlign w:val="center"/>
                </w:tcPr>
                <w:p w14:paraId="1E9FCE86">
                  <w:pPr>
                    <w:adjustRightInd w:val="0"/>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油烟净化器＋排烟管道</w:t>
                  </w:r>
                </w:p>
              </w:tc>
            </w:tr>
            <w:tr w14:paraId="6F0833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285" w:type="pct"/>
                  <w:vMerge w:val="restart"/>
                  <w:tcBorders>
                    <w:tl2br w:val="nil"/>
                    <w:tr2bl w:val="nil"/>
                  </w:tcBorders>
                  <w:vAlign w:val="center"/>
                </w:tcPr>
                <w:p w14:paraId="4B924AD3">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废水</w:t>
                  </w:r>
                </w:p>
              </w:tc>
              <w:tc>
                <w:tcPr>
                  <w:tcW w:w="708" w:type="pct"/>
                  <w:tcBorders>
                    <w:tl2br w:val="nil"/>
                    <w:tr2bl w:val="nil"/>
                  </w:tcBorders>
                  <w:vAlign w:val="center"/>
                </w:tcPr>
                <w:p w14:paraId="244DE76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办公生活</w:t>
                  </w:r>
                </w:p>
              </w:tc>
              <w:tc>
                <w:tcPr>
                  <w:tcW w:w="1478" w:type="pct"/>
                  <w:tcBorders>
                    <w:tl2br w:val="nil"/>
                    <w:tr2bl w:val="nil"/>
                  </w:tcBorders>
                  <w:vAlign w:val="center"/>
                </w:tcPr>
                <w:p w14:paraId="5E62082B">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rPr>
                    <w:t>生活污水</w:t>
                  </w:r>
                  <w:r>
                    <w:rPr>
                      <w:rFonts w:hint="default"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lang w:val="en-US" w:eastAsia="zh-CN"/>
                    </w:rPr>
                    <w:t>食堂废水</w:t>
                  </w:r>
                </w:p>
              </w:tc>
              <w:tc>
                <w:tcPr>
                  <w:tcW w:w="2527" w:type="pct"/>
                  <w:gridSpan w:val="2"/>
                  <w:vMerge w:val="restart"/>
                  <w:tcBorders>
                    <w:tl2br w:val="nil"/>
                    <w:tr2bl w:val="nil"/>
                  </w:tcBorders>
                  <w:vAlign w:val="center"/>
                </w:tcPr>
                <w:p w14:paraId="46FC98E1">
                  <w:pPr>
                    <w:widowControl/>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纯水机制备纯水</w:t>
                  </w:r>
                  <w:r>
                    <w:rPr>
                      <w:rFonts w:hint="default" w:ascii="Times New Roman" w:hAnsi="Times New Roman" w:cs="Times New Roman"/>
                      <w:color w:val="auto"/>
                      <w:kern w:val="0"/>
                      <w:szCs w:val="21"/>
                      <w:highlight w:val="none"/>
                      <w:lang w:val="en-US" w:eastAsia="zh-CN"/>
                    </w:rPr>
                    <w:t>产生的部分浓水回用于道路浇洒用水，多余的浓水经市政污水管网排入沣西新城大王污水处理厂；</w:t>
                  </w:r>
                  <w:r>
                    <w:rPr>
                      <w:rFonts w:hint="eastAsia" w:cs="Times New Roman"/>
                      <w:color w:val="auto"/>
                      <w:kern w:val="0"/>
                      <w:szCs w:val="21"/>
                      <w:highlight w:val="none"/>
                      <w:lang w:val="en-US" w:eastAsia="zh-CN"/>
                    </w:rPr>
                    <w:t>空调冷水机组</w:t>
                  </w:r>
                  <w:r>
                    <w:rPr>
                      <w:rFonts w:hint="default" w:ascii="Times New Roman" w:hAnsi="Times New Roman" w:cs="Times New Roman"/>
                      <w:color w:val="auto"/>
                      <w:kern w:val="0"/>
                      <w:szCs w:val="21"/>
                      <w:highlight w:val="none"/>
                      <w:lang w:val="en-US" w:eastAsia="zh-CN"/>
                    </w:rPr>
                    <w:t>冷却循环水不外排，定期补充损耗；食堂废水经油水分离器处理后与生活污水经厂区化粪池预处理后再经市政污水管网排至沣西新城大王污水处理厂进一步处理</w:t>
                  </w:r>
                </w:p>
              </w:tc>
            </w:tr>
            <w:tr w14:paraId="127381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6BEE7BE3">
                  <w:pPr>
                    <w:widowControl/>
                    <w:adjustRightInd w:val="0"/>
                    <w:snapToGrid w:val="0"/>
                    <w:jc w:val="center"/>
                    <w:rPr>
                      <w:rFonts w:hint="default" w:ascii="Times New Roman" w:hAnsi="Times New Roman" w:cs="Times New Roman"/>
                      <w:color w:val="auto"/>
                      <w:kern w:val="0"/>
                      <w:szCs w:val="21"/>
                      <w:highlight w:val="none"/>
                    </w:rPr>
                  </w:pPr>
                </w:p>
              </w:tc>
              <w:tc>
                <w:tcPr>
                  <w:tcW w:w="708" w:type="pct"/>
                  <w:tcBorders>
                    <w:tl2br w:val="nil"/>
                    <w:tr2bl w:val="nil"/>
                  </w:tcBorders>
                  <w:vAlign w:val="center"/>
                </w:tcPr>
                <w:p w14:paraId="09E37C6E">
                  <w:pPr>
                    <w:widowControl/>
                    <w:adjustRightInd w:val="0"/>
                    <w:snapToGrid w:val="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生产过程</w:t>
                  </w:r>
                </w:p>
              </w:tc>
              <w:tc>
                <w:tcPr>
                  <w:tcW w:w="1478" w:type="pct"/>
                  <w:tcBorders>
                    <w:tl2br w:val="nil"/>
                    <w:tr2bl w:val="nil"/>
                  </w:tcBorders>
                  <w:vAlign w:val="center"/>
                </w:tcPr>
                <w:p w14:paraId="30107D47">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纯水机浓水</w:t>
                  </w:r>
                </w:p>
              </w:tc>
              <w:tc>
                <w:tcPr>
                  <w:tcW w:w="2527" w:type="pct"/>
                  <w:gridSpan w:val="2"/>
                  <w:vMerge w:val="continue"/>
                  <w:tcBorders>
                    <w:tl2br w:val="nil"/>
                    <w:tr2bl w:val="nil"/>
                  </w:tcBorders>
                  <w:vAlign w:val="center"/>
                </w:tcPr>
                <w:p w14:paraId="1905F242">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03F845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tcBorders>
                    <w:tl2br w:val="nil"/>
                    <w:tr2bl w:val="nil"/>
                  </w:tcBorders>
                  <w:vAlign w:val="center"/>
                </w:tcPr>
                <w:p w14:paraId="2852101B">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噪声</w:t>
                  </w:r>
                </w:p>
              </w:tc>
              <w:tc>
                <w:tcPr>
                  <w:tcW w:w="708" w:type="pct"/>
                  <w:tcBorders>
                    <w:tl2br w:val="nil"/>
                    <w:tr2bl w:val="nil"/>
                  </w:tcBorders>
                  <w:vAlign w:val="center"/>
                </w:tcPr>
                <w:p w14:paraId="3F3FF8FE">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设备运行</w:t>
                  </w:r>
                </w:p>
              </w:tc>
              <w:tc>
                <w:tcPr>
                  <w:tcW w:w="1478" w:type="pct"/>
                  <w:tcBorders>
                    <w:tl2br w:val="nil"/>
                    <w:tr2bl w:val="nil"/>
                  </w:tcBorders>
                  <w:vAlign w:val="center"/>
                </w:tcPr>
                <w:p w14:paraId="4CEB1814">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机械噪声</w:t>
                  </w:r>
                </w:p>
              </w:tc>
              <w:tc>
                <w:tcPr>
                  <w:tcW w:w="2527" w:type="pct"/>
                  <w:gridSpan w:val="2"/>
                  <w:tcBorders>
                    <w:tl2br w:val="nil"/>
                    <w:tr2bl w:val="nil"/>
                  </w:tcBorders>
                  <w:vAlign w:val="center"/>
                </w:tcPr>
                <w:p w14:paraId="02D03924">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选用低噪声设备、厂房隔声、减振处理、加强平时的运营维护等</w:t>
                  </w:r>
                </w:p>
              </w:tc>
            </w:tr>
            <w:tr w14:paraId="5D3EB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restart"/>
                  <w:tcBorders>
                    <w:tl2br w:val="nil"/>
                    <w:tr2bl w:val="nil"/>
                  </w:tcBorders>
                  <w:vAlign w:val="center"/>
                </w:tcPr>
                <w:p w14:paraId="048E6D2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固体废物</w:t>
                  </w:r>
                </w:p>
              </w:tc>
              <w:tc>
                <w:tcPr>
                  <w:tcW w:w="708" w:type="pct"/>
                  <w:vMerge w:val="restart"/>
                  <w:tcBorders>
                    <w:tl2br w:val="nil"/>
                    <w:tr2bl w:val="nil"/>
                  </w:tcBorders>
                  <w:vAlign w:val="center"/>
                </w:tcPr>
                <w:p w14:paraId="6E9F2280">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职工办公生活</w:t>
                  </w:r>
                </w:p>
              </w:tc>
              <w:tc>
                <w:tcPr>
                  <w:tcW w:w="1478" w:type="pct"/>
                  <w:tcBorders>
                    <w:tl2br w:val="nil"/>
                    <w:tr2bl w:val="nil"/>
                  </w:tcBorders>
                  <w:vAlign w:val="center"/>
                </w:tcPr>
                <w:p w14:paraId="3E827E7B">
                  <w:pPr>
                    <w:widowControl/>
                    <w:adjustRightInd w:val="0"/>
                    <w:snapToGrid w:val="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cs="Times New Roman"/>
                      <w:color w:val="auto"/>
                      <w:kern w:val="0"/>
                      <w:szCs w:val="21"/>
                      <w:highlight w:val="none"/>
                    </w:rPr>
                    <w:t>生活垃圾</w:t>
                  </w:r>
                </w:p>
              </w:tc>
              <w:tc>
                <w:tcPr>
                  <w:tcW w:w="2527" w:type="pct"/>
                  <w:gridSpan w:val="2"/>
                  <w:tcBorders>
                    <w:tl2br w:val="nil"/>
                    <w:tr2bl w:val="nil"/>
                  </w:tcBorders>
                  <w:vAlign w:val="center"/>
                </w:tcPr>
                <w:p w14:paraId="1CD8AE21">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设垃圾桶分类收集，环卫部门统一清运</w:t>
                  </w:r>
                </w:p>
              </w:tc>
            </w:tr>
            <w:tr w14:paraId="45AE62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00B96A4F">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4B90E795">
                  <w:pPr>
                    <w:widowControl/>
                    <w:adjustRightInd w:val="0"/>
                    <w:snapToGrid w:val="0"/>
                    <w:jc w:val="center"/>
                    <w:rPr>
                      <w:rFonts w:hint="default" w:ascii="Times New Roman" w:hAnsi="Times New Roman" w:cs="Times New Roman"/>
                      <w:color w:val="auto"/>
                      <w:kern w:val="0"/>
                      <w:szCs w:val="21"/>
                      <w:highlight w:val="none"/>
                    </w:rPr>
                  </w:pPr>
                </w:p>
              </w:tc>
              <w:tc>
                <w:tcPr>
                  <w:tcW w:w="1478" w:type="pct"/>
                  <w:tcBorders>
                    <w:tl2br w:val="nil"/>
                    <w:tr2bl w:val="nil"/>
                  </w:tcBorders>
                  <w:vAlign w:val="center"/>
                </w:tcPr>
                <w:p w14:paraId="573BA299">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废油脂</w:t>
                  </w:r>
                </w:p>
              </w:tc>
              <w:tc>
                <w:tcPr>
                  <w:tcW w:w="2527" w:type="pct"/>
                  <w:gridSpan w:val="2"/>
                  <w:tcBorders>
                    <w:tl2br w:val="nil"/>
                    <w:tr2bl w:val="nil"/>
                  </w:tcBorders>
                  <w:vAlign w:val="center"/>
                </w:tcPr>
                <w:p w14:paraId="72D27FD1">
                  <w:pPr>
                    <w:widowControl/>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收集后交由有资质单位处置</w:t>
                  </w:r>
                </w:p>
              </w:tc>
            </w:tr>
            <w:tr w14:paraId="1CA35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76236204">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restart"/>
                  <w:tcBorders>
                    <w:tl2br w:val="nil"/>
                    <w:tr2bl w:val="nil"/>
                  </w:tcBorders>
                  <w:vAlign w:val="center"/>
                </w:tcPr>
                <w:p w14:paraId="4C0E4983">
                  <w:pPr>
                    <w:widowControl/>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废气处理</w:t>
                  </w:r>
                </w:p>
              </w:tc>
              <w:tc>
                <w:tcPr>
                  <w:tcW w:w="1478" w:type="pct"/>
                  <w:tcBorders>
                    <w:tl2br w:val="nil"/>
                    <w:tr2bl w:val="nil"/>
                  </w:tcBorders>
                  <w:vAlign w:val="center"/>
                </w:tcPr>
                <w:p w14:paraId="2CE1CD73">
                  <w:pPr>
                    <w:wordWrap w:val="0"/>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废</w:t>
                  </w:r>
                  <w:r>
                    <w:rPr>
                      <w:rFonts w:hint="default" w:ascii="Times New Roman" w:hAnsi="Times New Roman" w:cs="Times New Roman"/>
                      <w:color w:val="auto"/>
                      <w:szCs w:val="21"/>
                      <w:highlight w:val="none"/>
                      <w:lang w:val="en-US" w:eastAsia="zh-CN"/>
                    </w:rPr>
                    <w:t>活性炭</w:t>
                  </w:r>
                </w:p>
              </w:tc>
              <w:tc>
                <w:tcPr>
                  <w:tcW w:w="2527" w:type="pct"/>
                  <w:gridSpan w:val="2"/>
                  <w:vMerge w:val="restart"/>
                  <w:tcBorders>
                    <w:tl2br w:val="nil"/>
                    <w:tr2bl w:val="nil"/>
                  </w:tcBorders>
                  <w:vAlign w:val="center"/>
                </w:tcPr>
                <w:p w14:paraId="5607CD8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val="en-US" w:eastAsia="zh-CN"/>
                    </w:rPr>
                    <w:t>专用容器密封保存，暂存于危废贮存库，并委托有资质单位定期处置</w:t>
                  </w:r>
                </w:p>
              </w:tc>
            </w:tr>
            <w:tr w14:paraId="727DC5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112EA9C9">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03258899">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38AD7CA8">
                  <w:pPr>
                    <w:wordWrap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废过滤棉</w:t>
                  </w:r>
                </w:p>
              </w:tc>
              <w:tc>
                <w:tcPr>
                  <w:tcW w:w="2527" w:type="pct"/>
                  <w:gridSpan w:val="2"/>
                  <w:vMerge w:val="continue"/>
                  <w:tcBorders>
                    <w:tl2br w:val="nil"/>
                    <w:tr2bl w:val="nil"/>
                  </w:tcBorders>
                  <w:vAlign w:val="center"/>
                </w:tcPr>
                <w:p w14:paraId="46DEF8CE">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268FE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4DF66C58">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restart"/>
                  <w:tcBorders>
                    <w:tl2br w:val="nil"/>
                    <w:tr2bl w:val="nil"/>
                  </w:tcBorders>
                  <w:vAlign w:val="center"/>
                </w:tcPr>
                <w:p w14:paraId="0AA4CD3A">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生产过程</w:t>
                  </w:r>
                </w:p>
              </w:tc>
              <w:tc>
                <w:tcPr>
                  <w:tcW w:w="1478" w:type="pct"/>
                  <w:tcBorders>
                    <w:tl2br w:val="nil"/>
                    <w:tr2bl w:val="nil"/>
                  </w:tcBorders>
                  <w:vAlign w:val="center"/>
                </w:tcPr>
                <w:p w14:paraId="2DDC9970">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废包装（普通）</w:t>
                  </w:r>
                </w:p>
              </w:tc>
              <w:tc>
                <w:tcPr>
                  <w:tcW w:w="2527" w:type="pct"/>
                  <w:gridSpan w:val="2"/>
                  <w:vMerge w:val="restart"/>
                  <w:tcBorders>
                    <w:tl2br w:val="nil"/>
                    <w:tr2bl w:val="nil"/>
                  </w:tcBorders>
                  <w:vAlign w:val="center"/>
                </w:tcPr>
                <w:p w14:paraId="3443977F">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分类收集后暂存于一般固废暂存处，委托一般固废回收单位回收综合利用</w:t>
                  </w:r>
                </w:p>
              </w:tc>
            </w:tr>
            <w:tr w14:paraId="3DF079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70B65C36">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305EE470">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035140A8">
                  <w:pPr>
                    <w:wordWrap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废零件</w:t>
                  </w:r>
                </w:p>
              </w:tc>
              <w:tc>
                <w:tcPr>
                  <w:tcW w:w="2527" w:type="pct"/>
                  <w:gridSpan w:val="2"/>
                  <w:vMerge w:val="continue"/>
                  <w:tcBorders>
                    <w:tl2br w:val="nil"/>
                    <w:tr2bl w:val="nil"/>
                  </w:tcBorders>
                  <w:vAlign w:val="center"/>
                </w:tcPr>
                <w:p w14:paraId="570A230B">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32838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5306E7BD">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776660B1">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357DE9B6">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废清洗剂</w:t>
                  </w:r>
                </w:p>
              </w:tc>
              <w:tc>
                <w:tcPr>
                  <w:tcW w:w="2527" w:type="pct"/>
                  <w:gridSpan w:val="2"/>
                  <w:vMerge w:val="restart"/>
                  <w:tcBorders>
                    <w:tl2br w:val="nil"/>
                    <w:tr2bl w:val="nil"/>
                  </w:tcBorders>
                  <w:vAlign w:val="center"/>
                </w:tcPr>
                <w:p w14:paraId="18A27D00">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分类收集后暂存于危废贮存库，交由有资质单位处置</w:t>
                  </w:r>
                </w:p>
              </w:tc>
            </w:tr>
            <w:tr w14:paraId="070CB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6DB9B913">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4B48452A">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27CFFED2">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废灌封胶渣</w:t>
                  </w:r>
                </w:p>
              </w:tc>
              <w:tc>
                <w:tcPr>
                  <w:tcW w:w="2527" w:type="pct"/>
                  <w:gridSpan w:val="2"/>
                  <w:vMerge w:val="continue"/>
                  <w:tcBorders>
                    <w:tl2br w:val="nil"/>
                    <w:tr2bl w:val="nil"/>
                  </w:tcBorders>
                  <w:vAlign w:val="center"/>
                </w:tcPr>
                <w:p w14:paraId="6B00F3CC">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39429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2B10A0E5">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5939CFB3">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78853720">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不合格电路板</w:t>
                  </w:r>
                </w:p>
              </w:tc>
              <w:tc>
                <w:tcPr>
                  <w:tcW w:w="2527" w:type="pct"/>
                  <w:gridSpan w:val="2"/>
                  <w:vMerge w:val="continue"/>
                  <w:tcBorders>
                    <w:tl2br w:val="nil"/>
                    <w:tr2bl w:val="nil"/>
                  </w:tcBorders>
                  <w:vAlign w:val="center"/>
                </w:tcPr>
                <w:p w14:paraId="750A0921">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4517EA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49C6084F">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56382005">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221E4878">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不合格电源模块</w:t>
                  </w:r>
                </w:p>
              </w:tc>
              <w:tc>
                <w:tcPr>
                  <w:tcW w:w="2527" w:type="pct"/>
                  <w:gridSpan w:val="2"/>
                  <w:vMerge w:val="continue"/>
                  <w:tcBorders>
                    <w:tl2br w:val="nil"/>
                    <w:tr2bl w:val="nil"/>
                  </w:tcBorders>
                  <w:vAlign w:val="center"/>
                </w:tcPr>
                <w:p w14:paraId="537E0FCC">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722FD0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2123C40D">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3574A8A7">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73BC4474">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废包装（清洗剂桶、灌封胶罐）</w:t>
                  </w:r>
                </w:p>
              </w:tc>
              <w:tc>
                <w:tcPr>
                  <w:tcW w:w="2527" w:type="pct"/>
                  <w:gridSpan w:val="2"/>
                  <w:vMerge w:val="continue"/>
                  <w:tcBorders>
                    <w:tl2br w:val="nil"/>
                    <w:tr2bl w:val="nil"/>
                  </w:tcBorders>
                  <w:vAlign w:val="center"/>
                </w:tcPr>
                <w:p w14:paraId="7936DD9C">
                  <w:pPr>
                    <w:widowControl/>
                    <w:adjustRightInd w:val="0"/>
                    <w:snapToGrid w:val="0"/>
                    <w:jc w:val="center"/>
                    <w:rPr>
                      <w:rFonts w:hint="default" w:ascii="Times New Roman" w:hAnsi="Times New Roman" w:cs="Times New Roman"/>
                      <w:color w:val="auto"/>
                      <w:kern w:val="0"/>
                      <w:szCs w:val="21"/>
                      <w:highlight w:val="none"/>
                      <w:lang w:val="en-US" w:eastAsia="zh-CN"/>
                    </w:rPr>
                  </w:pPr>
                </w:p>
              </w:tc>
            </w:tr>
            <w:tr w14:paraId="67E1D6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0276DE8A">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restart"/>
                  <w:tcBorders>
                    <w:tl2br w:val="nil"/>
                    <w:tr2bl w:val="nil"/>
                  </w:tcBorders>
                  <w:vAlign w:val="center"/>
                </w:tcPr>
                <w:p w14:paraId="65E462E9">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纯水制备</w:t>
                  </w:r>
                </w:p>
              </w:tc>
              <w:tc>
                <w:tcPr>
                  <w:tcW w:w="1478" w:type="pct"/>
                  <w:tcBorders>
                    <w:tl2br w:val="nil"/>
                    <w:tr2bl w:val="nil"/>
                  </w:tcBorders>
                  <w:vAlign w:val="center"/>
                </w:tcPr>
                <w:p w14:paraId="529E0CA0">
                  <w:pPr>
                    <w:wordWrap w:val="0"/>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废反渗透膜</w:t>
                  </w:r>
                </w:p>
              </w:tc>
              <w:tc>
                <w:tcPr>
                  <w:tcW w:w="2527" w:type="pct"/>
                  <w:gridSpan w:val="2"/>
                  <w:vMerge w:val="restart"/>
                  <w:tcBorders>
                    <w:tl2br w:val="nil"/>
                    <w:tr2bl w:val="nil"/>
                  </w:tcBorders>
                  <w:vAlign w:val="center"/>
                </w:tcPr>
                <w:p w14:paraId="7E79A3F5">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更换后分类收集，暂存于一般固废暂存处，由纯水设备厂家回收处理</w:t>
                  </w:r>
                </w:p>
              </w:tc>
            </w:tr>
            <w:tr w14:paraId="372AC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continue"/>
                  <w:tcBorders>
                    <w:tl2br w:val="nil"/>
                    <w:tr2bl w:val="nil"/>
                  </w:tcBorders>
                  <w:vAlign w:val="center"/>
                </w:tcPr>
                <w:p w14:paraId="4B527CEA">
                  <w:pPr>
                    <w:widowControl/>
                    <w:adjustRightInd w:val="0"/>
                    <w:snapToGrid w:val="0"/>
                    <w:jc w:val="center"/>
                    <w:rPr>
                      <w:rFonts w:hint="default" w:ascii="Times New Roman" w:hAnsi="Times New Roman" w:cs="Times New Roman"/>
                      <w:color w:val="auto"/>
                      <w:kern w:val="0"/>
                      <w:szCs w:val="21"/>
                      <w:highlight w:val="none"/>
                    </w:rPr>
                  </w:pPr>
                </w:p>
              </w:tc>
              <w:tc>
                <w:tcPr>
                  <w:tcW w:w="708" w:type="pct"/>
                  <w:vMerge w:val="continue"/>
                  <w:tcBorders>
                    <w:tl2br w:val="nil"/>
                    <w:tr2bl w:val="nil"/>
                  </w:tcBorders>
                  <w:vAlign w:val="center"/>
                </w:tcPr>
                <w:p w14:paraId="0DBF3E04">
                  <w:pPr>
                    <w:widowControl/>
                    <w:adjustRightInd w:val="0"/>
                    <w:snapToGrid w:val="0"/>
                    <w:jc w:val="center"/>
                    <w:rPr>
                      <w:rFonts w:hint="default" w:ascii="Times New Roman" w:hAnsi="Times New Roman" w:cs="Times New Roman"/>
                      <w:color w:val="auto"/>
                      <w:kern w:val="0"/>
                      <w:szCs w:val="21"/>
                      <w:highlight w:val="none"/>
                      <w:lang w:val="en-US" w:eastAsia="zh-CN"/>
                    </w:rPr>
                  </w:pPr>
                </w:p>
              </w:tc>
              <w:tc>
                <w:tcPr>
                  <w:tcW w:w="1478" w:type="pct"/>
                  <w:tcBorders>
                    <w:tl2br w:val="nil"/>
                    <w:tr2bl w:val="nil"/>
                  </w:tcBorders>
                  <w:vAlign w:val="center"/>
                </w:tcPr>
                <w:p w14:paraId="0C564DDD">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废活性炭滤芯</w:t>
                  </w:r>
                </w:p>
              </w:tc>
              <w:tc>
                <w:tcPr>
                  <w:tcW w:w="2527" w:type="pct"/>
                  <w:gridSpan w:val="2"/>
                  <w:vMerge w:val="continue"/>
                  <w:tcBorders>
                    <w:tl2br w:val="nil"/>
                    <w:tr2bl w:val="nil"/>
                  </w:tcBorders>
                  <w:vAlign w:val="center"/>
                </w:tcPr>
                <w:p w14:paraId="61A2AF2A">
                  <w:pPr>
                    <w:widowControl/>
                    <w:adjustRightInd w:val="0"/>
                    <w:snapToGrid w:val="0"/>
                    <w:jc w:val="center"/>
                    <w:rPr>
                      <w:rFonts w:hint="default" w:ascii="Times New Roman" w:hAnsi="Times New Roman" w:cs="Times New Roman"/>
                      <w:color w:val="auto"/>
                      <w:kern w:val="0"/>
                      <w:szCs w:val="21"/>
                      <w:highlight w:val="none"/>
                      <w:lang w:val="en-US" w:eastAsia="zh-CN"/>
                    </w:rPr>
                  </w:pPr>
                </w:p>
              </w:tc>
            </w:tr>
          </w:tbl>
          <w:p w14:paraId="40DFE85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leftChars="0" w:firstLine="480" w:firstLineChars="200"/>
              <w:jc w:val="both"/>
              <w:textAlignment w:val="auto"/>
              <w:rPr>
                <w:rFonts w:hint="default" w:ascii="Times New Roman" w:hAnsi="Times New Roman" w:eastAsia="宋体" w:cs="Times New Roman"/>
                <w:b w:val="0"/>
                <w:bCs w:val="0"/>
                <w:color w:val="auto"/>
                <w:kern w:val="0"/>
                <w:sz w:val="24"/>
                <w:szCs w:val="24"/>
                <w:highlight w:val="none"/>
                <w:lang w:val="en-US" w:eastAsia="zh-CN" w:bidi="ar"/>
              </w:rPr>
            </w:pPr>
          </w:p>
        </w:tc>
      </w:tr>
      <w:tr w14:paraId="358090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2" w:type="pct"/>
            <w:noWrap w:val="0"/>
            <w:vAlign w:val="center"/>
          </w:tcPr>
          <w:p w14:paraId="163CCB58">
            <w:pPr>
              <w:pStyle w:val="25"/>
              <w:adjustRightInd w:val="0"/>
              <w:snapToGrid w:val="0"/>
              <w:spacing w:before="0" w:beforeAutospacing="0" w:after="0" w:afterAutospacing="0"/>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kern w:val="2"/>
                <w:sz w:val="24"/>
                <w:szCs w:val="24"/>
                <w:highlight w:val="none"/>
              </w:rPr>
              <w:t>与项目有关的原有环境污染问题</w:t>
            </w:r>
          </w:p>
        </w:tc>
        <w:tc>
          <w:tcPr>
            <w:tcW w:w="4757" w:type="pct"/>
            <w:noWrap w:val="0"/>
            <w:vAlign w:val="center"/>
          </w:tcPr>
          <w:p w14:paraId="5B9114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rPr>
            </w:pPr>
            <w:r>
              <w:rPr>
                <w:rFonts w:hint="default" w:ascii="Times New Roman" w:hAnsi="Times New Roman" w:cs="Times New Roman"/>
                <w:bCs/>
                <w:color w:val="auto"/>
                <w:sz w:val="24"/>
                <w:szCs w:val="24"/>
                <w:highlight w:val="none"/>
                <w:lang w:eastAsia="zh-CN"/>
              </w:rPr>
              <w:t>本项目为新建项目，</w:t>
            </w:r>
            <w:r>
              <w:rPr>
                <w:rFonts w:hint="default" w:ascii="Times New Roman" w:hAnsi="Times New Roman" w:cs="Times New Roman"/>
                <w:bCs/>
                <w:color w:val="auto"/>
                <w:sz w:val="24"/>
                <w:szCs w:val="24"/>
                <w:highlight w:val="none"/>
                <w:lang w:val="en-US" w:eastAsia="zh-CN"/>
              </w:rPr>
              <w:t>在沣西新城创新港G板块咸户路以东、创智路以北、CXG东南二路以西地块上进行厂区建设</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lang w:val="en-US" w:eastAsia="zh-CN"/>
              </w:rPr>
              <w:t>项目拟建场地目前为空地，不涉及</w:t>
            </w:r>
            <w:r>
              <w:rPr>
                <w:rFonts w:hint="default" w:ascii="Times New Roman" w:hAnsi="Times New Roman" w:cs="Times New Roman"/>
                <w:bCs/>
                <w:color w:val="auto"/>
                <w:sz w:val="24"/>
                <w:szCs w:val="24"/>
                <w:highlight w:val="none"/>
                <w:lang w:eastAsia="zh-CN"/>
              </w:rPr>
              <w:t>原有环境污染问题。</w:t>
            </w:r>
          </w:p>
        </w:tc>
      </w:tr>
    </w:tbl>
    <w:p w14:paraId="4ADBB0C1">
      <w:pPr>
        <w:pStyle w:val="25"/>
        <w:jc w:val="center"/>
        <w:rPr>
          <w:rFonts w:hint="default" w:ascii="Times New Roman" w:hAnsi="Times New Roman" w:eastAsia="黑体" w:cs="Times New Roman"/>
          <w:snapToGrid w:val="0"/>
          <w:color w:val="auto"/>
          <w:sz w:val="36"/>
          <w:szCs w:val="36"/>
          <w:highlight w:val="none"/>
        </w:rPr>
        <w:sectPr>
          <w:footerReference r:id="rId6" w:type="default"/>
          <w:pgSz w:w="11906" w:h="16838"/>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pPr>
    </w:p>
    <w:p w14:paraId="5EC67495">
      <w:pPr>
        <w:pStyle w:val="25"/>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p>
    <w:tbl>
      <w:tblPr>
        <w:tblStyle w:val="28"/>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8782"/>
      </w:tblGrid>
      <w:tr w14:paraId="00C51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25" w:hRule="atLeast"/>
          <w:jc w:val="center"/>
        </w:trPr>
        <w:tc>
          <w:tcPr>
            <w:tcW w:w="270" w:type="pct"/>
            <w:noWrap w:val="0"/>
            <w:vAlign w:val="center"/>
          </w:tcPr>
          <w:p w14:paraId="4876D839">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区域</w:t>
            </w:r>
          </w:p>
          <w:p w14:paraId="15031FEC">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环境</w:t>
            </w:r>
          </w:p>
          <w:p w14:paraId="213ABC6A">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质量</w:t>
            </w:r>
          </w:p>
          <w:p w14:paraId="0AC7508B">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现状</w:t>
            </w:r>
          </w:p>
        </w:tc>
        <w:tc>
          <w:tcPr>
            <w:tcW w:w="4729" w:type="pct"/>
            <w:noWrap w:val="0"/>
            <w:vAlign w:val="center"/>
          </w:tcPr>
          <w:p w14:paraId="656BAE29">
            <w:pPr>
              <w:adjustRightInd w:val="0"/>
              <w:snapToGrid w:val="0"/>
              <w:spacing w:line="360" w:lineRule="auto"/>
              <w:jc w:val="left"/>
              <w:rPr>
                <w:rFonts w:hint="default" w:ascii="Times New Roman" w:hAnsi="Times New Roman" w:eastAsia="宋体" w:cs="Times New Roman"/>
                <w:b/>
                <w:bCs/>
                <w:color w:val="auto"/>
                <w:sz w:val="24"/>
                <w:highlight w:val="none"/>
              </w:rPr>
            </w:pPr>
            <w:r>
              <w:rPr>
                <w:rFonts w:hint="default" w:ascii="Times New Roman" w:hAnsi="Times New Roman"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rPr>
              <w:t>大气环境</w:t>
            </w:r>
          </w:p>
          <w:p w14:paraId="4E5AFB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区域达标判定</w:t>
            </w:r>
          </w:p>
          <w:p w14:paraId="3D0F7C67">
            <w:pPr>
              <w:overflowPunct w:val="0"/>
              <w:topLinePunct/>
              <w:autoSpaceDE w:val="0"/>
              <w:autoSpaceDN w:val="0"/>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本项目位于</w:t>
            </w:r>
            <w:r>
              <w:rPr>
                <w:rFonts w:hint="default" w:ascii="Times New Roman" w:hAnsi="Times New Roman" w:cs="Times New Roman"/>
                <w:color w:val="auto"/>
                <w:sz w:val="24"/>
                <w:highlight w:val="none"/>
                <w:lang w:val="en-US" w:eastAsia="zh-CN"/>
              </w:rPr>
              <w:t>西安市西咸新区</w:t>
            </w:r>
            <w:r>
              <w:rPr>
                <w:rFonts w:hint="default" w:ascii="Times New Roman" w:hAnsi="Times New Roman" w:eastAsia="宋体" w:cs="Times New Roman"/>
                <w:color w:val="auto"/>
                <w:sz w:val="24"/>
                <w:highlight w:val="none"/>
              </w:rPr>
              <w:t>。根据大气功能区划，本项目所在地为二类功能区，环境空气质量标准执行《环境空气质量标准》（GB 3095-20</w:t>
            </w:r>
            <w:r>
              <w:rPr>
                <w:rFonts w:hint="default" w:ascii="Times New Roman" w:hAnsi="Times New Roman" w:eastAsia="宋体" w:cs="Times New Roman"/>
                <w:color w:val="auto"/>
                <w:sz w:val="24"/>
                <w:highlight w:val="none"/>
                <w:lang w:val="en-US" w:eastAsia="zh-CN"/>
              </w:rPr>
              <w:t>26</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val="en-US" w:eastAsia="zh-CN"/>
              </w:rPr>
              <w:t>表2</w:t>
            </w:r>
            <w:r>
              <w:rPr>
                <w:rFonts w:hint="default" w:ascii="Times New Roman" w:hAnsi="Times New Roman" w:eastAsia="宋体" w:cs="Times New Roman"/>
                <w:color w:val="auto"/>
                <w:sz w:val="24"/>
                <w:highlight w:val="none"/>
              </w:rPr>
              <w:t>二级标准要求。</w:t>
            </w:r>
          </w:p>
          <w:p w14:paraId="330BA5A8">
            <w:pPr>
              <w:overflowPunct w:val="0"/>
              <w:topLinePunct/>
              <w:autoSpaceDE w:val="0"/>
              <w:autoSpaceDN w:val="0"/>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本次环境空气质量基本污染物现状评价根据</w:t>
            </w:r>
            <w:r>
              <w:rPr>
                <w:rFonts w:hint="default" w:ascii="Times New Roman" w:hAnsi="Times New Roman" w:cs="Times New Roman"/>
                <w:color w:val="auto"/>
                <w:sz w:val="24"/>
                <w:highlight w:val="none"/>
                <w:lang w:val="en-US" w:eastAsia="zh-CN"/>
              </w:rPr>
              <w:t>2025年《环保快报</w:t>
            </w:r>
            <w:r>
              <w:rPr>
                <w:rFonts w:hint="default" w:ascii="Times New Roman" w:hAnsi="Times New Roman" w:eastAsia="宋体" w:cs="Times New Roman"/>
                <w:color w:val="auto"/>
                <w:sz w:val="24"/>
                <w:highlight w:val="none"/>
              </w:rPr>
              <w:t>》（陕西省生态环境厅办公室，</w:t>
            </w:r>
            <w:r>
              <w:rPr>
                <w:rFonts w:hint="default" w:ascii="Times New Roman" w:hAnsi="Times New Roman" w:cs="Times New Roman"/>
                <w:color w:val="auto"/>
                <w:sz w:val="24"/>
                <w:highlight w:val="none"/>
                <w:lang w:val="en-US" w:eastAsia="zh-CN"/>
              </w:rPr>
              <w:t>2026年2月3日</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val="en-US" w:eastAsia="zh-CN"/>
              </w:rPr>
              <w:t>2025年1-12月各城市环境空气质量主要指标同比，西咸新区</w:t>
            </w:r>
            <w:r>
              <w:rPr>
                <w:rFonts w:hint="default" w:ascii="Times New Roman" w:hAnsi="Times New Roman" w:eastAsia="宋体" w:cs="Times New Roman"/>
                <w:color w:val="auto"/>
                <w:sz w:val="24"/>
                <w:highlight w:val="none"/>
              </w:rPr>
              <w:t>空气质量现状评价见下表。</w:t>
            </w:r>
          </w:p>
          <w:p w14:paraId="575F492D">
            <w:pPr>
              <w:adjustRightInd w:val="0"/>
              <w:snapToGrid w:val="0"/>
              <w:ind w:firstLine="422" w:firstLineChars="200"/>
              <w:jc w:val="center"/>
              <w:textAlignment w:val="baseline"/>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表3-1    202</w:t>
            </w:r>
            <w:r>
              <w:rPr>
                <w:rFonts w:hint="default" w:ascii="Times New Roman" w:hAnsi="Times New Roman" w:cs="Times New Roman"/>
                <w:b/>
                <w:bCs/>
                <w:color w:val="auto"/>
                <w:szCs w:val="21"/>
                <w:highlight w:val="none"/>
                <w:lang w:val="en-US" w:eastAsia="zh-CN"/>
              </w:rPr>
              <w:t>5</w:t>
            </w:r>
            <w:r>
              <w:rPr>
                <w:rFonts w:hint="default" w:ascii="Times New Roman" w:hAnsi="Times New Roman" w:eastAsia="宋体" w:cs="Times New Roman"/>
                <w:b/>
                <w:bCs/>
                <w:color w:val="auto"/>
                <w:szCs w:val="21"/>
                <w:highlight w:val="none"/>
              </w:rPr>
              <w:t>年</w:t>
            </w:r>
            <w:r>
              <w:rPr>
                <w:rFonts w:hint="default" w:ascii="Times New Roman" w:hAnsi="Times New Roman" w:cs="Times New Roman"/>
                <w:b/>
                <w:bCs/>
                <w:color w:val="auto"/>
                <w:szCs w:val="21"/>
                <w:highlight w:val="none"/>
                <w:lang w:val="en-US" w:eastAsia="zh-CN"/>
              </w:rPr>
              <w:t>西安市西咸新区</w:t>
            </w:r>
            <w:r>
              <w:rPr>
                <w:rFonts w:hint="default" w:ascii="Times New Roman" w:hAnsi="Times New Roman" w:eastAsia="宋体" w:cs="Times New Roman"/>
                <w:b/>
                <w:bCs/>
                <w:color w:val="auto"/>
                <w:szCs w:val="21"/>
                <w:highlight w:val="none"/>
              </w:rPr>
              <w:t>空气质量现状评价表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966"/>
              <w:gridCol w:w="3003"/>
              <w:gridCol w:w="1372"/>
              <w:gridCol w:w="1222"/>
              <w:gridCol w:w="795"/>
              <w:gridCol w:w="1178"/>
            </w:tblGrid>
            <w:tr w14:paraId="36FC89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1011" w:type="dxa"/>
                  <w:vMerge w:val="restart"/>
                  <w:tcBorders>
                    <w:tl2br w:val="nil"/>
                    <w:tr2bl w:val="nil"/>
                  </w:tcBorders>
                  <w:noWrap w:val="0"/>
                  <w:vAlign w:val="center"/>
                </w:tcPr>
                <w:p w14:paraId="6B650685">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污染物</w:t>
                  </w:r>
                </w:p>
              </w:tc>
              <w:tc>
                <w:tcPr>
                  <w:tcW w:w="3253" w:type="dxa"/>
                  <w:vMerge w:val="restart"/>
                  <w:tcBorders>
                    <w:tl2br w:val="nil"/>
                    <w:tr2bl w:val="nil"/>
                  </w:tcBorders>
                  <w:noWrap w:val="0"/>
                  <w:vAlign w:val="center"/>
                </w:tcPr>
                <w:p w14:paraId="468320EC">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年评价指标</w:t>
                  </w:r>
                </w:p>
              </w:tc>
              <w:tc>
                <w:tcPr>
                  <w:tcW w:w="1454" w:type="dxa"/>
                  <w:tcBorders>
                    <w:tl2br w:val="nil"/>
                    <w:tr2bl w:val="nil"/>
                  </w:tcBorders>
                  <w:noWrap w:val="0"/>
                  <w:vAlign w:val="center"/>
                </w:tcPr>
                <w:p w14:paraId="184549AD">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现状浓度</w:t>
                  </w:r>
                </w:p>
              </w:tc>
              <w:tc>
                <w:tcPr>
                  <w:tcW w:w="1289" w:type="dxa"/>
                  <w:tcBorders>
                    <w:tl2br w:val="nil"/>
                    <w:tr2bl w:val="nil"/>
                  </w:tcBorders>
                  <w:noWrap w:val="0"/>
                  <w:vAlign w:val="center"/>
                </w:tcPr>
                <w:p w14:paraId="399A1886">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标准值</w:t>
                  </w:r>
                </w:p>
              </w:tc>
              <w:tc>
                <w:tcPr>
                  <w:tcW w:w="825" w:type="dxa"/>
                  <w:tcBorders>
                    <w:tl2br w:val="nil"/>
                    <w:tr2bl w:val="nil"/>
                  </w:tcBorders>
                  <w:noWrap w:val="0"/>
                  <w:vAlign w:val="center"/>
                </w:tcPr>
                <w:p w14:paraId="60FC0C39">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占标率</w:t>
                  </w:r>
                </w:p>
              </w:tc>
              <w:tc>
                <w:tcPr>
                  <w:tcW w:w="1269" w:type="dxa"/>
                  <w:vMerge w:val="restart"/>
                  <w:tcBorders>
                    <w:tl2br w:val="nil"/>
                    <w:tr2bl w:val="nil"/>
                  </w:tcBorders>
                  <w:noWrap w:val="0"/>
                  <w:vAlign w:val="center"/>
                </w:tcPr>
                <w:p w14:paraId="7175A386">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达标情况</w:t>
                  </w:r>
                </w:p>
              </w:tc>
            </w:tr>
            <w:tr w14:paraId="61CFD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blHeader/>
                <w:jc w:val="center"/>
              </w:trPr>
              <w:tc>
                <w:tcPr>
                  <w:tcW w:w="1011" w:type="dxa"/>
                  <w:vMerge w:val="continue"/>
                  <w:tcBorders>
                    <w:tl2br w:val="nil"/>
                    <w:tr2bl w:val="nil"/>
                  </w:tcBorders>
                  <w:noWrap w:val="0"/>
                  <w:vAlign w:val="center"/>
                </w:tcPr>
                <w:p w14:paraId="29F8FD8B">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p>
              </w:tc>
              <w:tc>
                <w:tcPr>
                  <w:tcW w:w="3253" w:type="dxa"/>
                  <w:vMerge w:val="continue"/>
                  <w:tcBorders>
                    <w:tl2br w:val="nil"/>
                    <w:tr2bl w:val="nil"/>
                  </w:tcBorders>
                  <w:noWrap w:val="0"/>
                  <w:vAlign w:val="center"/>
                </w:tcPr>
                <w:p w14:paraId="78E01DA1">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p>
              </w:tc>
              <w:tc>
                <w:tcPr>
                  <w:tcW w:w="1454" w:type="dxa"/>
                  <w:tcBorders>
                    <w:tl2br w:val="nil"/>
                    <w:tr2bl w:val="nil"/>
                  </w:tcBorders>
                  <w:noWrap w:val="0"/>
                  <w:vAlign w:val="center"/>
                </w:tcPr>
                <w:p w14:paraId="79E79F77">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μg/m</w:t>
                  </w:r>
                  <w:r>
                    <w:rPr>
                      <w:rFonts w:hint="default" w:ascii="Times New Roman" w:hAnsi="Times New Roman" w:eastAsia="宋体" w:cs="Times New Roman"/>
                      <w:b w:val="0"/>
                      <w:bCs/>
                      <w:color w:val="auto"/>
                      <w:kern w:val="0"/>
                      <w:szCs w:val="21"/>
                      <w:highlight w:val="none"/>
                      <w:vertAlign w:val="superscript"/>
                    </w:rPr>
                    <w:t>3</w:t>
                  </w:r>
                </w:p>
              </w:tc>
              <w:tc>
                <w:tcPr>
                  <w:tcW w:w="1289" w:type="dxa"/>
                  <w:tcBorders>
                    <w:tl2br w:val="nil"/>
                    <w:tr2bl w:val="nil"/>
                  </w:tcBorders>
                  <w:noWrap w:val="0"/>
                  <w:vAlign w:val="center"/>
                </w:tcPr>
                <w:p w14:paraId="7EF9EE60">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μg/m</w:t>
                  </w:r>
                  <w:r>
                    <w:rPr>
                      <w:rFonts w:hint="default" w:ascii="Times New Roman" w:hAnsi="Times New Roman" w:eastAsia="宋体" w:cs="Times New Roman"/>
                      <w:b w:val="0"/>
                      <w:bCs/>
                      <w:color w:val="auto"/>
                      <w:kern w:val="0"/>
                      <w:szCs w:val="21"/>
                      <w:highlight w:val="none"/>
                      <w:vertAlign w:val="superscript"/>
                    </w:rPr>
                    <w:t>3</w:t>
                  </w:r>
                </w:p>
              </w:tc>
              <w:tc>
                <w:tcPr>
                  <w:tcW w:w="825" w:type="dxa"/>
                  <w:tcBorders>
                    <w:tl2br w:val="nil"/>
                    <w:tr2bl w:val="nil"/>
                  </w:tcBorders>
                  <w:noWrap w:val="0"/>
                  <w:vAlign w:val="center"/>
                </w:tcPr>
                <w:p w14:paraId="010BB910">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w:t>
                  </w:r>
                </w:p>
              </w:tc>
              <w:tc>
                <w:tcPr>
                  <w:tcW w:w="1269" w:type="dxa"/>
                  <w:vMerge w:val="continue"/>
                  <w:tcBorders>
                    <w:tl2br w:val="nil"/>
                    <w:tr2bl w:val="nil"/>
                  </w:tcBorders>
                  <w:noWrap w:val="0"/>
                  <w:vAlign w:val="center"/>
                </w:tcPr>
                <w:p w14:paraId="730CE4E3">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p>
              </w:tc>
            </w:tr>
            <w:tr w14:paraId="4A2643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11" w:type="dxa"/>
                  <w:tcBorders>
                    <w:tl2br w:val="nil"/>
                    <w:tr2bl w:val="nil"/>
                  </w:tcBorders>
                  <w:noWrap w:val="0"/>
                  <w:vAlign w:val="center"/>
                </w:tcPr>
                <w:p w14:paraId="0032A913">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SO</w:t>
                  </w:r>
                  <w:r>
                    <w:rPr>
                      <w:rFonts w:hint="default" w:ascii="Times New Roman" w:hAnsi="Times New Roman" w:eastAsia="宋体" w:cs="Times New Roman"/>
                      <w:b w:val="0"/>
                      <w:bCs/>
                      <w:color w:val="auto"/>
                      <w:kern w:val="0"/>
                      <w:szCs w:val="21"/>
                      <w:highlight w:val="none"/>
                      <w:vertAlign w:val="subscript"/>
                    </w:rPr>
                    <w:t>2</w:t>
                  </w:r>
                </w:p>
              </w:tc>
              <w:tc>
                <w:tcPr>
                  <w:tcW w:w="3253" w:type="dxa"/>
                  <w:tcBorders>
                    <w:tl2br w:val="nil"/>
                    <w:tr2bl w:val="nil"/>
                  </w:tcBorders>
                  <w:noWrap w:val="0"/>
                  <w:vAlign w:val="center"/>
                </w:tcPr>
                <w:p w14:paraId="252F531F">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年平均质量浓度</w:t>
                  </w:r>
                </w:p>
              </w:tc>
              <w:tc>
                <w:tcPr>
                  <w:tcW w:w="1454" w:type="dxa"/>
                  <w:tcBorders>
                    <w:tl2br w:val="nil"/>
                    <w:tr2bl w:val="nil"/>
                  </w:tcBorders>
                  <w:noWrap w:val="0"/>
                  <w:vAlign w:val="center"/>
                </w:tcPr>
                <w:p w14:paraId="7DCC910B">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lang w:eastAsia="zh-CN"/>
                    </w:rPr>
                  </w:pPr>
                  <w:r>
                    <w:rPr>
                      <w:rFonts w:hint="default" w:ascii="Times New Roman" w:hAnsi="Times New Roman" w:cs="Times New Roman"/>
                      <w:b w:val="0"/>
                      <w:bCs/>
                      <w:color w:val="auto"/>
                      <w:kern w:val="0"/>
                      <w:szCs w:val="21"/>
                      <w:highlight w:val="none"/>
                      <w:lang w:val="en-US" w:eastAsia="zh-CN"/>
                    </w:rPr>
                    <w:t>5</w:t>
                  </w:r>
                </w:p>
              </w:tc>
              <w:tc>
                <w:tcPr>
                  <w:tcW w:w="1289" w:type="dxa"/>
                  <w:tcBorders>
                    <w:tl2br w:val="nil"/>
                    <w:tr2bl w:val="nil"/>
                  </w:tcBorders>
                  <w:noWrap w:val="0"/>
                  <w:vAlign w:val="center"/>
                </w:tcPr>
                <w:p w14:paraId="6541190A">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60</w:t>
                  </w:r>
                </w:p>
              </w:tc>
              <w:tc>
                <w:tcPr>
                  <w:tcW w:w="825" w:type="dxa"/>
                  <w:tcBorders>
                    <w:tl2br w:val="nil"/>
                    <w:tr2bl w:val="nil"/>
                  </w:tcBorders>
                  <w:noWrap w:val="0"/>
                  <w:vAlign w:val="center"/>
                </w:tcPr>
                <w:p w14:paraId="16DF18EA">
                  <w:pPr>
                    <w:widowControl/>
                    <w:jc w:val="center"/>
                    <w:textAlignment w:val="center"/>
                    <w:rPr>
                      <w:rFonts w:hint="default" w:ascii="Times New Roman" w:hAnsi="Times New Roman" w:eastAsia="宋体" w:cs="Times New Roman"/>
                      <w:b w:val="0"/>
                      <w:bCs/>
                      <w:color w:val="auto"/>
                      <w:kern w:val="0"/>
                      <w:szCs w:val="21"/>
                      <w:highlight w:val="none"/>
                      <w:lang w:val="en-US" w:eastAsia="zh-CN"/>
                    </w:rPr>
                  </w:pPr>
                  <w:r>
                    <w:rPr>
                      <w:rFonts w:hint="default" w:ascii="Times New Roman" w:hAnsi="Times New Roman" w:cs="Times New Roman"/>
                      <w:b w:val="0"/>
                      <w:bCs/>
                      <w:color w:val="auto"/>
                      <w:kern w:val="0"/>
                      <w:szCs w:val="21"/>
                      <w:highlight w:val="none"/>
                      <w:lang w:val="en-US" w:eastAsia="zh-CN"/>
                    </w:rPr>
                    <w:t>8.3</w:t>
                  </w:r>
                </w:p>
              </w:tc>
              <w:tc>
                <w:tcPr>
                  <w:tcW w:w="1269" w:type="dxa"/>
                  <w:tcBorders>
                    <w:tl2br w:val="nil"/>
                    <w:tr2bl w:val="nil"/>
                  </w:tcBorders>
                  <w:noWrap w:val="0"/>
                  <w:vAlign w:val="center"/>
                </w:tcPr>
                <w:p w14:paraId="35555B4A">
                  <w:pPr>
                    <w:adjustRightInd w:val="0"/>
                    <w:spacing w:line="360" w:lineRule="exact"/>
                    <w:jc w:val="center"/>
                    <w:textAlignment w:val="baseline"/>
                    <w:rPr>
                      <w:rFonts w:hint="default" w:ascii="Times New Roman" w:hAnsi="Times New Roman" w:eastAsia="宋体" w:cs="Times New Roman"/>
                      <w:b w:val="0"/>
                      <w:bCs/>
                      <w:color w:val="auto"/>
                      <w:kern w:val="0"/>
                      <w:szCs w:val="21"/>
                      <w:highlight w:val="none"/>
                    </w:rPr>
                  </w:pPr>
                  <w:r>
                    <w:rPr>
                      <w:rFonts w:hint="default" w:ascii="Times New Roman" w:hAnsi="Times New Roman" w:eastAsia="宋体" w:cs="Times New Roman"/>
                      <w:b w:val="0"/>
                      <w:bCs/>
                      <w:color w:val="auto"/>
                      <w:kern w:val="0"/>
                      <w:szCs w:val="21"/>
                      <w:highlight w:val="none"/>
                    </w:rPr>
                    <w:t>达标</w:t>
                  </w:r>
                </w:p>
              </w:tc>
            </w:tr>
            <w:tr w14:paraId="0C9C7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11" w:type="dxa"/>
                  <w:tcBorders>
                    <w:tl2br w:val="nil"/>
                    <w:tr2bl w:val="nil"/>
                  </w:tcBorders>
                  <w:noWrap w:val="0"/>
                  <w:vAlign w:val="center"/>
                </w:tcPr>
                <w:p w14:paraId="340BCC9F">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NO</w:t>
                  </w:r>
                  <w:r>
                    <w:rPr>
                      <w:rFonts w:hint="default" w:ascii="Times New Roman" w:hAnsi="Times New Roman" w:eastAsia="宋体" w:cs="Times New Roman"/>
                      <w:bCs/>
                      <w:color w:val="auto"/>
                      <w:kern w:val="0"/>
                      <w:szCs w:val="21"/>
                      <w:highlight w:val="none"/>
                      <w:vertAlign w:val="subscript"/>
                    </w:rPr>
                    <w:t>2</w:t>
                  </w:r>
                </w:p>
              </w:tc>
              <w:tc>
                <w:tcPr>
                  <w:tcW w:w="3253" w:type="dxa"/>
                  <w:tcBorders>
                    <w:tl2br w:val="nil"/>
                    <w:tr2bl w:val="nil"/>
                  </w:tcBorders>
                  <w:noWrap w:val="0"/>
                  <w:vAlign w:val="center"/>
                </w:tcPr>
                <w:p w14:paraId="4EF182A5">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年平均质量浓度</w:t>
                  </w:r>
                </w:p>
              </w:tc>
              <w:tc>
                <w:tcPr>
                  <w:tcW w:w="1454" w:type="dxa"/>
                  <w:tcBorders>
                    <w:tl2br w:val="nil"/>
                    <w:tr2bl w:val="nil"/>
                  </w:tcBorders>
                  <w:noWrap w:val="0"/>
                  <w:vAlign w:val="center"/>
                </w:tcPr>
                <w:p w14:paraId="7AFBC204">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28</w:t>
                  </w:r>
                </w:p>
              </w:tc>
              <w:tc>
                <w:tcPr>
                  <w:tcW w:w="1289" w:type="dxa"/>
                  <w:tcBorders>
                    <w:tl2br w:val="nil"/>
                    <w:tr2bl w:val="nil"/>
                  </w:tcBorders>
                  <w:noWrap w:val="0"/>
                  <w:vAlign w:val="center"/>
                </w:tcPr>
                <w:p w14:paraId="485637BC">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40</w:t>
                  </w:r>
                </w:p>
              </w:tc>
              <w:tc>
                <w:tcPr>
                  <w:tcW w:w="825" w:type="dxa"/>
                  <w:tcBorders>
                    <w:tl2br w:val="nil"/>
                    <w:tr2bl w:val="nil"/>
                  </w:tcBorders>
                  <w:noWrap w:val="0"/>
                  <w:vAlign w:val="center"/>
                </w:tcPr>
                <w:p w14:paraId="223F706C">
                  <w:pPr>
                    <w:widowControl/>
                    <w:jc w:val="center"/>
                    <w:textAlignment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70</w:t>
                  </w:r>
                </w:p>
              </w:tc>
              <w:tc>
                <w:tcPr>
                  <w:tcW w:w="1269" w:type="dxa"/>
                  <w:tcBorders>
                    <w:tl2br w:val="nil"/>
                    <w:tr2bl w:val="nil"/>
                  </w:tcBorders>
                  <w:noWrap w:val="0"/>
                  <w:vAlign w:val="center"/>
                </w:tcPr>
                <w:p w14:paraId="5D74E509">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达标</w:t>
                  </w:r>
                </w:p>
              </w:tc>
            </w:tr>
            <w:tr w14:paraId="733E6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11" w:type="dxa"/>
                  <w:tcBorders>
                    <w:tl2br w:val="nil"/>
                    <w:tr2bl w:val="nil"/>
                  </w:tcBorders>
                  <w:noWrap w:val="0"/>
                  <w:vAlign w:val="center"/>
                </w:tcPr>
                <w:p w14:paraId="74EBD454">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CO</w:t>
                  </w:r>
                </w:p>
              </w:tc>
              <w:tc>
                <w:tcPr>
                  <w:tcW w:w="3253" w:type="dxa"/>
                  <w:tcBorders>
                    <w:tl2br w:val="nil"/>
                    <w:tr2bl w:val="nil"/>
                  </w:tcBorders>
                  <w:noWrap w:val="0"/>
                  <w:vAlign w:val="center"/>
                </w:tcPr>
                <w:p w14:paraId="1704A6C6">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95%百分位数日平均质量浓度</w:t>
                  </w:r>
                </w:p>
              </w:tc>
              <w:tc>
                <w:tcPr>
                  <w:tcW w:w="1454" w:type="dxa"/>
                  <w:tcBorders>
                    <w:tl2br w:val="nil"/>
                    <w:tr2bl w:val="nil"/>
                  </w:tcBorders>
                  <w:noWrap w:val="0"/>
                  <w:vAlign w:val="center"/>
                </w:tcPr>
                <w:p w14:paraId="07909039">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1000</w:t>
                  </w:r>
                </w:p>
              </w:tc>
              <w:tc>
                <w:tcPr>
                  <w:tcW w:w="1289" w:type="dxa"/>
                  <w:tcBorders>
                    <w:tl2br w:val="nil"/>
                    <w:tr2bl w:val="nil"/>
                  </w:tcBorders>
                  <w:noWrap w:val="0"/>
                  <w:vAlign w:val="center"/>
                </w:tcPr>
                <w:p w14:paraId="0763DBBA">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4000</w:t>
                  </w:r>
                </w:p>
              </w:tc>
              <w:tc>
                <w:tcPr>
                  <w:tcW w:w="825" w:type="dxa"/>
                  <w:tcBorders>
                    <w:tl2br w:val="nil"/>
                    <w:tr2bl w:val="nil"/>
                  </w:tcBorders>
                  <w:noWrap w:val="0"/>
                  <w:vAlign w:val="center"/>
                </w:tcPr>
                <w:p w14:paraId="24674646">
                  <w:pPr>
                    <w:widowControl/>
                    <w:jc w:val="center"/>
                    <w:textAlignment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25</w:t>
                  </w:r>
                </w:p>
              </w:tc>
              <w:tc>
                <w:tcPr>
                  <w:tcW w:w="1269" w:type="dxa"/>
                  <w:tcBorders>
                    <w:tl2br w:val="nil"/>
                    <w:tr2bl w:val="nil"/>
                  </w:tcBorders>
                  <w:noWrap w:val="0"/>
                  <w:vAlign w:val="center"/>
                </w:tcPr>
                <w:p w14:paraId="3D265AA9">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达标</w:t>
                  </w:r>
                </w:p>
              </w:tc>
            </w:tr>
            <w:tr w14:paraId="0E8F98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11" w:type="dxa"/>
                  <w:tcBorders>
                    <w:tl2br w:val="nil"/>
                    <w:tr2bl w:val="nil"/>
                  </w:tcBorders>
                  <w:noWrap w:val="0"/>
                  <w:vAlign w:val="center"/>
                </w:tcPr>
                <w:p w14:paraId="6D51F26B">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O</w:t>
                  </w:r>
                  <w:r>
                    <w:rPr>
                      <w:rFonts w:hint="default" w:ascii="Times New Roman" w:hAnsi="Times New Roman" w:eastAsia="宋体" w:cs="Times New Roman"/>
                      <w:bCs/>
                      <w:color w:val="auto"/>
                      <w:kern w:val="0"/>
                      <w:szCs w:val="21"/>
                      <w:highlight w:val="none"/>
                      <w:vertAlign w:val="subscript"/>
                    </w:rPr>
                    <w:t>3</w:t>
                  </w:r>
                </w:p>
              </w:tc>
              <w:tc>
                <w:tcPr>
                  <w:tcW w:w="3253" w:type="dxa"/>
                  <w:tcBorders>
                    <w:tl2br w:val="nil"/>
                    <w:tr2bl w:val="nil"/>
                  </w:tcBorders>
                  <w:noWrap w:val="0"/>
                  <w:vAlign w:val="center"/>
                </w:tcPr>
                <w:p w14:paraId="2DF4D3C9">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90%百分位数8h平均质量浓度</w:t>
                  </w:r>
                </w:p>
              </w:tc>
              <w:tc>
                <w:tcPr>
                  <w:tcW w:w="1454" w:type="dxa"/>
                  <w:tcBorders>
                    <w:tl2br w:val="nil"/>
                    <w:tr2bl w:val="nil"/>
                  </w:tcBorders>
                  <w:noWrap w:val="0"/>
                  <w:vAlign w:val="center"/>
                </w:tcPr>
                <w:p w14:paraId="2708F42E">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154</w:t>
                  </w:r>
                </w:p>
              </w:tc>
              <w:tc>
                <w:tcPr>
                  <w:tcW w:w="1289" w:type="dxa"/>
                  <w:tcBorders>
                    <w:tl2br w:val="nil"/>
                    <w:tr2bl w:val="nil"/>
                  </w:tcBorders>
                  <w:noWrap w:val="0"/>
                  <w:vAlign w:val="center"/>
                </w:tcPr>
                <w:p w14:paraId="66799FF0">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160</w:t>
                  </w:r>
                </w:p>
              </w:tc>
              <w:tc>
                <w:tcPr>
                  <w:tcW w:w="825" w:type="dxa"/>
                  <w:tcBorders>
                    <w:tl2br w:val="nil"/>
                    <w:tr2bl w:val="nil"/>
                  </w:tcBorders>
                  <w:noWrap w:val="0"/>
                  <w:vAlign w:val="center"/>
                </w:tcPr>
                <w:p w14:paraId="3753DABE">
                  <w:pPr>
                    <w:widowControl/>
                    <w:jc w:val="center"/>
                    <w:textAlignment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96.2</w:t>
                  </w:r>
                </w:p>
              </w:tc>
              <w:tc>
                <w:tcPr>
                  <w:tcW w:w="1269" w:type="dxa"/>
                  <w:tcBorders>
                    <w:tl2br w:val="nil"/>
                    <w:tr2bl w:val="nil"/>
                  </w:tcBorders>
                  <w:noWrap w:val="0"/>
                  <w:vAlign w:val="center"/>
                </w:tcPr>
                <w:p w14:paraId="06DB927C">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达标</w:t>
                  </w:r>
                </w:p>
              </w:tc>
            </w:tr>
            <w:tr w14:paraId="256615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11" w:type="dxa"/>
                  <w:tcBorders>
                    <w:tl2br w:val="nil"/>
                    <w:tr2bl w:val="nil"/>
                  </w:tcBorders>
                  <w:noWrap w:val="0"/>
                  <w:vAlign w:val="center"/>
                </w:tcPr>
                <w:p w14:paraId="4309E52E">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PM</w:t>
                  </w:r>
                  <w:r>
                    <w:rPr>
                      <w:rFonts w:hint="default" w:ascii="Times New Roman" w:hAnsi="Times New Roman" w:eastAsia="宋体" w:cs="Times New Roman"/>
                      <w:bCs/>
                      <w:color w:val="auto"/>
                      <w:kern w:val="0"/>
                      <w:szCs w:val="21"/>
                      <w:highlight w:val="none"/>
                      <w:vertAlign w:val="subscript"/>
                    </w:rPr>
                    <w:t>10</w:t>
                  </w:r>
                </w:p>
              </w:tc>
              <w:tc>
                <w:tcPr>
                  <w:tcW w:w="3253" w:type="dxa"/>
                  <w:tcBorders>
                    <w:tl2br w:val="nil"/>
                    <w:tr2bl w:val="nil"/>
                  </w:tcBorders>
                  <w:noWrap w:val="0"/>
                  <w:vAlign w:val="center"/>
                </w:tcPr>
                <w:p w14:paraId="5056CE21">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年平均质量浓度</w:t>
                  </w:r>
                </w:p>
              </w:tc>
              <w:tc>
                <w:tcPr>
                  <w:tcW w:w="1454" w:type="dxa"/>
                  <w:tcBorders>
                    <w:tl2br w:val="nil"/>
                    <w:tr2bl w:val="nil"/>
                  </w:tcBorders>
                  <w:noWrap w:val="0"/>
                  <w:vAlign w:val="center"/>
                </w:tcPr>
                <w:p w14:paraId="4B9E9A92">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65</w:t>
                  </w:r>
                </w:p>
              </w:tc>
              <w:tc>
                <w:tcPr>
                  <w:tcW w:w="1289" w:type="dxa"/>
                  <w:tcBorders>
                    <w:tl2br w:val="nil"/>
                    <w:tr2bl w:val="nil"/>
                  </w:tcBorders>
                  <w:noWrap w:val="0"/>
                  <w:vAlign w:val="center"/>
                </w:tcPr>
                <w:p w14:paraId="142C973B">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60</w:t>
                  </w:r>
                </w:p>
              </w:tc>
              <w:tc>
                <w:tcPr>
                  <w:tcW w:w="825" w:type="dxa"/>
                  <w:tcBorders>
                    <w:tl2br w:val="nil"/>
                    <w:tr2bl w:val="nil"/>
                  </w:tcBorders>
                  <w:noWrap w:val="0"/>
                  <w:vAlign w:val="center"/>
                </w:tcPr>
                <w:p w14:paraId="3D80FE22">
                  <w:pPr>
                    <w:widowControl/>
                    <w:jc w:val="center"/>
                    <w:textAlignment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108.3</w:t>
                  </w:r>
                </w:p>
              </w:tc>
              <w:tc>
                <w:tcPr>
                  <w:tcW w:w="1269" w:type="dxa"/>
                  <w:tcBorders>
                    <w:tl2br w:val="nil"/>
                    <w:tr2bl w:val="nil"/>
                  </w:tcBorders>
                  <w:noWrap w:val="0"/>
                  <w:vAlign w:val="center"/>
                </w:tcPr>
                <w:p w14:paraId="57A2ED19">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cs="Times New Roman"/>
                      <w:bCs/>
                      <w:color w:val="auto"/>
                      <w:kern w:val="0"/>
                      <w:szCs w:val="21"/>
                      <w:highlight w:val="none"/>
                      <w:lang w:val="en-US" w:eastAsia="zh-CN"/>
                    </w:rPr>
                    <w:t>不</w:t>
                  </w:r>
                  <w:r>
                    <w:rPr>
                      <w:rFonts w:hint="default" w:ascii="Times New Roman" w:hAnsi="Times New Roman" w:eastAsia="宋体" w:cs="Times New Roman"/>
                      <w:bCs/>
                      <w:color w:val="auto"/>
                      <w:kern w:val="0"/>
                      <w:szCs w:val="21"/>
                      <w:highlight w:val="none"/>
                    </w:rPr>
                    <w:t>达标</w:t>
                  </w:r>
                </w:p>
              </w:tc>
            </w:tr>
            <w:tr w14:paraId="6D2FA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11" w:type="dxa"/>
                  <w:tcBorders>
                    <w:tl2br w:val="nil"/>
                    <w:tr2bl w:val="nil"/>
                  </w:tcBorders>
                  <w:noWrap w:val="0"/>
                  <w:vAlign w:val="center"/>
                </w:tcPr>
                <w:p w14:paraId="7CD5FBAA">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PM</w:t>
                  </w:r>
                  <w:r>
                    <w:rPr>
                      <w:rFonts w:hint="default" w:ascii="Times New Roman" w:hAnsi="Times New Roman" w:eastAsia="宋体" w:cs="Times New Roman"/>
                      <w:bCs/>
                      <w:color w:val="auto"/>
                      <w:kern w:val="0"/>
                      <w:szCs w:val="21"/>
                      <w:highlight w:val="none"/>
                      <w:vertAlign w:val="subscript"/>
                    </w:rPr>
                    <w:t>2.5</w:t>
                  </w:r>
                </w:p>
              </w:tc>
              <w:tc>
                <w:tcPr>
                  <w:tcW w:w="3253" w:type="dxa"/>
                  <w:tcBorders>
                    <w:tl2br w:val="nil"/>
                    <w:tr2bl w:val="nil"/>
                  </w:tcBorders>
                  <w:noWrap w:val="0"/>
                  <w:vAlign w:val="center"/>
                </w:tcPr>
                <w:p w14:paraId="1D4D8F14">
                  <w:pPr>
                    <w:adjustRightInd w:val="0"/>
                    <w:spacing w:line="360" w:lineRule="exact"/>
                    <w:jc w:val="center"/>
                    <w:textAlignment w:val="baseline"/>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年平均质量浓度</w:t>
                  </w:r>
                </w:p>
              </w:tc>
              <w:tc>
                <w:tcPr>
                  <w:tcW w:w="1454" w:type="dxa"/>
                  <w:tcBorders>
                    <w:tl2br w:val="nil"/>
                    <w:tr2bl w:val="nil"/>
                  </w:tcBorders>
                  <w:noWrap w:val="0"/>
                  <w:vAlign w:val="center"/>
                </w:tcPr>
                <w:p w14:paraId="092B46FA">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38.8</w:t>
                  </w:r>
                </w:p>
              </w:tc>
              <w:tc>
                <w:tcPr>
                  <w:tcW w:w="1289" w:type="dxa"/>
                  <w:tcBorders>
                    <w:tl2br w:val="nil"/>
                    <w:tr2bl w:val="nil"/>
                  </w:tcBorders>
                  <w:noWrap w:val="0"/>
                  <w:vAlign w:val="center"/>
                </w:tcPr>
                <w:p w14:paraId="42806F55">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rPr>
                    <w:t>3</w:t>
                  </w:r>
                  <w:r>
                    <w:rPr>
                      <w:rFonts w:hint="default" w:ascii="Times New Roman" w:hAnsi="Times New Roman" w:cs="Times New Roman"/>
                      <w:bCs/>
                      <w:color w:val="auto"/>
                      <w:kern w:val="0"/>
                      <w:szCs w:val="21"/>
                      <w:highlight w:val="none"/>
                      <w:lang w:val="en-US" w:eastAsia="zh-CN"/>
                    </w:rPr>
                    <w:t>0</w:t>
                  </w:r>
                </w:p>
              </w:tc>
              <w:tc>
                <w:tcPr>
                  <w:tcW w:w="825" w:type="dxa"/>
                  <w:tcBorders>
                    <w:tl2br w:val="nil"/>
                    <w:tr2bl w:val="nil"/>
                  </w:tcBorders>
                  <w:noWrap w:val="0"/>
                  <w:vAlign w:val="center"/>
                </w:tcPr>
                <w:p w14:paraId="3398108D">
                  <w:pPr>
                    <w:widowControl/>
                    <w:jc w:val="center"/>
                    <w:textAlignment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129.3</w:t>
                  </w:r>
                </w:p>
              </w:tc>
              <w:tc>
                <w:tcPr>
                  <w:tcW w:w="1269" w:type="dxa"/>
                  <w:tcBorders>
                    <w:tl2br w:val="nil"/>
                    <w:tr2bl w:val="nil"/>
                  </w:tcBorders>
                  <w:noWrap w:val="0"/>
                  <w:vAlign w:val="center"/>
                </w:tcPr>
                <w:p w14:paraId="2CFBEE6E">
                  <w:pPr>
                    <w:adjustRightInd w:val="0"/>
                    <w:spacing w:line="360" w:lineRule="exact"/>
                    <w:jc w:val="center"/>
                    <w:textAlignment w:val="baseline"/>
                    <w:rPr>
                      <w:rFonts w:hint="default" w:ascii="Times New Roman" w:hAnsi="Times New Roman" w:eastAsia="宋体" w:cs="Times New Roman"/>
                      <w:bCs/>
                      <w:color w:val="auto"/>
                      <w:kern w:val="0"/>
                      <w:szCs w:val="21"/>
                      <w:highlight w:val="none"/>
                      <w:lang w:eastAsia="zh-CN"/>
                    </w:rPr>
                  </w:pPr>
                  <w:r>
                    <w:rPr>
                      <w:rFonts w:hint="default" w:ascii="Times New Roman" w:hAnsi="Times New Roman" w:cs="Times New Roman"/>
                      <w:bCs/>
                      <w:color w:val="auto"/>
                      <w:kern w:val="0"/>
                      <w:szCs w:val="21"/>
                      <w:highlight w:val="none"/>
                      <w:lang w:val="en-US" w:eastAsia="zh-CN"/>
                    </w:rPr>
                    <w:t>不达标</w:t>
                  </w:r>
                </w:p>
              </w:tc>
            </w:tr>
          </w:tbl>
          <w:p w14:paraId="559B09B9">
            <w:pPr>
              <w:autoSpaceDE w:val="0"/>
              <w:autoSpaceDN w:val="0"/>
              <w:adjustRightInd w:val="0"/>
              <w:spacing w:line="360" w:lineRule="auto"/>
              <w:ind w:firstLine="480"/>
              <w:rPr>
                <w:rFonts w:hint="default" w:ascii="Times New Roman" w:hAnsi="Times New Roman" w:eastAsia="宋体" w:cs="Times New Roman"/>
                <w:color w:val="auto"/>
                <w:kern w:val="0"/>
                <w:sz w:val="24"/>
                <w:highlight w:val="none"/>
              </w:rPr>
            </w:pPr>
            <w:r>
              <w:rPr>
                <w:rFonts w:hint="default" w:ascii="Times New Roman" w:hAnsi="Times New Roman" w:cs="Times New Roman"/>
                <w:color w:val="auto"/>
                <w:kern w:val="0"/>
                <w:sz w:val="24"/>
                <w:highlight w:val="none"/>
                <w:lang w:val="en-US" w:eastAsia="zh-CN"/>
              </w:rPr>
              <w:t>西安</w:t>
            </w:r>
            <w:r>
              <w:rPr>
                <w:rFonts w:hint="default" w:ascii="Times New Roman" w:hAnsi="Times New Roman" w:eastAsia="宋体" w:cs="Times New Roman"/>
                <w:color w:val="auto"/>
                <w:kern w:val="0"/>
                <w:sz w:val="24"/>
                <w:highlight w:val="none"/>
              </w:rPr>
              <w:t>市</w:t>
            </w:r>
            <w:r>
              <w:rPr>
                <w:rFonts w:hint="default" w:ascii="Times New Roman" w:hAnsi="Times New Roman" w:cs="Times New Roman"/>
                <w:color w:val="auto"/>
                <w:kern w:val="0"/>
                <w:sz w:val="24"/>
                <w:highlight w:val="none"/>
                <w:lang w:val="en-US" w:eastAsia="zh-CN"/>
              </w:rPr>
              <w:t>西咸新区</w:t>
            </w:r>
            <w:r>
              <w:rPr>
                <w:rFonts w:hint="default" w:ascii="Times New Roman" w:hAnsi="Times New Roman" w:eastAsia="宋体" w:cs="Times New Roman"/>
                <w:color w:val="auto"/>
                <w:kern w:val="0"/>
                <w:sz w:val="24"/>
                <w:highlight w:val="none"/>
              </w:rPr>
              <w:t>202</w:t>
            </w:r>
            <w:r>
              <w:rPr>
                <w:rFonts w:hint="default" w:ascii="Times New Roman" w:hAnsi="Times New Roman" w:cs="Times New Roman"/>
                <w:color w:val="auto"/>
                <w:kern w:val="0"/>
                <w:sz w:val="24"/>
                <w:highlight w:val="none"/>
                <w:lang w:val="en-US" w:eastAsia="zh-CN"/>
              </w:rPr>
              <w:t>5</w:t>
            </w:r>
            <w:r>
              <w:rPr>
                <w:rFonts w:hint="default" w:ascii="Times New Roman" w:hAnsi="Times New Roman" w:eastAsia="宋体" w:cs="Times New Roman"/>
                <w:color w:val="auto"/>
                <w:kern w:val="0"/>
                <w:sz w:val="24"/>
                <w:highlight w:val="none"/>
              </w:rPr>
              <w:t>年SO</w:t>
            </w:r>
            <w:r>
              <w:rPr>
                <w:rFonts w:hint="default" w:ascii="Times New Roman" w:hAnsi="Times New Roman" w:eastAsia="宋体" w:cs="Times New Roman"/>
                <w:color w:val="auto"/>
                <w:kern w:val="0"/>
                <w:sz w:val="24"/>
                <w:highlight w:val="none"/>
                <w:vertAlign w:val="subscript"/>
              </w:rPr>
              <w:t>2</w:t>
            </w:r>
            <w:r>
              <w:rPr>
                <w:rFonts w:hint="default" w:ascii="Times New Roman" w:hAnsi="Times New Roman" w:cs="Times New Roman"/>
                <w:color w:val="auto"/>
                <w:kern w:val="0"/>
                <w:sz w:val="24"/>
                <w:highlight w:val="none"/>
                <w:vertAlign w:val="baseline"/>
                <w:lang w:eastAsia="zh-CN"/>
              </w:rPr>
              <w:t>、</w:t>
            </w:r>
            <w:r>
              <w:rPr>
                <w:rFonts w:hint="default" w:ascii="Times New Roman" w:hAnsi="Times New Roman" w:eastAsia="宋体" w:cs="Times New Roman"/>
                <w:color w:val="auto"/>
                <w:kern w:val="0"/>
                <w:sz w:val="24"/>
                <w:highlight w:val="none"/>
              </w:rPr>
              <w:t>NO</w:t>
            </w:r>
            <w:r>
              <w:rPr>
                <w:rFonts w:hint="default" w:ascii="Times New Roman" w:hAnsi="Times New Roman" w:eastAsia="宋体" w:cs="Times New Roman"/>
                <w:color w:val="auto"/>
                <w:kern w:val="0"/>
                <w:sz w:val="24"/>
                <w:highlight w:val="none"/>
                <w:vertAlign w:val="subscript"/>
              </w:rPr>
              <w:t>2</w:t>
            </w:r>
            <w:r>
              <w:rPr>
                <w:rFonts w:hint="default" w:ascii="Times New Roman" w:hAnsi="Times New Roman" w:eastAsia="宋体" w:cs="Times New Roman"/>
                <w:color w:val="auto"/>
                <w:kern w:val="0"/>
                <w:sz w:val="24"/>
                <w:highlight w:val="none"/>
              </w:rPr>
              <w:t>、PM</w:t>
            </w:r>
            <w:r>
              <w:rPr>
                <w:rFonts w:hint="default" w:ascii="Times New Roman" w:hAnsi="Times New Roman" w:eastAsia="宋体" w:cs="Times New Roman"/>
                <w:color w:val="auto"/>
                <w:kern w:val="0"/>
                <w:sz w:val="24"/>
                <w:highlight w:val="none"/>
                <w:vertAlign w:val="subscript"/>
              </w:rPr>
              <w:t>10</w:t>
            </w:r>
            <w:r>
              <w:rPr>
                <w:rFonts w:hint="default" w:ascii="Times New Roman" w:hAnsi="Times New Roman" w:eastAsia="宋体" w:cs="Times New Roman"/>
                <w:color w:val="auto"/>
                <w:kern w:val="0"/>
                <w:sz w:val="24"/>
                <w:highlight w:val="none"/>
              </w:rPr>
              <w:t>、PM</w:t>
            </w:r>
            <w:r>
              <w:rPr>
                <w:rFonts w:hint="default" w:ascii="Times New Roman" w:hAnsi="Times New Roman" w:eastAsia="宋体" w:cs="Times New Roman"/>
                <w:color w:val="auto"/>
                <w:kern w:val="0"/>
                <w:sz w:val="24"/>
                <w:highlight w:val="none"/>
                <w:vertAlign w:val="subscript"/>
              </w:rPr>
              <w:t>2.5</w:t>
            </w:r>
            <w:r>
              <w:rPr>
                <w:rFonts w:hint="default" w:ascii="Times New Roman" w:hAnsi="Times New Roman" w:eastAsia="宋体" w:cs="Times New Roman"/>
                <w:color w:val="auto"/>
                <w:kern w:val="0"/>
                <w:sz w:val="24"/>
                <w:highlight w:val="none"/>
              </w:rPr>
              <w:t>年均浓度分别为</w:t>
            </w:r>
            <w:r>
              <w:rPr>
                <w:rFonts w:hint="default" w:ascii="Times New Roman" w:hAnsi="Times New Roman" w:cs="Times New Roman"/>
                <w:color w:val="auto"/>
                <w:kern w:val="0"/>
                <w:sz w:val="24"/>
                <w:highlight w:val="none"/>
                <w:lang w:val="en-US" w:eastAsia="zh-CN"/>
              </w:rPr>
              <w:t>5</w:t>
            </w:r>
            <w:r>
              <w:rPr>
                <w:rFonts w:hint="default" w:ascii="Times New Roman" w:hAnsi="Times New Roman" w:eastAsia="宋体" w:cs="Times New Roman"/>
                <w:color w:val="auto"/>
                <w:kern w:val="0"/>
                <w:sz w:val="24"/>
                <w:highlight w:val="none"/>
              </w:rPr>
              <w:t>ug/m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w:t>
            </w:r>
            <w:r>
              <w:rPr>
                <w:rFonts w:hint="default" w:ascii="Times New Roman" w:hAnsi="Times New Roman" w:cs="Times New Roman"/>
                <w:color w:val="auto"/>
                <w:kern w:val="0"/>
                <w:sz w:val="24"/>
                <w:highlight w:val="none"/>
                <w:lang w:val="en-US" w:eastAsia="zh-CN"/>
              </w:rPr>
              <w:t>28</w:t>
            </w:r>
            <w:r>
              <w:rPr>
                <w:rFonts w:hint="default" w:ascii="Times New Roman" w:hAnsi="Times New Roman" w:eastAsia="宋体" w:cs="Times New Roman"/>
                <w:color w:val="auto"/>
                <w:kern w:val="0"/>
                <w:sz w:val="24"/>
                <w:highlight w:val="none"/>
              </w:rPr>
              <w:t>ug/m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highlight w:val="none"/>
                <w:lang w:val="en-US" w:eastAsia="zh-CN"/>
              </w:rPr>
              <w:t>6</w:t>
            </w:r>
            <w:r>
              <w:rPr>
                <w:rFonts w:hint="default" w:ascii="Times New Roman" w:hAnsi="Times New Roman" w:cs="Times New Roman"/>
                <w:color w:val="auto"/>
                <w:kern w:val="0"/>
                <w:sz w:val="24"/>
                <w:highlight w:val="none"/>
                <w:lang w:val="en-US" w:eastAsia="zh-CN"/>
              </w:rPr>
              <w:t>5</w:t>
            </w:r>
            <w:r>
              <w:rPr>
                <w:rFonts w:hint="default" w:ascii="Times New Roman" w:hAnsi="Times New Roman" w:eastAsia="宋体" w:cs="Times New Roman"/>
                <w:color w:val="auto"/>
                <w:kern w:val="0"/>
                <w:sz w:val="24"/>
                <w:highlight w:val="none"/>
              </w:rPr>
              <w:t>ug/m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w:t>
            </w:r>
            <w:r>
              <w:rPr>
                <w:rFonts w:hint="default" w:ascii="Times New Roman" w:hAnsi="Times New Roman" w:cs="Times New Roman"/>
                <w:color w:val="auto"/>
                <w:kern w:val="0"/>
                <w:sz w:val="24"/>
                <w:highlight w:val="none"/>
                <w:lang w:val="en-US" w:eastAsia="zh-CN"/>
              </w:rPr>
              <w:t>38.8</w:t>
            </w:r>
            <w:r>
              <w:rPr>
                <w:rFonts w:hint="default" w:ascii="Times New Roman" w:hAnsi="Times New Roman" w:eastAsia="宋体" w:cs="Times New Roman"/>
                <w:color w:val="auto"/>
                <w:kern w:val="0"/>
                <w:sz w:val="24"/>
                <w:highlight w:val="none"/>
              </w:rPr>
              <w:t>ug/m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；CO第95百分位数日平均</w:t>
            </w:r>
            <w:r>
              <w:rPr>
                <w:rFonts w:hint="default" w:ascii="Times New Roman" w:hAnsi="Times New Roman" w:eastAsia="宋体" w:cs="Times New Roman"/>
                <w:color w:val="auto"/>
                <w:kern w:val="0"/>
                <w:sz w:val="24"/>
                <w:highlight w:val="none"/>
                <w:lang w:val="en-US" w:eastAsia="zh-CN"/>
              </w:rPr>
              <w:t>质量浓度</w:t>
            </w:r>
            <w:r>
              <w:rPr>
                <w:rFonts w:hint="default" w:ascii="Times New Roman" w:hAnsi="Times New Roman" w:eastAsia="宋体" w:cs="Times New Roman"/>
                <w:color w:val="auto"/>
                <w:kern w:val="0"/>
                <w:sz w:val="24"/>
                <w:highlight w:val="none"/>
              </w:rPr>
              <w:t>为</w:t>
            </w:r>
            <w:r>
              <w:rPr>
                <w:rFonts w:hint="default" w:ascii="Times New Roman" w:hAnsi="Times New Roman" w:eastAsia="宋体" w:cs="Times New Roman"/>
                <w:color w:val="auto"/>
                <w:kern w:val="0"/>
                <w:sz w:val="24"/>
                <w:highlight w:val="none"/>
                <w:lang w:val="en-US" w:eastAsia="zh-CN"/>
              </w:rPr>
              <w:t>1.</w:t>
            </w:r>
            <w:r>
              <w:rPr>
                <w:rFonts w:hint="default" w:ascii="Times New Roman" w:hAnsi="Times New Roman" w:cs="Times New Roman"/>
                <w:color w:val="auto"/>
                <w:kern w:val="0"/>
                <w:sz w:val="24"/>
                <w:highlight w:val="none"/>
                <w:lang w:val="en-US" w:eastAsia="zh-CN"/>
              </w:rPr>
              <w:t>1</w:t>
            </w:r>
            <w:r>
              <w:rPr>
                <w:rFonts w:hint="default" w:ascii="Times New Roman" w:hAnsi="Times New Roman" w:eastAsia="宋体" w:cs="Times New Roman"/>
                <w:color w:val="auto"/>
                <w:kern w:val="0"/>
                <w:sz w:val="24"/>
                <w:highlight w:val="none"/>
              </w:rPr>
              <w:t>mg/m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，O</w:t>
            </w:r>
            <w:r>
              <w:rPr>
                <w:rFonts w:hint="default" w:ascii="Times New Roman" w:hAnsi="Times New Roman" w:eastAsia="宋体" w:cs="Times New Roman"/>
                <w:color w:val="auto"/>
                <w:kern w:val="0"/>
                <w:sz w:val="24"/>
                <w:highlight w:val="none"/>
                <w:vertAlign w:val="subscript"/>
              </w:rPr>
              <w:t>3</w:t>
            </w:r>
            <w:r>
              <w:rPr>
                <w:rFonts w:hint="default" w:ascii="Times New Roman" w:hAnsi="Times New Roman" w:eastAsia="宋体" w:cs="Times New Roman"/>
                <w:color w:val="auto"/>
                <w:kern w:val="0"/>
                <w:sz w:val="24"/>
                <w:highlight w:val="none"/>
              </w:rPr>
              <w:t>第90百分位数8小时平均</w:t>
            </w:r>
            <w:r>
              <w:rPr>
                <w:rFonts w:hint="default" w:ascii="Times New Roman" w:hAnsi="Times New Roman" w:cs="Times New Roman"/>
                <w:color w:val="auto"/>
                <w:kern w:val="0"/>
                <w:sz w:val="24"/>
                <w:highlight w:val="none"/>
                <w:lang w:val="en-US" w:eastAsia="zh-CN"/>
              </w:rPr>
              <w:t>质量浓度</w:t>
            </w:r>
            <w:r>
              <w:rPr>
                <w:rFonts w:hint="default" w:ascii="Times New Roman" w:hAnsi="Times New Roman" w:eastAsia="宋体" w:cs="Times New Roman"/>
                <w:color w:val="auto"/>
                <w:kern w:val="0"/>
                <w:sz w:val="24"/>
                <w:highlight w:val="none"/>
              </w:rPr>
              <w:t>为</w:t>
            </w:r>
            <w:r>
              <w:rPr>
                <w:rFonts w:hint="default" w:ascii="Times New Roman" w:hAnsi="Times New Roman" w:cs="Times New Roman"/>
                <w:color w:val="auto"/>
                <w:kern w:val="0"/>
                <w:sz w:val="24"/>
                <w:highlight w:val="none"/>
                <w:lang w:val="en-US" w:eastAsia="zh-CN"/>
              </w:rPr>
              <w:t>154</w:t>
            </w:r>
            <w:r>
              <w:rPr>
                <w:rFonts w:hint="default" w:ascii="Times New Roman" w:hAnsi="Times New Roman" w:eastAsia="宋体" w:cs="Times New Roman"/>
                <w:color w:val="auto"/>
                <w:kern w:val="0"/>
                <w:sz w:val="24"/>
                <w:highlight w:val="none"/>
              </w:rPr>
              <w:t>ug/m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；PM</w:t>
            </w:r>
            <w:r>
              <w:rPr>
                <w:rFonts w:hint="default" w:ascii="Times New Roman" w:hAnsi="Times New Roman" w:eastAsia="宋体" w:cs="Times New Roman"/>
                <w:color w:val="auto"/>
                <w:kern w:val="0"/>
                <w:sz w:val="24"/>
                <w:highlight w:val="none"/>
                <w:vertAlign w:val="subscript"/>
              </w:rPr>
              <w:t>2.5</w:t>
            </w:r>
            <w:r>
              <w:rPr>
                <w:rFonts w:hint="default" w:ascii="Times New Roman" w:hAnsi="Times New Roman" w:cs="Times New Roman"/>
                <w:color w:val="auto"/>
                <w:kern w:val="0"/>
                <w:sz w:val="24"/>
                <w:highlight w:val="none"/>
                <w:vertAlign w:val="baseline"/>
                <w:lang w:val="en-US" w:eastAsia="zh-CN"/>
              </w:rPr>
              <w:t>年平均质量浓度与PM</w:t>
            </w:r>
            <w:r>
              <w:rPr>
                <w:rFonts w:hint="default" w:ascii="Times New Roman" w:hAnsi="Times New Roman" w:cs="Times New Roman"/>
                <w:color w:val="auto"/>
                <w:kern w:val="0"/>
                <w:sz w:val="24"/>
                <w:highlight w:val="none"/>
                <w:vertAlign w:val="subscript"/>
                <w:lang w:val="en-US" w:eastAsia="zh-CN"/>
              </w:rPr>
              <w:t>10</w:t>
            </w:r>
            <w:r>
              <w:rPr>
                <w:rFonts w:hint="default" w:ascii="Times New Roman" w:hAnsi="Times New Roman" w:eastAsia="宋体" w:cs="Times New Roman"/>
                <w:color w:val="auto"/>
                <w:kern w:val="0"/>
                <w:sz w:val="24"/>
                <w:highlight w:val="none"/>
              </w:rPr>
              <w:t>年平均质量浓度</w:t>
            </w:r>
            <w:r>
              <w:rPr>
                <w:rFonts w:hint="default" w:ascii="Times New Roman" w:hAnsi="Times New Roman" w:cs="Times New Roman"/>
                <w:color w:val="auto"/>
                <w:kern w:val="0"/>
                <w:sz w:val="24"/>
                <w:highlight w:val="none"/>
                <w:lang w:val="en-US" w:eastAsia="zh-CN"/>
              </w:rPr>
              <w:t>超过</w:t>
            </w:r>
            <w:r>
              <w:rPr>
                <w:rFonts w:hint="default" w:ascii="Times New Roman" w:hAnsi="Times New Roman" w:eastAsia="宋体" w:cs="Times New Roman"/>
                <w:color w:val="auto"/>
                <w:kern w:val="0"/>
                <w:sz w:val="24"/>
                <w:highlight w:val="none"/>
              </w:rPr>
              <w:t>《环境空气质量标准》（GB3095-20</w:t>
            </w:r>
            <w:r>
              <w:rPr>
                <w:rFonts w:hint="default" w:ascii="Times New Roman" w:hAnsi="Times New Roman" w:cs="Times New Roman"/>
                <w:color w:val="auto"/>
                <w:kern w:val="0"/>
                <w:sz w:val="24"/>
                <w:highlight w:val="none"/>
                <w:lang w:val="en-US" w:eastAsia="zh-CN"/>
              </w:rPr>
              <w:t>26</w:t>
            </w:r>
            <w:r>
              <w:rPr>
                <w:rFonts w:hint="default" w:ascii="Times New Roman" w:hAnsi="Times New Roman" w:eastAsia="宋体" w:cs="Times New Roman"/>
                <w:color w:val="auto"/>
                <w:kern w:val="0"/>
                <w:sz w:val="24"/>
                <w:highlight w:val="none"/>
              </w:rPr>
              <w:t>）中二级标准限值。</w:t>
            </w:r>
          </w:p>
          <w:p w14:paraId="0775EC6A">
            <w:pPr>
              <w:autoSpaceDE w:val="0"/>
              <w:autoSpaceDN w:val="0"/>
              <w:adjustRightInd w:val="0"/>
              <w:spacing w:line="360" w:lineRule="auto"/>
              <w:ind w:firstLine="48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rPr>
              <w:t>根据《环境影响评价技术导则 大气环境》（HJ 2.2-2018），城市环境空气质量达标情况评价指标为SO</w:t>
            </w:r>
            <w:r>
              <w:rPr>
                <w:rFonts w:hint="default" w:ascii="Times New Roman" w:hAnsi="Times New Roman" w:eastAsia="宋体" w:cs="Times New Roman"/>
                <w:color w:val="auto"/>
                <w:kern w:val="0"/>
                <w:sz w:val="24"/>
                <w:highlight w:val="none"/>
                <w:vertAlign w:val="subscript"/>
              </w:rPr>
              <w:t>2</w:t>
            </w:r>
            <w:r>
              <w:rPr>
                <w:rFonts w:hint="default" w:ascii="Times New Roman" w:hAnsi="Times New Roman" w:eastAsia="宋体" w:cs="Times New Roman"/>
                <w:color w:val="auto"/>
                <w:kern w:val="0"/>
                <w:sz w:val="24"/>
                <w:highlight w:val="none"/>
              </w:rPr>
              <w:t>、NO</w:t>
            </w:r>
            <w:r>
              <w:rPr>
                <w:rFonts w:hint="default" w:ascii="Times New Roman" w:hAnsi="Times New Roman" w:eastAsia="宋体" w:cs="Times New Roman"/>
                <w:color w:val="auto"/>
                <w:kern w:val="0"/>
                <w:sz w:val="24"/>
                <w:highlight w:val="none"/>
                <w:vertAlign w:val="subscript"/>
              </w:rPr>
              <w:t>2</w:t>
            </w:r>
            <w:r>
              <w:rPr>
                <w:rFonts w:hint="default" w:ascii="Times New Roman" w:hAnsi="Times New Roman" w:eastAsia="宋体" w:cs="Times New Roman"/>
                <w:color w:val="auto"/>
                <w:kern w:val="0"/>
                <w:sz w:val="24"/>
                <w:highlight w:val="none"/>
              </w:rPr>
              <w:t>、PM</w:t>
            </w:r>
            <w:r>
              <w:rPr>
                <w:rFonts w:hint="default" w:ascii="Times New Roman" w:hAnsi="Times New Roman" w:eastAsia="宋体" w:cs="Times New Roman"/>
                <w:color w:val="auto"/>
                <w:kern w:val="0"/>
                <w:sz w:val="24"/>
                <w:highlight w:val="none"/>
                <w:vertAlign w:val="subscript"/>
              </w:rPr>
              <w:t>10</w:t>
            </w:r>
            <w:r>
              <w:rPr>
                <w:rFonts w:hint="default" w:ascii="Times New Roman" w:hAnsi="Times New Roman" w:eastAsia="宋体" w:cs="Times New Roman"/>
                <w:color w:val="auto"/>
                <w:kern w:val="0"/>
                <w:sz w:val="24"/>
                <w:highlight w:val="none"/>
              </w:rPr>
              <w:t>、PM</w:t>
            </w:r>
            <w:r>
              <w:rPr>
                <w:rFonts w:hint="default" w:ascii="Times New Roman" w:hAnsi="Times New Roman" w:eastAsia="宋体" w:cs="Times New Roman"/>
                <w:color w:val="auto"/>
                <w:kern w:val="0"/>
                <w:sz w:val="24"/>
                <w:highlight w:val="none"/>
                <w:vertAlign w:val="subscript"/>
              </w:rPr>
              <w:t>2.5</w:t>
            </w:r>
            <w:r>
              <w:rPr>
                <w:rFonts w:hint="default" w:ascii="Times New Roman" w:hAnsi="Times New Roman" w:eastAsia="宋体" w:cs="Times New Roman"/>
                <w:color w:val="auto"/>
                <w:kern w:val="0"/>
                <w:sz w:val="24"/>
                <w:highlight w:val="none"/>
              </w:rPr>
              <w:t>、CO、O</w:t>
            </w:r>
            <w:r>
              <w:rPr>
                <w:rFonts w:hint="default" w:ascii="Times New Roman" w:hAnsi="Times New Roman" w:eastAsia="宋体" w:cs="Times New Roman"/>
                <w:color w:val="auto"/>
                <w:kern w:val="0"/>
                <w:sz w:val="24"/>
                <w:highlight w:val="none"/>
                <w:vertAlign w:val="subscript"/>
              </w:rPr>
              <w:t>3</w:t>
            </w:r>
            <w:r>
              <w:rPr>
                <w:rFonts w:hint="default" w:ascii="Times New Roman" w:hAnsi="Times New Roman" w:eastAsia="宋体" w:cs="Times New Roman"/>
                <w:color w:val="auto"/>
                <w:kern w:val="0"/>
                <w:sz w:val="24"/>
                <w:highlight w:val="none"/>
              </w:rPr>
              <w:t>，六项污染物年评价指标全部达标即为城市环境空气质量达标。因此，本项目所在区域属于</w:t>
            </w:r>
            <w:r>
              <w:rPr>
                <w:rFonts w:hint="default" w:ascii="Times New Roman" w:hAnsi="Times New Roman" w:eastAsia="宋体" w:cs="Times New Roman"/>
                <w:color w:val="auto"/>
                <w:kern w:val="0"/>
                <w:sz w:val="24"/>
                <w:highlight w:val="none"/>
                <w:lang w:val="en-US" w:eastAsia="zh-CN"/>
              </w:rPr>
              <w:t>环境空气质量</w:t>
            </w:r>
            <w:r>
              <w:rPr>
                <w:rFonts w:hint="default" w:ascii="Times New Roman" w:hAnsi="Times New Roman" w:eastAsia="宋体" w:cs="Times New Roman"/>
                <w:color w:val="auto"/>
                <w:kern w:val="0"/>
                <w:sz w:val="24"/>
                <w:highlight w:val="none"/>
              </w:rPr>
              <w:t>不达标区。</w:t>
            </w:r>
          </w:p>
          <w:p w14:paraId="40E54C05">
            <w:pPr>
              <w:tabs>
                <w:tab w:val="left" w:pos="3555"/>
              </w:tabs>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（2）其他污染物环境质量现状</w:t>
            </w:r>
          </w:p>
          <w:p w14:paraId="31C94790">
            <w:pPr>
              <w:autoSpaceDN w:val="0"/>
              <w:spacing w:line="360" w:lineRule="auto"/>
              <w:ind w:firstLine="48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特委托</w:t>
            </w:r>
            <w:r>
              <w:rPr>
                <w:rFonts w:hint="default" w:ascii="Times New Roman" w:hAnsi="Times New Roman" w:cs="Times New Roman"/>
                <w:color w:val="auto"/>
                <w:sz w:val="24"/>
                <w:highlight w:val="none"/>
                <w:lang w:val="en-US" w:eastAsia="zh-CN"/>
              </w:rPr>
              <w:t>陕西国环质检技术服务有限公司</w:t>
            </w:r>
            <w:r>
              <w:rPr>
                <w:rFonts w:hint="default" w:ascii="Times New Roman" w:hAnsi="Times New Roman" w:cs="Times New Roman"/>
                <w:color w:val="auto"/>
                <w:sz w:val="24"/>
                <w:highlight w:val="none"/>
              </w:rPr>
              <w:t>于202</w:t>
            </w: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27</w:t>
            </w:r>
            <w:r>
              <w:rPr>
                <w:rFonts w:hint="default" w:ascii="Times New Roman" w:hAnsi="Times New Roman" w:cs="Times New Roman"/>
                <w:color w:val="auto"/>
                <w:sz w:val="24"/>
                <w:highlight w:val="none"/>
              </w:rPr>
              <w:t>日~202</w:t>
            </w: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29</w:t>
            </w:r>
            <w:r>
              <w:rPr>
                <w:rFonts w:hint="default" w:ascii="Times New Roman" w:hAnsi="Times New Roman" w:cs="Times New Roman"/>
                <w:color w:val="auto"/>
                <w:sz w:val="24"/>
                <w:highlight w:val="none"/>
              </w:rPr>
              <w:t>日对项目所在地其他污染物进行了环境现状质量监测，并出具《</w:t>
            </w:r>
            <w:r>
              <w:rPr>
                <w:rFonts w:hint="default" w:ascii="Times New Roman" w:hAnsi="Times New Roman" w:cs="Times New Roman"/>
                <w:color w:val="auto"/>
                <w:sz w:val="24"/>
                <w:highlight w:val="none"/>
                <w:lang w:eastAsia="zh-CN"/>
              </w:rPr>
              <w:t>陕西威思曼高压电源股份有限公司-威思曼智能创新产研总部基地</w:t>
            </w:r>
            <w:r>
              <w:rPr>
                <w:rFonts w:hint="default" w:ascii="Times New Roman" w:hAnsi="Times New Roman" w:cs="Times New Roman"/>
                <w:color w:val="auto"/>
                <w:sz w:val="24"/>
                <w:highlight w:val="none"/>
                <w:lang w:val="en-US" w:eastAsia="zh-CN"/>
              </w:rPr>
              <w:t>建设项目环境现状检测</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C260493</w:t>
            </w:r>
            <w:r>
              <w:rPr>
                <w:rFonts w:hint="default" w:ascii="Times New Roman" w:hAnsi="Times New Roman" w:cs="Times New Roman"/>
                <w:color w:val="auto"/>
                <w:sz w:val="24"/>
                <w:highlight w:val="none"/>
              </w:rPr>
              <w:t>），详见附件。</w:t>
            </w:r>
          </w:p>
          <w:p w14:paraId="7FD0BC43">
            <w:pPr>
              <w:autoSpaceDN w:val="0"/>
              <w:spacing w:line="360" w:lineRule="auto"/>
              <w:ind w:firstLine="48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①监测点位</w:t>
            </w:r>
          </w:p>
          <w:p w14:paraId="09E06866">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在项目</w:t>
            </w:r>
            <w:r>
              <w:rPr>
                <w:rFonts w:hint="default" w:ascii="Times New Roman" w:hAnsi="Times New Roman" w:cs="Times New Roman"/>
                <w:color w:val="auto"/>
                <w:sz w:val="24"/>
                <w:highlight w:val="none"/>
                <w:lang w:val="en-US" w:eastAsia="zh-CN"/>
              </w:rPr>
              <w:t>厂界外常年主导下风向西南侧500m内</w:t>
            </w:r>
            <w:r>
              <w:rPr>
                <w:rFonts w:hint="default" w:ascii="Times New Roman" w:hAnsi="Times New Roman" w:cs="Times New Roman"/>
                <w:color w:val="auto"/>
                <w:sz w:val="24"/>
                <w:highlight w:val="none"/>
              </w:rPr>
              <w:t>设置一个监测点位。</w:t>
            </w:r>
          </w:p>
          <w:p w14:paraId="63868FB9">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②监测因子</w:t>
            </w:r>
          </w:p>
          <w:p w14:paraId="560C2616">
            <w:pPr>
              <w:autoSpaceDN w:val="0"/>
              <w:spacing w:line="360" w:lineRule="auto"/>
              <w:ind w:firstLine="48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监测项目：TSP</w:t>
            </w:r>
          </w:p>
          <w:p w14:paraId="4A785874">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③监测分析方法</w:t>
            </w:r>
          </w:p>
          <w:p w14:paraId="35305CC7">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监测分析方法见下表：</w:t>
            </w:r>
          </w:p>
          <w:p w14:paraId="7AE72877">
            <w:pPr>
              <w:widowControl/>
              <w:ind w:firstLine="482"/>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表3-2   环境空气质量现状监测结</w:t>
            </w:r>
            <w:r>
              <w:rPr>
                <w:rFonts w:hint="default" w:ascii="Times New Roman" w:hAnsi="Times New Roman" w:cs="Times New Roman"/>
                <w:b/>
                <w:color w:val="auto"/>
                <w:szCs w:val="21"/>
                <w:highlight w:val="none"/>
                <w:lang w:val="en-US" w:eastAsia="zh-CN"/>
              </w:rPr>
              <w:t>果</w:t>
            </w:r>
            <w:r>
              <w:rPr>
                <w:rFonts w:hint="default" w:ascii="Times New Roman" w:hAnsi="Times New Roman" w:cs="Times New Roman"/>
                <w:b/>
                <w:color w:val="auto"/>
                <w:szCs w:val="21"/>
                <w:highlight w:val="none"/>
              </w:rPr>
              <w:t>分析方法</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1361"/>
              <w:gridCol w:w="2749"/>
              <w:gridCol w:w="1835"/>
              <w:gridCol w:w="1649"/>
            </w:tblGrid>
            <w:tr w14:paraId="0366F3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0" w:type="pct"/>
                  <w:tcBorders>
                    <w:tl2br w:val="nil"/>
                    <w:tr2bl w:val="nil"/>
                  </w:tcBorders>
                  <w:vAlign w:val="center"/>
                </w:tcPr>
                <w:p w14:paraId="2701DAD1">
                  <w:pPr>
                    <w:widowControl/>
                    <w:adjustRightInd w:val="0"/>
                    <w:snapToGrid w:val="0"/>
                    <w:spacing w:line="0" w:lineRule="atLeast"/>
                    <w:jc w:val="center"/>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类别</w:t>
                  </w:r>
                </w:p>
              </w:tc>
              <w:tc>
                <w:tcPr>
                  <w:tcW w:w="797" w:type="pct"/>
                  <w:tcBorders>
                    <w:tl2br w:val="nil"/>
                    <w:tr2bl w:val="nil"/>
                  </w:tcBorders>
                  <w:vAlign w:val="center"/>
                </w:tcPr>
                <w:p w14:paraId="2D1076DF">
                  <w:pPr>
                    <w:widowControl/>
                    <w:adjustRightInd w:val="0"/>
                    <w:snapToGrid w:val="0"/>
                    <w:spacing w:line="0" w:lineRule="atLeast"/>
                    <w:jc w:val="center"/>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检测项目</w:t>
                  </w:r>
                </w:p>
              </w:tc>
              <w:tc>
                <w:tcPr>
                  <w:tcW w:w="1610" w:type="pct"/>
                  <w:tcBorders>
                    <w:tl2br w:val="nil"/>
                    <w:tr2bl w:val="nil"/>
                  </w:tcBorders>
                  <w:vAlign w:val="center"/>
                </w:tcPr>
                <w:p w14:paraId="45C1B944">
                  <w:pPr>
                    <w:widowControl/>
                    <w:adjustRightInd w:val="0"/>
                    <w:snapToGrid w:val="0"/>
                    <w:spacing w:line="0" w:lineRule="atLeast"/>
                    <w:jc w:val="center"/>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分析方法</w:t>
                  </w:r>
                </w:p>
              </w:tc>
              <w:tc>
                <w:tcPr>
                  <w:tcW w:w="1075" w:type="pct"/>
                  <w:tcBorders>
                    <w:tl2br w:val="nil"/>
                    <w:tr2bl w:val="nil"/>
                  </w:tcBorders>
                  <w:vAlign w:val="center"/>
                </w:tcPr>
                <w:p w14:paraId="0659CFE2">
                  <w:pPr>
                    <w:widowControl/>
                    <w:adjustRightInd w:val="0"/>
                    <w:snapToGrid w:val="0"/>
                    <w:spacing w:line="0" w:lineRule="atLeast"/>
                    <w:jc w:val="center"/>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依据标准</w:t>
                  </w:r>
                </w:p>
              </w:tc>
              <w:tc>
                <w:tcPr>
                  <w:tcW w:w="966" w:type="pct"/>
                  <w:tcBorders>
                    <w:tl2br w:val="nil"/>
                    <w:tr2bl w:val="nil"/>
                  </w:tcBorders>
                  <w:vAlign w:val="center"/>
                </w:tcPr>
                <w:p w14:paraId="5159619C">
                  <w:pPr>
                    <w:widowControl/>
                    <w:adjustRightInd w:val="0"/>
                    <w:snapToGrid w:val="0"/>
                    <w:spacing w:line="0" w:lineRule="atLeast"/>
                    <w:jc w:val="center"/>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最低检出限</w:t>
                  </w:r>
                </w:p>
              </w:tc>
            </w:tr>
            <w:tr w14:paraId="76322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0" w:type="pct"/>
                  <w:tcBorders>
                    <w:tl2br w:val="nil"/>
                    <w:tr2bl w:val="nil"/>
                  </w:tcBorders>
                  <w:vAlign w:val="center"/>
                </w:tcPr>
                <w:p w14:paraId="3D995EB7">
                  <w:pPr>
                    <w:widowControl/>
                    <w:adjustRightInd w:val="0"/>
                    <w:snapToGrid w:val="0"/>
                    <w:spacing w:line="0" w:lineRule="atLeast"/>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环境空气</w:t>
                  </w:r>
                </w:p>
              </w:tc>
              <w:tc>
                <w:tcPr>
                  <w:tcW w:w="797" w:type="pct"/>
                  <w:tcBorders>
                    <w:tl2br w:val="nil"/>
                    <w:tr2bl w:val="nil"/>
                  </w:tcBorders>
                  <w:vAlign w:val="center"/>
                </w:tcPr>
                <w:p w14:paraId="04D033CC">
                  <w:pPr>
                    <w:keepNext w:val="0"/>
                    <w:keepLines w:val="0"/>
                    <w:pageBreakBefore w:val="0"/>
                    <w:widowControl/>
                    <w:kinsoku/>
                    <w:wordWrap/>
                    <w:overflowPunct/>
                    <w:topLinePunct w:val="0"/>
                    <w:autoSpaceDE/>
                    <w:autoSpaceDN/>
                    <w:bidi w:val="0"/>
                    <w:adjustRightInd w:val="0"/>
                    <w:snapToGrid w:val="0"/>
                    <w:spacing w:after="0" w:line="0" w:lineRule="atLeast"/>
                    <w:ind w:left="0" w:leftChars="0" w:right="0" w:rightChars="0"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总悬浮颗粒物（TSP）</w:t>
                  </w:r>
                </w:p>
              </w:tc>
              <w:tc>
                <w:tcPr>
                  <w:tcW w:w="1610" w:type="pct"/>
                  <w:tcBorders>
                    <w:tl2br w:val="nil"/>
                    <w:tr2bl w:val="nil"/>
                  </w:tcBorders>
                  <w:vAlign w:val="center"/>
                </w:tcPr>
                <w:p w14:paraId="18531AAC">
                  <w:pPr>
                    <w:keepNext w:val="0"/>
                    <w:keepLines w:val="0"/>
                    <w:pageBreakBefore w:val="0"/>
                    <w:widowControl/>
                    <w:kinsoku/>
                    <w:wordWrap/>
                    <w:overflowPunct/>
                    <w:topLinePunct w:val="0"/>
                    <w:autoSpaceDE/>
                    <w:autoSpaceDN/>
                    <w:bidi w:val="0"/>
                    <w:adjustRightInd w:val="0"/>
                    <w:snapToGrid w:val="0"/>
                    <w:spacing w:after="0" w:line="0" w:lineRule="atLeast"/>
                    <w:ind w:left="0" w:leftChars="0" w:right="0" w:rightChars="0" w:firstLine="0" w:firstLineChars="0"/>
                    <w:jc w:val="center"/>
                    <w:textAlignment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 xml:space="preserve"> 环境空气 总悬浮颗粒物的测定 重量法</w:t>
                  </w:r>
                </w:p>
              </w:tc>
              <w:tc>
                <w:tcPr>
                  <w:tcW w:w="1075" w:type="pct"/>
                  <w:tcBorders>
                    <w:tl2br w:val="nil"/>
                    <w:tr2bl w:val="nil"/>
                  </w:tcBorders>
                  <w:vAlign w:val="center"/>
                </w:tcPr>
                <w:p w14:paraId="73BF6D24">
                  <w:pPr>
                    <w:widowControl/>
                    <w:adjustRightInd w:val="0"/>
                    <w:snapToGrid w:val="0"/>
                    <w:spacing w:line="0" w:lineRule="atLeast"/>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HJ 1263-2022</w:t>
                  </w:r>
                </w:p>
              </w:tc>
              <w:tc>
                <w:tcPr>
                  <w:tcW w:w="966" w:type="pct"/>
                  <w:tcBorders>
                    <w:tl2br w:val="nil"/>
                    <w:tr2bl w:val="nil"/>
                  </w:tcBorders>
                  <w:vAlign w:val="center"/>
                </w:tcPr>
                <w:p w14:paraId="3B04AE28">
                  <w:pPr>
                    <w:widowControl/>
                    <w:adjustRightInd w:val="0"/>
                    <w:snapToGrid w:val="0"/>
                    <w:spacing w:line="0" w:lineRule="atLeast"/>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7μg/m</w:t>
                  </w:r>
                  <w:r>
                    <w:rPr>
                      <w:rFonts w:hint="default" w:ascii="Times New Roman" w:hAnsi="Times New Roman" w:cs="Times New Roman"/>
                      <w:color w:val="auto"/>
                      <w:sz w:val="21"/>
                      <w:szCs w:val="21"/>
                      <w:highlight w:val="none"/>
                      <w:vertAlign w:val="superscript"/>
                      <w:lang w:val="en-US" w:eastAsia="zh-CN"/>
                    </w:rPr>
                    <w:t>3</w:t>
                  </w:r>
                </w:p>
              </w:tc>
            </w:tr>
          </w:tbl>
          <w:p w14:paraId="2F664B4F">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④采样时间及监测频率</w:t>
            </w:r>
          </w:p>
          <w:p w14:paraId="78CDE2F0">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总悬浮颗粒物（TSP）</w:t>
            </w:r>
            <w:r>
              <w:rPr>
                <w:rFonts w:hint="default" w:ascii="Times New Roman" w:hAnsi="Times New Roman" w:cs="Times New Roman"/>
                <w:color w:val="auto"/>
                <w:sz w:val="24"/>
                <w:highlight w:val="none"/>
              </w:rPr>
              <w:t>连续检测</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天，检测</w:t>
            </w:r>
            <w:r>
              <w:rPr>
                <w:rFonts w:hint="default" w:ascii="Times New Roman" w:hAnsi="Times New Roman" w:cs="Times New Roman"/>
                <w:color w:val="auto"/>
                <w:sz w:val="24"/>
                <w:highlight w:val="none"/>
                <w:lang w:eastAsia="zh-CN"/>
              </w:rPr>
              <w:t>日均值</w:t>
            </w:r>
            <w:r>
              <w:rPr>
                <w:rFonts w:hint="default" w:ascii="Times New Roman" w:hAnsi="Times New Roman" w:cs="Times New Roman"/>
                <w:color w:val="auto"/>
                <w:sz w:val="24"/>
                <w:highlight w:val="none"/>
              </w:rPr>
              <w:t>浓度。</w:t>
            </w:r>
          </w:p>
          <w:p w14:paraId="1BE260DB">
            <w:pPr>
              <w:autoSpaceDN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⑤监测结果与评价</w:t>
            </w:r>
          </w:p>
          <w:p w14:paraId="35CF9B19">
            <w:pPr>
              <w:widowControl/>
              <w:ind w:firstLine="482"/>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表3-3   其他污染物环境质量现状</w:t>
            </w:r>
            <w:r>
              <w:rPr>
                <w:rFonts w:hint="default" w:ascii="Times New Roman" w:hAnsi="Times New Roman" w:cs="Times New Roman"/>
                <w:b/>
                <w:color w:val="auto"/>
                <w:szCs w:val="21"/>
                <w:highlight w:val="none"/>
                <w:lang w:eastAsia="zh-CN"/>
              </w:rPr>
              <w:t>（</w:t>
            </w:r>
            <w:r>
              <w:rPr>
                <w:rFonts w:hint="default" w:ascii="Times New Roman" w:hAnsi="Times New Roman" w:cs="Times New Roman"/>
                <w:b/>
                <w:color w:val="auto"/>
                <w:szCs w:val="21"/>
                <w:highlight w:val="none"/>
                <w:lang w:val="en-US" w:eastAsia="zh-CN"/>
              </w:rPr>
              <w:t>监测结果</w:t>
            </w:r>
            <w:r>
              <w:rPr>
                <w:rFonts w:hint="default" w:ascii="Times New Roman" w:hAnsi="Times New Roman" w:cs="Times New Roman"/>
                <w:b/>
                <w:color w:val="auto"/>
                <w:szCs w:val="21"/>
                <w:highlight w:val="none"/>
                <w:lang w:eastAsia="zh-CN"/>
              </w:rPr>
              <w:t>）</w:t>
            </w:r>
            <w:r>
              <w:rPr>
                <w:rFonts w:hint="default" w:ascii="Times New Roman" w:hAnsi="Times New Roman" w:cs="Times New Roman"/>
                <w:b/>
                <w:color w:val="auto"/>
                <w:szCs w:val="21"/>
                <w:highlight w:val="none"/>
              </w:rPr>
              <w:t>表（单位：mg/m</w:t>
            </w:r>
            <w:r>
              <w:rPr>
                <w:rFonts w:hint="default" w:ascii="Times New Roman" w:hAnsi="Times New Roman" w:cs="Times New Roman"/>
                <w:b/>
                <w:color w:val="auto"/>
                <w:szCs w:val="21"/>
                <w:highlight w:val="none"/>
                <w:vertAlign w:val="superscript"/>
              </w:rPr>
              <w:t>3</w:t>
            </w:r>
            <w:r>
              <w:rPr>
                <w:rFonts w:hint="default" w:ascii="Times New Roman" w:hAnsi="Times New Roman" w:cs="Times New Roman"/>
                <w:b/>
                <w:color w:val="auto"/>
                <w:szCs w:val="21"/>
                <w:highlight w:val="none"/>
              </w:rPr>
              <w:t>）</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1779"/>
              <w:gridCol w:w="1507"/>
              <w:gridCol w:w="1852"/>
              <w:gridCol w:w="1914"/>
            </w:tblGrid>
            <w:tr w14:paraId="2F3C1B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pct"/>
                  <w:vMerge w:val="restart"/>
                  <w:tcBorders>
                    <w:tl2br w:val="nil"/>
                    <w:tr2bl w:val="nil"/>
                  </w:tcBorders>
                  <w:vAlign w:val="center"/>
                </w:tcPr>
                <w:p w14:paraId="6D2C63B7">
                  <w:pPr>
                    <w:autoSpaceDE w:val="0"/>
                    <w:autoSpaceDN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监测</w:t>
                  </w:r>
                </w:p>
                <w:p w14:paraId="3D9B9513">
                  <w:pPr>
                    <w:autoSpaceDE w:val="0"/>
                    <w:autoSpaceDN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点位</w:t>
                  </w:r>
                </w:p>
              </w:tc>
              <w:tc>
                <w:tcPr>
                  <w:tcW w:w="1925" w:type="pct"/>
                  <w:gridSpan w:val="2"/>
                  <w:tcBorders>
                    <w:tl2br w:val="nil"/>
                    <w:tr2bl w:val="nil"/>
                  </w:tcBorders>
                  <w:vAlign w:val="center"/>
                </w:tcPr>
                <w:p w14:paraId="6C509AAD">
                  <w:pPr>
                    <w:autoSpaceDE w:val="0"/>
                    <w:autoSpaceDN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监测点坐标/m</w:t>
                  </w:r>
                </w:p>
              </w:tc>
              <w:tc>
                <w:tcPr>
                  <w:tcW w:w="1084" w:type="pct"/>
                  <w:vMerge w:val="restart"/>
                  <w:tcBorders>
                    <w:tl2br w:val="nil"/>
                    <w:tr2bl w:val="nil"/>
                  </w:tcBorders>
                  <w:vAlign w:val="center"/>
                </w:tcPr>
                <w:p w14:paraId="40CAC3D3">
                  <w:pPr>
                    <w:autoSpaceDE w:val="0"/>
                    <w:autoSpaceDN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监测日期</w:t>
                  </w:r>
                </w:p>
              </w:tc>
              <w:tc>
                <w:tcPr>
                  <w:tcW w:w="1121" w:type="pct"/>
                  <w:tcBorders>
                    <w:tl2br w:val="nil"/>
                    <w:tr2bl w:val="nil"/>
                  </w:tcBorders>
                  <w:vAlign w:val="center"/>
                </w:tcPr>
                <w:p w14:paraId="3E340D2B">
                  <w:pPr>
                    <w:autoSpaceDE w:val="0"/>
                    <w:autoSpaceDN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TSP</w:t>
                  </w:r>
                </w:p>
              </w:tc>
            </w:tr>
            <w:tr w14:paraId="2CC93F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pct"/>
                  <w:vMerge w:val="continue"/>
                  <w:tcBorders>
                    <w:tl2br w:val="nil"/>
                    <w:tr2bl w:val="nil"/>
                  </w:tcBorders>
                  <w:vAlign w:val="center"/>
                </w:tcPr>
                <w:p w14:paraId="51D237E9">
                  <w:pPr>
                    <w:autoSpaceDE w:val="0"/>
                    <w:autoSpaceDN w:val="0"/>
                    <w:jc w:val="center"/>
                    <w:rPr>
                      <w:rFonts w:hint="default" w:ascii="Times New Roman" w:hAnsi="Times New Roman" w:cs="Times New Roman"/>
                      <w:b w:val="0"/>
                      <w:bCs w:val="0"/>
                      <w:color w:val="auto"/>
                      <w:kern w:val="0"/>
                      <w:szCs w:val="21"/>
                      <w:highlight w:val="none"/>
                    </w:rPr>
                  </w:pPr>
                </w:p>
              </w:tc>
              <w:tc>
                <w:tcPr>
                  <w:tcW w:w="1042" w:type="pct"/>
                  <w:tcBorders>
                    <w:tl2br w:val="nil"/>
                    <w:tr2bl w:val="nil"/>
                  </w:tcBorders>
                  <w:vAlign w:val="center"/>
                </w:tcPr>
                <w:p w14:paraId="6BB61AF3">
                  <w:pPr>
                    <w:autoSpaceDE w:val="0"/>
                    <w:autoSpaceDN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经度</w:t>
                  </w:r>
                </w:p>
              </w:tc>
              <w:tc>
                <w:tcPr>
                  <w:tcW w:w="883" w:type="pct"/>
                  <w:tcBorders>
                    <w:tl2br w:val="nil"/>
                    <w:tr2bl w:val="nil"/>
                  </w:tcBorders>
                  <w:vAlign w:val="center"/>
                </w:tcPr>
                <w:p w14:paraId="7FAAF384">
                  <w:pPr>
                    <w:autoSpaceDE w:val="0"/>
                    <w:autoSpaceDN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纬度</w:t>
                  </w:r>
                </w:p>
              </w:tc>
              <w:tc>
                <w:tcPr>
                  <w:tcW w:w="1084" w:type="pct"/>
                  <w:vMerge w:val="continue"/>
                  <w:tcBorders>
                    <w:tl2br w:val="nil"/>
                    <w:tr2bl w:val="nil"/>
                  </w:tcBorders>
                  <w:vAlign w:val="center"/>
                </w:tcPr>
                <w:p w14:paraId="4BA58D9A">
                  <w:pPr>
                    <w:autoSpaceDE w:val="0"/>
                    <w:autoSpaceDN w:val="0"/>
                    <w:jc w:val="center"/>
                    <w:rPr>
                      <w:rFonts w:hint="default" w:ascii="Times New Roman" w:hAnsi="Times New Roman" w:cs="Times New Roman"/>
                      <w:b w:val="0"/>
                      <w:bCs w:val="0"/>
                      <w:color w:val="auto"/>
                      <w:kern w:val="0"/>
                      <w:szCs w:val="21"/>
                      <w:highlight w:val="none"/>
                    </w:rPr>
                  </w:pPr>
                </w:p>
              </w:tc>
              <w:tc>
                <w:tcPr>
                  <w:tcW w:w="1121" w:type="pct"/>
                  <w:tcBorders>
                    <w:tl2br w:val="nil"/>
                    <w:tr2bl w:val="nil"/>
                  </w:tcBorders>
                  <w:vAlign w:val="center"/>
                </w:tcPr>
                <w:p w14:paraId="470746E0">
                  <w:pPr>
                    <w:autoSpaceDE w:val="0"/>
                    <w:autoSpaceDN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24h值</w:t>
                  </w:r>
                </w:p>
              </w:tc>
            </w:tr>
            <w:tr w14:paraId="5B8765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pct"/>
                  <w:vMerge w:val="restart"/>
                  <w:tcBorders>
                    <w:tl2br w:val="nil"/>
                    <w:tr2bl w:val="nil"/>
                  </w:tcBorders>
                  <w:vAlign w:val="center"/>
                </w:tcPr>
                <w:p w14:paraId="2E12BA41">
                  <w:pPr>
                    <w:autoSpaceDE w:val="0"/>
                    <w:autoSpaceDN w:val="0"/>
                    <w:jc w:val="center"/>
                    <w:rPr>
                      <w:rFonts w:hint="default" w:ascii="Times New Roman" w:hAnsi="Times New Roman" w:eastAsia="宋体" w:cs="Times New Roman"/>
                      <w:b w:val="0"/>
                      <w:bCs w:val="0"/>
                      <w:color w:val="auto"/>
                      <w:kern w:val="0"/>
                      <w:szCs w:val="21"/>
                      <w:highlight w:val="none"/>
                      <w:lang w:val="en-US" w:eastAsia="zh-CN"/>
                    </w:rPr>
                  </w:pPr>
                  <w:r>
                    <w:rPr>
                      <w:rFonts w:hint="default" w:ascii="Times New Roman" w:hAnsi="Times New Roman" w:cs="Times New Roman"/>
                      <w:b w:val="0"/>
                      <w:bCs w:val="0"/>
                      <w:color w:val="auto"/>
                      <w:kern w:val="0"/>
                      <w:szCs w:val="21"/>
                      <w:highlight w:val="none"/>
                    </w:rPr>
                    <w:t>1#</w:t>
                  </w:r>
                  <w:r>
                    <w:rPr>
                      <w:rFonts w:hint="default" w:ascii="Times New Roman" w:hAnsi="Times New Roman" w:cs="Times New Roman"/>
                      <w:b w:val="0"/>
                      <w:bCs w:val="0"/>
                      <w:color w:val="auto"/>
                      <w:kern w:val="0"/>
                      <w:szCs w:val="21"/>
                      <w:highlight w:val="none"/>
                      <w:lang w:val="zh-TW"/>
                    </w:rPr>
                    <w:t>项目厂界外</w:t>
                  </w:r>
                  <w:r>
                    <w:rPr>
                      <w:rFonts w:hint="default" w:ascii="Times New Roman" w:hAnsi="Times New Roman" w:cs="Times New Roman"/>
                      <w:b w:val="0"/>
                      <w:bCs w:val="0"/>
                      <w:color w:val="auto"/>
                      <w:kern w:val="0"/>
                      <w:szCs w:val="21"/>
                      <w:highlight w:val="none"/>
                      <w:lang w:val="en-US" w:eastAsia="zh-CN"/>
                    </w:rPr>
                    <w:t>西南侧500m</w:t>
                  </w:r>
                </w:p>
              </w:tc>
              <w:tc>
                <w:tcPr>
                  <w:tcW w:w="1042" w:type="pct"/>
                  <w:vMerge w:val="restart"/>
                  <w:tcBorders>
                    <w:tl2br w:val="nil"/>
                    <w:tr2bl w:val="nil"/>
                  </w:tcBorders>
                  <w:vAlign w:val="center"/>
                </w:tcPr>
                <w:p w14:paraId="62AAC6D7">
                  <w:pPr>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108.680256</w:t>
                  </w:r>
                </w:p>
              </w:tc>
              <w:tc>
                <w:tcPr>
                  <w:tcW w:w="883" w:type="pct"/>
                  <w:vMerge w:val="restart"/>
                  <w:tcBorders>
                    <w:tl2br w:val="nil"/>
                    <w:tr2bl w:val="nil"/>
                  </w:tcBorders>
                  <w:vAlign w:val="center"/>
                </w:tcPr>
                <w:p w14:paraId="792DF994">
                  <w:pPr>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34.224397</w:t>
                  </w:r>
                </w:p>
              </w:tc>
              <w:tc>
                <w:tcPr>
                  <w:tcW w:w="1084" w:type="pct"/>
                  <w:tcBorders>
                    <w:tl2br w:val="nil"/>
                    <w:tr2bl w:val="nil"/>
                  </w:tcBorders>
                  <w:vAlign w:val="center"/>
                </w:tcPr>
                <w:p w14:paraId="050E9EAC">
                  <w:pPr>
                    <w:widowControl/>
                    <w:jc w:val="center"/>
                    <w:textAlignment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rPr>
                    <w:t>202</w:t>
                  </w:r>
                  <w:r>
                    <w:rPr>
                      <w:rFonts w:hint="default" w:ascii="Times New Roman" w:hAnsi="Times New Roman" w:cs="Times New Roman"/>
                      <w:b w:val="0"/>
                      <w:bCs w:val="0"/>
                      <w:color w:val="auto"/>
                      <w:szCs w:val="21"/>
                      <w:highlight w:val="none"/>
                      <w:lang w:val="en-US" w:eastAsia="zh-CN"/>
                    </w:rPr>
                    <w:t>6</w:t>
                  </w:r>
                  <w:r>
                    <w:rPr>
                      <w:rFonts w:hint="default" w:ascii="Times New Roman" w:hAnsi="Times New Roman" w:cs="Times New Roman"/>
                      <w:b w:val="0"/>
                      <w:bCs w:val="0"/>
                      <w:color w:val="auto"/>
                      <w:szCs w:val="21"/>
                      <w:highlight w:val="none"/>
                    </w:rPr>
                    <w:t>.</w:t>
                  </w:r>
                  <w:r>
                    <w:rPr>
                      <w:rFonts w:hint="default" w:ascii="Times New Roman" w:hAnsi="Times New Roman" w:cs="Times New Roman"/>
                      <w:b w:val="0"/>
                      <w:bCs w:val="0"/>
                      <w:color w:val="auto"/>
                      <w:szCs w:val="21"/>
                      <w:highlight w:val="none"/>
                      <w:lang w:val="en-US" w:eastAsia="zh-CN"/>
                    </w:rPr>
                    <w:t>7</w:t>
                  </w:r>
                  <w:r>
                    <w:rPr>
                      <w:rFonts w:hint="default" w:ascii="Times New Roman" w:hAnsi="Times New Roman" w:cs="Times New Roman"/>
                      <w:b w:val="0"/>
                      <w:bCs w:val="0"/>
                      <w:color w:val="auto"/>
                      <w:szCs w:val="21"/>
                      <w:highlight w:val="none"/>
                    </w:rPr>
                    <w:t>.2</w:t>
                  </w:r>
                  <w:r>
                    <w:rPr>
                      <w:rFonts w:hint="default" w:ascii="Times New Roman" w:hAnsi="Times New Roman" w:cs="Times New Roman"/>
                      <w:b w:val="0"/>
                      <w:bCs w:val="0"/>
                      <w:color w:val="auto"/>
                      <w:szCs w:val="21"/>
                      <w:highlight w:val="none"/>
                      <w:lang w:val="en-US" w:eastAsia="zh-CN"/>
                    </w:rPr>
                    <w:t>7</w:t>
                  </w:r>
                </w:p>
              </w:tc>
              <w:tc>
                <w:tcPr>
                  <w:tcW w:w="1121" w:type="pct"/>
                  <w:tcBorders>
                    <w:tl2br w:val="nil"/>
                    <w:tr2bl w:val="nil"/>
                  </w:tcBorders>
                  <w:vAlign w:val="center"/>
                </w:tcPr>
                <w:p w14:paraId="0A5A322E">
                  <w:pPr>
                    <w:widowControl/>
                    <w:jc w:val="center"/>
                    <w:textAlignment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0.062</w:t>
                  </w:r>
                </w:p>
              </w:tc>
            </w:tr>
            <w:tr w14:paraId="6EAF6A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pct"/>
                  <w:vMerge w:val="continue"/>
                  <w:tcBorders>
                    <w:tl2br w:val="nil"/>
                    <w:tr2bl w:val="nil"/>
                  </w:tcBorders>
                  <w:vAlign w:val="center"/>
                </w:tcPr>
                <w:p w14:paraId="223D924F">
                  <w:pPr>
                    <w:autoSpaceDE w:val="0"/>
                    <w:autoSpaceDN w:val="0"/>
                    <w:jc w:val="center"/>
                    <w:rPr>
                      <w:rFonts w:hint="default" w:ascii="Times New Roman" w:hAnsi="Times New Roman" w:cs="Times New Roman"/>
                      <w:color w:val="auto"/>
                      <w:kern w:val="0"/>
                      <w:szCs w:val="21"/>
                      <w:highlight w:val="none"/>
                    </w:rPr>
                  </w:pPr>
                </w:p>
              </w:tc>
              <w:tc>
                <w:tcPr>
                  <w:tcW w:w="1042" w:type="pct"/>
                  <w:vMerge w:val="continue"/>
                  <w:tcBorders>
                    <w:tl2br w:val="nil"/>
                    <w:tr2bl w:val="nil"/>
                  </w:tcBorders>
                  <w:vAlign w:val="center"/>
                </w:tcPr>
                <w:p w14:paraId="2791CE3B">
                  <w:pPr>
                    <w:jc w:val="center"/>
                    <w:rPr>
                      <w:rFonts w:hint="default" w:ascii="Times New Roman" w:hAnsi="Times New Roman" w:cs="Times New Roman"/>
                      <w:color w:val="auto"/>
                      <w:szCs w:val="21"/>
                      <w:highlight w:val="none"/>
                    </w:rPr>
                  </w:pPr>
                </w:p>
              </w:tc>
              <w:tc>
                <w:tcPr>
                  <w:tcW w:w="883" w:type="pct"/>
                  <w:vMerge w:val="continue"/>
                  <w:tcBorders>
                    <w:tl2br w:val="nil"/>
                    <w:tr2bl w:val="nil"/>
                  </w:tcBorders>
                  <w:vAlign w:val="center"/>
                </w:tcPr>
                <w:p w14:paraId="57483252">
                  <w:pPr>
                    <w:jc w:val="center"/>
                    <w:rPr>
                      <w:rFonts w:hint="default" w:ascii="Times New Roman" w:hAnsi="Times New Roman" w:cs="Times New Roman"/>
                      <w:color w:val="auto"/>
                      <w:szCs w:val="21"/>
                      <w:highlight w:val="none"/>
                    </w:rPr>
                  </w:pPr>
                </w:p>
              </w:tc>
              <w:tc>
                <w:tcPr>
                  <w:tcW w:w="1084" w:type="pct"/>
                  <w:tcBorders>
                    <w:tl2br w:val="nil"/>
                    <w:tr2bl w:val="nil"/>
                  </w:tcBorders>
                  <w:vAlign w:val="center"/>
                </w:tcPr>
                <w:p w14:paraId="670E603D">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202</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val="en-US" w:eastAsia="zh-CN"/>
                    </w:rPr>
                    <w:t>8</w:t>
                  </w:r>
                </w:p>
              </w:tc>
              <w:tc>
                <w:tcPr>
                  <w:tcW w:w="1121" w:type="pct"/>
                  <w:tcBorders>
                    <w:tl2br w:val="nil"/>
                    <w:tr2bl w:val="nil"/>
                  </w:tcBorders>
                  <w:vAlign w:val="center"/>
                </w:tcPr>
                <w:p w14:paraId="146CF6FD">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0.050</w:t>
                  </w:r>
                </w:p>
              </w:tc>
            </w:tr>
            <w:tr w14:paraId="2A1716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pct"/>
                  <w:vMerge w:val="continue"/>
                  <w:tcBorders>
                    <w:tl2br w:val="nil"/>
                    <w:tr2bl w:val="nil"/>
                  </w:tcBorders>
                  <w:vAlign w:val="center"/>
                </w:tcPr>
                <w:p w14:paraId="2FDD30E6">
                  <w:pPr>
                    <w:autoSpaceDE w:val="0"/>
                    <w:autoSpaceDN w:val="0"/>
                    <w:jc w:val="center"/>
                    <w:rPr>
                      <w:rFonts w:hint="default" w:ascii="Times New Roman" w:hAnsi="Times New Roman" w:cs="Times New Roman"/>
                      <w:color w:val="auto"/>
                      <w:kern w:val="0"/>
                      <w:szCs w:val="21"/>
                      <w:highlight w:val="none"/>
                    </w:rPr>
                  </w:pPr>
                </w:p>
              </w:tc>
              <w:tc>
                <w:tcPr>
                  <w:tcW w:w="1042" w:type="pct"/>
                  <w:vMerge w:val="continue"/>
                  <w:tcBorders>
                    <w:tl2br w:val="nil"/>
                    <w:tr2bl w:val="nil"/>
                  </w:tcBorders>
                  <w:vAlign w:val="center"/>
                </w:tcPr>
                <w:p w14:paraId="1CC66A22">
                  <w:pPr>
                    <w:jc w:val="center"/>
                    <w:rPr>
                      <w:rFonts w:hint="default" w:ascii="Times New Roman" w:hAnsi="Times New Roman" w:cs="Times New Roman"/>
                      <w:color w:val="auto"/>
                      <w:szCs w:val="21"/>
                      <w:highlight w:val="none"/>
                    </w:rPr>
                  </w:pPr>
                </w:p>
              </w:tc>
              <w:tc>
                <w:tcPr>
                  <w:tcW w:w="883" w:type="pct"/>
                  <w:vMerge w:val="continue"/>
                  <w:tcBorders>
                    <w:tl2br w:val="nil"/>
                    <w:tr2bl w:val="nil"/>
                  </w:tcBorders>
                  <w:vAlign w:val="center"/>
                </w:tcPr>
                <w:p w14:paraId="014C6207">
                  <w:pPr>
                    <w:jc w:val="center"/>
                    <w:rPr>
                      <w:rFonts w:hint="default" w:ascii="Times New Roman" w:hAnsi="Times New Roman" w:cs="Times New Roman"/>
                      <w:color w:val="auto"/>
                      <w:szCs w:val="21"/>
                      <w:highlight w:val="none"/>
                    </w:rPr>
                  </w:pPr>
                </w:p>
              </w:tc>
              <w:tc>
                <w:tcPr>
                  <w:tcW w:w="1084" w:type="pct"/>
                  <w:tcBorders>
                    <w:tl2br w:val="nil"/>
                    <w:tr2bl w:val="nil"/>
                  </w:tcBorders>
                  <w:vAlign w:val="center"/>
                </w:tcPr>
                <w:p w14:paraId="088A8B35">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202</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val="en-US" w:eastAsia="zh-CN"/>
                    </w:rPr>
                    <w:t>9</w:t>
                  </w:r>
                </w:p>
              </w:tc>
              <w:tc>
                <w:tcPr>
                  <w:tcW w:w="1121" w:type="pct"/>
                  <w:tcBorders>
                    <w:tl2br w:val="nil"/>
                    <w:tr2bl w:val="nil"/>
                  </w:tcBorders>
                  <w:vAlign w:val="center"/>
                </w:tcPr>
                <w:p w14:paraId="1AEDFFF2">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0.067</w:t>
                  </w:r>
                </w:p>
              </w:tc>
            </w:tr>
            <w:tr w14:paraId="5A0A2D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78" w:type="pct"/>
                  <w:gridSpan w:val="4"/>
                  <w:tcBorders>
                    <w:tl2br w:val="nil"/>
                    <w:tr2bl w:val="nil"/>
                  </w:tcBorders>
                  <w:vAlign w:val="center"/>
                </w:tcPr>
                <w:p w14:paraId="241FEEAC">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标准限值</w:t>
                  </w:r>
                </w:p>
              </w:tc>
              <w:tc>
                <w:tcPr>
                  <w:tcW w:w="1121" w:type="pct"/>
                  <w:tcBorders>
                    <w:tl2br w:val="nil"/>
                    <w:tr2bl w:val="nil"/>
                  </w:tcBorders>
                  <w:vAlign w:val="center"/>
                </w:tcPr>
                <w:p w14:paraId="7819E6A9">
                  <w:pPr>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0.3</w:t>
                  </w:r>
                </w:p>
              </w:tc>
            </w:tr>
            <w:tr w14:paraId="46067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78" w:type="pct"/>
                  <w:gridSpan w:val="4"/>
                  <w:tcBorders>
                    <w:tl2br w:val="nil"/>
                    <w:tr2bl w:val="nil"/>
                  </w:tcBorders>
                  <w:vAlign w:val="center"/>
                </w:tcPr>
                <w:p w14:paraId="242957F7">
                  <w:pPr>
                    <w:autoSpaceDE w:val="0"/>
                    <w:autoSpaceDN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最大浓度占标率%</w:t>
                  </w:r>
                </w:p>
              </w:tc>
              <w:tc>
                <w:tcPr>
                  <w:tcW w:w="1121" w:type="pct"/>
                  <w:tcBorders>
                    <w:tl2br w:val="nil"/>
                    <w:tr2bl w:val="nil"/>
                  </w:tcBorders>
                  <w:vAlign w:val="center"/>
                </w:tcPr>
                <w:p w14:paraId="6C639A0A">
                  <w:pPr>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22.33</w:t>
                  </w:r>
                </w:p>
              </w:tc>
            </w:tr>
            <w:tr w14:paraId="26427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78" w:type="pct"/>
                  <w:gridSpan w:val="4"/>
                  <w:tcBorders>
                    <w:tl2br w:val="nil"/>
                    <w:tr2bl w:val="nil"/>
                  </w:tcBorders>
                  <w:vAlign w:val="center"/>
                </w:tcPr>
                <w:p w14:paraId="075657BB">
                  <w:pPr>
                    <w:autoSpaceDE w:val="0"/>
                    <w:autoSpaceDN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超标率%</w:t>
                  </w:r>
                </w:p>
              </w:tc>
              <w:tc>
                <w:tcPr>
                  <w:tcW w:w="1121" w:type="pct"/>
                  <w:tcBorders>
                    <w:tl2br w:val="nil"/>
                    <w:tr2bl w:val="nil"/>
                  </w:tcBorders>
                  <w:vAlign w:val="center"/>
                </w:tcPr>
                <w:p w14:paraId="3DC4ED3F">
                  <w:pPr>
                    <w:autoSpaceDE w:val="0"/>
                    <w:autoSpaceDN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88A6A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78" w:type="pct"/>
                  <w:gridSpan w:val="4"/>
                  <w:tcBorders>
                    <w:tl2br w:val="nil"/>
                    <w:tr2bl w:val="nil"/>
                  </w:tcBorders>
                  <w:vAlign w:val="center"/>
                </w:tcPr>
                <w:p w14:paraId="2F86B387">
                  <w:pPr>
                    <w:autoSpaceDE w:val="0"/>
                    <w:autoSpaceDN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是否达标</w:t>
                  </w:r>
                </w:p>
              </w:tc>
              <w:tc>
                <w:tcPr>
                  <w:tcW w:w="1121" w:type="pct"/>
                  <w:tcBorders>
                    <w:tl2br w:val="nil"/>
                    <w:tr2bl w:val="nil"/>
                  </w:tcBorders>
                  <w:vAlign w:val="center"/>
                </w:tcPr>
                <w:p w14:paraId="41AEE278">
                  <w:pPr>
                    <w:autoSpaceDE w:val="0"/>
                    <w:autoSpaceDN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达标</w:t>
                  </w:r>
                </w:p>
              </w:tc>
            </w:tr>
          </w:tbl>
          <w:p w14:paraId="78A5C68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bCs/>
                <w:color w:val="auto"/>
                <w:sz w:val="24"/>
                <w:highlight w:val="none"/>
              </w:rPr>
              <w:t>监测结果表明：项目区域环境空气中TSP 24h平均值满足《环境空气质量标准》（GB3095-20</w:t>
            </w:r>
            <w:r>
              <w:rPr>
                <w:rFonts w:hint="default" w:ascii="Times New Roman" w:hAnsi="Times New Roman" w:cs="Times New Roman"/>
                <w:bCs/>
                <w:color w:val="auto"/>
                <w:sz w:val="24"/>
                <w:highlight w:val="none"/>
                <w:lang w:val="en-US" w:eastAsia="zh-CN"/>
              </w:rPr>
              <w:t>26</w:t>
            </w:r>
            <w:r>
              <w:rPr>
                <w:rFonts w:hint="default" w:ascii="Times New Roman" w:hAnsi="Times New Roman" w:cs="Times New Roman"/>
                <w:bCs/>
                <w:color w:val="auto"/>
                <w:sz w:val="24"/>
                <w:highlight w:val="none"/>
              </w:rPr>
              <w:t>）二级标准</w:t>
            </w:r>
            <w:r>
              <w:rPr>
                <w:rFonts w:hint="default" w:ascii="Times New Roman" w:hAnsi="Times New Roman" w:cs="Times New Roman"/>
                <w:color w:val="auto"/>
                <w:sz w:val="24"/>
                <w:highlight w:val="none"/>
              </w:rPr>
              <w:t>（0.3mg/m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14:paraId="7CBA63A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声环境</w:t>
            </w:r>
          </w:p>
          <w:p w14:paraId="7C656EA1">
            <w:pPr>
              <w:spacing w:line="360" w:lineRule="auto"/>
              <w:ind w:firstLine="480" w:firstLineChars="200"/>
              <w:textAlignment w:val="baseline"/>
              <w:rPr>
                <w:rFonts w:hint="default" w:ascii="Times New Roman" w:hAnsi="Times New Roman" w:cs="Times New Roman"/>
                <w:color w:val="auto"/>
                <w:sz w:val="24"/>
                <w:highlight w:val="none"/>
              </w:rPr>
            </w:pPr>
            <w:bookmarkStart w:id="2" w:name="_Toc28371"/>
            <w:bookmarkStart w:id="3" w:name="_Toc10028"/>
            <w:r>
              <w:rPr>
                <w:rFonts w:hint="default" w:ascii="Times New Roman" w:hAnsi="Times New Roman" w:cs="Times New Roman"/>
                <w:color w:val="auto"/>
                <w:sz w:val="24"/>
                <w:highlight w:val="none"/>
                <w:lang w:val="en-US" w:eastAsia="zh-CN"/>
              </w:rPr>
              <w:t>陕西国环质检技术服务有限公司</w:t>
            </w:r>
            <w:r>
              <w:rPr>
                <w:rFonts w:hint="default" w:ascii="Times New Roman" w:hAnsi="Times New Roman" w:cs="Times New Roman"/>
                <w:color w:val="auto"/>
                <w:sz w:val="24"/>
                <w:highlight w:val="none"/>
              </w:rPr>
              <w:t>于202</w:t>
            </w: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28</w:t>
            </w:r>
            <w:r>
              <w:rPr>
                <w:rFonts w:hint="default" w:ascii="Times New Roman" w:hAnsi="Times New Roman" w:cs="Times New Roman"/>
                <w:color w:val="auto"/>
                <w:sz w:val="24"/>
                <w:highlight w:val="none"/>
              </w:rPr>
              <w:t>日~202</w:t>
            </w: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29</w:t>
            </w:r>
            <w:r>
              <w:rPr>
                <w:rFonts w:hint="default" w:ascii="Times New Roman" w:hAnsi="Times New Roman" w:cs="Times New Roman"/>
                <w:color w:val="auto"/>
                <w:sz w:val="24"/>
                <w:highlight w:val="none"/>
              </w:rPr>
              <w:t>日对评价项目厂界周边敏感点声环境现状进行了现场监测，当日无雨、无雷电、风速在5m/s以下，监测结果见表3-4。</w:t>
            </w:r>
          </w:p>
          <w:bookmarkEnd w:id="2"/>
          <w:bookmarkEnd w:id="3"/>
          <w:p w14:paraId="6E3E1FDC">
            <w:pPr>
              <w:tabs>
                <w:tab w:val="left" w:pos="1294"/>
              </w:tabs>
              <w:spacing w:line="240" w:lineRule="atLeast"/>
              <w:jc w:val="center"/>
              <w:rPr>
                <w:rFonts w:hint="default" w:ascii="Times New Roman" w:hAnsi="Times New Roman" w:cs="Times New Roman"/>
                <w:b/>
                <w:color w:val="auto"/>
                <w:szCs w:val="21"/>
                <w:highlight w:val="none"/>
              </w:rPr>
            </w:pPr>
            <w:bookmarkStart w:id="4" w:name="_Toc15403"/>
            <w:bookmarkStart w:id="5" w:name="_Toc8837"/>
            <w:bookmarkStart w:id="6" w:name="_Toc13367"/>
            <w:r>
              <w:rPr>
                <w:rFonts w:hint="default" w:ascii="Times New Roman" w:hAnsi="Times New Roman" w:cs="Times New Roman"/>
                <w:b/>
                <w:color w:val="auto"/>
                <w:szCs w:val="21"/>
                <w:highlight w:val="none"/>
              </w:rPr>
              <w:t>表3-4   噪声监测结果   单位：dB（A）</w:t>
            </w:r>
          </w:p>
          <w:tbl>
            <w:tblPr>
              <w:tblStyle w:val="28"/>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980"/>
              <w:gridCol w:w="1478"/>
              <w:gridCol w:w="1470"/>
              <w:gridCol w:w="1200"/>
              <w:gridCol w:w="1200"/>
              <w:gridCol w:w="1205"/>
            </w:tblGrid>
            <w:tr w14:paraId="2F2562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60" w:type="pct"/>
                  <w:vMerge w:val="restart"/>
                  <w:tcBorders>
                    <w:tl2br w:val="nil"/>
                    <w:tr2bl w:val="nil"/>
                  </w:tcBorders>
                  <w:vAlign w:val="center"/>
                </w:tcPr>
                <w:p w14:paraId="674CC949">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监测点位</w:t>
                  </w:r>
                </w:p>
              </w:tc>
              <w:tc>
                <w:tcPr>
                  <w:tcW w:w="1727" w:type="pct"/>
                  <w:gridSpan w:val="2"/>
                  <w:tcBorders>
                    <w:tl2br w:val="nil"/>
                    <w:tr2bl w:val="nil"/>
                  </w:tcBorders>
                  <w:vAlign w:val="center"/>
                </w:tcPr>
                <w:p w14:paraId="1E9FC2E5">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rPr>
                    <w:t>202</w:t>
                  </w:r>
                  <w:r>
                    <w:rPr>
                      <w:rFonts w:hint="default" w:ascii="Times New Roman" w:hAnsi="Times New Roman" w:cs="Times New Roman"/>
                      <w:b w:val="0"/>
                      <w:bCs w:val="0"/>
                      <w:color w:val="auto"/>
                      <w:szCs w:val="21"/>
                      <w:highlight w:val="none"/>
                      <w:lang w:val="en-US" w:eastAsia="zh-CN"/>
                    </w:rPr>
                    <w:t>6</w:t>
                  </w:r>
                  <w:r>
                    <w:rPr>
                      <w:rFonts w:hint="default" w:ascii="Times New Roman" w:hAnsi="Times New Roman" w:cs="Times New Roman"/>
                      <w:b w:val="0"/>
                      <w:bCs w:val="0"/>
                      <w:color w:val="auto"/>
                      <w:szCs w:val="21"/>
                      <w:highlight w:val="none"/>
                    </w:rPr>
                    <w:t>.</w:t>
                  </w:r>
                  <w:r>
                    <w:rPr>
                      <w:rFonts w:hint="default" w:ascii="Times New Roman" w:hAnsi="Times New Roman" w:cs="Times New Roman"/>
                      <w:b w:val="0"/>
                      <w:bCs w:val="0"/>
                      <w:color w:val="auto"/>
                      <w:szCs w:val="21"/>
                      <w:highlight w:val="none"/>
                      <w:lang w:val="en-US" w:eastAsia="zh-CN"/>
                    </w:rPr>
                    <w:t>7</w:t>
                  </w:r>
                  <w:r>
                    <w:rPr>
                      <w:rFonts w:hint="default" w:ascii="Times New Roman" w:hAnsi="Times New Roman" w:cs="Times New Roman"/>
                      <w:b w:val="0"/>
                      <w:bCs w:val="0"/>
                      <w:color w:val="auto"/>
                      <w:szCs w:val="21"/>
                      <w:highlight w:val="none"/>
                    </w:rPr>
                    <w:t>.2</w:t>
                  </w:r>
                  <w:r>
                    <w:rPr>
                      <w:rFonts w:hint="default" w:ascii="Times New Roman" w:hAnsi="Times New Roman" w:cs="Times New Roman"/>
                      <w:b w:val="0"/>
                      <w:bCs w:val="0"/>
                      <w:color w:val="auto"/>
                      <w:szCs w:val="21"/>
                      <w:highlight w:val="none"/>
                      <w:lang w:val="en-US" w:eastAsia="zh-CN"/>
                    </w:rPr>
                    <w:t>8</w:t>
                  </w:r>
                </w:p>
              </w:tc>
              <w:tc>
                <w:tcPr>
                  <w:tcW w:w="1406" w:type="pct"/>
                  <w:gridSpan w:val="2"/>
                  <w:tcBorders>
                    <w:tl2br w:val="nil"/>
                    <w:tr2bl w:val="nil"/>
                  </w:tcBorders>
                  <w:vAlign w:val="center"/>
                </w:tcPr>
                <w:p w14:paraId="2C06BC0C">
                  <w:pPr>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rPr>
                    <w:t>202</w:t>
                  </w:r>
                  <w:r>
                    <w:rPr>
                      <w:rFonts w:hint="default" w:ascii="Times New Roman" w:hAnsi="Times New Roman" w:cs="Times New Roman"/>
                      <w:b w:val="0"/>
                      <w:bCs w:val="0"/>
                      <w:color w:val="auto"/>
                      <w:szCs w:val="21"/>
                      <w:highlight w:val="none"/>
                      <w:lang w:val="en-US" w:eastAsia="zh-CN"/>
                    </w:rPr>
                    <w:t>6</w:t>
                  </w:r>
                  <w:r>
                    <w:rPr>
                      <w:rFonts w:hint="default" w:ascii="Times New Roman" w:hAnsi="Times New Roman" w:cs="Times New Roman"/>
                      <w:b w:val="0"/>
                      <w:bCs w:val="0"/>
                      <w:color w:val="auto"/>
                      <w:szCs w:val="21"/>
                      <w:highlight w:val="none"/>
                    </w:rPr>
                    <w:t>.</w:t>
                  </w:r>
                  <w:r>
                    <w:rPr>
                      <w:rFonts w:hint="default" w:ascii="Times New Roman" w:hAnsi="Times New Roman" w:cs="Times New Roman"/>
                      <w:b w:val="0"/>
                      <w:bCs w:val="0"/>
                      <w:color w:val="auto"/>
                      <w:szCs w:val="21"/>
                      <w:highlight w:val="none"/>
                      <w:lang w:val="en-US" w:eastAsia="zh-CN"/>
                    </w:rPr>
                    <w:t>7</w:t>
                  </w:r>
                  <w:r>
                    <w:rPr>
                      <w:rFonts w:hint="default" w:ascii="Times New Roman" w:hAnsi="Times New Roman" w:cs="Times New Roman"/>
                      <w:b w:val="0"/>
                      <w:bCs w:val="0"/>
                      <w:color w:val="auto"/>
                      <w:szCs w:val="21"/>
                      <w:highlight w:val="none"/>
                    </w:rPr>
                    <w:t>.2</w:t>
                  </w:r>
                  <w:r>
                    <w:rPr>
                      <w:rFonts w:hint="default" w:ascii="Times New Roman" w:hAnsi="Times New Roman" w:cs="Times New Roman"/>
                      <w:b w:val="0"/>
                      <w:bCs w:val="0"/>
                      <w:color w:val="auto"/>
                      <w:szCs w:val="21"/>
                      <w:highlight w:val="none"/>
                      <w:lang w:val="en-US" w:eastAsia="zh-CN"/>
                    </w:rPr>
                    <w:t>9</w:t>
                  </w:r>
                </w:p>
              </w:tc>
              <w:tc>
                <w:tcPr>
                  <w:tcW w:w="705" w:type="pct"/>
                  <w:vMerge w:val="restart"/>
                  <w:tcBorders>
                    <w:tl2br w:val="nil"/>
                    <w:tr2bl w:val="nil"/>
                  </w:tcBorders>
                  <w:vAlign w:val="center"/>
                </w:tcPr>
                <w:p w14:paraId="1DDC39AC">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达标</w:t>
                  </w:r>
                </w:p>
                <w:p w14:paraId="0386E4C6">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情况</w:t>
                  </w:r>
                </w:p>
              </w:tc>
            </w:tr>
            <w:tr w14:paraId="4876A7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60" w:type="pct"/>
                  <w:vMerge w:val="continue"/>
                  <w:tcBorders>
                    <w:tl2br w:val="nil"/>
                    <w:tr2bl w:val="nil"/>
                  </w:tcBorders>
                  <w:vAlign w:val="center"/>
                </w:tcPr>
                <w:p w14:paraId="0486CA45">
                  <w:pPr>
                    <w:adjustRightInd w:val="0"/>
                    <w:snapToGrid w:val="0"/>
                    <w:jc w:val="center"/>
                    <w:rPr>
                      <w:rFonts w:hint="default" w:ascii="Times New Roman" w:hAnsi="Times New Roman" w:cs="Times New Roman"/>
                      <w:b w:val="0"/>
                      <w:bCs w:val="0"/>
                      <w:color w:val="auto"/>
                      <w:szCs w:val="21"/>
                      <w:highlight w:val="none"/>
                    </w:rPr>
                  </w:pPr>
                </w:p>
              </w:tc>
              <w:tc>
                <w:tcPr>
                  <w:tcW w:w="866" w:type="pct"/>
                  <w:tcBorders>
                    <w:tl2br w:val="nil"/>
                    <w:tr2bl w:val="nil"/>
                  </w:tcBorders>
                  <w:vAlign w:val="center"/>
                </w:tcPr>
                <w:p w14:paraId="66937D66">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昼间</w:t>
                  </w:r>
                </w:p>
              </w:tc>
              <w:tc>
                <w:tcPr>
                  <w:tcW w:w="861" w:type="pct"/>
                  <w:tcBorders>
                    <w:tl2br w:val="nil"/>
                    <w:tr2bl w:val="nil"/>
                  </w:tcBorders>
                  <w:vAlign w:val="center"/>
                </w:tcPr>
                <w:p w14:paraId="3736BF94">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夜间</w:t>
                  </w:r>
                </w:p>
              </w:tc>
              <w:tc>
                <w:tcPr>
                  <w:tcW w:w="703" w:type="pct"/>
                  <w:tcBorders>
                    <w:tl2br w:val="nil"/>
                    <w:tr2bl w:val="nil"/>
                  </w:tcBorders>
                  <w:vAlign w:val="center"/>
                </w:tcPr>
                <w:p w14:paraId="2AFF29B3">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昼间</w:t>
                  </w:r>
                </w:p>
              </w:tc>
              <w:tc>
                <w:tcPr>
                  <w:tcW w:w="703" w:type="pct"/>
                  <w:tcBorders>
                    <w:tl2br w:val="nil"/>
                    <w:tr2bl w:val="nil"/>
                  </w:tcBorders>
                  <w:vAlign w:val="center"/>
                </w:tcPr>
                <w:p w14:paraId="3F7B5054">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夜间</w:t>
                  </w:r>
                </w:p>
              </w:tc>
              <w:tc>
                <w:tcPr>
                  <w:tcW w:w="705" w:type="pct"/>
                  <w:vMerge w:val="continue"/>
                  <w:tcBorders>
                    <w:tl2br w:val="nil"/>
                    <w:tr2bl w:val="nil"/>
                  </w:tcBorders>
                  <w:vAlign w:val="center"/>
                </w:tcPr>
                <w:p w14:paraId="2EBAA7CE">
                  <w:pPr>
                    <w:adjustRightInd w:val="0"/>
                    <w:snapToGrid w:val="0"/>
                    <w:jc w:val="center"/>
                    <w:rPr>
                      <w:rFonts w:hint="default" w:ascii="Times New Roman" w:hAnsi="Times New Roman" w:cs="Times New Roman"/>
                      <w:b w:val="0"/>
                      <w:bCs w:val="0"/>
                      <w:color w:val="auto"/>
                      <w:szCs w:val="21"/>
                      <w:highlight w:val="none"/>
                    </w:rPr>
                  </w:pPr>
                </w:p>
              </w:tc>
            </w:tr>
            <w:tr w14:paraId="019D1B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60" w:type="pct"/>
                  <w:tcBorders>
                    <w:tl2br w:val="nil"/>
                    <w:tr2bl w:val="nil"/>
                  </w:tcBorders>
                  <w:vAlign w:val="center"/>
                </w:tcPr>
                <w:p w14:paraId="2D83C44B">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lang w:val="en-US" w:eastAsia="zh-CN"/>
                    </w:rPr>
                    <w:t>联庄村住宅外</w:t>
                  </w:r>
                  <w:r>
                    <w:rPr>
                      <w:rFonts w:hint="default" w:ascii="Times New Roman" w:hAnsi="Times New Roman" w:cs="Times New Roman"/>
                      <w:b w:val="0"/>
                      <w:bCs w:val="0"/>
                      <w:color w:val="auto"/>
                      <w:szCs w:val="21"/>
                      <w:highlight w:val="none"/>
                    </w:rPr>
                    <w:t>（N1）</w:t>
                  </w:r>
                </w:p>
              </w:tc>
              <w:tc>
                <w:tcPr>
                  <w:tcW w:w="866" w:type="pct"/>
                  <w:tcBorders>
                    <w:tl2br w:val="nil"/>
                    <w:tr2bl w:val="nil"/>
                  </w:tcBorders>
                  <w:vAlign w:val="center"/>
                </w:tcPr>
                <w:p w14:paraId="2A9C1DF6">
                  <w:pPr>
                    <w:widowControl/>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58</w:t>
                  </w:r>
                </w:p>
              </w:tc>
              <w:tc>
                <w:tcPr>
                  <w:tcW w:w="861" w:type="pct"/>
                  <w:tcBorders>
                    <w:tl2br w:val="nil"/>
                    <w:tr2bl w:val="nil"/>
                  </w:tcBorders>
                  <w:vAlign w:val="center"/>
                </w:tcPr>
                <w:p w14:paraId="06651E9C">
                  <w:pPr>
                    <w:widowControl/>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w:t>
                  </w:r>
                </w:p>
              </w:tc>
              <w:tc>
                <w:tcPr>
                  <w:tcW w:w="703" w:type="pct"/>
                  <w:tcBorders>
                    <w:tl2br w:val="nil"/>
                    <w:tr2bl w:val="nil"/>
                  </w:tcBorders>
                  <w:vAlign w:val="center"/>
                </w:tcPr>
                <w:p w14:paraId="38A094E6">
                  <w:pPr>
                    <w:widowControl/>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lang w:val="en-US" w:eastAsia="zh-CN"/>
                    </w:rPr>
                    <w:t>57</w:t>
                  </w:r>
                </w:p>
              </w:tc>
              <w:tc>
                <w:tcPr>
                  <w:tcW w:w="703" w:type="pct"/>
                  <w:tcBorders>
                    <w:tl2br w:val="nil"/>
                    <w:tr2bl w:val="nil"/>
                  </w:tcBorders>
                  <w:vAlign w:val="center"/>
                </w:tcPr>
                <w:p w14:paraId="70C2CB1E">
                  <w:pPr>
                    <w:widowControl/>
                    <w:adjustRightInd w:val="0"/>
                    <w:snapToGrid w:val="0"/>
                    <w:jc w:val="center"/>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w:t>
                  </w:r>
                </w:p>
              </w:tc>
              <w:tc>
                <w:tcPr>
                  <w:tcW w:w="705" w:type="pct"/>
                  <w:tcBorders>
                    <w:tl2br w:val="nil"/>
                    <w:tr2bl w:val="nil"/>
                  </w:tcBorders>
                  <w:vAlign w:val="center"/>
                </w:tcPr>
                <w:p w14:paraId="53D3AC68">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达标</w:t>
                  </w:r>
                </w:p>
              </w:tc>
            </w:tr>
            <w:tr w14:paraId="1D9A84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1160" w:type="pct"/>
                  <w:tcBorders>
                    <w:tl2br w:val="nil"/>
                    <w:tr2bl w:val="nil"/>
                  </w:tcBorders>
                  <w:vAlign w:val="center"/>
                </w:tcPr>
                <w:p w14:paraId="0133192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3839" w:type="pct"/>
                  <w:gridSpan w:val="5"/>
                  <w:tcBorders>
                    <w:tl2br w:val="nil"/>
                    <w:tr2bl w:val="nil"/>
                  </w:tcBorders>
                  <w:vAlign w:val="center"/>
                </w:tcPr>
                <w:p w14:paraId="1E8988D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昼间：6</w:t>
                  </w: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dB(A)   夜间：5</w:t>
                  </w: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dB(A)</w:t>
                  </w:r>
                </w:p>
              </w:tc>
            </w:tr>
          </w:tbl>
          <w:p w14:paraId="4EED4E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备注：监测时段内本项目场地为空地，无本项目声源；监测点位周边存在外部在建工地施工作业，无法避开施工活动时段，监测结果受周边工地施工噪声贡献影响，监测结果接近标准限值。本次监测结果为区域综合环境噪声本底值，包含周边在建工地噪声，不能代表排除外部施工干扰后的背景噪声水平。</w:t>
            </w:r>
          </w:p>
          <w:p w14:paraId="7F710F2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由上表监测数据可知，项目厂界噪声监测值昼间达到《声环境质量标准》（GB3096-2008）</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类标准要求。</w:t>
            </w:r>
            <w:bookmarkEnd w:id="4"/>
            <w:bookmarkEnd w:id="5"/>
            <w:bookmarkEnd w:id="6"/>
          </w:p>
          <w:p w14:paraId="5DA50E3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地下水、土壤</w:t>
            </w:r>
          </w:p>
          <w:p w14:paraId="14619D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根据《建设项目环境影响报告表编制技术指南(污染影响类)》试行)中区域环境质量现状监测要求，</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6.地下水、土壤环境原则上不开展环境质量现状调查</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建设项目存在土壤、地下水环境污染途径的，应结合污染源、保护目标分布情况开展现状调查以留作背景值。</w:t>
            </w:r>
            <w:r>
              <w:rPr>
                <w:rFonts w:hint="default" w:ascii="Times New Roman" w:hAnsi="Times New Roman" w:cs="Times New Roman"/>
                <w:color w:val="auto"/>
                <w:sz w:val="24"/>
                <w:highlight w:val="none"/>
                <w:lang w:val="en-US" w:eastAsia="zh-CN"/>
              </w:rPr>
              <w:t>”</w:t>
            </w:r>
          </w:p>
          <w:p w14:paraId="2D7DE45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本项目主要为</w:t>
            </w:r>
            <w:r>
              <w:rPr>
                <w:rFonts w:hint="default" w:ascii="Times New Roman" w:hAnsi="Times New Roman" w:cs="Times New Roman"/>
                <w:color w:val="auto"/>
                <w:sz w:val="24"/>
                <w:highlight w:val="none"/>
                <w:lang w:val="en-US" w:eastAsia="zh-CN"/>
              </w:rPr>
              <w:t>高压电源组装</w:t>
            </w:r>
            <w:r>
              <w:rPr>
                <w:rFonts w:hint="default" w:ascii="Times New Roman" w:hAnsi="Times New Roman" w:eastAsia="宋体" w:cs="Times New Roman"/>
                <w:color w:val="auto"/>
                <w:sz w:val="24"/>
                <w:highlight w:val="none"/>
                <w:lang w:val="en-US" w:eastAsia="zh-CN"/>
              </w:rPr>
              <w:t>制造，项目</w:t>
            </w:r>
            <w:r>
              <w:rPr>
                <w:rFonts w:hint="default" w:ascii="Times New Roman" w:hAnsi="Times New Roman" w:cs="Times New Roman"/>
                <w:color w:val="auto"/>
                <w:sz w:val="24"/>
                <w:highlight w:val="none"/>
                <w:lang w:val="en-US" w:eastAsia="zh-CN"/>
              </w:rPr>
              <w:t>在沣西新城创新港G板块咸户路以东、创智路以北、CXG东南二路以西地块上新建厂区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highlight w:val="none"/>
                <w:lang w:val="en-US" w:eastAsia="zh-CN"/>
              </w:rPr>
              <w:t>车间统一采用基础防渗+环氧地坪漆防渗措施，</w:t>
            </w:r>
            <w:r>
              <w:rPr>
                <w:rFonts w:hint="default" w:ascii="Times New Roman" w:hAnsi="Times New Roman" w:cs="Times New Roman"/>
                <w:color w:val="auto"/>
                <w:sz w:val="24"/>
                <w:highlight w:val="none"/>
                <w:lang w:val="en-US" w:eastAsia="zh-CN"/>
              </w:rPr>
              <w:t>厂区道路地面均采取硬化措施，</w:t>
            </w:r>
            <w:r>
              <w:rPr>
                <w:rFonts w:hint="default" w:ascii="Times New Roman" w:hAnsi="Times New Roman" w:eastAsia="宋体" w:cs="Times New Roman"/>
                <w:color w:val="auto"/>
                <w:sz w:val="24"/>
                <w:highlight w:val="none"/>
                <w:lang w:val="en-US" w:eastAsia="zh-CN"/>
              </w:rPr>
              <w:t>不存在地下水、土壤污染途径，</w:t>
            </w:r>
            <w:r>
              <w:rPr>
                <w:rFonts w:hint="default" w:ascii="Times New Roman" w:hAnsi="Times New Roman" w:eastAsia="宋体" w:cs="Times New Roman"/>
                <w:b w:val="0"/>
                <w:bCs w:val="0"/>
                <w:color w:val="auto"/>
                <w:sz w:val="24"/>
                <w:highlight w:val="none"/>
                <w:lang w:val="en-US" w:eastAsia="zh-CN"/>
              </w:rPr>
              <w:t>因此不开展</w:t>
            </w:r>
            <w:r>
              <w:rPr>
                <w:rFonts w:hint="default" w:ascii="Times New Roman" w:hAnsi="Times New Roman" w:eastAsia="宋体" w:cs="Times New Roman"/>
                <w:color w:val="auto"/>
                <w:sz w:val="24"/>
                <w:highlight w:val="none"/>
                <w:lang w:val="en-US" w:eastAsia="zh-CN"/>
              </w:rPr>
              <w:t>地下水、土壤现状调查</w:t>
            </w:r>
            <w:r>
              <w:rPr>
                <w:rFonts w:hint="default" w:ascii="Times New Roman" w:hAnsi="Times New Roman" w:cs="Times New Roman"/>
                <w:color w:val="auto"/>
                <w:sz w:val="24"/>
                <w:highlight w:val="none"/>
                <w:lang w:val="en-US" w:eastAsia="zh-CN"/>
              </w:rPr>
              <w:t>。</w:t>
            </w:r>
          </w:p>
        </w:tc>
      </w:tr>
      <w:tr w14:paraId="3C1F9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1" w:hRule="atLeast"/>
          <w:jc w:val="center"/>
        </w:trPr>
        <w:tc>
          <w:tcPr>
            <w:tcW w:w="270" w:type="pct"/>
            <w:noWrap w:val="0"/>
            <w:vAlign w:val="center"/>
          </w:tcPr>
          <w:p w14:paraId="6B187CDC">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环境</w:t>
            </w:r>
          </w:p>
          <w:p w14:paraId="0463442F">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保护</w:t>
            </w:r>
          </w:p>
          <w:p w14:paraId="1408D818">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目标</w:t>
            </w:r>
          </w:p>
        </w:tc>
        <w:tc>
          <w:tcPr>
            <w:tcW w:w="4729" w:type="pct"/>
            <w:noWrap w:val="0"/>
            <w:vAlign w:val="center"/>
          </w:tcPr>
          <w:p w14:paraId="27219E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涉及的环境保护目标主要为大气环境保护目标及声环境保护目标。根据《建设项目环境影响报告表编制技术指南（污染影响类）》（试行），大气环境保护目标为厂界外500米范围内的自然保护区、风景名胜区、居住区、文化区和农村地区中人群较集中的区域，声环境保护目标为厂界外50 米范围内声环境保护目标，具体环境保护目标见下表，环境保护目标与本项目的位置关系见附图</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w:t>
            </w:r>
          </w:p>
          <w:p w14:paraId="557AB187">
            <w:pPr>
              <w:pStyle w:val="3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表3-5   主要环境保护目标</w:t>
            </w:r>
          </w:p>
          <w:tbl>
            <w:tblPr>
              <w:tblStyle w:val="2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173"/>
              <w:gridCol w:w="1815"/>
              <w:gridCol w:w="1685"/>
              <w:gridCol w:w="676"/>
              <w:gridCol w:w="1077"/>
              <w:gridCol w:w="1021"/>
              <w:gridCol w:w="543"/>
            </w:tblGrid>
            <w:tr w14:paraId="7CFAEB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18" w:type="pct"/>
                  <w:vMerge w:val="restart"/>
                  <w:tcBorders>
                    <w:tl2br w:val="nil"/>
                    <w:tr2bl w:val="nil"/>
                  </w:tcBorders>
                  <w:vAlign w:val="center"/>
                </w:tcPr>
                <w:p w14:paraId="412C8D1C">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环境要素</w:t>
                  </w:r>
                </w:p>
              </w:tc>
              <w:tc>
                <w:tcPr>
                  <w:tcW w:w="687" w:type="pct"/>
                  <w:vMerge w:val="restart"/>
                  <w:tcBorders>
                    <w:tl2br w:val="nil"/>
                    <w:tr2bl w:val="nil"/>
                  </w:tcBorders>
                  <w:vAlign w:val="center"/>
                </w:tcPr>
                <w:p w14:paraId="3BD1A082">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保护对象名称</w:t>
                  </w:r>
                </w:p>
              </w:tc>
              <w:tc>
                <w:tcPr>
                  <w:tcW w:w="2050" w:type="pct"/>
                  <w:gridSpan w:val="2"/>
                  <w:tcBorders>
                    <w:tl2br w:val="nil"/>
                    <w:tr2bl w:val="nil"/>
                  </w:tcBorders>
                  <w:vAlign w:val="center"/>
                </w:tcPr>
                <w:p w14:paraId="0E5E9892">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坐标</w:t>
                  </w:r>
                </w:p>
              </w:tc>
              <w:tc>
                <w:tcPr>
                  <w:tcW w:w="396" w:type="pct"/>
                  <w:vMerge w:val="restart"/>
                  <w:tcBorders>
                    <w:tl2br w:val="nil"/>
                    <w:tr2bl w:val="nil"/>
                  </w:tcBorders>
                  <w:vAlign w:val="center"/>
                </w:tcPr>
                <w:p w14:paraId="654F3967">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相对方位</w:t>
                  </w:r>
                </w:p>
              </w:tc>
              <w:tc>
                <w:tcPr>
                  <w:tcW w:w="631" w:type="pct"/>
                  <w:vMerge w:val="restart"/>
                  <w:tcBorders>
                    <w:tl2br w:val="nil"/>
                    <w:tr2bl w:val="nil"/>
                  </w:tcBorders>
                  <w:vAlign w:val="center"/>
                </w:tcPr>
                <w:p w14:paraId="045C6F6B">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保护</w:t>
                  </w:r>
                  <w:r>
                    <w:rPr>
                      <w:rFonts w:hint="default" w:ascii="Times New Roman" w:hAnsi="Times New Roman" w:cs="Times New Roman"/>
                      <w:color w:val="auto"/>
                      <w:highlight w:val="none"/>
                      <w:lang w:val="en-US" w:eastAsia="zh-CN"/>
                    </w:rPr>
                    <w:t>内容</w:t>
                  </w:r>
                </w:p>
              </w:tc>
              <w:tc>
                <w:tcPr>
                  <w:tcW w:w="598" w:type="pct"/>
                  <w:vMerge w:val="restart"/>
                  <w:tcBorders>
                    <w:tl2br w:val="nil"/>
                    <w:tr2bl w:val="nil"/>
                  </w:tcBorders>
                  <w:vAlign w:val="center"/>
                </w:tcPr>
                <w:p w14:paraId="41427247">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相对距离（m）</w:t>
                  </w:r>
                </w:p>
              </w:tc>
              <w:tc>
                <w:tcPr>
                  <w:tcW w:w="318" w:type="pct"/>
                  <w:vMerge w:val="restart"/>
                  <w:tcBorders>
                    <w:tl2br w:val="nil"/>
                    <w:tr2bl w:val="nil"/>
                  </w:tcBorders>
                  <w:vAlign w:val="center"/>
                </w:tcPr>
                <w:p w14:paraId="1DE511A6">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功能区</w:t>
                  </w:r>
                </w:p>
              </w:tc>
            </w:tr>
            <w:tr w14:paraId="6C81FA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tcBorders>
                    <w:tl2br w:val="nil"/>
                    <w:tr2bl w:val="nil"/>
                  </w:tcBorders>
                  <w:vAlign w:val="center"/>
                </w:tcPr>
                <w:p w14:paraId="3FD939C9">
                  <w:pPr>
                    <w:spacing w:line="240" w:lineRule="auto"/>
                    <w:jc w:val="center"/>
                    <w:rPr>
                      <w:rFonts w:hint="default" w:ascii="Times New Roman" w:hAnsi="Times New Roman" w:eastAsia="宋体" w:cs="Times New Roman"/>
                      <w:color w:val="auto"/>
                      <w:highlight w:val="none"/>
                      <w:lang w:val="en-US" w:eastAsia="zh-CN"/>
                    </w:rPr>
                  </w:pPr>
                </w:p>
              </w:tc>
              <w:tc>
                <w:tcPr>
                  <w:tcW w:w="687" w:type="pct"/>
                  <w:vMerge w:val="continue"/>
                  <w:tcBorders>
                    <w:tl2br w:val="nil"/>
                    <w:tr2bl w:val="nil"/>
                  </w:tcBorders>
                  <w:vAlign w:val="center"/>
                </w:tcPr>
                <w:p w14:paraId="0352B800">
                  <w:pPr>
                    <w:spacing w:line="240" w:lineRule="auto"/>
                    <w:jc w:val="center"/>
                    <w:rPr>
                      <w:rFonts w:hint="default" w:ascii="Times New Roman" w:hAnsi="Times New Roman" w:eastAsia="宋体" w:cs="Times New Roman"/>
                      <w:color w:val="auto"/>
                      <w:highlight w:val="none"/>
                      <w:lang w:val="en-US" w:eastAsia="zh-CN"/>
                    </w:rPr>
                  </w:pPr>
                </w:p>
              </w:tc>
              <w:tc>
                <w:tcPr>
                  <w:tcW w:w="1063" w:type="pct"/>
                  <w:tcBorders>
                    <w:tl2br w:val="nil"/>
                    <w:tr2bl w:val="nil"/>
                  </w:tcBorders>
                  <w:vAlign w:val="center"/>
                </w:tcPr>
                <w:p w14:paraId="3AA29F82">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E</w:t>
                  </w:r>
                </w:p>
              </w:tc>
              <w:tc>
                <w:tcPr>
                  <w:tcW w:w="986" w:type="pct"/>
                  <w:tcBorders>
                    <w:tl2br w:val="nil"/>
                    <w:tr2bl w:val="nil"/>
                  </w:tcBorders>
                  <w:vAlign w:val="center"/>
                </w:tcPr>
                <w:p w14:paraId="5BA9B7A4">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w:t>
                  </w:r>
                </w:p>
              </w:tc>
              <w:tc>
                <w:tcPr>
                  <w:tcW w:w="396" w:type="pct"/>
                  <w:vMerge w:val="continue"/>
                  <w:tcBorders>
                    <w:tl2br w:val="nil"/>
                    <w:tr2bl w:val="nil"/>
                  </w:tcBorders>
                  <w:vAlign w:val="center"/>
                </w:tcPr>
                <w:p w14:paraId="0F6213BD">
                  <w:pPr>
                    <w:spacing w:line="240" w:lineRule="auto"/>
                    <w:jc w:val="center"/>
                    <w:rPr>
                      <w:rFonts w:hint="default" w:ascii="Times New Roman" w:hAnsi="Times New Roman" w:eastAsia="宋体" w:cs="Times New Roman"/>
                      <w:color w:val="auto"/>
                      <w:highlight w:val="none"/>
                      <w:lang w:val="en-US" w:eastAsia="zh-CN"/>
                    </w:rPr>
                  </w:pPr>
                </w:p>
              </w:tc>
              <w:tc>
                <w:tcPr>
                  <w:tcW w:w="631" w:type="pct"/>
                  <w:vMerge w:val="continue"/>
                  <w:tcBorders>
                    <w:tl2br w:val="nil"/>
                    <w:tr2bl w:val="nil"/>
                  </w:tcBorders>
                  <w:vAlign w:val="center"/>
                </w:tcPr>
                <w:p w14:paraId="159F3E5A">
                  <w:pPr>
                    <w:spacing w:line="240" w:lineRule="auto"/>
                    <w:jc w:val="center"/>
                    <w:rPr>
                      <w:rFonts w:hint="default" w:ascii="Times New Roman" w:hAnsi="Times New Roman" w:eastAsia="宋体" w:cs="Times New Roman"/>
                      <w:color w:val="auto"/>
                      <w:highlight w:val="none"/>
                      <w:lang w:val="en-US" w:eastAsia="zh-CN"/>
                    </w:rPr>
                  </w:pPr>
                </w:p>
              </w:tc>
              <w:tc>
                <w:tcPr>
                  <w:tcW w:w="598" w:type="pct"/>
                  <w:vMerge w:val="continue"/>
                  <w:tcBorders>
                    <w:tl2br w:val="nil"/>
                    <w:tr2bl w:val="nil"/>
                  </w:tcBorders>
                  <w:vAlign w:val="center"/>
                </w:tcPr>
                <w:p w14:paraId="1E262013">
                  <w:pPr>
                    <w:spacing w:line="240" w:lineRule="auto"/>
                    <w:jc w:val="center"/>
                    <w:rPr>
                      <w:rFonts w:hint="default" w:ascii="Times New Roman" w:hAnsi="Times New Roman" w:eastAsia="宋体" w:cs="Times New Roman"/>
                      <w:color w:val="auto"/>
                      <w:highlight w:val="none"/>
                      <w:lang w:val="en-US" w:eastAsia="zh-CN"/>
                    </w:rPr>
                  </w:pPr>
                </w:p>
              </w:tc>
              <w:tc>
                <w:tcPr>
                  <w:tcW w:w="318" w:type="pct"/>
                  <w:vMerge w:val="continue"/>
                  <w:tcBorders>
                    <w:tl2br w:val="nil"/>
                    <w:tr2bl w:val="nil"/>
                  </w:tcBorders>
                  <w:vAlign w:val="center"/>
                </w:tcPr>
                <w:p w14:paraId="27DAF089">
                  <w:pPr>
                    <w:spacing w:line="240" w:lineRule="auto"/>
                    <w:jc w:val="center"/>
                    <w:rPr>
                      <w:rFonts w:hint="default" w:ascii="Times New Roman" w:hAnsi="Times New Roman" w:eastAsia="宋体" w:cs="Times New Roman"/>
                      <w:color w:val="auto"/>
                      <w:highlight w:val="none"/>
                      <w:lang w:val="en-US" w:eastAsia="zh-CN"/>
                    </w:rPr>
                  </w:pPr>
                </w:p>
              </w:tc>
            </w:tr>
            <w:tr w14:paraId="58C90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restart"/>
                  <w:tcBorders>
                    <w:tl2br w:val="nil"/>
                    <w:tr2bl w:val="nil"/>
                  </w:tcBorders>
                  <w:vAlign w:val="center"/>
                </w:tcPr>
                <w:p w14:paraId="315F098E">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大气环境</w:t>
                  </w:r>
                </w:p>
              </w:tc>
              <w:tc>
                <w:tcPr>
                  <w:tcW w:w="687" w:type="pct"/>
                  <w:tcBorders>
                    <w:tl2br w:val="nil"/>
                    <w:tr2bl w:val="nil"/>
                  </w:tcBorders>
                  <w:vAlign w:val="center"/>
                </w:tcPr>
                <w:p w14:paraId="15D77CB0">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东联庄</w:t>
                  </w:r>
                </w:p>
              </w:tc>
              <w:tc>
                <w:tcPr>
                  <w:tcW w:w="1063" w:type="pct"/>
                  <w:tcBorders>
                    <w:tl2br w:val="nil"/>
                    <w:tr2bl w:val="nil"/>
                  </w:tcBorders>
                  <w:vAlign w:val="center"/>
                </w:tcPr>
                <w:p w14:paraId="461FD132">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108.68224637</w:t>
                  </w:r>
                </w:p>
              </w:tc>
              <w:tc>
                <w:tcPr>
                  <w:tcW w:w="986" w:type="pct"/>
                  <w:tcBorders>
                    <w:tl2br w:val="nil"/>
                    <w:tr2bl w:val="nil"/>
                  </w:tcBorders>
                  <w:vAlign w:val="center"/>
                </w:tcPr>
                <w:p w14:paraId="4D2FC25B">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34.22438658</w:t>
                  </w:r>
                </w:p>
              </w:tc>
              <w:tc>
                <w:tcPr>
                  <w:tcW w:w="396" w:type="pct"/>
                  <w:tcBorders>
                    <w:tl2br w:val="nil"/>
                    <w:tr2bl w:val="nil"/>
                  </w:tcBorders>
                  <w:vAlign w:val="center"/>
                </w:tcPr>
                <w:p w14:paraId="07B8C64A">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ES</w:t>
                  </w:r>
                </w:p>
              </w:tc>
              <w:tc>
                <w:tcPr>
                  <w:tcW w:w="631" w:type="pct"/>
                  <w:tcBorders>
                    <w:tl2br w:val="nil"/>
                    <w:tr2bl w:val="nil"/>
                  </w:tcBorders>
                  <w:vAlign w:val="center"/>
                </w:tcPr>
                <w:p w14:paraId="3F1C3061">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460</w:t>
                  </w:r>
                </w:p>
              </w:tc>
              <w:tc>
                <w:tcPr>
                  <w:tcW w:w="598" w:type="pct"/>
                  <w:tcBorders>
                    <w:tl2br w:val="nil"/>
                    <w:tr2bl w:val="nil"/>
                  </w:tcBorders>
                  <w:vAlign w:val="center"/>
                </w:tcPr>
                <w:p w14:paraId="33CC6440">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72</w:t>
                  </w:r>
                </w:p>
              </w:tc>
              <w:tc>
                <w:tcPr>
                  <w:tcW w:w="318" w:type="pct"/>
                  <w:vMerge w:val="restart"/>
                  <w:tcBorders>
                    <w:tl2br w:val="nil"/>
                    <w:tr2bl w:val="nil"/>
                  </w:tcBorders>
                  <w:vAlign w:val="center"/>
                </w:tcPr>
                <w:p w14:paraId="7A93FF1E">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二类区</w:t>
                  </w:r>
                </w:p>
              </w:tc>
            </w:tr>
            <w:tr w14:paraId="7A6AB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tcBorders>
                    <w:tl2br w:val="nil"/>
                    <w:tr2bl w:val="nil"/>
                  </w:tcBorders>
                  <w:vAlign w:val="center"/>
                </w:tcPr>
                <w:p w14:paraId="5E2DF260">
                  <w:pPr>
                    <w:spacing w:line="240" w:lineRule="auto"/>
                    <w:jc w:val="center"/>
                    <w:rPr>
                      <w:rFonts w:hint="default" w:ascii="Times New Roman" w:hAnsi="Times New Roman" w:eastAsia="宋体" w:cs="Times New Roman"/>
                      <w:color w:val="auto"/>
                      <w:highlight w:val="none"/>
                      <w:lang w:val="en-US" w:eastAsia="zh-CN"/>
                    </w:rPr>
                  </w:pPr>
                </w:p>
              </w:tc>
              <w:tc>
                <w:tcPr>
                  <w:tcW w:w="687" w:type="pct"/>
                  <w:tcBorders>
                    <w:tl2br w:val="nil"/>
                    <w:tr2bl w:val="nil"/>
                  </w:tcBorders>
                  <w:vAlign w:val="center"/>
                </w:tcPr>
                <w:p w14:paraId="0C8BE98F">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西联庄</w:t>
                  </w:r>
                </w:p>
              </w:tc>
              <w:tc>
                <w:tcPr>
                  <w:tcW w:w="1063" w:type="pct"/>
                  <w:tcBorders>
                    <w:tl2br w:val="nil"/>
                    <w:tr2bl w:val="nil"/>
                  </w:tcBorders>
                  <w:vAlign w:val="center"/>
                </w:tcPr>
                <w:p w14:paraId="1A6A902B">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108.67770668</w:t>
                  </w:r>
                </w:p>
              </w:tc>
              <w:tc>
                <w:tcPr>
                  <w:tcW w:w="986" w:type="pct"/>
                  <w:tcBorders>
                    <w:tl2br w:val="nil"/>
                    <w:tr2bl w:val="nil"/>
                  </w:tcBorders>
                  <w:vAlign w:val="center"/>
                </w:tcPr>
                <w:p w14:paraId="1B40F59C">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34.22436018</w:t>
                  </w:r>
                </w:p>
              </w:tc>
              <w:tc>
                <w:tcPr>
                  <w:tcW w:w="396" w:type="pct"/>
                  <w:tcBorders>
                    <w:tl2br w:val="nil"/>
                    <w:tr2bl w:val="nil"/>
                  </w:tcBorders>
                  <w:vAlign w:val="center"/>
                </w:tcPr>
                <w:p w14:paraId="5A8C86A8">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WS</w:t>
                  </w:r>
                </w:p>
              </w:tc>
              <w:tc>
                <w:tcPr>
                  <w:tcW w:w="631" w:type="pct"/>
                  <w:tcBorders>
                    <w:tl2br w:val="nil"/>
                    <w:tr2bl w:val="nil"/>
                  </w:tcBorders>
                  <w:vAlign w:val="center"/>
                </w:tcPr>
                <w:p w14:paraId="31878E16">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100</w:t>
                  </w:r>
                </w:p>
              </w:tc>
              <w:tc>
                <w:tcPr>
                  <w:tcW w:w="598" w:type="pct"/>
                  <w:tcBorders>
                    <w:tl2br w:val="nil"/>
                    <w:tr2bl w:val="nil"/>
                  </w:tcBorders>
                  <w:vAlign w:val="center"/>
                </w:tcPr>
                <w:p w14:paraId="184EB341">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133</w:t>
                  </w:r>
                </w:p>
              </w:tc>
              <w:tc>
                <w:tcPr>
                  <w:tcW w:w="318" w:type="pct"/>
                  <w:vMerge w:val="continue"/>
                  <w:tcBorders>
                    <w:tl2br w:val="nil"/>
                    <w:tr2bl w:val="nil"/>
                  </w:tcBorders>
                  <w:vAlign w:val="center"/>
                </w:tcPr>
                <w:p w14:paraId="0B44BC57">
                  <w:pPr>
                    <w:spacing w:line="240" w:lineRule="auto"/>
                    <w:jc w:val="center"/>
                    <w:rPr>
                      <w:rFonts w:hint="default" w:ascii="Times New Roman" w:hAnsi="Times New Roman" w:eastAsia="宋体" w:cs="Times New Roman"/>
                      <w:color w:val="auto"/>
                      <w:highlight w:val="none"/>
                      <w:lang w:val="en-US" w:eastAsia="zh-CN"/>
                    </w:rPr>
                  </w:pPr>
                </w:p>
              </w:tc>
            </w:tr>
            <w:tr w14:paraId="33CA0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tcBorders>
                    <w:tl2br w:val="nil"/>
                    <w:tr2bl w:val="nil"/>
                  </w:tcBorders>
                  <w:vAlign w:val="center"/>
                </w:tcPr>
                <w:p w14:paraId="5D2F2EED">
                  <w:pPr>
                    <w:spacing w:line="240" w:lineRule="auto"/>
                    <w:jc w:val="center"/>
                    <w:rPr>
                      <w:rFonts w:hint="default" w:ascii="Times New Roman" w:hAnsi="Times New Roman" w:eastAsia="宋体" w:cs="Times New Roman"/>
                      <w:color w:val="auto"/>
                      <w:highlight w:val="none"/>
                      <w:lang w:val="en-US" w:eastAsia="zh-CN"/>
                    </w:rPr>
                  </w:pPr>
                </w:p>
              </w:tc>
              <w:tc>
                <w:tcPr>
                  <w:tcW w:w="687" w:type="pct"/>
                  <w:tcBorders>
                    <w:tl2br w:val="nil"/>
                    <w:tr2bl w:val="nil"/>
                  </w:tcBorders>
                  <w:vAlign w:val="center"/>
                </w:tcPr>
                <w:p w14:paraId="312E2803">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联庄和园社区</w:t>
                  </w:r>
                </w:p>
              </w:tc>
              <w:tc>
                <w:tcPr>
                  <w:tcW w:w="1063" w:type="pct"/>
                  <w:tcBorders>
                    <w:tl2br w:val="nil"/>
                    <w:tr2bl w:val="nil"/>
                  </w:tcBorders>
                  <w:vAlign w:val="center"/>
                </w:tcPr>
                <w:p w14:paraId="72F4B5ED">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108.68218223</w:t>
                  </w:r>
                </w:p>
              </w:tc>
              <w:tc>
                <w:tcPr>
                  <w:tcW w:w="986" w:type="pct"/>
                  <w:tcBorders>
                    <w:tl2br w:val="nil"/>
                    <w:tr2bl w:val="nil"/>
                  </w:tcBorders>
                  <w:vAlign w:val="center"/>
                </w:tcPr>
                <w:p w14:paraId="7B90BD97">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34.22944455</w:t>
                  </w:r>
                </w:p>
              </w:tc>
              <w:tc>
                <w:tcPr>
                  <w:tcW w:w="396" w:type="pct"/>
                  <w:tcBorders>
                    <w:tl2br w:val="nil"/>
                    <w:tr2bl w:val="nil"/>
                  </w:tcBorders>
                  <w:vAlign w:val="center"/>
                </w:tcPr>
                <w:p w14:paraId="2DC1E531">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N</w:t>
                  </w:r>
                </w:p>
              </w:tc>
              <w:tc>
                <w:tcPr>
                  <w:tcW w:w="631" w:type="pct"/>
                  <w:tcBorders>
                    <w:tl2br w:val="nil"/>
                    <w:tr2bl w:val="nil"/>
                  </w:tcBorders>
                  <w:vAlign w:val="center"/>
                </w:tcPr>
                <w:p w14:paraId="4AA7B878">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7500</w:t>
                  </w:r>
                </w:p>
              </w:tc>
              <w:tc>
                <w:tcPr>
                  <w:tcW w:w="598" w:type="pct"/>
                  <w:tcBorders>
                    <w:tl2br w:val="nil"/>
                    <w:tr2bl w:val="nil"/>
                  </w:tcBorders>
                  <w:vAlign w:val="center"/>
                </w:tcPr>
                <w:p w14:paraId="145A8974">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360</w:t>
                  </w:r>
                </w:p>
              </w:tc>
              <w:tc>
                <w:tcPr>
                  <w:tcW w:w="318" w:type="pct"/>
                  <w:vMerge w:val="continue"/>
                  <w:tcBorders>
                    <w:tl2br w:val="nil"/>
                    <w:tr2bl w:val="nil"/>
                  </w:tcBorders>
                  <w:vAlign w:val="center"/>
                </w:tcPr>
                <w:p w14:paraId="191C5854">
                  <w:pPr>
                    <w:spacing w:line="240" w:lineRule="auto"/>
                    <w:jc w:val="center"/>
                    <w:rPr>
                      <w:rFonts w:hint="default" w:ascii="Times New Roman" w:hAnsi="Times New Roman" w:eastAsia="宋体" w:cs="Times New Roman"/>
                      <w:color w:val="auto"/>
                      <w:highlight w:val="none"/>
                      <w:lang w:val="en-US" w:eastAsia="zh-CN"/>
                    </w:rPr>
                  </w:pPr>
                </w:p>
              </w:tc>
            </w:tr>
            <w:tr w14:paraId="20FFE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tcBorders>
                    <w:tl2br w:val="nil"/>
                    <w:tr2bl w:val="nil"/>
                  </w:tcBorders>
                  <w:vAlign w:val="center"/>
                </w:tcPr>
                <w:p w14:paraId="120553B1">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声环境</w:t>
                  </w:r>
                </w:p>
              </w:tc>
              <w:tc>
                <w:tcPr>
                  <w:tcW w:w="687" w:type="pct"/>
                  <w:tcBorders>
                    <w:tl2br w:val="nil"/>
                    <w:tr2bl w:val="nil"/>
                  </w:tcBorders>
                  <w:vAlign w:val="center"/>
                </w:tcPr>
                <w:p w14:paraId="11417535">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东联庄散户</w:t>
                  </w:r>
                </w:p>
              </w:tc>
              <w:tc>
                <w:tcPr>
                  <w:tcW w:w="1063" w:type="pct"/>
                  <w:tcBorders>
                    <w:tl2br w:val="nil"/>
                    <w:tr2bl w:val="nil"/>
                  </w:tcBorders>
                  <w:vAlign w:val="center"/>
                </w:tcPr>
                <w:p w14:paraId="3248ED91">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108.68106307</w:t>
                  </w:r>
                </w:p>
              </w:tc>
              <w:tc>
                <w:tcPr>
                  <w:tcW w:w="986" w:type="pct"/>
                  <w:tcBorders>
                    <w:tl2br w:val="nil"/>
                    <w:tr2bl w:val="nil"/>
                  </w:tcBorders>
                  <w:vAlign w:val="center"/>
                </w:tcPr>
                <w:p w14:paraId="2F16BCB7">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34.22473042</w:t>
                  </w:r>
                </w:p>
              </w:tc>
              <w:tc>
                <w:tcPr>
                  <w:tcW w:w="396" w:type="pct"/>
                  <w:tcBorders>
                    <w:tl2br w:val="nil"/>
                    <w:tr2bl w:val="nil"/>
                  </w:tcBorders>
                  <w:vAlign w:val="center"/>
                </w:tcPr>
                <w:p w14:paraId="1C116D12">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S</w:t>
                  </w:r>
                </w:p>
              </w:tc>
              <w:tc>
                <w:tcPr>
                  <w:tcW w:w="631" w:type="pct"/>
                  <w:tcBorders>
                    <w:tl2br w:val="nil"/>
                    <w:tr2bl w:val="nil"/>
                  </w:tcBorders>
                  <w:vAlign w:val="center"/>
                </w:tcPr>
                <w:p w14:paraId="18F0794F">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w:t>
                  </w:r>
                </w:p>
              </w:tc>
              <w:tc>
                <w:tcPr>
                  <w:tcW w:w="598" w:type="pct"/>
                  <w:tcBorders>
                    <w:tl2br w:val="nil"/>
                    <w:tr2bl w:val="nil"/>
                  </w:tcBorders>
                  <w:vAlign w:val="center"/>
                </w:tcPr>
                <w:p w14:paraId="1A47A185">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w:t>
                  </w:r>
                  <w:r>
                    <w:rPr>
                      <w:rFonts w:hint="default" w:ascii="Times New Roman" w:hAnsi="Times New Roman" w:cs="Times New Roman"/>
                      <w:color w:val="auto"/>
                      <w:highlight w:val="none"/>
                      <w:lang w:val="en-US" w:eastAsia="zh-CN"/>
                    </w:rPr>
                    <w:t>3</w:t>
                  </w:r>
                </w:p>
              </w:tc>
              <w:tc>
                <w:tcPr>
                  <w:tcW w:w="318" w:type="pct"/>
                  <w:tcBorders>
                    <w:tl2br w:val="nil"/>
                    <w:tr2bl w:val="nil"/>
                  </w:tcBorders>
                  <w:vAlign w:val="center"/>
                </w:tcPr>
                <w:p w14:paraId="503493FE">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类区</w:t>
                  </w:r>
                </w:p>
              </w:tc>
            </w:tr>
          </w:tbl>
          <w:p w14:paraId="757063D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4"/>
                <w:szCs w:val="24"/>
                <w:highlight w:val="none"/>
                <w:lang w:val="en-US" w:eastAsia="zh-CN"/>
              </w:rPr>
            </w:pPr>
          </w:p>
        </w:tc>
      </w:tr>
      <w:tr w14:paraId="28910A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noWrap w:val="0"/>
            <w:tcMar>
              <w:left w:w="28" w:type="dxa"/>
              <w:right w:w="28" w:type="dxa"/>
            </w:tcMar>
            <w:vAlign w:val="center"/>
          </w:tcPr>
          <w:p w14:paraId="70B92CED">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污染</w:t>
            </w:r>
          </w:p>
          <w:p w14:paraId="73003C15">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物排</w:t>
            </w:r>
          </w:p>
          <w:p w14:paraId="717A10FA">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放控</w:t>
            </w:r>
          </w:p>
          <w:p w14:paraId="1075BBFC">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制标</w:t>
            </w:r>
          </w:p>
          <w:p w14:paraId="21C6620A">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准</w:t>
            </w:r>
          </w:p>
        </w:tc>
        <w:tc>
          <w:tcPr>
            <w:tcW w:w="4729" w:type="pct"/>
            <w:noWrap w:val="0"/>
            <w:vAlign w:val="top"/>
          </w:tcPr>
          <w:p w14:paraId="60795349">
            <w:pPr>
              <w:numPr>
                <w:ilvl w:val="0"/>
                <w:numId w:val="11"/>
              </w:numPr>
              <w:adjustRightInd w:val="0"/>
              <w:snapToGrid w:val="0"/>
              <w:spacing w:line="360" w:lineRule="auto"/>
              <w:jc w:val="both"/>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废气</w:t>
            </w:r>
          </w:p>
          <w:p w14:paraId="62C4387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运营期</w:t>
            </w:r>
            <w:r>
              <w:rPr>
                <w:rFonts w:hint="default" w:ascii="Times New Roman" w:hAnsi="Times New Roman" w:cs="Times New Roman"/>
                <w:color w:val="auto"/>
                <w:sz w:val="24"/>
                <w:highlight w:val="none"/>
                <w:lang w:val="en-US" w:eastAsia="zh-CN"/>
              </w:rPr>
              <w:t>颗粒物、锡及其化合物及非甲烷总烃</w:t>
            </w:r>
            <w:r>
              <w:rPr>
                <w:rFonts w:hint="default" w:ascii="Times New Roman" w:hAnsi="Times New Roman" w:cs="Times New Roman"/>
                <w:color w:val="auto"/>
                <w:sz w:val="24"/>
                <w:highlight w:val="none"/>
              </w:rPr>
              <w:t>排放执行</w:t>
            </w:r>
            <w:r>
              <w:rPr>
                <w:rFonts w:hint="default" w:ascii="Times New Roman" w:hAnsi="Times New Roman" w:cs="Times New Roman"/>
                <w:color w:val="auto"/>
                <w:sz w:val="24"/>
                <w:highlight w:val="none"/>
                <w:lang w:val="en-US" w:eastAsia="zh-CN"/>
              </w:rPr>
              <w:t>《大气污染物综合排放标准》（GB16297-1996）表2二级标准相关限值与《挥发性有机物无组织排放标准》（GB37822-2019）相关限值。</w:t>
            </w:r>
          </w:p>
          <w:p w14:paraId="1A5266D8">
            <w:pPr>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表3-</w:t>
            </w:r>
            <w:r>
              <w:rPr>
                <w:rFonts w:hint="default" w:ascii="Times New Roman" w:hAnsi="Times New Roman" w:cs="Times New Roman"/>
                <w:b/>
                <w:bCs/>
                <w:color w:val="auto"/>
                <w:szCs w:val="21"/>
                <w:highlight w:val="none"/>
                <w:lang w:val="en-US" w:eastAsia="zh-CN"/>
              </w:rPr>
              <w:t>6</w:t>
            </w:r>
            <w:r>
              <w:rPr>
                <w:rFonts w:hint="default" w:ascii="Times New Roman" w:hAnsi="Times New Roman" w:eastAsia="宋体" w:cs="Times New Roman"/>
                <w:b/>
                <w:bCs/>
                <w:color w:val="auto"/>
                <w:szCs w:val="21"/>
                <w:highlight w:val="none"/>
              </w:rPr>
              <w:t xml:space="preserve">   运营期废气排放标准</w:t>
            </w:r>
          </w:p>
          <w:tbl>
            <w:tblPr>
              <w:tblStyle w:val="28"/>
              <w:tblW w:w="499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53"/>
              <w:gridCol w:w="1037"/>
              <w:gridCol w:w="759"/>
              <w:gridCol w:w="2171"/>
              <w:gridCol w:w="1298"/>
              <w:gridCol w:w="2408"/>
            </w:tblGrid>
            <w:tr w14:paraId="502C06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1" w:type="pct"/>
                  <w:tcBorders>
                    <w:tl2br w:val="nil"/>
                    <w:tr2bl w:val="nil"/>
                  </w:tcBorders>
                  <w:shd w:val="clear" w:color="auto" w:fill="auto"/>
                  <w:vAlign w:val="center"/>
                </w:tcPr>
                <w:p w14:paraId="7BC8DF1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排放方式</w:t>
                  </w:r>
                </w:p>
              </w:tc>
              <w:tc>
                <w:tcPr>
                  <w:tcW w:w="1053" w:type="pct"/>
                  <w:gridSpan w:val="2"/>
                  <w:tcBorders>
                    <w:tl2br w:val="nil"/>
                    <w:tr2bl w:val="nil"/>
                  </w:tcBorders>
                  <w:shd w:val="clear" w:color="auto" w:fill="auto"/>
                  <w:vAlign w:val="center"/>
                </w:tcPr>
                <w:p w14:paraId="02C1F482">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污染物</w:t>
                  </w:r>
                </w:p>
              </w:tc>
              <w:tc>
                <w:tcPr>
                  <w:tcW w:w="1273" w:type="pct"/>
                  <w:tcBorders>
                    <w:tl2br w:val="nil"/>
                    <w:tr2bl w:val="nil"/>
                  </w:tcBorders>
                  <w:shd w:val="clear" w:color="auto" w:fill="auto"/>
                  <w:vAlign w:val="center"/>
                </w:tcPr>
                <w:p w14:paraId="1A6E595E">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排放浓度（mg/m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c>
                <w:tcPr>
                  <w:tcW w:w="761" w:type="pct"/>
                  <w:tcBorders>
                    <w:tl2br w:val="nil"/>
                    <w:tr2bl w:val="nil"/>
                  </w:tcBorders>
                  <w:shd w:val="clear" w:color="auto" w:fill="auto"/>
                  <w:vAlign w:val="center"/>
                </w:tcPr>
                <w:p w14:paraId="00331A0D">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排放速率</w:t>
                  </w:r>
                  <w:r>
                    <w:rPr>
                      <w:rFonts w:hint="default" w:ascii="Times New Roman" w:hAnsi="Times New Roman" w:cs="Times New Roman"/>
                      <w:color w:val="auto"/>
                      <w:sz w:val="21"/>
                      <w:szCs w:val="21"/>
                      <w:highlight w:val="none"/>
                      <w:vertAlign w:val="superscript"/>
                      <w:lang w:val="en-US" w:eastAsia="zh-CN"/>
                    </w:rPr>
                    <w:t>①</w:t>
                  </w:r>
                  <w:r>
                    <w:rPr>
                      <w:rFonts w:hint="default" w:ascii="Times New Roman" w:hAnsi="Times New Roman" w:cs="Times New Roman"/>
                      <w:color w:val="auto"/>
                      <w:sz w:val="21"/>
                      <w:szCs w:val="21"/>
                      <w:highlight w:val="none"/>
                      <w:lang w:val="en-US" w:eastAsia="zh-CN"/>
                    </w:rPr>
                    <w:t>（kg/h）</w:t>
                  </w:r>
                </w:p>
              </w:tc>
              <w:tc>
                <w:tcPr>
                  <w:tcW w:w="1410" w:type="pct"/>
                  <w:tcBorders>
                    <w:tl2br w:val="nil"/>
                    <w:tr2bl w:val="nil"/>
                  </w:tcBorders>
                  <w:shd w:val="clear" w:color="auto" w:fill="auto"/>
                  <w:vAlign w:val="center"/>
                </w:tcPr>
                <w:p w14:paraId="0A819549">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标准来源</w:t>
                  </w:r>
                </w:p>
              </w:tc>
            </w:tr>
            <w:tr w14:paraId="0936F0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9" w:hRule="atLeast"/>
                <w:jc w:val="center"/>
              </w:trPr>
              <w:tc>
                <w:tcPr>
                  <w:tcW w:w="501" w:type="pct"/>
                  <w:vMerge w:val="restart"/>
                  <w:tcBorders>
                    <w:tl2br w:val="nil"/>
                    <w:tr2bl w:val="nil"/>
                  </w:tcBorders>
                  <w:shd w:val="clear" w:color="auto" w:fill="auto"/>
                  <w:vAlign w:val="center"/>
                </w:tcPr>
                <w:p w14:paraId="7B8E3CFA">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有组织</w:t>
                  </w:r>
                </w:p>
              </w:tc>
              <w:tc>
                <w:tcPr>
                  <w:tcW w:w="1053" w:type="pct"/>
                  <w:gridSpan w:val="2"/>
                  <w:tcBorders>
                    <w:tl2br w:val="nil"/>
                    <w:tr2bl w:val="nil"/>
                  </w:tcBorders>
                  <w:shd w:val="clear" w:color="auto" w:fill="auto"/>
                  <w:vAlign w:val="center"/>
                </w:tcPr>
                <w:p w14:paraId="3FE47F4C">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非甲烷总烃</w:t>
                  </w:r>
                </w:p>
              </w:tc>
              <w:tc>
                <w:tcPr>
                  <w:tcW w:w="1273" w:type="pct"/>
                  <w:tcBorders>
                    <w:tl2br w:val="nil"/>
                    <w:tr2bl w:val="nil"/>
                  </w:tcBorders>
                  <w:shd w:val="clear" w:color="auto" w:fill="auto"/>
                  <w:vAlign w:val="center"/>
                </w:tcPr>
                <w:p w14:paraId="75C18756">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120</w:t>
                  </w:r>
                </w:p>
              </w:tc>
              <w:tc>
                <w:tcPr>
                  <w:tcW w:w="761" w:type="pct"/>
                  <w:tcBorders>
                    <w:tl2br w:val="nil"/>
                    <w:tr2bl w:val="nil"/>
                  </w:tcBorders>
                  <w:shd w:val="clear" w:color="auto" w:fill="auto"/>
                  <w:vAlign w:val="center"/>
                </w:tcPr>
                <w:p w14:paraId="3AF60423">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71.8</w:t>
                  </w:r>
                </w:p>
              </w:tc>
              <w:tc>
                <w:tcPr>
                  <w:tcW w:w="1410" w:type="pct"/>
                  <w:vMerge w:val="restart"/>
                  <w:tcBorders>
                    <w:tl2br w:val="nil"/>
                    <w:tr2bl w:val="nil"/>
                  </w:tcBorders>
                  <w:shd w:val="clear" w:color="auto" w:fill="auto"/>
                  <w:vAlign w:val="center"/>
                </w:tcPr>
                <w:p w14:paraId="57172ACB">
                  <w:pPr>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《大气污染物综合排放标准》（GB16297-1996）表2标准</w:t>
                  </w:r>
                </w:p>
              </w:tc>
            </w:tr>
            <w:tr w14:paraId="6BAD00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501" w:type="pct"/>
                  <w:vMerge w:val="continue"/>
                  <w:tcBorders>
                    <w:tl2br w:val="nil"/>
                    <w:tr2bl w:val="nil"/>
                  </w:tcBorders>
                  <w:shd w:val="clear" w:color="auto" w:fill="auto"/>
                  <w:vAlign w:val="center"/>
                </w:tcPr>
                <w:p w14:paraId="3E0891A8">
                  <w:pPr>
                    <w:spacing w:line="240" w:lineRule="auto"/>
                    <w:jc w:val="center"/>
                    <w:rPr>
                      <w:rFonts w:hint="default" w:ascii="Times New Roman" w:hAnsi="Times New Roman" w:cs="Times New Roman"/>
                      <w:color w:val="auto"/>
                      <w:highlight w:val="none"/>
                    </w:rPr>
                  </w:pPr>
                </w:p>
              </w:tc>
              <w:tc>
                <w:tcPr>
                  <w:tcW w:w="1053" w:type="pct"/>
                  <w:gridSpan w:val="2"/>
                  <w:tcBorders>
                    <w:tl2br w:val="nil"/>
                    <w:tr2bl w:val="nil"/>
                  </w:tcBorders>
                  <w:shd w:val="clear" w:color="auto" w:fill="auto"/>
                  <w:vAlign w:val="center"/>
                </w:tcPr>
                <w:p w14:paraId="6160BCEB">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1273" w:type="pct"/>
                  <w:tcBorders>
                    <w:tl2br w:val="nil"/>
                    <w:tr2bl w:val="nil"/>
                  </w:tcBorders>
                  <w:shd w:val="clear" w:color="auto" w:fill="auto"/>
                  <w:vAlign w:val="center"/>
                </w:tcPr>
                <w:p w14:paraId="26812511">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120</w:t>
                  </w:r>
                </w:p>
              </w:tc>
              <w:tc>
                <w:tcPr>
                  <w:tcW w:w="761" w:type="pct"/>
                  <w:tcBorders>
                    <w:tl2br w:val="nil"/>
                    <w:tr2bl w:val="nil"/>
                  </w:tcBorders>
                  <w:shd w:val="clear" w:color="auto" w:fill="auto"/>
                  <w:vAlign w:val="center"/>
                </w:tcPr>
                <w:p w14:paraId="083E8B07">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29.4</w:t>
                  </w:r>
                </w:p>
              </w:tc>
              <w:tc>
                <w:tcPr>
                  <w:tcW w:w="1410" w:type="pct"/>
                  <w:vMerge w:val="continue"/>
                  <w:tcBorders>
                    <w:tl2br w:val="nil"/>
                    <w:tr2bl w:val="nil"/>
                  </w:tcBorders>
                  <w:shd w:val="clear" w:color="auto" w:fill="auto"/>
                  <w:vAlign w:val="center"/>
                </w:tcPr>
                <w:p w14:paraId="2A8739D6">
                  <w:pPr>
                    <w:spacing w:line="240" w:lineRule="auto"/>
                    <w:jc w:val="center"/>
                    <w:rPr>
                      <w:rFonts w:hint="default" w:ascii="Times New Roman" w:hAnsi="Times New Roman" w:cs="Times New Roman"/>
                      <w:color w:val="auto"/>
                      <w:highlight w:val="none"/>
                      <w:lang w:val="en-US" w:eastAsia="zh-CN"/>
                    </w:rPr>
                  </w:pPr>
                </w:p>
              </w:tc>
            </w:tr>
            <w:tr w14:paraId="2DBB27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501" w:type="pct"/>
                  <w:vMerge w:val="continue"/>
                  <w:tcBorders>
                    <w:tl2br w:val="nil"/>
                    <w:tr2bl w:val="nil"/>
                  </w:tcBorders>
                  <w:shd w:val="clear" w:color="auto" w:fill="auto"/>
                  <w:vAlign w:val="center"/>
                </w:tcPr>
                <w:p w14:paraId="08BAAB5C">
                  <w:pPr>
                    <w:spacing w:line="240" w:lineRule="auto"/>
                    <w:jc w:val="center"/>
                    <w:rPr>
                      <w:rFonts w:hint="default" w:ascii="Times New Roman" w:hAnsi="Times New Roman" w:cs="Times New Roman"/>
                      <w:color w:val="auto"/>
                      <w:highlight w:val="none"/>
                    </w:rPr>
                  </w:pPr>
                </w:p>
              </w:tc>
              <w:tc>
                <w:tcPr>
                  <w:tcW w:w="1053" w:type="pct"/>
                  <w:gridSpan w:val="2"/>
                  <w:tcBorders>
                    <w:tl2br w:val="nil"/>
                    <w:tr2bl w:val="nil"/>
                  </w:tcBorders>
                  <w:shd w:val="clear" w:color="auto" w:fill="auto"/>
                  <w:vAlign w:val="center"/>
                </w:tcPr>
                <w:p w14:paraId="17958846">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锡及其化合物</w:t>
                  </w:r>
                </w:p>
              </w:tc>
              <w:tc>
                <w:tcPr>
                  <w:tcW w:w="1273" w:type="pct"/>
                  <w:tcBorders>
                    <w:tl2br w:val="nil"/>
                    <w:tr2bl w:val="nil"/>
                  </w:tcBorders>
                  <w:shd w:val="clear" w:color="auto" w:fill="auto"/>
                  <w:vAlign w:val="center"/>
                </w:tcPr>
                <w:p w14:paraId="23AF4D6D">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8.5</w:t>
                  </w:r>
                </w:p>
              </w:tc>
              <w:tc>
                <w:tcPr>
                  <w:tcW w:w="761" w:type="pct"/>
                  <w:tcBorders>
                    <w:tl2br w:val="nil"/>
                    <w:tr2bl w:val="nil"/>
                  </w:tcBorders>
                  <w:shd w:val="clear" w:color="auto" w:fill="auto"/>
                  <w:vAlign w:val="center"/>
                </w:tcPr>
                <w:p w14:paraId="7355314C">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2.28</w:t>
                  </w:r>
                </w:p>
              </w:tc>
              <w:tc>
                <w:tcPr>
                  <w:tcW w:w="1410" w:type="pct"/>
                  <w:vMerge w:val="continue"/>
                  <w:tcBorders>
                    <w:tl2br w:val="nil"/>
                    <w:tr2bl w:val="nil"/>
                  </w:tcBorders>
                  <w:shd w:val="clear" w:color="auto" w:fill="auto"/>
                  <w:vAlign w:val="center"/>
                </w:tcPr>
                <w:p w14:paraId="3B896EBA">
                  <w:pPr>
                    <w:spacing w:line="240" w:lineRule="auto"/>
                    <w:jc w:val="center"/>
                    <w:rPr>
                      <w:rFonts w:hint="default" w:ascii="Times New Roman" w:hAnsi="Times New Roman" w:cs="Times New Roman"/>
                      <w:color w:val="auto"/>
                      <w:highlight w:val="none"/>
                      <w:lang w:val="en-US" w:eastAsia="zh-CN"/>
                    </w:rPr>
                  </w:pPr>
                </w:p>
              </w:tc>
            </w:tr>
            <w:tr w14:paraId="75A06B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82" w:hRule="atLeast"/>
                <w:jc w:val="center"/>
              </w:trPr>
              <w:tc>
                <w:tcPr>
                  <w:tcW w:w="501" w:type="pct"/>
                  <w:vMerge w:val="restart"/>
                  <w:tcBorders>
                    <w:tl2br w:val="nil"/>
                    <w:tr2bl w:val="nil"/>
                  </w:tcBorders>
                  <w:shd w:val="clear" w:color="auto" w:fill="auto"/>
                  <w:vAlign w:val="center"/>
                </w:tcPr>
                <w:p w14:paraId="70ED9628">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w:t>
                  </w:r>
                </w:p>
              </w:tc>
              <w:tc>
                <w:tcPr>
                  <w:tcW w:w="608" w:type="pct"/>
                  <w:tcBorders>
                    <w:tl2br w:val="nil"/>
                    <w:tr2bl w:val="nil"/>
                  </w:tcBorders>
                  <w:shd w:val="clear" w:color="auto" w:fill="auto"/>
                  <w:vAlign w:val="center"/>
                </w:tcPr>
                <w:p w14:paraId="0E00E5C0">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445" w:type="pct"/>
                  <w:vMerge w:val="restart"/>
                  <w:tcBorders>
                    <w:tl2br w:val="nil"/>
                    <w:tr2bl w:val="nil"/>
                  </w:tcBorders>
                  <w:shd w:val="clear" w:color="auto" w:fill="auto"/>
                  <w:vAlign w:val="center"/>
                </w:tcPr>
                <w:p w14:paraId="576C965A">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厂界</w:t>
                  </w:r>
                </w:p>
              </w:tc>
              <w:tc>
                <w:tcPr>
                  <w:tcW w:w="1273" w:type="pct"/>
                  <w:tcBorders>
                    <w:tl2br w:val="nil"/>
                    <w:tr2bl w:val="nil"/>
                  </w:tcBorders>
                  <w:shd w:val="clear" w:color="auto" w:fill="auto"/>
                  <w:vAlign w:val="center"/>
                </w:tcPr>
                <w:p w14:paraId="057DC0EF">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周界外最高浓度点</w:t>
                  </w:r>
                </w:p>
                <w:p w14:paraId="1EC6A38A">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4.0</w:t>
                  </w:r>
                </w:p>
              </w:tc>
              <w:tc>
                <w:tcPr>
                  <w:tcW w:w="761" w:type="pct"/>
                  <w:tcBorders>
                    <w:tl2br w:val="nil"/>
                    <w:tr2bl w:val="nil"/>
                  </w:tcBorders>
                  <w:shd w:val="clear" w:color="auto" w:fill="auto"/>
                  <w:vAlign w:val="center"/>
                </w:tcPr>
                <w:p w14:paraId="2E980E4D">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0" w:type="pct"/>
                  <w:vMerge w:val="continue"/>
                  <w:tcBorders>
                    <w:tl2br w:val="nil"/>
                    <w:tr2bl w:val="nil"/>
                  </w:tcBorders>
                  <w:shd w:val="clear" w:color="auto" w:fill="auto"/>
                  <w:vAlign w:val="center"/>
                </w:tcPr>
                <w:p w14:paraId="2614E9F1">
                  <w:pPr>
                    <w:spacing w:line="240" w:lineRule="auto"/>
                    <w:jc w:val="center"/>
                    <w:rPr>
                      <w:rFonts w:hint="default" w:ascii="Times New Roman" w:hAnsi="Times New Roman" w:cs="Times New Roman"/>
                      <w:color w:val="auto"/>
                      <w:highlight w:val="none"/>
                      <w:lang w:val="en-US" w:eastAsia="zh-CN"/>
                    </w:rPr>
                  </w:pPr>
                </w:p>
              </w:tc>
            </w:tr>
            <w:tr w14:paraId="4684E4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01" w:type="pct"/>
                  <w:vMerge w:val="continue"/>
                  <w:tcBorders>
                    <w:tl2br w:val="nil"/>
                    <w:tr2bl w:val="nil"/>
                  </w:tcBorders>
                  <w:shd w:val="clear" w:color="auto" w:fill="auto"/>
                  <w:vAlign w:val="center"/>
                </w:tcPr>
                <w:p w14:paraId="34A8F4AC">
                  <w:pPr>
                    <w:spacing w:line="240" w:lineRule="auto"/>
                    <w:jc w:val="center"/>
                    <w:rPr>
                      <w:rFonts w:hint="default" w:ascii="Times New Roman" w:hAnsi="Times New Roman" w:cs="Times New Roman"/>
                      <w:color w:val="auto"/>
                      <w:highlight w:val="none"/>
                      <w:lang w:val="en-US" w:eastAsia="zh-CN"/>
                    </w:rPr>
                  </w:pPr>
                </w:p>
              </w:tc>
              <w:tc>
                <w:tcPr>
                  <w:tcW w:w="608" w:type="pct"/>
                  <w:tcBorders>
                    <w:tl2br w:val="nil"/>
                    <w:tr2bl w:val="nil"/>
                  </w:tcBorders>
                  <w:shd w:val="clear" w:color="auto" w:fill="auto"/>
                  <w:vAlign w:val="center"/>
                </w:tcPr>
                <w:p w14:paraId="00F8916F">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445" w:type="pct"/>
                  <w:vMerge w:val="continue"/>
                  <w:tcBorders>
                    <w:tl2br w:val="nil"/>
                    <w:tr2bl w:val="nil"/>
                  </w:tcBorders>
                  <w:shd w:val="clear" w:color="auto" w:fill="auto"/>
                  <w:vAlign w:val="center"/>
                </w:tcPr>
                <w:p w14:paraId="2D50F6A6">
                  <w:pPr>
                    <w:spacing w:line="240" w:lineRule="auto"/>
                    <w:jc w:val="center"/>
                    <w:rPr>
                      <w:rFonts w:hint="default" w:ascii="Times New Roman" w:hAnsi="Times New Roman" w:eastAsia="宋体" w:cs="Times New Roman"/>
                      <w:color w:val="auto"/>
                      <w:highlight w:val="none"/>
                      <w:lang w:val="en-US" w:eastAsia="zh-CN"/>
                    </w:rPr>
                  </w:pPr>
                </w:p>
              </w:tc>
              <w:tc>
                <w:tcPr>
                  <w:tcW w:w="1273" w:type="pct"/>
                  <w:tcBorders>
                    <w:tl2br w:val="nil"/>
                    <w:tr2bl w:val="nil"/>
                  </w:tcBorders>
                  <w:shd w:val="clear" w:color="auto" w:fill="auto"/>
                  <w:vAlign w:val="center"/>
                </w:tcPr>
                <w:p w14:paraId="6ADE8E50">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周界外最高浓度点</w:t>
                  </w:r>
                </w:p>
                <w:p w14:paraId="2CBCFD96">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1.0</w:t>
                  </w:r>
                </w:p>
              </w:tc>
              <w:tc>
                <w:tcPr>
                  <w:tcW w:w="761" w:type="pct"/>
                  <w:tcBorders>
                    <w:tl2br w:val="nil"/>
                    <w:tr2bl w:val="nil"/>
                  </w:tcBorders>
                  <w:shd w:val="clear" w:color="auto" w:fill="auto"/>
                  <w:vAlign w:val="center"/>
                </w:tcPr>
                <w:p w14:paraId="62A571BE">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0" w:type="pct"/>
                  <w:vMerge w:val="continue"/>
                  <w:tcBorders>
                    <w:tl2br w:val="nil"/>
                    <w:tr2bl w:val="nil"/>
                  </w:tcBorders>
                  <w:shd w:val="clear" w:color="auto" w:fill="auto"/>
                  <w:vAlign w:val="center"/>
                </w:tcPr>
                <w:p w14:paraId="4E6F5E8A">
                  <w:pPr>
                    <w:spacing w:line="240" w:lineRule="auto"/>
                    <w:jc w:val="center"/>
                    <w:rPr>
                      <w:rFonts w:hint="default" w:ascii="Times New Roman" w:hAnsi="Times New Roman" w:cs="Times New Roman"/>
                      <w:color w:val="auto"/>
                      <w:highlight w:val="none"/>
                      <w:lang w:val="en-US" w:eastAsia="zh-CN"/>
                    </w:rPr>
                  </w:pPr>
                </w:p>
              </w:tc>
            </w:tr>
            <w:tr w14:paraId="1B62A4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501" w:type="pct"/>
                  <w:vMerge w:val="continue"/>
                  <w:tcBorders>
                    <w:tl2br w:val="nil"/>
                    <w:tr2bl w:val="nil"/>
                  </w:tcBorders>
                  <w:shd w:val="clear" w:color="auto" w:fill="auto"/>
                  <w:vAlign w:val="center"/>
                </w:tcPr>
                <w:p w14:paraId="16ADF767">
                  <w:pPr>
                    <w:spacing w:line="240" w:lineRule="auto"/>
                    <w:jc w:val="center"/>
                    <w:rPr>
                      <w:rFonts w:hint="default" w:ascii="Times New Roman" w:hAnsi="Times New Roman" w:cs="Times New Roman"/>
                      <w:color w:val="auto"/>
                      <w:highlight w:val="none"/>
                      <w:lang w:val="en-US" w:eastAsia="zh-CN"/>
                    </w:rPr>
                  </w:pPr>
                </w:p>
              </w:tc>
              <w:tc>
                <w:tcPr>
                  <w:tcW w:w="608" w:type="pct"/>
                  <w:tcBorders>
                    <w:tl2br w:val="nil"/>
                    <w:tr2bl w:val="nil"/>
                  </w:tcBorders>
                  <w:shd w:val="clear" w:color="auto" w:fill="auto"/>
                  <w:vAlign w:val="center"/>
                </w:tcPr>
                <w:p w14:paraId="49696596">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锡及其化合物</w:t>
                  </w:r>
                </w:p>
              </w:tc>
              <w:tc>
                <w:tcPr>
                  <w:tcW w:w="445" w:type="pct"/>
                  <w:vMerge w:val="continue"/>
                  <w:tcBorders>
                    <w:tl2br w:val="nil"/>
                    <w:tr2bl w:val="nil"/>
                  </w:tcBorders>
                  <w:shd w:val="clear" w:color="auto" w:fill="auto"/>
                  <w:vAlign w:val="center"/>
                </w:tcPr>
                <w:p w14:paraId="315F818C">
                  <w:pPr>
                    <w:spacing w:line="240" w:lineRule="auto"/>
                    <w:jc w:val="center"/>
                    <w:rPr>
                      <w:rFonts w:hint="default" w:ascii="Times New Roman" w:hAnsi="Times New Roman" w:cs="Times New Roman"/>
                      <w:color w:val="auto"/>
                      <w:highlight w:val="none"/>
                      <w:lang w:val="en-US" w:eastAsia="zh-CN"/>
                    </w:rPr>
                  </w:pPr>
                </w:p>
              </w:tc>
              <w:tc>
                <w:tcPr>
                  <w:tcW w:w="1273" w:type="pct"/>
                  <w:tcBorders>
                    <w:tl2br w:val="nil"/>
                    <w:tr2bl w:val="nil"/>
                  </w:tcBorders>
                  <w:shd w:val="clear" w:color="auto" w:fill="auto"/>
                  <w:vAlign w:val="center"/>
                </w:tcPr>
                <w:p w14:paraId="52BCBF8D">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周界外最高浓度点</w:t>
                  </w:r>
                </w:p>
                <w:p w14:paraId="77E52368">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0.24</w:t>
                  </w:r>
                </w:p>
              </w:tc>
              <w:tc>
                <w:tcPr>
                  <w:tcW w:w="761" w:type="pct"/>
                  <w:tcBorders>
                    <w:tl2br w:val="nil"/>
                    <w:tr2bl w:val="nil"/>
                  </w:tcBorders>
                  <w:shd w:val="clear" w:color="auto" w:fill="auto"/>
                  <w:vAlign w:val="center"/>
                </w:tcPr>
                <w:p w14:paraId="5F98A107">
                  <w:pPr>
                    <w:spacing w:line="240" w:lineRule="auto"/>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p>
              </w:tc>
              <w:tc>
                <w:tcPr>
                  <w:tcW w:w="1410" w:type="pct"/>
                  <w:vMerge w:val="continue"/>
                  <w:tcBorders>
                    <w:tl2br w:val="nil"/>
                    <w:tr2bl w:val="nil"/>
                  </w:tcBorders>
                  <w:shd w:val="clear" w:color="auto" w:fill="auto"/>
                  <w:vAlign w:val="center"/>
                </w:tcPr>
                <w:p w14:paraId="21656F9D">
                  <w:pPr>
                    <w:spacing w:line="240" w:lineRule="auto"/>
                    <w:jc w:val="center"/>
                    <w:rPr>
                      <w:rFonts w:hint="default" w:ascii="Times New Roman" w:hAnsi="Times New Roman" w:cs="Times New Roman"/>
                      <w:color w:val="auto"/>
                      <w:highlight w:val="none"/>
                      <w:lang w:val="en-US" w:eastAsia="zh-CN"/>
                    </w:rPr>
                  </w:pPr>
                </w:p>
              </w:tc>
            </w:tr>
            <w:tr w14:paraId="2AED09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501" w:type="pct"/>
                  <w:vMerge w:val="continue"/>
                  <w:tcBorders>
                    <w:tl2br w:val="nil"/>
                    <w:tr2bl w:val="nil"/>
                  </w:tcBorders>
                  <w:shd w:val="clear" w:color="auto" w:fill="auto"/>
                  <w:vAlign w:val="center"/>
                </w:tcPr>
                <w:p w14:paraId="21EBDE59">
                  <w:pPr>
                    <w:spacing w:line="240" w:lineRule="auto"/>
                    <w:jc w:val="center"/>
                    <w:rPr>
                      <w:rFonts w:hint="default" w:ascii="Times New Roman" w:hAnsi="Times New Roman" w:cs="Times New Roman"/>
                      <w:color w:val="auto"/>
                      <w:highlight w:val="none"/>
                      <w:lang w:val="en-US" w:eastAsia="zh-CN"/>
                    </w:rPr>
                  </w:pPr>
                </w:p>
              </w:tc>
              <w:tc>
                <w:tcPr>
                  <w:tcW w:w="608" w:type="pct"/>
                  <w:tcBorders>
                    <w:tl2br w:val="nil"/>
                    <w:tr2bl w:val="nil"/>
                  </w:tcBorders>
                  <w:shd w:val="clear" w:color="auto" w:fill="auto"/>
                  <w:vAlign w:val="center"/>
                </w:tcPr>
                <w:p w14:paraId="13FDEE5C">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445" w:type="pct"/>
                  <w:tcBorders>
                    <w:tl2br w:val="nil"/>
                    <w:tr2bl w:val="nil"/>
                  </w:tcBorders>
                  <w:shd w:val="clear" w:color="auto" w:fill="auto"/>
                  <w:vAlign w:val="center"/>
                </w:tcPr>
                <w:p w14:paraId="29B29071">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厂内</w:t>
                  </w:r>
                </w:p>
              </w:tc>
              <w:tc>
                <w:tcPr>
                  <w:tcW w:w="1273" w:type="pct"/>
                  <w:tcBorders>
                    <w:tl2br w:val="nil"/>
                    <w:tr2bl w:val="nil"/>
                  </w:tcBorders>
                  <w:shd w:val="clear" w:color="auto" w:fill="auto"/>
                  <w:vAlign w:val="center"/>
                </w:tcPr>
                <w:p w14:paraId="602EF38F">
                  <w:pPr>
                    <w:spacing w:line="240" w:lineRule="auto"/>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（监控点处1h平均浓度值）</w:t>
                  </w:r>
                </w:p>
                <w:p w14:paraId="21A1B04B">
                  <w:pPr>
                    <w:spacing w:line="240" w:lineRule="auto"/>
                    <w:jc w:val="center"/>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0（监控点处任意一次浓度值）</w:t>
                  </w:r>
                </w:p>
              </w:tc>
              <w:tc>
                <w:tcPr>
                  <w:tcW w:w="761" w:type="pct"/>
                  <w:tcBorders>
                    <w:tl2br w:val="nil"/>
                    <w:tr2bl w:val="nil"/>
                  </w:tcBorders>
                  <w:shd w:val="clear" w:color="auto" w:fill="auto"/>
                  <w:vAlign w:val="center"/>
                </w:tcPr>
                <w:p w14:paraId="2CBE71BF">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410" w:type="pct"/>
                  <w:tcBorders>
                    <w:tl2br w:val="nil"/>
                    <w:tr2bl w:val="nil"/>
                  </w:tcBorders>
                  <w:shd w:val="clear" w:color="auto" w:fill="auto"/>
                  <w:vAlign w:val="center"/>
                </w:tcPr>
                <w:p w14:paraId="6E405697">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《挥发性有机物无组织排放控制标准》（GB37822-2019）附录A</w:t>
                  </w:r>
                </w:p>
              </w:tc>
            </w:tr>
            <w:tr w14:paraId="1C14C0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5000" w:type="pct"/>
                  <w:gridSpan w:val="6"/>
                  <w:tcBorders>
                    <w:tl2br w:val="nil"/>
                    <w:tr2bl w:val="nil"/>
                  </w:tcBorders>
                  <w:shd w:val="clear" w:color="auto" w:fill="auto"/>
                  <w:vAlign w:val="center"/>
                </w:tcPr>
                <w:p w14:paraId="15AA2D44">
                  <w:pPr>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注</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GB3 \* MERGEFORMAT </w:instrText>
                  </w:r>
                  <w:r>
                    <w:rPr>
                      <w:rFonts w:hint="default" w:ascii="Times New Roman" w:hAnsi="Times New Roman" w:cs="Times New Roman"/>
                      <w:color w:val="auto"/>
                      <w:highlight w:val="none"/>
                      <w:lang w:val="en-US" w:eastAsia="zh-CN"/>
                    </w:rPr>
                    <w:fldChar w:fldCharType="separate"/>
                  </w: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：排放速率为根据《大气污染物综合排放标准》（GB16297-1996）中要求，采用内插法计算而得</w:t>
                  </w:r>
                </w:p>
              </w:tc>
            </w:tr>
          </w:tbl>
          <w:p w14:paraId="3055F628">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废水</w:t>
            </w:r>
          </w:p>
          <w:p w14:paraId="1AD44B89">
            <w:pPr>
              <w:wordWrap w:val="0"/>
              <w:spacing w:line="360" w:lineRule="auto"/>
              <w:ind w:firstLine="480"/>
              <w:jc w:val="left"/>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val="en-US" w:eastAsia="zh-CN"/>
              </w:rPr>
              <w:t>纯水机制备纯水产生的部分浓水回用于道路浇洒用水，多余的浓水经市政污水管网排入沣西新城大王污水处理厂</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食堂废水经油水分离器处理后与生活污水均经</w:t>
            </w:r>
            <w:r>
              <w:rPr>
                <w:rFonts w:hint="default" w:ascii="Times New Roman" w:hAnsi="Times New Roman" w:cs="Times New Roman"/>
                <w:color w:val="auto"/>
                <w:sz w:val="24"/>
                <w:szCs w:val="24"/>
                <w:highlight w:val="none"/>
                <w:lang w:val="en-US" w:eastAsia="zh-CN"/>
              </w:rPr>
              <w:t>厂区化粪池预处理后再经</w:t>
            </w:r>
            <w:r>
              <w:rPr>
                <w:rFonts w:hint="default" w:ascii="Times New Roman" w:hAnsi="Times New Roman" w:eastAsia="宋体" w:cs="Times New Roman"/>
                <w:color w:val="auto"/>
                <w:sz w:val="24"/>
                <w:szCs w:val="24"/>
                <w:highlight w:val="none"/>
              </w:rPr>
              <w:t>市政管网排入</w:t>
            </w:r>
            <w:r>
              <w:rPr>
                <w:rFonts w:hint="default" w:ascii="Times New Roman" w:hAnsi="Times New Roman" w:cs="Times New Roman"/>
                <w:color w:val="auto"/>
                <w:sz w:val="24"/>
                <w:szCs w:val="24"/>
                <w:highlight w:val="none"/>
                <w:lang w:val="en-US" w:eastAsia="zh-CN"/>
              </w:rPr>
              <w:t>沣西新城大王污水处理厂统一处理，沣西新城大王污水处理厂采用二级处理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废水COD、BOD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、SS、动植物油执行《污水综合排放标准》（GB8978-1996）中的三级标准</w:t>
            </w:r>
            <w:r>
              <w:rPr>
                <w:rFonts w:hint="default" w:ascii="Times New Roman" w:hAnsi="Times New Roman" w:cs="Times New Roman"/>
                <w:color w:val="auto"/>
                <w:sz w:val="24"/>
                <w:szCs w:val="24"/>
                <w:highlight w:val="none"/>
                <w:lang w:val="en-US" w:eastAsia="zh-CN"/>
              </w:rPr>
              <w:t>，氨氮、总氮、总磷执行</w:t>
            </w:r>
            <w:r>
              <w:rPr>
                <w:rFonts w:hint="default" w:ascii="Times New Roman" w:hAnsi="Times New Roman" w:cs="Times New Roman"/>
                <w:color w:val="auto"/>
                <w:sz w:val="24"/>
                <w:szCs w:val="24"/>
                <w:highlight w:val="none"/>
                <w:lang w:val="en-US" w:eastAsia="zh-CN"/>
              </w:rPr>
              <w:t>《污水排入城镇下水道水质标准》（GB/T31962-2015）</w:t>
            </w:r>
            <w:r>
              <w:rPr>
                <w:rFonts w:hint="eastAsia" w:cs="Times New Roman"/>
                <w:color w:val="auto"/>
                <w:sz w:val="24"/>
                <w:szCs w:val="24"/>
                <w:highlight w:val="none"/>
                <w:lang w:val="en-US" w:eastAsia="zh-CN"/>
              </w:rPr>
              <w:t>A</w:t>
            </w:r>
            <w:r>
              <w:rPr>
                <w:rFonts w:hint="default" w:ascii="Times New Roman" w:hAnsi="Times New Roman" w:cs="Times New Roman"/>
                <w:color w:val="auto"/>
                <w:sz w:val="24"/>
                <w:szCs w:val="24"/>
                <w:highlight w:val="none"/>
                <w:lang w:val="en-US" w:eastAsia="zh-CN"/>
              </w:rPr>
              <w:t>级标准</w:t>
            </w:r>
            <w:r>
              <w:rPr>
                <w:rFonts w:hint="default" w:ascii="Times New Roman" w:hAnsi="Times New Roman" w:cs="Times New Roman"/>
                <w:color w:val="auto"/>
                <w:sz w:val="24"/>
                <w:szCs w:val="24"/>
                <w:highlight w:val="none"/>
              </w:rPr>
              <w:t>。</w:t>
            </w:r>
          </w:p>
          <w:p w14:paraId="7C4B931A">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3-</w:t>
            </w:r>
            <w:r>
              <w:rPr>
                <w:rFonts w:hint="default" w:ascii="Times New Roman" w:hAnsi="Times New Roman"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 xml:space="preserve">   废水污染物排放标准</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1629"/>
              <w:gridCol w:w="1396"/>
              <w:gridCol w:w="3881"/>
            </w:tblGrid>
            <w:tr w14:paraId="39FEE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53" w:type="pct"/>
                  <w:tcBorders>
                    <w:tl2br w:val="nil"/>
                    <w:tr2bl w:val="nil"/>
                  </w:tcBorders>
                  <w:tcMar>
                    <w:left w:w="0" w:type="dxa"/>
                    <w:right w:w="0" w:type="dxa"/>
                  </w:tcMar>
                  <w:vAlign w:val="center"/>
                </w:tcPr>
                <w:p w14:paraId="3C8F1B9F">
                  <w:pPr>
                    <w:pStyle w:val="36"/>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污染物名称</w:t>
                  </w:r>
                </w:p>
              </w:tc>
              <w:tc>
                <w:tcPr>
                  <w:tcW w:w="954" w:type="pct"/>
                  <w:tcBorders>
                    <w:tl2br w:val="nil"/>
                    <w:tr2bl w:val="nil"/>
                  </w:tcBorders>
                  <w:tcMar>
                    <w:left w:w="0" w:type="dxa"/>
                    <w:right w:w="0" w:type="dxa"/>
                  </w:tcMar>
                  <w:vAlign w:val="center"/>
                </w:tcPr>
                <w:p w14:paraId="2B7D17E0">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监控点</w:t>
                  </w:r>
                </w:p>
              </w:tc>
              <w:tc>
                <w:tcPr>
                  <w:tcW w:w="818" w:type="pct"/>
                  <w:tcBorders>
                    <w:tl2br w:val="nil"/>
                    <w:tr2bl w:val="nil"/>
                  </w:tcBorders>
                  <w:tcMar>
                    <w:left w:w="0" w:type="dxa"/>
                    <w:right w:w="0" w:type="dxa"/>
                  </w:tcMar>
                  <w:vAlign w:val="center"/>
                </w:tcPr>
                <w:p w14:paraId="300E5D63">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标准值</w:t>
                  </w:r>
                </w:p>
              </w:tc>
              <w:tc>
                <w:tcPr>
                  <w:tcW w:w="2273" w:type="pct"/>
                  <w:tcBorders>
                    <w:tl2br w:val="nil"/>
                    <w:tr2bl w:val="nil"/>
                  </w:tcBorders>
                  <w:tcMar>
                    <w:left w:w="0" w:type="dxa"/>
                    <w:right w:w="0" w:type="dxa"/>
                  </w:tcMar>
                  <w:vAlign w:val="center"/>
                </w:tcPr>
                <w:p w14:paraId="7CA2E5F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标准来源</w:t>
                  </w:r>
                </w:p>
              </w:tc>
            </w:tr>
            <w:tr w14:paraId="4449F4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46EDCC5B">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p>
              </w:tc>
              <w:tc>
                <w:tcPr>
                  <w:tcW w:w="954" w:type="pct"/>
                  <w:vMerge w:val="restart"/>
                  <w:tcBorders>
                    <w:tl2br w:val="nil"/>
                    <w:tr2bl w:val="nil"/>
                  </w:tcBorders>
                  <w:tcMar>
                    <w:left w:w="0" w:type="dxa"/>
                    <w:right w:w="0" w:type="dxa"/>
                  </w:tcMar>
                  <w:vAlign w:val="center"/>
                </w:tcPr>
                <w:p w14:paraId="24DA7BF8">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厂区总排口</w:t>
                  </w:r>
                </w:p>
              </w:tc>
              <w:tc>
                <w:tcPr>
                  <w:tcW w:w="818" w:type="pct"/>
                  <w:tcBorders>
                    <w:tl2br w:val="nil"/>
                    <w:tr2bl w:val="nil"/>
                  </w:tcBorders>
                  <w:tcMar>
                    <w:left w:w="0" w:type="dxa"/>
                    <w:right w:w="0" w:type="dxa"/>
                  </w:tcMar>
                  <w:vAlign w:val="center"/>
                </w:tcPr>
                <w:p w14:paraId="4E652536">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c>
                <w:tcPr>
                  <w:tcW w:w="2273" w:type="pct"/>
                  <w:vMerge w:val="restart"/>
                  <w:tcBorders>
                    <w:tl2br w:val="nil"/>
                    <w:tr2bl w:val="nil"/>
                  </w:tcBorders>
                  <w:tcMar>
                    <w:left w:w="0" w:type="dxa"/>
                    <w:right w:w="0" w:type="dxa"/>
                  </w:tcMar>
                  <w:vAlign w:val="center"/>
                </w:tcPr>
                <w:p w14:paraId="49E50A87">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《污水综合排放标准》（GB8978-1996）三级标准</w:t>
                  </w:r>
                </w:p>
              </w:tc>
            </w:tr>
            <w:tr w14:paraId="35F312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5492413E">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954" w:type="pct"/>
                  <w:vMerge w:val="continue"/>
                  <w:tcBorders>
                    <w:tl2br w:val="nil"/>
                    <w:tr2bl w:val="nil"/>
                  </w:tcBorders>
                  <w:tcMar>
                    <w:left w:w="0" w:type="dxa"/>
                    <w:right w:w="0" w:type="dxa"/>
                  </w:tcMar>
                  <w:vAlign w:val="center"/>
                </w:tcPr>
                <w:p w14:paraId="48246A22">
                  <w:pPr>
                    <w:jc w:val="center"/>
                    <w:rPr>
                      <w:rFonts w:hint="default" w:ascii="Times New Roman" w:hAnsi="Times New Roman" w:eastAsia="宋体" w:cs="Times New Roman"/>
                      <w:color w:val="auto"/>
                      <w:sz w:val="21"/>
                      <w:szCs w:val="21"/>
                      <w:highlight w:val="none"/>
                    </w:rPr>
                  </w:pPr>
                </w:p>
              </w:tc>
              <w:tc>
                <w:tcPr>
                  <w:tcW w:w="818" w:type="pct"/>
                  <w:tcBorders>
                    <w:tl2br w:val="nil"/>
                    <w:tr2bl w:val="nil"/>
                  </w:tcBorders>
                  <w:tcMar>
                    <w:left w:w="0" w:type="dxa"/>
                    <w:right w:w="0" w:type="dxa"/>
                  </w:tcMar>
                  <w:vAlign w:val="center"/>
                </w:tcPr>
                <w:p w14:paraId="369B1A2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500</w:t>
                  </w:r>
                </w:p>
              </w:tc>
              <w:tc>
                <w:tcPr>
                  <w:tcW w:w="2273" w:type="pct"/>
                  <w:vMerge w:val="continue"/>
                  <w:tcBorders>
                    <w:tl2br w:val="nil"/>
                    <w:tr2bl w:val="nil"/>
                  </w:tcBorders>
                  <w:tcMar>
                    <w:left w:w="0" w:type="dxa"/>
                    <w:right w:w="0" w:type="dxa"/>
                  </w:tcMar>
                  <w:vAlign w:val="center"/>
                </w:tcPr>
                <w:p w14:paraId="1795ED4D">
                  <w:pPr>
                    <w:jc w:val="center"/>
                    <w:rPr>
                      <w:rFonts w:hint="default" w:ascii="Times New Roman" w:hAnsi="Times New Roman" w:eastAsia="宋体" w:cs="Times New Roman"/>
                      <w:color w:val="auto"/>
                      <w:sz w:val="21"/>
                      <w:szCs w:val="21"/>
                      <w:highlight w:val="none"/>
                    </w:rPr>
                  </w:pPr>
                </w:p>
              </w:tc>
            </w:tr>
            <w:tr w14:paraId="34FD9C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06717FE0">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954" w:type="pct"/>
                  <w:vMerge w:val="continue"/>
                  <w:tcBorders>
                    <w:tl2br w:val="nil"/>
                    <w:tr2bl w:val="nil"/>
                  </w:tcBorders>
                  <w:tcMar>
                    <w:left w:w="0" w:type="dxa"/>
                    <w:right w:w="0" w:type="dxa"/>
                  </w:tcMar>
                  <w:vAlign w:val="center"/>
                </w:tcPr>
                <w:p w14:paraId="36223CB7">
                  <w:pPr>
                    <w:jc w:val="center"/>
                    <w:rPr>
                      <w:rFonts w:hint="default" w:ascii="Times New Roman" w:hAnsi="Times New Roman" w:eastAsia="宋体" w:cs="Times New Roman"/>
                      <w:color w:val="auto"/>
                      <w:sz w:val="21"/>
                      <w:szCs w:val="21"/>
                      <w:highlight w:val="none"/>
                    </w:rPr>
                  </w:pPr>
                </w:p>
              </w:tc>
              <w:tc>
                <w:tcPr>
                  <w:tcW w:w="818" w:type="pct"/>
                  <w:tcBorders>
                    <w:tl2br w:val="nil"/>
                    <w:tr2bl w:val="nil"/>
                  </w:tcBorders>
                  <w:tcMar>
                    <w:left w:w="0" w:type="dxa"/>
                    <w:right w:w="0" w:type="dxa"/>
                  </w:tcMar>
                  <w:vAlign w:val="center"/>
                </w:tcPr>
                <w:p w14:paraId="7F7A0814">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400</w:t>
                  </w:r>
                </w:p>
              </w:tc>
              <w:tc>
                <w:tcPr>
                  <w:tcW w:w="2273" w:type="pct"/>
                  <w:vMerge w:val="continue"/>
                  <w:tcBorders>
                    <w:tl2br w:val="nil"/>
                    <w:tr2bl w:val="nil"/>
                  </w:tcBorders>
                  <w:tcMar>
                    <w:left w:w="0" w:type="dxa"/>
                    <w:right w:w="0" w:type="dxa"/>
                  </w:tcMar>
                  <w:vAlign w:val="center"/>
                </w:tcPr>
                <w:p w14:paraId="5488BB9A">
                  <w:pPr>
                    <w:jc w:val="center"/>
                    <w:rPr>
                      <w:rFonts w:hint="default" w:ascii="Times New Roman" w:hAnsi="Times New Roman" w:eastAsia="宋体" w:cs="Times New Roman"/>
                      <w:color w:val="auto"/>
                      <w:sz w:val="21"/>
                      <w:szCs w:val="21"/>
                      <w:highlight w:val="none"/>
                    </w:rPr>
                  </w:pPr>
                </w:p>
              </w:tc>
            </w:tr>
            <w:tr w14:paraId="5364D8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67810E74">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动植物油</w:t>
                  </w:r>
                </w:p>
              </w:tc>
              <w:tc>
                <w:tcPr>
                  <w:tcW w:w="954" w:type="pct"/>
                  <w:vMerge w:val="continue"/>
                  <w:tcBorders>
                    <w:tl2br w:val="nil"/>
                    <w:tr2bl w:val="nil"/>
                  </w:tcBorders>
                  <w:tcMar>
                    <w:left w:w="0" w:type="dxa"/>
                    <w:right w:w="0" w:type="dxa"/>
                  </w:tcMar>
                  <w:vAlign w:val="center"/>
                </w:tcPr>
                <w:p w14:paraId="4302E624">
                  <w:pPr>
                    <w:jc w:val="center"/>
                    <w:rPr>
                      <w:rFonts w:hint="default" w:ascii="Times New Roman" w:hAnsi="Times New Roman" w:eastAsia="宋体" w:cs="Times New Roman"/>
                      <w:color w:val="auto"/>
                      <w:sz w:val="21"/>
                      <w:szCs w:val="21"/>
                      <w:highlight w:val="none"/>
                    </w:rPr>
                  </w:pPr>
                </w:p>
              </w:tc>
              <w:tc>
                <w:tcPr>
                  <w:tcW w:w="818" w:type="pct"/>
                  <w:tcBorders>
                    <w:tl2br w:val="nil"/>
                    <w:tr2bl w:val="nil"/>
                  </w:tcBorders>
                  <w:tcMar>
                    <w:left w:w="0" w:type="dxa"/>
                    <w:right w:w="0" w:type="dxa"/>
                  </w:tcMar>
                  <w:vAlign w:val="center"/>
                </w:tcPr>
                <w:p w14:paraId="753FBB34">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2273" w:type="pct"/>
                  <w:vMerge w:val="continue"/>
                  <w:tcBorders>
                    <w:tl2br w:val="nil"/>
                    <w:tr2bl w:val="nil"/>
                  </w:tcBorders>
                  <w:tcMar>
                    <w:left w:w="0" w:type="dxa"/>
                    <w:right w:w="0" w:type="dxa"/>
                  </w:tcMar>
                  <w:vAlign w:val="center"/>
                </w:tcPr>
                <w:p w14:paraId="5422068A">
                  <w:pPr>
                    <w:jc w:val="center"/>
                    <w:rPr>
                      <w:rFonts w:hint="default" w:ascii="Times New Roman" w:hAnsi="Times New Roman" w:eastAsia="宋体" w:cs="Times New Roman"/>
                      <w:color w:val="auto"/>
                      <w:sz w:val="21"/>
                      <w:szCs w:val="21"/>
                      <w:highlight w:val="none"/>
                    </w:rPr>
                  </w:pPr>
                </w:p>
              </w:tc>
            </w:tr>
            <w:tr w14:paraId="1CEC24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476DB127">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954" w:type="pct"/>
                  <w:vMerge w:val="continue"/>
                  <w:tcBorders>
                    <w:tl2br w:val="nil"/>
                    <w:tr2bl w:val="nil"/>
                  </w:tcBorders>
                  <w:tcMar>
                    <w:left w:w="0" w:type="dxa"/>
                    <w:right w:w="0" w:type="dxa"/>
                  </w:tcMar>
                  <w:vAlign w:val="center"/>
                </w:tcPr>
                <w:p w14:paraId="62F9FC53">
                  <w:pPr>
                    <w:jc w:val="center"/>
                    <w:rPr>
                      <w:rFonts w:hint="default" w:ascii="Times New Roman" w:hAnsi="Times New Roman" w:eastAsia="宋体" w:cs="Times New Roman"/>
                      <w:color w:val="auto"/>
                      <w:sz w:val="21"/>
                      <w:szCs w:val="21"/>
                      <w:highlight w:val="none"/>
                    </w:rPr>
                  </w:pPr>
                </w:p>
              </w:tc>
              <w:tc>
                <w:tcPr>
                  <w:tcW w:w="818" w:type="pct"/>
                  <w:tcBorders>
                    <w:tl2br w:val="nil"/>
                    <w:tr2bl w:val="nil"/>
                  </w:tcBorders>
                  <w:tcMar>
                    <w:left w:w="0" w:type="dxa"/>
                    <w:right w:w="0" w:type="dxa"/>
                  </w:tcMar>
                  <w:vAlign w:val="center"/>
                </w:tcPr>
                <w:p w14:paraId="6570F188">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w:t>
                  </w:r>
                </w:p>
              </w:tc>
              <w:tc>
                <w:tcPr>
                  <w:tcW w:w="2273" w:type="pct"/>
                  <w:vMerge w:val="restart"/>
                  <w:tcBorders>
                    <w:tl2br w:val="nil"/>
                    <w:tr2bl w:val="nil"/>
                  </w:tcBorders>
                  <w:tcMar>
                    <w:left w:w="0" w:type="dxa"/>
                    <w:right w:w="0" w:type="dxa"/>
                  </w:tcMar>
                  <w:vAlign w:val="center"/>
                </w:tcPr>
                <w:p w14:paraId="33B06B3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《污水排入城镇下水道水质标准》（GB/T31962-2015）</w:t>
                  </w:r>
                  <w:r>
                    <w:rPr>
                      <w:rFonts w:hint="eastAsia"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rPr>
                    <w:t>级标准</w:t>
                  </w:r>
                </w:p>
              </w:tc>
            </w:tr>
            <w:tr w14:paraId="77815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426C8378">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TN</w:t>
                  </w:r>
                </w:p>
              </w:tc>
              <w:tc>
                <w:tcPr>
                  <w:tcW w:w="954" w:type="pct"/>
                  <w:vMerge w:val="continue"/>
                  <w:tcBorders>
                    <w:tl2br w:val="nil"/>
                    <w:tr2bl w:val="nil"/>
                  </w:tcBorders>
                  <w:tcMar>
                    <w:left w:w="0" w:type="dxa"/>
                    <w:right w:w="0" w:type="dxa"/>
                  </w:tcMar>
                  <w:vAlign w:val="center"/>
                </w:tcPr>
                <w:p w14:paraId="704EAC36">
                  <w:pPr>
                    <w:jc w:val="center"/>
                    <w:rPr>
                      <w:rFonts w:hint="default" w:ascii="Times New Roman" w:hAnsi="Times New Roman" w:eastAsia="宋体" w:cs="Times New Roman"/>
                      <w:color w:val="auto"/>
                      <w:sz w:val="21"/>
                      <w:szCs w:val="21"/>
                      <w:highlight w:val="none"/>
                    </w:rPr>
                  </w:pPr>
                </w:p>
              </w:tc>
              <w:tc>
                <w:tcPr>
                  <w:tcW w:w="818" w:type="pct"/>
                  <w:tcBorders>
                    <w:tl2br w:val="nil"/>
                    <w:tr2bl w:val="nil"/>
                  </w:tcBorders>
                  <w:tcMar>
                    <w:left w:w="0" w:type="dxa"/>
                    <w:right w:w="0" w:type="dxa"/>
                  </w:tcMar>
                  <w:vAlign w:val="center"/>
                </w:tcPr>
                <w:p w14:paraId="240E7AA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2273" w:type="pct"/>
                  <w:vMerge w:val="continue"/>
                  <w:tcBorders>
                    <w:tl2br w:val="nil"/>
                    <w:tr2bl w:val="nil"/>
                  </w:tcBorders>
                  <w:tcMar>
                    <w:left w:w="0" w:type="dxa"/>
                    <w:right w:w="0" w:type="dxa"/>
                  </w:tcMar>
                  <w:vAlign w:val="center"/>
                </w:tcPr>
                <w:p w14:paraId="3E296F1F">
                  <w:pPr>
                    <w:jc w:val="center"/>
                    <w:rPr>
                      <w:rFonts w:hint="default" w:ascii="Times New Roman" w:hAnsi="Times New Roman" w:eastAsia="宋体" w:cs="Times New Roman"/>
                      <w:color w:val="auto"/>
                      <w:sz w:val="21"/>
                      <w:szCs w:val="21"/>
                      <w:highlight w:val="none"/>
                    </w:rPr>
                  </w:pPr>
                </w:p>
              </w:tc>
            </w:tr>
            <w:tr w14:paraId="590EE0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53" w:type="pct"/>
                  <w:tcBorders>
                    <w:tl2br w:val="nil"/>
                    <w:tr2bl w:val="nil"/>
                  </w:tcBorders>
                  <w:tcMar>
                    <w:left w:w="0" w:type="dxa"/>
                    <w:right w:w="0" w:type="dxa"/>
                  </w:tcMar>
                  <w:vAlign w:val="center"/>
                </w:tcPr>
                <w:p w14:paraId="44039360">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TP</w:t>
                  </w:r>
                </w:p>
              </w:tc>
              <w:tc>
                <w:tcPr>
                  <w:tcW w:w="954" w:type="pct"/>
                  <w:vMerge w:val="continue"/>
                  <w:tcBorders>
                    <w:tl2br w:val="nil"/>
                    <w:tr2bl w:val="nil"/>
                  </w:tcBorders>
                  <w:tcMar>
                    <w:left w:w="0" w:type="dxa"/>
                    <w:right w:w="0" w:type="dxa"/>
                  </w:tcMar>
                  <w:vAlign w:val="center"/>
                </w:tcPr>
                <w:p w14:paraId="46B3B0AA">
                  <w:pPr>
                    <w:jc w:val="center"/>
                    <w:rPr>
                      <w:rFonts w:hint="default" w:ascii="Times New Roman" w:hAnsi="Times New Roman" w:eastAsia="宋体" w:cs="Times New Roman"/>
                      <w:color w:val="auto"/>
                      <w:sz w:val="21"/>
                      <w:szCs w:val="21"/>
                      <w:highlight w:val="none"/>
                    </w:rPr>
                  </w:pPr>
                </w:p>
              </w:tc>
              <w:tc>
                <w:tcPr>
                  <w:tcW w:w="818" w:type="pct"/>
                  <w:tcBorders>
                    <w:tl2br w:val="nil"/>
                    <w:tr2bl w:val="nil"/>
                  </w:tcBorders>
                  <w:tcMar>
                    <w:left w:w="0" w:type="dxa"/>
                    <w:right w:w="0" w:type="dxa"/>
                  </w:tcMar>
                  <w:vAlign w:val="center"/>
                </w:tcPr>
                <w:p w14:paraId="22F6BD5F">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w:t>
                  </w:r>
                </w:p>
              </w:tc>
              <w:tc>
                <w:tcPr>
                  <w:tcW w:w="2273" w:type="pct"/>
                  <w:vMerge w:val="continue"/>
                  <w:tcBorders>
                    <w:tl2br w:val="nil"/>
                    <w:tr2bl w:val="nil"/>
                  </w:tcBorders>
                  <w:tcMar>
                    <w:left w:w="0" w:type="dxa"/>
                    <w:right w:w="0" w:type="dxa"/>
                  </w:tcMar>
                  <w:vAlign w:val="center"/>
                </w:tcPr>
                <w:p w14:paraId="22A940E6">
                  <w:pPr>
                    <w:jc w:val="center"/>
                    <w:rPr>
                      <w:rFonts w:hint="default" w:ascii="Times New Roman" w:hAnsi="Times New Roman" w:eastAsia="宋体" w:cs="Times New Roman"/>
                      <w:color w:val="auto"/>
                      <w:sz w:val="21"/>
                      <w:szCs w:val="21"/>
                      <w:highlight w:val="none"/>
                      <w:lang w:val="en-US"/>
                    </w:rPr>
                  </w:pPr>
                </w:p>
              </w:tc>
            </w:tr>
          </w:tbl>
          <w:p w14:paraId="7009CCD0">
            <w:pPr>
              <w:pStyle w:val="2"/>
              <w:numPr>
                <w:ilvl w:val="0"/>
                <w:numId w:val="11"/>
              </w:numPr>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噪声</w:t>
            </w:r>
          </w:p>
          <w:p w14:paraId="6494AD4E">
            <w:pPr>
              <w:wordWrap w:val="0"/>
              <w:spacing w:line="360" w:lineRule="auto"/>
              <w:ind w:firstLine="48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szCs w:val="24"/>
                <w:highlight w:val="none"/>
                <w:lang w:val="en-US" w:eastAsia="zh-CN"/>
              </w:rPr>
              <w:t>建筑施工期噪声排放执行《建筑施工噪声排放标准》（GB12523-20</w:t>
            </w:r>
            <w:r>
              <w:rPr>
                <w:rFonts w:hint="default" w:ascii="Times New Roman" w:hAnsi="Times New Roman"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）中有关规定；营运期厂界噪声执行《工业企业厂界环境噪声排放标准》（GB12348-2008）</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类标准，本项目的敏感点噪声执行《声环境质量标准》（GB3096-2008）2类标准，具体标准值见下表。</w:t>
            </w:r>
          </w:p>
          <w:p w14:paraId="1280BA6F">
            <w:pPr>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表3-</w:t>
            </w:r>
            <w:r>
              <w:rPr>
                <w:rFonts w:hint="default" w:ascii="Times New Roman" w:hAnsi="Times New Roman" w:cs="Times New Roman"/>
                <w:b/>
                <w:bCs/>
                <w:color w:val="auto"/>
                <w:szCs w:val="21"/>
                <w:highlight w:val="none"/>
                <w:lang w:val="en-US" w:eastAsia="zh-CN"/>
              </w:rPr>
              <w:t>8</w:t>
            </w:r>
            <w:r>
              <w:rPr>
                <w:rFonts w:hint="default" w:ascii="Times New Roman" w:hAnsi="Times New Roman" w:eastAsia="宋体" w:cs="Times New Roman"/>
                <w:b/>
                <w:bCs/>
                <w:color w:val="auto"/>
                <w:szCs w:val="21"/>
                <w:highlight w:val="none"/>
              </w:rPr>
              <w:t xml:space="preserve">   噪声排放标准</w:t>
            </w:r>
          </w:p>
          <w:tbl>
            <w:tblPr>
              <w:tblStyle w:val="61"/>
              <w:tblW w:w="499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895"/>
              <w:gridCol w:w="883"/>
              <w:gridCol w:w="3048"/>
              <w:gridCol w:w="799"/>
              <w:gridCol w:w="1603"/>
              <w:gridCol w:w="1306"/>
            </w:tblGrid>
            <w:tr w14:paraId="02515F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9" w:hRule="atLeast"/>
                <w:jc w:val="center"/>
              </w:trPr>
              <w:tc>
                <w:tcPr>
                  <w:tcW w:w="1041" w:type="pct"/>
                  <w:gridSpan w:val="2"/>
                  <w:vMerge w:val="restart"/>
                  <w:tcBorders>
                    <w:tl2br w:val="nil"/>
                    <w:tr2bl w:val="nil"/>
                  </w:tcBorders>
                  <w:vAlign w:val="center"/>
                </w:tcPr>
                <w:p w14:paraId="6A00A53E">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时期</w:t>
                  </w:r>
                </w:p>
              </w:tc>
              <w:tc>
                <w:tcPr>
                  <w:tcW w:w="1785" w:type="pct"/>
                  <w:vMerge w:val="restart"/>
                  <w:tcBorders>
                    <w:tl2br w:val="nil"/>
                    <w:tr2bl w:val="nil"/>
                  </w:tcBorders>
                  <w:vAlign w:val="center"/>
                </w:tcPr>
                <w:p w14:paraId="1C395C7C">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标准名称</w:t>
                  </w:r>
                </w:p>
              </w:tc>
              <w:tc>
                <w:tcPr>
                  <w:tcW w:w="468" w:type="pct"/>
                  <w:vMerge w:val="restart"/>
                  <w:tcBorders>
                    <w:tl2br w:val="nil"/>
                    <w:tr2bl w:val="nil"/>
                  </w:tcBorders>
                  <w:vAlign w:val="center"/>
                </w:tcPr>
                <w:p w14:paraId="660C425D">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级别</w:t>
                  </w:r>
                </w:p>
              </w:tc>
              <w:tc>
                <w:tcPr>
                  <w:tcW w:w="1704" w:type="pct"/>
                  <w:gridSpan w:val="2"/>
                  <w:tcBorders>
                    <w:tl2br w:val="nil"/>
                    <w:tr2bl w:val="nil"/>
                  </w:tcBorders>
                  <w:vAlign w:val="center"/>
                </w:tcPr>
                <w:p w14:paraId="38786F2A">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排放标准值[dB（A）</w:t>
                  </w:r>
                </w:p>
              </w:tc>
            </w:tr>
            <w:tr w14:paraId="677A3D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4" w:hRule="atLeast"/>
                <w:jc w:val="center"/>
              </w:trPr>
              <w:tc>
                <w:tcPr>
                  <w:tcW w:w="1041" w:type="pct"/>
                  <w:gridSpan w:val="2"/>
                  <w:vMerge w:val="continue"/>
                  <w:tcBorders>
                    <w:tl2br w:val="nil"/>
                    <w:tr2bl w:val="nil"/>
                  </w:tcBorders>
                  <w:vAlign w:val="center"/>
                </w:tcPr>
                <w:p w14:paraId="1C7F3DE9">
                  <w:pPr>
                    <w:jc w:val="center"/>
                    <w:rPr>
                      <w:rFonts w:hint="default" w:ascii="Times New Roman" w:hAnsi="Times New Roman" w:eastAsia="宋体" w:cs="Times New Roman"/>
                      <w:b/>
                      <w:bCs/>
                      <w:color w:val="auto"/>
                      <w:sz w:val="21"/>
                      <w:szCs w:val="21"/>
                      <w:highlight w:val="none"/>
                      <w:lang w:val="en-US" w:eastAsia="zh-CN"/>
                    </w:rPr>
                  </w:pPr>
                </w:p>
              </w:tc>
              <w:tc>
                <w:tcPr>
                  <w:tcW w:w="1785" w:type="pct"/>
                  <w:vMerge w:val="continue"/>
                  <w:tcBorders>
                    <w:tl2br w:val="nil"/>
                    <w:tr2bl w:val="nil"/>
                  </w:tcBorders>
                  <w:vAlign w:val="center"/>
                </w:tcPr>
                <w:p w14:paraId="47F78746">
                  <w:pPr>
                    <w:jc w:val="center"/>
                    <w:rPr>
                      <w:rFonts w:hint="default" w:ascii="Times New Roman" w:hAnsi="Times New Roman" w:eastAsia="宋体" w:cs="Times New Roman"/>
                      <w:b/>
                      <w:bCs/>
                      <w:color w:val="auto"/>
                      <w:sz w:val="21"/>
                      <w:szCs w:val="21"/>
                      <w:highlight w:val="none"/>
                      <w:lang w:val="en-US" w:eastAsia="zh-CN"/>
                    </w:rPr>
                  </w:pPr>
                </w:p>
              </w:tc>
              <w:tc>
                <w:tcPr>
                  <w:tcW w:w="468" w:type="pct"/>
                  <w:vMerge w:val="continue"/>
                  <w:tcBorders>
                    <w:tl2br w:val="nil"/>
                    <w:tr2bl w:val="nil"/>
                  </w:tcBorders>
                  <w:vAlign w:val="center"/>
                </w:tcPr>
                <w:p w14:paraId="4BC63DA2">
                  <w:pPr>
                    <w:jc w:val="center"/>
                    <w:rPr>
                      <w:rFonts w:hint="default" w:ascii="Times New Roman" w:hAnsi="Times New Roman" w:eastAsia="宋体" w:cs="Times New Roman"/>
                      <w:b/>
                      <w:bCs/>
                      <w:color w:val="auto"/>
                      <w:sz w:val="21"/>
                      <w:szCs w:val="21"/>
                      <w:highlight w:val="none"/>
                      <w:lang w:val="en-US" w:eastAsia="zh-CN"/>
                    </w:rPr>
                  </w:pPr>
                </w:p>
              </w:tc>
              <w:tc>
                <w:tcPr>
                  <w:tcW w:w="939" w:type="pct"/>
                  <w:tcBorders>
                    <w:tl2br w:val="nil"/>
                    <w:tr2bl w:val="nil"/>
                  </w:tcBorders>
                  <w:vAlign w:val="center"/>
                </w:tcPr>
                <w:p w14:paraId="5FE4FEC2">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昼间</w:t>
                  </w:r>
                </w:p>
              </w:tc>
              <w:tc>
                <w:tcPr>
                  <w:tcW w:w="764" w:type="pct"/>
                  <w:tcBorders>
                    <w:tl2br w:val="nil"/>
                    <w:tr2bl w:val="nil"/>
                  </w:tcBorders>
                  <w:vAlign w:val="center"/>
                </w:tcPr>
                <w:p w14:paraId="02EE91FD">
                  <w:pPr>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夜间</w:t>
                  </w:r>
                </w:p>
              </w:tc>
            </w:tr>
            <w:tr w14:paraId="72E1BB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041" w:type="pct"/>
                  <w:gridSpan w:val="2"/>
                  <w:tcBorders>
                    <w:tl2br w:val="nil"/>
                    <w:tr2bl w:val="nil"/>
                  </w:tcBorders>
                  <w:vAlign w:val="center"/>
                </w:tcPr>
                <w:p w14:paraId="72083253">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施工期</w:t>
                  </w:r>
                </w:p>
              </w:tc>
              <w:tc>
                <w:tcPr>
                  <w:tcW w:w="1785" w:type="pct"/>
                  <w:tcBorders>
                    <w:tl2br w:val="nil"/>
                    <w:tr2bl w:val="nil"/>
                  </w:tcBorders>
                  <w:vAlign w:val="center"/>
                </w:tcPr>
                <w:p w14:paraId="5D0B62E9">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《建筑施工噪声排放标准》（GB12523-20</w:t>
                  </w:r>
                  <w:r>
                    <w:rPr>
                      <w:rFonts w:hint="default" w:ascii="Times New Roman" w:hAnsi="Times New Roman" w:cs="Times New Roman"/>
                      <w:i w:val="0"/>
                      <w:iCs w:val="0"/>
                      <w:color w:val="auto"/>
                      <w:kern w:val="0"/>
                      <w:sz w:val="21"/>
                      <w:szCs w:val="21"/>
                      <w:highlight w:val="none"/>
                      <w:u w:val="none"/>
                      <w:lang w:val="en-US" w:eastAsia="zh-CN" w:bidi="ar"/>
                    </w:rPr>
                    <w:t>25</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68" w:type="pct"/>
                  <w:tcBorders>
                    <w:tl2br w:val="nil"/>
                    <w:tr2bl w:val="nil"/>
                  </w:tcBorders>
                  <w:vAlign w:val="center"/>
                </w:tcPr>
                <w:p w14:paraId="436165CE">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39" w:type="pct"/>
                  <w:tcBorders>
                    <w:tl2br w:val="nil"/>
                    <w:tr2bl w:val="nil"/>
                  </w:tcBorders>
                  <w:vAlign w:val="center"/>
                </w:tcPr>
                <w:p w14:paraId="1D2878AE">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c>
                <w:tcPr>
                  <w:tcW w:w="764" w:type="pct"/>
                  <w:tcBorders>
                    <w:tl2br w:val="nil"/>
                    <w:tr2bl w:val="nil"/>
                  </w:tcBorders>
                  <w:vAlign w:val="center"/>
                </w:tcPr>
                <w:p w14:paraId="779E0096">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55</w:t>
                  </w:r>
                </w:p>
              </w:tc>
            </w:tr>
            <w:tr w14:paraId="0A3D5F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524" w:type="pct"/>
                  <w:vMerge w:val="restart"/>
                  <w:tcBorders>
                    <w:tl2br w:val="nil"/>
                    <w:tr2bl w:val="nil"/>
                  </w:tcBorders>
                  <w:vAlign w:val="center"/>
                </w:tcPr>
                <w:p w14:paraId="5A74A737">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运营期</w:t>
                  </w:r>
                </w:p>
              </w:tc>
              <w:tc>
                <w:tcPr>
                  <w:tcW w:w="516" w:type="pct"/>
                  <w:tcBorders>
                    <w:tl2br w:val="nil"/>
                    <w:tr2bl w:val="nil"/>
                  </w:tcBorders>
                  <w:vAlign w:val="center"/>
                </w:tcPr>
                <w:p w14:paraId="0501465D">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厂界</w:t>
                  </w:r>
                </w:p>
              </w:tc>
              <w:tc>
                <w:tcPr>
                  <w:tcW w:w="1785" w:type="pct"/>
                  <w:tcBorders>
                    <w:tl2br w:val="nil"/>
                    <w:tr2bl w:val="nil"/>
                  </w:tcBorders>
                  <w:vAlign w:val="center"/>
                </w:tcPr>
                <w:p w14:paraId="1B80943D">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《工业企业厂界环境噪声排放标准》（GB12348-2008）</w:t>
                  </w:r>
                </w:p>
              </w:tc>
              <w:tc>
                <w:tcPr>
                  <w:tcW w:w="468" w:type="pct"/>
                  <w:tcBorders>
                    <w:tl2br w:val="nil"/>
                    <w:tr2bl w:val="nil"/>
                  </w:tcBorders>
                  <w:vAlign w:val="center"/>
                </w:tcPr>
                <w:p w14:paraId="686C4008">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类</w:t>
                  </w:r>
                </w:p>
              </w:tc>
              <w:tc>
                <w:tcPr>
                  <w:tcW w:w="939" w:type="pct"/>
                  <w:tcBorders>
                    <w:tl2br w:val="nil"/>
                    <w:tr2bl w:val="nil"/>
                  </w:tcBorders>
                  <w:vAlign w:val="center"/>
                </w:tcPr>
                <w:p w14:paraId="54ADFD00">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cs="Times New Roman"/>
                      <w:i w:val="0"/>
                      <w:iCs w:val="0"/>
                      <w:color w:val="auto"/>
                      <w:kern w:val="0"/>
                      <w:sz w:val="21"/>
                      <w:szCs w:val="21"/>
                      <w:highlight w:val="none"/>
                      <w:u w:val="none"/>
                      <w:lang w:val="en-US" w:eastAsia="zh-CN" w:bidi="ar"/>
                    </w:rPr>
                    <w:t>0</w:t>
                  </w:r>
                </w:p>
              </w:tc>
              <w:tc>
                <w:tcPr>
                  <w:tcW w:w="764" w:type="pct"/>
                  <w:tcBorders>
                    <w:tl2br w:val="nil"/>
                    <w:tr2bl w:val="nil"/>
                  </w:tcBorders>
                  <w:vAlign w:val="center"/>
                </w:tcPr>
                <w:p w14:paraId="013F897A">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r>
                    <w:rPr>
                      <w:rFonts w:hint="default" w:ascii="Times New Roman" w:hAnsi="Times New Roman" w:cs="Times New Roman"/>
                      <w:i w:val="0"/>
                      <w:iCs w:val="0"/>
                      <w:color w:val="auto"/>
                      <w:kern w:val="0"/>
                      <w:sz w:val="21"/>
                      <w:szCs w:val="21"/>
                      <w:highlight w:val="none"/>
                      <w:u w:val="none"/>
                      <w:lang w:val="en-US" w:eastAsia="zh-CN" w:bidi="ar"/>
                    </w:rPr>
                    <w:t>0</w:t>
                  </w:r>
                </w:p>
              </w:tc>
            </w:tr>
            <w:tr w14:paraId="2301E8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24" w:type="pct"/>
                  <w:vMerge w:val="continue"/>
                  <w:tcBorders>
                    <w:tl2br w:val="nil"/>
                    <w:tr2bl w:val="nil"/>
                  </w:tcBorders>
                  <w:vAlign w:val="center"/>
                </w:tcPr>
                <w:p w14:paraId="207C412D">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516" w:type="pct"/>
                  <w:tcBorders>
                    <w:tl2br w:val="nil"/>
                    <w:tr2bl w:val="nil"/>
                  </w:tcBorders>
                  <w:vAlign w:val="center"/>
                </w:tcPr>
                <w:p w14:paraId="01CD3E7B">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厂界外南侧13m处联庄村住宅</w:t>
                  </w:r>
                </w:p>
              </w:tc>
              <w:tc>
                <w:tcPr>
                  <w:tcW w:w="1785" w:type="pct"/>
                  <w:tcBorders>
                    <w:tl2br w:val="nil"/>
                    <w:tr2bl w:val="nil"/>
                  </w:tcBorders>
                  <w:vAlign w:val="center"/>
                </w:tcPr>
                <w:p w14:paraId="307EACA3">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《声环境质量标准》（GB3096-2008）</w:t>
                  </w:r>
                </w:p>
              </w:tc>
              <w:tc>
                <w:tcPr>
                  <w:tcW w:w="468" w:type="pct"/>
                  <w:tcBorders>
                    <w:tl2br w:val="nil"/>
                    <w:tr2bl w:val="nil"/>
                  </w:tcBorders>
                  <w:vAlign w:val="center"/>
                </w:tcPr>
                <w:p w14:paraId="5816EEE4">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2类</w:t>
                  </w:r>
                </w:p>
              </w:tc>
              <w:tc>
                <w:tcPr>
                  <w:tcW w:w="939" w:type="pct"/>
                  <w:tcBorders>
                    <w:tl2br w:val="nil"/>
                    <w:tr2bl w:val="nil"/>
                  </w:tcBorders>
                  <w:vAlign w:val="center"/>
                </w:tcPr>
                <w:p w14:paraId="62C299E5">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c>
                <w:tcPr>
                  <w:tcW w:w="764" w:type="pct"/>
                  <w:tcBorders>
                    <w:tl2br w:val="nil"/>
                    <w:tr2bl w:val="nil"/>
                  </w:tcBorders>
                  <w:vAlign w:val="center"/>
                </w:tcPr>
                <w:p w14:paraId="6E58E865">
                  <w:pPr>
                    <w:keepNext w:val="0"/>
                    <w:keepLines w:val="0"/>
                    <w:widowControl/>
                    <w:suppressLineNumbers w:val="0"/>
                    <w:shd w:val="clear" w:color="auto" w:fill="auto"/>
                    <w:ind w:left="0" w:lef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bl>
          <w:p w14:paraId="413BED70">
            <w:pPr>
              <w:numPr>
                <w:ilvl w:val="0"/>
                <w:numId w:val="11"/>
              </w:numPr>
              <w:spacing w:line="360" w:lineRule="auto"/>
              <w:ind w:left="0" w:leftChars="0" w:firstLine="0" w:firstLineChars="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固体废物</w:t>
            </w:r>
          </w:p>
          <w:p w14:paraId="6591780C">
            <w:pPr>
              <w:wordWrap w:val="0"/>
              <w:spacing w:line="360" w:lineRule="auto"/>
              <w:ind w:firstLine="48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一般固体废物执行《一般工业固体废物贮存和填埋污染控制标准》</w:t>
            </w: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"http://www.mee.gov.cn/ywgz/fgbz/bz/bzwb/gthw/gtfwwrkzbz/202012/W020201218695845325455.pdf"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t>（GB18599-2020）</w:t>
            </w:r>
            <w:r>
              <w:rPr>
                <w:rFonts w:hint="default" w:ascii="Times New Roman" w:hAnsi="Times New Roman" w:eastAsia="宋体" w:cs="Times New Roman"/>
                <w:color w:val="auto"/>
                <w:sz w:val="24"/>
                <w:szCs w:val="24"/>
                <w:highlight w:val="none"/>
                <w:lang w:val="en-US" w:eastAsia="zh-CN"/>
              </w:rPr>
              <w:fldChar w:fldCharType="end"/>
            </w:r>
            <w:r>
              <w:rPr>
                <w:rFonts w:hint="default" w:ascii="Times New Roman" w:hAnsi="Times New Roman" w:eastAsia="宋体" w:cs="Times New Roman"/>
                <w:color w:val="auto"/>
                <w:sz w:val="24"/>
                <w:szCs w:val="24"/>
                <w:highlight w:val="none"/>
                <w:lang w:val="en-US" w:eastAsia="zh-CN"/>
              </w:rPr>
              <w:t>中的有关规定；危险废物执行《危险废物贮存污染控制标准》（GB18597-2023）中有关规定。</w:t>
            </w:r>
          </w:p>
        </w:tc>
      </w:tr>
      <w:tr w14:paraId="3EE76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270" w:type="pct"/>
            <w:noWrap w:val="0"/>
            <w:vAlign w:val="center"/>
          </w:tcPr>
          <w:p w14:paraId="79A6D0AE">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总量</w:t>
            </w:r>
          </w:p>
          <w:p w14:paraId="171584B5">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控制</w:t>
            </w:r>
          </w:p>
          <w:p w14:paraId="0479DCA0">
            <w:pPr>
              <w:adjustRightInd w:val="0"/>
              <w:snapToGrid w:val="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指标</w:t>
            </w:r>
          </w:p>
        </w:tc>
        <w:tc>
          <w:tcPr>
            <w:tcW w:w="4729" w:type="pct"/>
            <w:noWrap w:val="0"/>
            <w:vAlign w:val="center"/>
          </w:tcPr>
          <w:p w14:paraId="56BE3D6F">
            <w:pPr>
              <w:keepNext w:val="0"/>
              <w:keepLines w:val="0"/>
              <w:pageBreakBefore w:val="0"/>
              <w:widowControl w:val="0"/>
              <w:kinsoku/>
              <w:wordWrap/>
              <w:overflowPunct/>
              <w:topLinePunct w:val="0"/>
              <w:autoSpaceDE/>
              <w:autoSpaceDN/>
              <w:bidi w:val="0"/>
              <w:adjustRightInd w:val="0"/>
              <w:snapToGrid w:val="0"/>
              <w:spacing w:line="360" w:lineRule="auto"/>
              <w:ind w:firstLine="508" w:firstLineChars="200"/>
              <w:textAlignment w:val="auto"/>
              <w:rPr>
                <w:rFonts w:hint="default"/>
                <w:color w:val="auto"/>
                <w:highlight w:val="none"/>
                <w:lang w:val="en-US" w:eastAsia="zh-CN"/>
              </w:rPr>
            </w:pPr>
            <w:r>
              <w:rPr>
                <w:rFonts w:hint="default" w:ascii="Times New Roman" w:hAnsi="Times New Roman" w:eastAsia="宋体" w:cs="Times New Roman"/>
                <w:color w:val="auto"/>
                <w:spacing w:val="7"/>
                <w:sz w:val="24"/>
                <w:szCs w:val="24"/>
                <w:highlight w:val="none"/>
              </w:rPr>
              <w:t>根据《陕西省“十四五”生态环境保护规划》，我省“十四五”期间对 COD、NH</w:t>
            </w:r>
            <w:r>
              <w:rPr>
                <w:rFonts w:hint="default" w:ascii="Times New Roman" w:hAnsi="Times New Roman" w:eastAsia="宋体" w:cs="Times New Roman"/>
                <w:color w:val="auto"/>
                <w:spacing w:val="7"/>
                <w:sz w:val="24"/>
                <w:szCs w:val="24"/>
                <w:highlight w:val="none"/>
                <w:vertAlign w:val="subscript"/>
              </w:rPr>
              <w:t>3</w:t>
            </w:r>
            <w:r>
              <w:rPr>
                <w:rFonts w:hint="default" w:ascii="Times New Roman" w:hAnsi="Times New Roman" w:eastAsia="宋体" w:cs="Times New Roman"/>
                <w:color w:val="auto"/>
                <w:spacing w:val="7"/>
                <w:sz w:val="24"/>
                <w:szCs w:val="24"/>
                <w:highlight w:val="none"/>
              </w:rPr>
              <w:t>-N、NOx、挥发性有机物（VOCs）这4种污染物实行排放总量控制。本项目涉及总量控制指标为COD、NH</w:t>
            </w:r>
            <w:r>
              <w:rPr>
                <w:rFonts w:hint="default" w:ascii="Times New Roman" w:hAnsi="Times New Roman" w:eastAsia="宋体" w:cs="Times New Roman"/>
                <w:color w:val="auto"/>
                <w:spacing w:val="7"/>
                <w:sz w:val="24"/>
                <w:szCs w:val="24"/>
                <w:highlight w:val="none"/>
                <w:vertAlign w:val="subscript"/>
              </w:rPr>
              <w:t>3</w:t>
            </w:r>
            <w:r>
              <w:rPr>
                <w:rFonts w:hint="default" w:ascii="Times New Roman" w:hAnsi="Times New Roman" w:eastAsia="宋体" w:cs="Times New Roman"/>
                <w:color w:val="auto"/>
                <w:spacing w:val="7"/>
                <w:sz w:val="24"/>
                <w:szCs w:val="24"/>
                <w:highlight w:val="none"/>
              </w:rPr>
              <w:t>-N、VOCs，涉及总量控制指标为：</w:t>
            </w:r>
            <w:r>
              <w:rPr>
                <w:rFonts w:hint="default" w:ascii="Times New Roman" w:hAnsi="Times New Roman" w:eastAsia="宋体" w:cs="Times New Roman"/>
                <w:color w:val="auto"/>
                <w:spacing w:val="7"/>
                <w:sz w:val="24"/>
                <w:szCs w:val="24"/>
                <w:highlight w:val="none"/>
                <w:lang w:val="en-US" w:eastAsia="zh-CN"/>
              </w:rPr>
              <w:t>COD：</w:t>
            </w:r>
            <w:r>
              <w:rPr>
                <w:rFonts w:hint="default" w:ascii="Times New Roman" w:hAnsi="Times New Roman" w:cs="Times New Roman"/>
                <w:color w:val="auto"/>
                <w:spacing w:val="7"/>
                <w:sz w:val="24"/>
                <w:szCs w:val="24"/>
                <w:highlight w:val="none"/>
                <w:lang w:val="en-US" w:eastAsia="zh-CN"/>
              </w:rPr>
              <w:t>0.</w:t>
            </w:r>
            <w:r>
              <w:rPr>
                <w:rFonts w:hint="eastAsia" w:cs="Times New Roman"/>
                <w:color w:val="auto"/>
                <w:spacing w:val="7"/>
                <w:sz w:val="24"/>
                <w:szCs w:val="24"/>
                <w:highlight w:val="none"/>
                <w:lang w:val="en-US" w:eastAsia="zh-CN"/>
              </w:rPr>
              <w:t>844</w:t>
            </w:r>
            <w:r>
              <w:rPr>
                <w:rFonts w:hint="default" w:ascii="Times New Roman" w:hAnsi="Times New Roman" w:eastAsia="宋体" w:cs="Times New Roman"/>
                <w:color w:val="auto"/>
                <w:spacing w:val="7"/>
                <w:sz w:val="24"/>
                <w:szCs w:val="24"/>
                <w:highlight w:val="none"/>
                <w:lang w:val="en-US" w:eastAsia="zh-CN"/>
              </w:rPr>
              <w:t>t/a，NH</w:t>
            </w:r>
            <w:r>
              <w:rPr>
                <w:rFonts w:hint="default" w:ascii="Times New Roman" w:hAnsi="Times New Roman" w:eastAsia="宋体" w:cs="Times New Roman"/>
                <w:color w:val="auto"/>
                <w:spacing w:val="7"/>
                <w:sz w:val="24"/>
                <w:szCs w:val="24"/>
                <w:highlight w:val="none"/>
                <w:vertAlign w:val="subscript"/>
                <w:lang w:val="en-US" w:eastAsia="zh-CN"/>
              </w:rPr>
              <w:t>3</w:t>
            </w:r>
            <w:r>
              <w:rPr>
                <w:rFonts w:hint="default" w:ascii="Times New Roman" w:hAnsi="Times New Roman" w:eastAsia="宋体" w:cs="Times New Roman"/>
                <w:color w:val="auto"/>
                <w:spacing w:val="7"/>
                <w:sz w:val="24"/>
                <w:szCs w:val="24"/>
                <w:highlight w:val="none"/>
                <w:lang w:val="en-US" w:eastAsia="zh-CN"/>
              </w:rPr>
              <w:t>-N：0.</w:t>
            </w:r>
            <w:r>
              <w:rPr>
                <w:rFonts w:hint="default" w:ascii="Times New Roman" w:hAnsi="Times New Roman" w:cs="Times New Roman"/>
                <w:color w:val="auto"/>
                <w:spacing w:val="7"/>
                <w:sz w:val="24"/>
                <w:szCs w:val="24"/>
                <w:highlight w:val="none"/>
                <w:lang w:val="en-US" w:eastAsia="zh-CN"/>
              </w:rPr>
              <w:t>0</w:t>
            </w:r>
            <w:r>
              <w:rPr>
                <w:rFonts w:hint="eastAsia" w:cs="Times New Roman"/>
                <w:color w:val="auto"/>
                <w:spacing w:val="7"/>
                <w:sz w:val="24"/>
                <w:szCs w:val="24"/>
                <w:highlight w:val="none"/>
                <w:lang w:val="en-US" w:eastAsia="zh-CN"/>
              </w:rPr>
              <w:t>42</w:t>
            </w:r>
            <w:r>
              <w:rPr>
                <w:rFonts w:hint="default" w:ascii="Times New Roman" w:hAnsi="Times New Roman" w:eastAsia="宋体" w:cs="Times New Roman"/>
                <w:color w:val="auto"/>
                <w:spacing w:val="7"/>
                <w:sz w:val="24"/>
                <w:szCs w:val="24"/>
                <w:highlight w:val="none"/>
                <w:lang w:val="en-US" w:eastAsia="zh-CN"/>
              </w:rPr>
              <w:t>t/a，VOCs：</w:t>
            </w:r>
            <w:r>
              <w:rPr>
                <w:rFonts w:hint="default" w:ascii="Times New Roman" w:hAnsi="Times New Roman" w:cs="Times New Roman"/>
                <w:color w:val="auto"/>
                <w:spacing w:val="7"/>
                <w:sz w:val="24"/>
                <w:szCs w:val="24"/>
                <w:highlight w:val="none"/>
                <w:lang w:val="en-US" w:eastAsia="zh-CN"/>
              </w:rPr>
              <w:t>0.099</w:t>
            </w:r>
            <w:r>
              <w:rPr>
                <w:rFonts w:hint="default" w:ascii="Times New Roman" w:hAnsi="Times New Roman" w:eastAsia="宋体" w:cs="Times New Roman"/>
                <w:color w:val="auto"/>
                <w:spacing w:val="7"/>
                <w:sz w:val="24"/>
                <w:szCs w:val="24"/>
                <w:highlight w:val="none"/>
                <w:lang w:val="en-US" w:eastAsia="zh-CN"/>
              </w:rPr>
              <w:t>t/a，</w:t>
            </w:r>
            <w:r>
              <w:rPr>
                <w:rFonts w:hint="default" w:ascii="Times New Roman" w:hAnsi="Times New Roman" w:eastAsia="宋体" w:cs="Times New Roman"/>
                <w:color w:val="auto"/>
                <w:spacing w:val="7"/>
                <w:sz w:val="24"/>
                <w:szCs w:val="24"/>
                <w:highlight w:val="none"/>
              </w:rPr>
              <w:t>项目具体总量指标最后以当地</w:t>
            </w:r>
            <w:r>
              <w:rPr>
                <w:rFonts w:hint="default" w:ascii="Times New Roman" w:hAnsi="Times New Roman" w:eastAsia="宋体" w:cs="Times New Roman"/>
                <w:color w:val="auto"/>
                <w:spacing w:val="7"/>
                <w:sz w:val="24"/>
                <w:szCs w:val="24"/>
                <w:highlight w:val="none"/>
                <w:lang w:val="en-US" w:eastAsia="zh-CN"/>
              </w:rPr>
              <w:t>生态环境</w:t>
            </w:r>
            <w:r>
              <w:rPr>
                <w:rFonts w:hint="default" w:ascii="Times New Roman" w:hAnsi="Times New Roman" w:eastAsia="宋体" w:cs="Times New Roman"/>
                <w:color w:val="auto"/>
                <w:spacing w:val="7"/>
                <w:sz w:val="24"/>
                <w:szCs w:val="24"/>
                <w:highlight w:val="none"/>
              </w:rPr>
              <w:t>部门核定的总量为准。</w:t>
            </w:r>
          </w:p>
        </w:tc>
      </w:tr>
    </w:tbl>
    <w:p w14:paraId="0A7C2EAF">
      <w:pPr>
        <w:pStyle w:val="25"/>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r>
        <w:rPr>
          <w:rFonts w:hint="default" w:ascii="Times New Roman" w:hAnsi="Times New Roman" w:eastAsia="黑体" w:cs="Times New Roman"/>
          <w:snapToGrid w:val="0"/>
          <w:color w:val="auto"/>
          <w:sz w:val="30"/>
          <w:szCs w:val="30"/>
          <w:highlight w:val="none"/>
        </w:rPr>
        <w:t>四、主要环境影响和保护措施</w:t>
      </w:r>
    </w:p>
    <w:tbl>
      <w:tblPr>
        <w:tblStyle w:val="28"/>
        <w:tblW w:w="494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40"/>
        <w:gridCol w:w="8969"/>
      </w:tblGrid>
      <w:tr w14:paraId="383E9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1" w:hRule="atLeast"/>
          <w:jc w:val="center"/>
        </w:trPr>
        <w:tc>
          <w:tcPr>
            <w:tcW w:w="131" w:type="pct"/>
            <w:noWrap w:val="0"/>
            <w:tcMar>
              <w:left w:w="28" w:type="dxa"/>
              <w:right w:w="28" w:type="dxa"/>
            </w:tcMar>
            <w:vAlign w:val="center"/>
          </w:tcPr>
          <w:p w14:paraId="7C7AEEB0">
            <w:pPr>
              <w:pStyle w:val="25"/>
              <w:adjustRightInd w:val="0"/>
              <w:snapToGrid w:val="0"/>
              <w:spacing w:before="0" w:beforeAutospacing="0" w:after="0" w:afterAutospacing="0" w:line="360" w:lineRule="auto"/>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施工</w:t>
            </w:r>
          </w:p>
          <w:p w14:paraId="269DE76D">
            <w:pPr>
              <w:pStyle w:val="25"/>
              <w:adjustRightInd w:val="0"/>
              <w:snapToGrid w:val="0"/>
              <w:spacing w:before="0" w:beforeAutospacing="0" w:after="0" w:afterAutospacing="0" w:line="360" w:lineRule="auto"/>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期环</w:t>
            </w:r>
          </w:p>
          <w:p w14:paraId="2CD7511D">
            <w:pPr>
              <w:pStyle w:val="25"/>
              <w:adjustRightInd w:val="0"/>
              <w:snapToGrid w:val="0"/>
              <w:spacing w:before="0" w:beforeAutospacing="0" w:after="0" w:afterAutospacing="0" w:line="360" w:lineRule="auto"/>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境保</w:t>
            </w:r>
          </w:p>
          <w:p w14:paraId="09762405">
            <w:pPr>
              <w:pStyle w:val="25"/>
              <w:adjustRightInd w:val="0"/>
              <w:snapToGrid w:val="0"/>
              <w:spacing w:before="0" w:beforeAutospacing="0" w:after="0" w:afterAutospacing="0" w:line="360" w:lineRule="auto"/>
              <w:jc w:val="center"/>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护措</w:t>
            </w:r>
          </w:p>
          <w:p w14:paraId="0B65D4C7">
            <w:pPr>
              <w:pStyle w:val="25"/>
              <w:adjustRightInd w:val="0"/>
              <w:snapToGrid w:val="0"/>
              <w:spacing w:before="0" w:beforeAutospacing="0" w:after="0" w:afterAutospacing="0" w:line="360" w:lineRule="auto"/>
              <w:jc w:val="center"/>
              <w:rPr>
                <w:rFonts w:hint="default" w:ascii="Times New Roman" w:hAnsi="Times New Roman" w:cs="Times New Roman"/>
                <w:bCs/>
                <w:color w:val="auto"/>
                <w:kern w:val="2"/>
                <w:sz w:val="24"/>
                <w:szCs w:val="24"/>
                <w:highlight w:val="none"/>
              </w:rPr>
            </w:pPr>
            <w:r>
              <w:rPr>
                <w:rFonts w:hint="default" w:ascii="Times New Roman" w:hAnsi="Times New Roman" w:cs="Times New Roman"/>
                <w:color w:val="auto"/>
                <w:kern w:val="2"/>
                <w:sz w:val="24"/>
                <w:szCs w:val="24"/>
                <w:highlight w:val="none"/>
              </w:rPr>
              <w:t>施</w:t>
            </w:r>
          </w:p>
        </w:tc>
        <w:tc>
          <w:tcPr>
            <w:tcW w:w="4868" w:type="pct"/>
            <w:noWrap w:val="0"/>
            <w:vAlign w:val="center"/>
          </w:tcPr>
          <w:p w14:paraId="65E97B39">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1、施工期污水</w:t>
            </w:r>
          </w:p>
          <w:p w14:paraId="5DE3CB88">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施工期间的水影响主要是含有大量泥沙的工地污水，包括施工产生的泥浆及含有废油的污水、设备和材料的清洗水，不得直接排入</w:t>
            </w:r>
            <w:r>
              <w:rPr>
                <w:rFonts w:hint="default" w:ascii="Times New Roman" w:hAnsi="Times New Roman" w:cs="Times New Roman"/>
                <w:bCs/>
                <w:color w:val="auto"/>
                <w:sz w:val="24"/>
                <w:highlight w:val="none"/>
                <w:lang w:eastAsia="zh-CN"/>
              </w:rPr>
              <w:t>邻近</w:t>
            </w:r>
            <w:r>
              <w:rPr>
                <w:rFonts w:hint="default" w:ascii="Times New Roman" w:hAnsi="Times New Roman" w:cs="Times New Roman"/>
                <w:bCs/>
                <w:color w:val="auto"/>
                <w:sz w:val="24"/>
                <w:highlight w:val="none"/>
              </w:rPr>
              <w:t>地表水体或地下水体，应经过隔油和沉淀处理后回用于道路和地面洒水，对环境影响较小。</w:t>
            </w:r>
          </w:p>
          <w:p w14:paraId="607AA0D9">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2、施工期废气</w:t>
            </w:r>
          </w:p>
          <w:p w14:paraId="2D9B4854">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（1）防止扬尘措施</w:t>
            </w:r>
          </w:p>
          <w:p w14:paraId="5CA3A626">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①建设工地施工，首先要求施工现场应建立以项目经理为第一责任人的施工现场环境保护责任制，施工组织设计中必须有环境保护措施和控制施工扬尘的专项方案，并经有关部门批准后实施。</w:t>
            </w:r>
          </w:p>
          <w:p w14:paraId="0708AD41">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②施工时，工地周围应设置不低于2米的遮挡围墙或遮板，并严禁在挡墙外堆放施工材料、建筑垃圾和渣土，同时，建议在施工期增加防尘网。</w:t>
            </w:r>
          </w:p>
          <w:p w14:paraId="00D4F6F8">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③施工时，对施工场地松散、干涸的表土，应该经常洒水防治粉尘；回填土方时，在表层土质干燥时应适当洒水，防止粉尘飞扬。</w:t>
            </w:r>
          </w:p>
          <w:p w14:paraId="27BE9F54">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④车辆在驶出施工工地前要做好冲洗、遮蔽、清洁等工作。对暂时不能运出施工工地的土方，必须采取集中堆放、压实、覆盖以及适时洒水等有效抑尘措施。</w:t>
            </w:r>
          </w:p>
          <w:p w14:paraId="6E6D2EE1">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⑤此外，施工工地的主要运输通道以及工地出入口外侧10米范围内道路路面必须作混凝土硬化处理，水泥、沙等易产生扬尘的物料，必须放置于不透风的储藏屋或储存库内。</w:t>
            </w:r>
          </w:p>
          <w:p w14:paraId="7D042211">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⑥运载余泥和建筑材料的车辆应该加盖，防止被大风吹起，污染环境，对运输过程中落在路面上的泥土要及时清扫，以减少运行过程中的扬尘。运载余泥期间，附近道路要洒水。</w:t>
            </w:r>
          </w:p>
          <w:p w14:paraId="7582758C">
            <w:pPr>
              <w:numPr>
                <w:ilvl w:val="0"/>
                <w:numId w:val="12"/>
              </w:num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施工机械和运输车辆所排放的尾气环境影响评价分析及措施此类废气由于排放量不大，通过加强管理，影响的程度与范围也相对小，对周边环境影响不大。</w:t>
            </w:r>
          </w:p>
          <w:p w14:paraId="2B959E95">
            <w:pPr>
              <w:numPr>
                <w:ilvl w:val="0"/>
                <w:numId w:val="12"/>
              </w:num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建筑涂料、胶粘剂等含 VOCs 原辅材料密闭存放，调配作业在室内或遮蔽条件下开展；禁止露天喷涂、刷漆作业；废弃油漆、涂料容器密闭收集，不得露天堆放。臭氧污染管控时段，按照西咸、沣西新城管控要求，合理调整涉 VOCs 施工作业时序，敏感时段减少或停止涂装作业。</w:t>
            </w:r>
          </w:p>
          <w:p w14:paraId="1A0DBE29">
            <w:pPr>
              <w:numPr>
                <w:ilvl w:val="0"/>
                <w:numId w:val="12"/>
              </w:num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严格执行陕西省、西安市、西咸新区重污染天气应急预案。收到重污染天气预警通知，按照预警等级落实减排措施：黄色及以上预警，除应急抢险、纳入保障类清单工程外，停止土石方开挖、拆除、渣土运输、喷涂粉刷等涉大气污染物室外施工作业；裸露场地增加洒水、喷淋频次；停止使用国Ⅲ及以下非道路移动机械。纳入保障类清单的，仍严格落实“六个百分之百”扬尘管控措施。</w:t>
            </w:r>
          </w:p>
          <w:p w14:paraId="558DF727">
            <w:pPr>
              <w:numPr>
                <w:ilvl w:val="0"/>
                <w:numId w:val="12"/>
              </w:num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施工单位建立施工扬尘管理制度，设置专职环保管理员，落实扬尘管控台账；建筑垃圾及时清运，减少场内堆存时间；施工结束后，及时清理场地，恢复场地抑尘措施。施工场界扬尘执行《施工场界扬尘排放限值》（DB61/1078</w:t>
            </w:r>
            <w:r>
              <w:rPr>
                <w:rFonts w:hint="default" w:ascii="Times New Roman" w:hAnsi="Times New Roman" w:cs="Times New Roman"/>
                <w:bCs/>
                <w:color w:val="auto"/>
                <w:sz w:val="24"/>
                <w:highlight w:val="none"/>
                <w:lang w:val="en-US" w:eastAsia="zh-CN"/>
              </w:rPr>
              <w:noBreakHyphen/>
            </w:r>
            <w:r>
              <w:rPr>
                <w:rFonts w:hint="default" w:ascii="Times New Roman" w:hAnsi="Times New Roman" w:cs="Times New Roman"/>
                <w:bCs/>
                <w:color w:val="auto"/>
                <w:sz w:val="24"/>
                <w:highlight w:val="none"/>
                <w:lang w:val="en-US" w:eastAsia="zh-CN"/>
              </w:rPr>
              <w:t>2017）。</w:t>
            </w:r>
          </w:p>
          <w:p w14:paraId="575A2AD6">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3、施工期噪声</w:t>
            </w:r>
          </w:p>
          <w:p w14:paraId="211A64BC">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1）降低设备声级，采用较先进、噪声较低的施工设备；固定机械设备可通过排气管消音器和隔离发动机振动部件的方法降低噪声；对动力机械设备定期进行维修和养护，避免因松动部件振动或消声器损坏而加大设备工作时的声级；闲置不用的设备应立即关闭，运输车辆进入现场应减速，并较少鸣笛。</w:t>
            </w:r>
          </w:p>
          <w:p w14:paraId="2167308B">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2）项目施工时，应该合理配置各种机械的摆放位置，尽量分散摆放，施工机械尽量布置在场地中央，尽可能在边界不布设高噪声机械；由于各种产生噪声大的施工机械（如钻孔机、风动机具等）同时施工时产生噪声的叠加后对周围的影响较大，因此，应注意避免多台产生噪声量大的施工机械同时施工作业；将有固定工作地点的施工机械尽量设置在距居民区较远的位置，并采取适当的封闭和隔声措施。</w:t>
            </w:r>
          </w:p>
          <w:p w14:paraId="4473A58B">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3）强化午间及夜间施工噪声管理。严格按照《中华人民共和国环境噪声污染防治规定》中对建筑施工的有关管理规定和要求，严禁在中午(12:00～14:00)和夜间(22:00～次日早上6:00)期间作业，因特殊需要延续施工时间的，应尽量采取降噪措施，做好周围群众工作，并报工地所在区或市环保局批准后方可施工。</w:t>
            </w:r>
          </w:p>
          <w:p w14:paraId="04424794">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（4）减少人为噪声，模板、支架拆卸过程中应遵守作业规定，减少碰撞噪音；尽量减少用哨子、喇叭等指挥作业。</w:t>
            </w:r>
          </w:p>
          <w:p w14:paraId="4D3742F2">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5）建立临时声屏障。对于位置相对固定的机械设备，能设在隔声棚内操作的尽量进入隔声棚，隔声棚的高度应超过设备2m以上，顶部采用双层石棉瓦加盖；对不能入棚的机械设备，可适当建立单面声屏障，声屏障可采用砖石料、混凝土、木材、金属、轻型多孔吸声复合材料建造，当采用木</w:t>
            </w:r>
            <w:r>
              <w:rPr>
                <w:rFonts w:hint="default" w:ascii="Times New Roman" w:hAnsi="Times New Roman" w:eastAsia="宋体" w:cs="Times New Roman"/>
                <w:bCs/>
                <w:color w:val="auto"/>
                <w:sz w:val="24"/>
                <w:highlight w:val="none"/>
                <w:lang w:val="en-US" w:eastAsia="zh-CN"/>
              </w:rPr>
              <w:t>材和多孔吸声</w:t>
            </w:r>
            <w:r>
              <w:rPr>
                <w:rFonts w:hint="default" w:ascii="Times New Roman" w:hAnsi="Times New Roman" w:cs="Times New Roman"/>
                <w:bCs/>
                <w:color w:val="auto"/>
                <w:sz w:val="24"/>
                <w:highlight w:val="none"/>
                <w:lang w:val="en-US" w:eastAsia="zh-CN"/>
              </w:rPr>
              <w:t>材料时，应作防火、防腐处理。</w:t>
            </w:r>
          </w:p>
          <w:p w14:paraId="50B9C4DB">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（6）对施工车辆造成的噪声影响要加强管理，运输车辆尽量采用较低声级的喇叭，并在环境敏感点限制车辆鸣笛。另外，还要加强项目区内的交通管制，尽量避免在周围居民休息期间作业。</w:t>
            </w:r>
          </w:p>
          <w:p w14:paraId="7027C4DC">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（7）高噪声施工机械布置应尽量远离南侧敏感点。</w:t>
            </w:r>
          </w:p>
          <w:p w14:paraId="6BA71879">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经采取以上措施处理后，可最大限度降低项目施工噪声对周边环境的影响。</w:t>
            </w:r>
          </w:p>
          <w:p w14:paraId="6281E089">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4、施工期固体废物</w:t>
            </w:r>
          </w:p>
          <w:p w14:paraId="6AE709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z w:val="24"/>
                <w:highlight w:val="none"/>
                <w:lang w:val="en-US" w:eastAsia="zh-CN"/>
              </w:rPr>
              <w:t>建筑垃圾进行分类处理，尽量将一些有用的建筑固体废物，如钢筋等回收利用，避免浪费；无用的建筑垃圾，则需要倾倒到指定场所；对于一些有害的建筑垃圾，如废油漆涂料及其废弃的盛装容器，要分类收集定期委托有资质的单位进行无害化处置。</w:t>
            </w:r>
          </w:p>
        </w:tc>
      </w:tr>
      <w:tr w14:paraId="67D72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131" w:type="pct"/>
            <w:noWrap w:val="0"/>
            <w:tcMar>
              <w:left w:w="28" w:type="dxa"/>
              <w:right w:w="28" w:type="dxa"/>
            </w:tcMar>
            <w:vAlign w:val="center"/>
          </w:tcPr>
          <w:p w14:paraId="05BC54A4">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运营</w:t>
            </w:r>
          </w:p>
          <w:p w14:paraId="5F21BD69">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期环</w:t>
            </w:r>
          </w:p>
          <w:p w14:paraId="384D7168">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境影</w:t>
            </w:r>
          </w:p>
          <w:p w14:paraId="3B543D41">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响和</w:t>
            </w:r>
          </w:p>
          <w:p w14:paraId="7EFA6E9E">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保护</w:t>
            </w:r>
          </w:p>
          <w:p w14:paraId="7C7675A9">
            <w:pPr>
              <w:adjustRightInd w:val="0"/>
              <w:snapToGrid w:val="0"/>
              <w:spacing w:line="360" w:lineRule="auto"/>
              <w:jc w:val="center"/>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措施</w:t>
            </w:r>
          </w:p>
        </w:tc>
        <w:tc>
          <w:tcPr>
            <w:tcW w:w="4868" w:type="pct"/>
            <w:noWrap w:val="0"/>
            <w:vAlign w:val="top"/>
          </w:tcPr>
          <w:p w14:paraId="3EB4F5EF">
            <w:pPr>
              <w:adjustRightInd w:val="0"/>
              <w:snapToGrid w:val="0"/>
              <w:spacing w:line="360" w:lineRule="auto"/>
              <w:ind w:firstLine="482" w:firstLineChars="200"/>
              <w:jc w:val="both"/>
              <w:rPr>
                <w:rFonts w:hint="default" w:ascii="Times New Roman" w:hAnsi="Times New Roman" w:cs="Times New Roman"/>
                <w:bCs/>
                <w:color w:val="auto"/>
                <w:sz w:val="24"/>
                <w:highlight w:val="none"/>
              </w:rPr>
            </w:pPr>
            <w:r>
              <w:rPr>
                <w:rFonts w:hint="default" w:ascii="Times New Roman" w:hAnsi="Times New Roman" w:cs="Times New Roman"/>
                <w:b/>
                <w:color w:val="auto"/>
                <w:sz w:val="24"/>
                <w:highlight w:val="none"/>
                <w:lang w:eastAsia="zh-CN"/>
              </w:rPr>
              <w:t>一</w:t>
            </w:r>
            <w:r>
              <w:rPr>
                <w:rFonts w:hint="default" w:ascii="Times New Roman" w:hAnsi="Times New Roman" w:cs="Times New Roman"/>
                <w:b/>
                <w:color w:val="auto"/>
                <w:sz w:val="24"/>
                <w:highlight w:val="none"/>
              </w:rPr>
              <w:t>、废气</w:t>
            </w:r>
          </w:p>
          <w:p w14:paraId="277E046D">
            <w:pPr>
              <w:spacing w:line="360" w:lineRule="auto"/>
              <w:ind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（1）污染工序及源强分析</w:t>
            </w:r>
          </w:p>
          <w:p w14:paraId="724D5501">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本项目生产过程中产生的废气为焊接环节产生的焊接烟尘、清洗环节清洗剂挥发产生的有机废气、灌封与烘干过程产生的有机废气</w:t>
            </w:r>
            <w:r>
              <w:rPr>
                <w:rFonts w:hint="default" w:ascii="Times New Roman" w:hAnsi="Times New Roman" w:cs="Times New Roman"/>
                <w:color w:val="auto"/>
                <w:sz w:val="24"/>
                <w:highlight w:val="none"/>
                <w:lang w:val="en-US" w:eastAsia="zh-CN"/>
              </w:rPr>
              <w:t>。</w:t>
            </w:r>
          </w:p>
          <w:p w14:paraId="42E94E52">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eastAsia="宋体" w:cs="Times New Roman"/>
                <w:color w:val="auto"/>
                <w:sz w:val="24"/>
                <w:highlight w:val="none"/>
              </w:rPr>
              <w:t>①</w:t>
            </w:r>
            <w:r>
              <w:rPr>
                <w:rFonts w:hint="default" w:ascii="Times New Roman" w:hAnsi="Times New Roman" w:cs="Times New Roman"/>
                <w:color w:val="auto"/>
                <w:sz w:val="24"/>
                <w:highlight w:val="none"/>
                <w:lang w:val="en-US" w:eastAsia="zh-CN"/>
              </w:rPr>
              <w:t>焊接环节废气</w:t>
            </w:r>
          </w:p>
          <w:p w14:paraId="39AD9784">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焊接环节使用无铅锡膏进行焊接，焊接过程中产生少量焊接烟尘以锡及其化合物（颗粒物）计，无铅锡膏年用量为0.1t，根据《机械行业系数手册》，产污系数为20.2kg/t-原料，颗粒物产生量=焊接产污系数 ×无铅锡膏用量=0.002t/a，废气经集气罩收集，环评要求集气罩风速设计不低于0.5m/s，采用顶吸式集气罩，集气罩距离设备小于0.5m，装置条件允许情况下加装软帘，要求定期对输送管道进行密闭测试。收集后引至1套过滤棉+二级活性炭吸附装置（TA001）中进行处理，处理后的废气由34m高排气筒（DA001）排放，</w:t>
            </w:r>
            <w:r>
              <w:rPr>
                <w:rFonts w:hint="default" w:ascii="Times New Roman" w:hAnsi="Times New Roman" w:cs="Times New Roman"/>
                <w:color w:val="auto"/>
                <w:sz w:val="24"/>
                <w:highlight w:val="none"/>
                <w:lang w:val="en-US" w:eastAsia="zh-CN"/>
              </w:rPr>
              <w:t>风机风量6000m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/h，收集效率按80%计，去除效率按80%计，</w:t>
            </w:r>
            <w:r>
              <w:rPr>
                <w:rFonts w:hint="default" w:ascii="Times New Roman" w:hAnsi="Times New Roman" w:cs="Times New Roman"/>
                <w:color w:val="auto"/>
                <w:sz w:val="24"/>
                <w:highlight w:val="none"/>
                <w:lang w:val="en-US" w:eastAsia="zh-CN"/>
              </w:rPr>
              <w:t>项目非甲烷总烃产排情况见下表4-1。</w:t>
            </w:r>
          </w:p>
          <w:p w14:paraId="7423CE1B">
            <w:pPr>
              <w:autoSpaceDE w:val="0"/>
              <w:autoSpaceDN w:val="0"/>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表4-</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cs="Times New Roman"/>
                <w:b/>
                <w:bCs/>
                <w:color w:val="auto"/>
                <w:kern w:val="0"/>
                <w:sz w:val="21"/>
                <w:szCs w:val="21"/>
                <w:highlight w:val="none"/>
                <w:lang w:val="en-US" w:eastAsia="zh-CN"/>
              </w:rPr>
              <w:t>焊接环节颗粒物、锡及其化合物</w:t>
            </w:r>
            <w:r>
              <w:rPr>
                <w:rFonts w:hint="default" w:ascii="Times New Roman" w:hAnsi="Times New Roman" w:eastAsia="宋体" w:cs="Times New Roman"/>
                <w:b/>
                <w:bCs/>
                <w:color w:val="auto"/>
                <w:kern w:val="0"/>
                <w:sz w:val="21"/>
                <w:szCs w:val="21"/>
                <w:highlight w:val="none"/>
                <w:lang w:val="en-US" w:eastAsia="zh-CN"/>
              </w:rPr>
              <w:t>产排情况一览表</w:t>
            </w:r>
          </w:p>
          <w:tbl>
            <w:tblPr>
              <w:tblStyle w:val="29"/>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0"/>
              <w:gridCol w:w="947"/>
              <w:gridCol w:w="415"/>
              <w:gridCol w:w="776"/>
              <w:gridCol w:w="1042"/>
              <w:gridCol w:w="878"/>
              <w:gridCol w:w="1534"/>
              <w:gridCol w:w="783"/>
              <w:gridCol w:w="1043"/>
              <w:gridCol w:w="890"/>
            </w:tblGrid>
            <w:tr w14:paraId="3E2F6A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restart"/>
                  <w:tcBorders>
                    <w:tl2br w:val="nil"/>
                    <w:tr2bl w:val="nil"/>
                  </w:tcBorders>
                  <w:vAlign w:val="center"/>
                </w:tcPr>
                <w:p w14:paraId="4D90453E">
                  <w:pPr>
                    <w:jc w:val="center"/>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cs="Times New Roman"/>
                      <w:color w:val="auto"/>
                      <w:spacing w:val="-17"/>
                      <w:sz w:val="21"/>
                      <w:szCs w:val="21"/>
                      <w:highlight w:val="none"/>
                      <w:lang w:val="en-US" w:eastAsia="zh-CN"/>
                    </w:rPr>
                    <w:t>污染源类型</w:t>
                  </w:r>
                </w:p>
              </w:tc>
              <w:tc>
                <w:tcPr>
                  <w:tcW w:w="543" w:type="pct"/>
                  <w:vMerge w:val="restart"/>
                  <w:tcBorders>
                    <w:tl2br w:val="nil"/>
                    <w:tr2bl w:val="nil"/>
                  </w:tcBorders>
                  <w:vAlign w:val="center"/>
                </w:tcPr>
                <w:p w14:paraId="25B1DCF3">
                  <w:pPr>
                    <w:jc w:val="center"/>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cs="Times New Roman"/>
                      <w:color w:val="auto"/>
                      <w:spacing w:val="-17"/>
                      <w:sz w:val="21"/>
                      <w:szCs w:val="21"/>
                      <w:highlight w:val="none"/>
                    </w:rPr>
                    <w:t>废气量</w:t>
                  </w:r>
                  <w:r>
                    <w:rPr>
                      <w:rFonts w:hint="default" w:ascii="Times New Roman" w:hAnsi="Times New Roman" w:cs="Times New Roman"/>
                      <w:color w:val="auto"/>
                      <w:spacing w:val="-17"/>
                      <w:sz w:val="21"/>
                      <w:szCs w:val="21"/>
                      <w:highlight w:val="none"/>
                      <w:lang w:eastAsia="zh-CN"/>
                    </w:rPr>
                    <w:t>（</w:t>
                  </w:r>
                  <w:r>
                    <w:rPr>
                      <w:rFonts w:hint="default" w:ascii="Times New Roman" w:hAnsi="Times New Roman" w:cs="Times New Roman"/>
                      <w:color w:val="auto"/>
                      <w:spacing w:val="-17"/>
                      <w:sz w:val="21"/>
                      <w:szCs w:val="21"/>
                      <w:highlight w:val="none"/>
                    </w:rPr>
                    <w:t>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vertAlign w:val="baseline"/>
                      <w:lang w:val="en-US" w:eastAsia="zh-CN"/>
                    </w:rPr>
                    <w:t>/a）</w:t>
                  </w:r>
                </w:p>
              </w:tc>
              <w:tc>
                <w:tcPr>
                  <w:tcW w:w="238" w:type="pct"/>
                  <w:vMerge w:val="restart"/>
                  <w:tcBorders>
                    <w:tl2br w:val="nil"/>
                    <w:tr2bl w:val="nil"/>
                  </w:tcBorders>
                  <w:vAlign w:val="center"/>
                </w:tcPr>
                <w:p w14:paraId="7E9105A6">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污染物</w:t>
                  </w:r>
                </w:p>
              </w:tc>
              <w:tc>
                <w:tcPr>
                  <w:tcW w:w="1545" w:type="pct"/>
                  <w:gridSpan w:val="3"/>
                  <w:tcBorders>
                    <w:tl2br w:val="nil"/>
                    <w:tr2bl w:val="nil"/>
                  </w:tcBorders>
                  <w:vAlign w:val="center"/>
                </w:tcPr>
                <w:p w14:paraId="59F1C695">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产生情况</w:t>
                  </w:r>
                </w:p>
              </w:tc>
              <w:tc>
                <w:tcPr>
                  <w:tcW w:w="879" w:type="pct"/>
                  <w:vMerge w:val="restart"/>
                  <w:tcBorders>
                    <w:tl2br w:val="nil"/>
                    <w:tr2bl w:val="nil"/>
                  </w:tcBorders>
                  <w:vAlign w:val="center"/>
                </w:tcPr>
                <w:p w14:paraId="76C9B8F6">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处理措施</w:t>
                  </w:r>
                </w:p>
              </w:tc>
              <w:tc>
                <w:tcPr>
                  <w:tcW w:w="1557" w:type="pct"/>
                  <w:gridSpan w:val="3"/>
                  <w:tcBorders>
                    <w:tl2br w:val="nil"/>
                    <w:tr2bl w:val="nil"/>
                  </w:tcBorders>
                  <w:vAlign w:val="center"/>
                </w:tcPr>
                <w:p w14:paraId="1D8B5D8C">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排放情况</w:t>
                  </w:r>
                </w:p>
              </w:tc>
            </w:tr>
            <w:tr w14:paraId="5E401B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continue"/>
                  <w:tcBorders>
                    <w:tl2br w:val="nil"/>
                    <w:tr2bl w:val="nil"/>
                  </w:tcBorders>
                  <w:vAlign w:val="center"/>
                </w:tcPr>
                <w:p w14:paraId="6940217F">
                  <w:pPr>
                    <w:jc w:val="center"/>
                    <w:rPr>
                      <w:rFonts w:hint="default" w:ascii="Times New Roman" w:hAnsi="Times New Roman" w:cs="Times New Roman"/>
                      <w:color w:val="auto"/>
                      <w:spacing w:val="-17"/>
                      <w:sz w:val="21"/>
                      <w:szCs w:val="21"/>
                      <w:highlight w:val="none"/>
                    </w:rPr>
                  </w:pPr>
                </w:p>
              </w:tc>
              <w:tc>
                <w:tcPr>
                  <w:tcW w:w="543" w:type="pct"/>
                  <w:vMerge w:val="continue"/>
                  <w:tcBorders>
                    <w:tl2br w:val="nil"/>
                    <w:tr2bl w:val="nil"/>
                  </w:tcBorders>
                  <w:vAlign w:val="center"/>
                </w:tcPr>
                <w:p w14:paraId="17F5157A">
                  <w:pPr>
                    <w:jc w:val="center"/>
                    <w:rPr>
                      <w:rFonts w:hint="default" w:ascii="Times New Roman" w:hAnsi="Times New Roman" w:cs="Times New Roman"/>
                      <w:color w:val="auto"/>
                      <w:spacing w:val="-17"/>
                      <w:sz w:val="21"/>
                      <w:szCs w:val="21"/>
                      <w:highlight w:val="none"/>
                    </w:rPr>
                  </w:pPr>
                </w:p>
              </w:tc>
              <w:tc>
                <w:tcPr>
                  <w:tcW w:w="238" w:type="pct"/>
                  <w:vMerge w:val="continue"/>
                  <w:tcBorders>
                    <w:tl2br w:val="nil"/>
                    <w:tr2bl w:val="nil"/>
                  </w:tcBorders>
                  <w:vAlign w:val="center"/>
                </w:tcPr>
                <w:p w14:paraId="6458D5E7">
                  <w:pPr>
                    <w:jc w:val="center"/>
                    <w:rPr>
                      <w:rFonts w:hint="default" w:ascii="Times New Roman" w:hAnsi="Times New Roman" w:cs="Times New Roman"/>
                      <w:color w:val="auto"/>
                      <w:spacing w:val="-17"/>
                      <w:sz w:val="21"/>
                      <w:szCs w:val="21"/>
                      <w:highlight w:val="none"/>
                    </w:rPr>
                  </w:pPr>
                </w:p>
              </w:tc>
              <w:tc>
                <w:tcPr>
                  <w:tcW w:w="445" w:type="pct"/>
                  <w:tcBorders>
                    <w:tl2br w:val="nil"/>
                    <w:tr2bl w:val="nil"/>
                  </w:tcBorders>
                  <w:vAlign w:val="center"/>
                </w:tcPr>
                <w:p w14:paraId="64368328">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量（t/a）</w:t>
                  </w:r>
                </w:p>
              </w:tc>
              <w:tc>
                <w:tcPr>
                  <w:tcW w:w="597" w:type="pct"/>
                  <w:tcBorders>
                    <w:tl2br w:val="nil"/>
                    <w:tr2bl w:val="nil"/>
                  </w:tcBorders>
                  <w:vAlign w:val="center"/>
                </w:tcPr>
                <w:p w14:paraId="6DC0A6A1">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浓度（mg/m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rPr>
                    <w:t>）</w:t>
                  </w:r>
                </w:p>
              </w:tc>
              <w:tc>
                <w:tcPr>
                  <w:tcW w:w="502" w:type="pct"/>
                  <w:tcBorders>
                    <w:tl2br w:val="nil"/>
                    <w:tr2bl w:val="nil"/>
                  </w:tcBorders>
                  <w:vAlign w:val="center"/>
                </w:tcPr>
                <w:p w14:paraId="08951DD1">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速率（</w:t>
                  </w:r>
                  <w:r>
                    <w:rPr>
                      <w:rFonts w:hint="default" w:ascii="Times New Roman" w:hAnsi="Times New Roman" w:cs="Times New Roman"/>
                      <w:color w:val="auto"/>
                      <w:spacing w:val="-17"/>
                      <w:sz w:val="21"/>
                      <w:szCs w:val="21"/>
                      <w:highlight w:val="none"/>
                      <w:lang w:eastAsia="zh-CN"/>
                    </w:rPr>
                    <w:t>kg</w:t>
                  </w:r>
                  <w:r>
                    <w:rPr>
                      <w:rFonts w:hint="default" w:ascii="Times New Roman" w:hAnsi="Times New Roman" w:cs="Times New Roman"/>
                      <w:color w:val="auto"/>
                      <w:spacing w:val="-17"/>
                      <w:sz w:val="21"/>
                      <w:szCs w:val="21"/>
                      <w:highlight w:val="none"/>
                    </w:rPr>
                    <w:t>/h）</w:t>
                  </w:r>
                </w:p>
              </w:tc>
              <w:tc>
                <w:tcPr>
                  <w:tcW w:w="879" w:type="pct"/>
                  <w:vMerge w:val="continue"/>
                  <w:tcBorders>
                    <w:tl2br w:val="nil"/>
                    <w:tr2bl w:val="nil"/>
                  </w:tcBorders>
                  <w:vAlign w:val="center"/>
                </w:tcPr>
                <w:p w14:paraId="6EF6C62F">
                  <w:pPr>
                    <w:jc w:val="center"/>
                    <w:rPr>
                      <w:rFonts w:hint="default" w:ascii="Times New Roman" w:hAnsi="Times New Roman" w:cs="Times New Roman"/>
                      <w:color w:val="auto"/>
                      <w:spacing w:val="-17"/>
                      <w:sz w:val="21"/>
                      <w:szCs w:val="21"/>
                      <w:highlight w:val="none"/>
                    </w:rPr>
                  </w:pPr>
                </w:p>
              </w:tc>
              <w:tc>
                <w:tcPr>
                  <w:tcW w:w="449" w:type="pct"/>
                  <w:tcBorders>
                    <w:tl2br w:val="nil"/>
                    <w:tr2bl w:val="nil"/>
                  </w:tcBorders>
                  <w:vAlign w:val="center"/>
                </w:tcPr>
                <w:p w14:paraId="4019D2D2">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量（t/a）</w:t>
                  </w:r>
                </w:p>
              </w:tc>
              <w:tc>
                <w:tcPr>
                  <w:tcW w:w="598" w:type="pct"/>
                  <w:tcBorders>
                    <w:tl2br w:val="nil"/>
                    <w:tr2bl w:val="nil"/>
                  </w:tcBorders>
                  <w:vAlign w:val="center"/>
                </w:tcPr>
                <w:p w14:paraId="16A768D3">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浓度（mg/m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rPr>
                    <w:t>）</w:t>
                  </w:r>
                </w:p>
              </w:tc>
              <w:tc>
                <w:tcPr>
                  <w:tcW w:w="509" w:type="pct"/>
                  <w:tcBorders>
                    <w:tl2br w:val="nil"/>
                    <w:tr2bl w:val="nil"/>
                  </w:tcBorders>
                  <w:vAlign w:val="center"/>
                </w:tcPr>
                <w:p w14:paraId="1573BD69">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速率（</w:t>
                  </w:r>
                  <w:r>
                    <w:rPr>
                      <w:rFonts w:hint="default" w:ascii="Times New Roman" w:hAnsi="Times New Roman" w:cs="Times New Roman"/>
                      <w:color w:val="auto"/>
                      <w:spacing w:val="-17"/>
                      <w:sz w:val="21"/>
                      <w:szCs w:val="21"/>
                      <w:highlight w:val="none"/>
                      <w:lang w:eastAsia="zh-CN"/>
                    </w:rPr>
                    <w:t>kg</w:t>
                  </w:r>
                  <w:r>
                    <w:rPr>
                      <w:rFonts w:hint="default" w:ascii="Times New Roman" w:hAnsi="Times New Roman" w:cs="Times New Roman"/>
                      <w:color w:val="auto"/>
                      <w:spacing w:val="-17"/>
                      <w:sz w:val="21"/>
                      <w:szCs w:val="21"/>
                      <w:highlight w:val="none"/>
                    </w:rPr>
                    <w:t>/h）</w:t>
                  </w:r>
                </w:p>
              </w:tc>
            </w:tr>
            <w:tr w14:paraId="5CF243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restart"/>
                  <w:tcBorders>
                    <w:tl2br w:val="nil"/>
                    <w:tr2bl w:val="nil"/>
                  </w:tcBorders>
                  <w:vAlign w:val="center"/>
                </w:tcPr>
                <w:p w14:paraId="1CF9A477">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有组织</w:t>
                  </w:r>
                </w:p>
              </w:tc>
              <w:tc>
                <w:tcPr>
                  <w:tcW w:w="543" w:type="pct"/>
                  <w:tcBorders>
                    <w:tl2br w:val="nil"/>
                    <w:tr2bl w:val="nil"/>
                  </w:tcBorders>
                  <w:vAlign w:val="center"/>
                </w:tcPr>
                <w:p w14:paraId="672D67BA">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1</w:t>
                  </w:r>
                  <w:r>
                    <w:rPr>
                      <w:rFonts w:hint="default" w:ascii="Times New Roman" w:hAnsi="Times New Roman" w:cs="Times New Roman"/>
                      <w:b w:val="0"/>
                      <w:bCs/>
                      <w:color w:val="auto"/>
                      <w:spacing w:val="-17"/>
                      <w:kern w:val="2"/>
                      <w:sz w:val="21"/>
                      <w:szCs w:val="21"/>
                      <w:highlight w:val="none"/>
                      <w:lang w:val="en-US" w:eastAsia="zh-CN" w:bidi="ar-SA"/>
                    </w:rPr>
                    <w:t>.2</w:t>
                  </w:r>
                  <w:r>
                    <w:rPr>
                      <w:rFonts w:hint="default" w:ascii="Times New Roman" w:hAnsi="Times New Roman" w:eastAsia="宋体" w:cs="Times New Roman"/>
                      <w:b w:val="0"/>
                      <w:bCs/>
                      <w:color w:val="auto"/>
                      <w:spacing w:val="-17"/>
                      <w:kern w:val="2"/>
                      <w:sz w:val="21"/>
                      <w:szCs w:val="21"/>
                      <w:highlight w:val="none"/>
                      <w:lang w:val="en-US" w:eastAsia="zh-CN" w:bidi="ar-SA"/>
                    </w:rPr>
                    <w:t>×10</w:t>
                  </w:r>
                  <w:r>
                    <w:rPr>
                      <w:rFonts w:hint="default" w:ascii="Times New Roman" w:hAnsi="Times New Roman" w:eastAsia="宋体" w:cs="Times New Roman"/>
                      <w:b w:val="0"/>
                      <w:bCs/>
                      <w:color w:val="auto"/>
                      <w:spacing w:val="-17"/>
                      <w:kern w:val="2"/>
                      <w:sz w:val="21"/>
                      <w:szCs w:val="21"/>
                      <w:highlight w:val="none"/>
                      <w:vertAlign w:val="superscript"/>
                      <w:lang w:val="en-US" w:eastAsia="zh-CN" w:bidi="ar-SA"/>
                    </w:rPr>
                    <w:t>7</w:t>
                  </w:r>
                </w:p>
              </w:tc>
              <w:tc>
                <w:tcPr>
                  <w:tcW w:w="238" w:type="pct"/>
                  <w:tcBorders>
                    <w:tl2br w:val="nil"/>
                    <w:tr2bl w:val="nil"/>
                  </w:tcBorders>
                  <w:vAlign w:val="center"/>
                </w:tcPr>
                <w:p w14:paraId="7A25210A">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颗粒物</w:t>
                  </w:r>
                </w:p>
              </w:tc>
              <w:tc>
                <w:tcPr>
                  <w:tcW w:w="445" w:type="pct"/>
                  <w:tcBorders>
                    <w:tl2br w:val="nil"/>
                    <w:tr2bl w:val="nil"/>
                  </w:tcBorders>
                  <w:vAlign w:val="center"/>
                </w:tcPr>
                <w:p w14:paraId="15C99CE4">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0.0016</w:t>
                  </w:r>
                </w:p>
              </w:tc>
              <w:tc>
                <w:tcPr>
                  <w:tcW w:w="597" w:type="pct"/>
                  <w:tcBorders>
                    <w:tl2br w:val="nil"/>
                    <w:tr2bl w:val="nil"/>
                  </w:tcBorders>
                  <w:vAlign w:val="center"/>
                </w:tcPr>
                <w:p w14:paraId="2602CF55">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0.133</w:t>
                  </w:r>
                </w:p>
              </w:tc>
              <w:tc>
                <w:tcPr>
                  <w:tcW w:w="502" w:type="pct"/>
                  <w:tcBorders>
                    <w:tl2br w:val="nil"/>
                    <w:tr2bl w:val="nil"/>
                  </w:tcBorders>
                  <w:vAlign w:val="center"/>
                </w:tcPr>
                <w:p w14:paraId="6EA4A91C">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0.00027</w:t>
                  </w:r>
                </w:p>
              </w:tc>
              <w:tc>
                <w:tcPr>
                  <w:tcW w:w="879" w:type="pct"/>
                  <w:vMerge w:val="restart"/>
                  <w:tcBorders>
                    <w:tl2br w:val="nil"/>
                    <w:tr2bl w:val="nil"/>
                  </w:tcBorders>
                  <w:vAlign w:val="center"/>
                </w:tcPr>
                <w:p w14:paraId="0AD0D8BE">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集气罩</w:t>
                  </w:r>
                  <w:r>
                    <w:rPr>
                      <w:rFonts w:hint="default" w:ascii="Times New Roman" w:hAnsi="Times New Roman" w:eastAsia="宋体" w:cs="Times New Roman"/>
                      <w:b w:val="0"/>
                      <w:bCs/>
                      <w:color w:val="auto"/>
                      <w:spacing w:val="-17"/>
                      <w:kern w:val="2"/>
                      <w:sz w:val="21"/>
                      <w:szCs w:val="21"/>
                      <w:highlight w:val="none"/>
                      <w:lang w:val="en-US" w:eastAsia="zh-CN" w:bidi="ar-SA"/>
                    </w:rPr>
                    <w:t>收集+1套</w:t>
                  </w:r>
                  <w:r>
                    <w:rPr>
                      <w:rFonts w:hint="default" w:ascii="Times New Roman" w:hAnsi="Times New Roman" w:cs="Times New Roman"/>
                      <w:b w:val="0"/>
                      <w:bCs/>
                      <w:color w:val="auto"/>
                      <w:spacing w:val="-17"/>
                      <w:kern w:val="2"/>
                      <w:sz w:val="21"/>
                      <w:szCs w:val="21"/>
                      <w:highlight w:val="none"/>
                      <w:lang w:val="en-US" w:eastAsia="zh-CN" w:bidi="ar-SA"/>
                    </w:rPr>
                    <w:t>过滤棉+二级活性炭吸附装置（TA001）</w:t>
                  </w:r>
                  <w:r>
                    <w:rPr>
                      <w:rFonts w:hint="default" w:ascii="Times New Roman" w:hAnsi="Times New Roman" w:eastAsia="宋体" w:cs="Times New Roman"/>
                      <w:b w:val="0"/>
                      <w:bCs/>
                      <w:color w:val="auto"/>
                      <w:spacing w:val="-17"/>
                      <w:kern w:val="2"/>
                      <w:sz w:val="21"/>
                      <w:szCs w:val="21"/>
                      <w:highlight w:val="none"/>
                      <w:lang w:val="en-US" w:eastAsia="zh-CN" w:bidi="ar-SA"/>
                    </w:rPr>
                    <w:t>+</w:t>
                  </w:r>
                  <w:r>
                    <w:rPr>
                      <w:rFonts w:hint="default" w:ascii="Times New Roman" w:hAnsi="Times New Roman" w:cs="Times New Roman"/>
                      <w:b w:val="0"/>
                      <w:bCs/>
                      <w:color w:val="auto"/>
                      <w:spacing w:val="-17"/>
                      <w:kern w:val="2"/>
                      <w:sz w:val="21"/>
                      <w:szCs w:val="21"/>
                      <w:highlight w:val="none"/>
                      <w:lang w:val="en-US" w:eastAsia="zh-CN" w:bidi="ar-SA"/>
                    </w:rPr>
                    <w:t>34</w:t>
                  </w:r>
                  <w:r>
                    <w:rPr>
                      <w:rFonts w:hint="default" w:ascii="Times New Roman" w:hAnsi="Times New Roman" w:eastAsia="宋体" w:cs="Times New Roman"/>
                      <w:b w:val="0"/>
                      <w:bCs/>
                      <w:color w:val="auto"/>
                      <w:spacing w:val="-17"/>
                      <w:kern w:val="2"/>
                      <w:sz w:val="21"/>
                      <w:szCs w:val="21"/>
                      <w:highlight w:val="none"/>
                      <w:lang w:val="en-US" w:eastAsia="zh-CN" w:bidi="ar-SA"/>
                    </w:rPr>
                    <w:t>米排放（DA00</w:t>
                  </w:r>
                  <w:r>
                    <w:rPr>
                      <w:rFonts w:hint="default" w:ascii="Times New Roman" w:hAnsi="Times New Roman" w:cs="Times New Roman"/>
                      <w:b w:val="0"/>
                      <w:bCs/>
                      <w:color w:val="auto"/>
                      <w:spacing w:val="-17"/>
                      <w:kern w:val="2"/>
                      <w:sz w:val="21"/>
                      <w:szCs w:val="21"/>
                      <w:highlight w:val="none"/>
                      <w:lang w:val="en-US" w:eastAsia="zh-CN" w:bidi="ar-SA"/>
                    </w:rPr>
                    <w:t>1</w:t>
                  </w:r>
                  <w:r>
                    <w:rPr>
                      <w:rFonts w:hint="default" w:ascii="Times New Roman" w:hAnsi="Times New Roman" w:eastAsia="宋体" w:cs="Times New Roman"/>
                      <w:b w:val="0"/>
                      <w:bCs/>
                      <w:color w:val="auto"/>
                      <w:spacing w:val="-17"/>
                      <w:kern w:val="2"/>
                      <w:sz w:val="21"/>
                      <w:szCs w:val="21"/>
                      <w:highlight w:val="none"/>
                      <w:lang w:val="en-US" w:eastAsia="zh-CN" w:bidi="ar-SA"/>
                    </w:rPr>
                    <w:t>）</w:t>
                  </w:r>
                </w:p>
              </w:tc>
              <w:tc>
                <w:tcPr>
                  <w:tcW w:w="449" w:type="pct"/>
                  <w:tcBorders>
                    <w:tl2br w:val="nil"/>
                    <w:tr2bl w:val="nil"/>
                  </w:tcBorders>
                  <w:vAlign w:val="center"/>
                </w:tcPr>
                <w:p w14:paraId="38F9803F">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0.00128</w:t>
                  </w:r>
                </w:p>
              </w:tc>
              <w:tc>
                <w:tcPr>
                  <w:tcW w:w="598" w:type="pct"/>
                  <w:tcBorders>
                    <w:tl2br w:val="nil"/>
                    <w:tr2bl w:val="nil"/>
                  </w:tcBorders>
                  <w:vAlign w:val="center"/>
                </w:tcPr>
                <w:p w14:paraId="640C881C">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0.107</w:t>
                  </w:r>
                </w:p>
              </w:tc>
              <w:tc>
                <w:tcPr>
                  <w:tcW w:w="509" w:type="pct"/>
                  <w:tcBorders>
                    <w:tl2br w:val="nil"/>
                    <w:tr2bl w:val="nil"/>
                  </w:tcBorders>
                  <w:vAlign w:val="center"/>
                </w:tcPr>
                <w:p w14:paraId="78874A3A">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0.000216</w:t>
                  </w:r>
                </w:p>
              </w:tc>
            </w:tr>
            <w:tr w14:paraId="4E4CC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continue"/>
                  <w:tcBorders>
                    <w:tl2br w:val="nil"/>
                    <w:tr2bl w:val="nil"/>
                  </w:tcBorders>
                  <w:vAlign w:val="center"/>
                </w:tcPr>
                <w:p w14:paraId="318DC39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p>
              </w:tc>
              <w:tc>
                <w:tcPr>
                  <w:tcW w:w="543" w:type="pct"/>
                  <w:tcBorders>
                    <w:tl2br w:val="nil"/>
                    <w:tr2bl w:val="nil"/>
                  </w:tcBorders>
                  <w:vAlign w:val="center"/>
                </w:tcPr>
                <w:p w14:paraId="372DB937">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1.2×10</w:t>
                  </w:r>
                  <w:r>
                    <w:rPr>
                      <w:rFonts w:hint="default" w:ascii="Times New Roman" w:hAnsi="Times New Roman" w:eastAsia="宋体" w:cs="Times New Roman"/>
                      <w:b w:val="0"/>
                      <w:bCs/>
                      <w:color w:val="auto"/>
                      <w:spacing w:val="-17"/>
                      <w:kern w:val="2"/>
                      <w:sz w:val="21"/>
                      <w:szCs w:val="21"/>
                      <w:highlight w:val="none"/>
                      <w:vertAlign w:val="superscript"/>
                      <w:lang w:val="en-US" w:eastAsia="zh-CN" w:bidi="ar-SA"/>
                    </w:rPr>
                    <w:t>7</w:t>
                  </w:r>
                </w:p>
              </w:tc>
              <w:tc>
                <w:tcPr>
                  <w:tcW w:w="238" w:type="pct"/>
                  <w:tcBorders>
                    <w:tl2br w:val="nil"/>
                    <w:tr2bl w:val="nil"/>
                  </w:tcBorders>
                  <w:vAlign w:val="center"/>
                </w:tcPr>
                <w:p w14:paraId="4A542BD2">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锡及其化合物</w:t>
                  </w:r>
                </w:p>
              </w:tc>
              <w:tc>
                <w:tcPr>
                  <w:tcW w:w="445" w:type="pct"/>
                  <w:tcBorders>
                    <w:tl2br w:val="nil"/>
                    <w:tr2bl w:val="nil"/>
                  </w:tcBorders>
                  <w:vAlign w:val="center"/>
                </w:tcPr>
                <w:p w14:paraId="1D77E485">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0.0016</w:t>
                  </w:r>
                </w:p>
              </w:tc>
              <w:tc>
                <w:tcPr>
                  <w:tcW w:w="597" w:type="pct"/>
                  <w:tcBorders>
                    <w:tl2br w:val="nil"/>
                    <w:tr2bl w:val="nil"/>
                  </w:tcBorders>
                  <w:vAlign w:val="center"/>
                </w:tcPr>
                <w:p w14:paraId="746C6A30">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0.133</w:t>
                  </w:r>
                </w:p>
              </w:tc>
              <w:tc>
                <w:tcPr>
                  <w:tcW w:w="502" w:type="pct"/>
                  <w:tcBorders>
                    <w:tl2br w:val="nil"/>
                    <w:tr2bl w:val="nil"/>
                  </w:tcBorders>
                  <w:vAlign w:val="center"/>
                </w:tcPr>
                <w:p w14:paraId="24B6DC34">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0.00027</w:t>
                  </w:r>
                </w:p>
              </w:tc>
              <w:tc>
                <w:tcPr>
                  <w:tcW w:w="879" w:type="pct"/>
                  <w:vMerge w:val="continue"/>
                  <w:tcBorders>
                    <w:tl2br w:val="nil"/>
                    <w:tr2bl w:val="nil"/>
                  </w:tcBorders>
                  <w:vAlign w:val="center"/>
                </w:tcPr>
                <w:p w14:paraId="2611C91B">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p>
              </w:tc>
              <w:tc>
                <w:tcPr>
                  <w:tcW w:w="449" w:type="pct"/>
                  <w:tcBorders>
                    <w:tl2br w:val="nil"/>
                    <w:tr2bl w:val="nil"/>
                  </w:tcBorders>
                  <w:vAlign w:val="center"/>
                </w:tcPr>
                <w:p w14:paraId="5490F787">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0.00128</w:t>
                  </w:r>
                </w:p>
              </w:tc>
              <w:tc>
                <w:tcPr>
                  <w:tcW w:w="598" w:type="pct"/>
                  <w:tcBorders>
                    <w:tl2br w:val="nil"/>
                    <w:tr2bl w:val="nil"/>
                  </w:tcBorders>
                  <w:vAlign w:val="center"/>
                </w:tcPr>
                <w:p w14:paraId="504A21EB">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0.107</w:t>
                  </w:r>
                </w:p>
              </w:tc>
              <w:tc>
                <w:tcPr>
                  <w:tcW w:w="509" w:type="pct"/>
                  <w:tcBorders>
                    <w:tl2br w:val="nil"/>
                    <w:tr2bl w:val="nil"/>
                  </w:tcBorders>
                  <w:vAlign w:val="center"/>
                </w:tcPr>
                <w:p w14:paraId="28EF0F4D">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0.000216</w:t>
                  </w:r>
                </w:p>
              </w:tc>
            </w:tr>
            <w:tr w14:paraId="229069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restart"/>
                  <w:tcBorders>
                    <w:tl2br w:val="nil"/>
                    <w:tr2bl w:val="nil"/>
                  </w:tcBorders>
                  <w:vAlign w:val="center"/>
                </w:tcPr>
                <w:p w14:paraId="39F3051E">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无组织</w:t>
                  </w:r>
                </w:p>
              </w:tc>
              <w:tc>
                <w:tcPr>
                  <w:tcW w:w="543" w:type="pct"/>
                  <w:tcBorders>
                    <w:tl2br w:val="nil"/>
                    <w:tr2bl w:val="nil"/>
                  </w:tcBorders>
                  <w:vAlign w:val="center"/>
                </w:tcPr>
                <w:p w14:paraId="4EF55D65">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238" w:type="pct"/>
                  <w:tcBorders>
                    <w:tl2br w:val="nil"/>
                    <w:tr2bl w:val="nil"/>
                  </w:tcBorders>
                  <w:vAlign w:val="center"/>
                </w:tcPr>
                <w:p w14:paraId="69A2910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颗粒物</w:t>
                  </w:r>
                </w:p>
              </w:tc>
              <w:tc>
                <w:tcPr>
                  <w:tcW w:w="445" w:type="pct"/>
                  <w:tcBorders>
                    <w:tl2br w:val="nil"/>
                    <w:tr2bl w:val="nil"/>
                  </w:tcBorders>
                  <w:vAlign w:val="center"/>
                </w:tcPr>
                <w:p w14:paraId="4C83F6B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97" w:type="pct"/>
                  <w:tcBorders>
                    <w:tl2br w:val="nil"/>
                    <w:tr2bl w:val="nil"/>
                  </w:tcBorders>
                  <w:vAlign w:val="center"/>
                </w:tcPr>
                <w:p w14:paraId="3D880F0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502" w:type="pct"/>
                  <w:tcBorders>
                    <w:tl2br w:val="nil"/>
                    <w:tr2bl w:val="nil"/>
                  </w:tcBorders>
                  <w:vAlign w:val="center"/>
                </w:tcPr>
                <w:p w14:paraId="350F1CE6">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879" w:type="pct"/>
                  <w:tcBorders>
                    <w:tl2br w:val="nil"/>
                    <w:tr2bl w:val="nil"/>
                  </w:tcBorders>
                  <w:vAlign w:val="center"/>
                </w:tcPr>
                <w:p w14:paraId="2652DE87">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49" w:type="pct"/>
                  <w:tcBorders>
                    <w:tl2br w:val="nil"/>
                    <w:tr2bl w:val="nil"/>
                  </w:tcBorders>
                  <w:vAlign w:val="center"/>
                </w:tcPr>
                <w:p w14:paraId="0DCA88B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98" w:type="pct"/>
                  <w:tcBorders>
                    <w:tl2br w:val="nil"/>
                    <w:tr2bl w:val="nil"/>
                  </w:tcBorders>
                  <w:vAlign w:val="center"/>
                </w:tcPr>
                <w:p w14:paraId="7AD3CB7F">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509" w:type="pct"/>
                  <w:tcBorders>
                    <w:tl2br w:val="nil"/>
                    <w:tr2bl w:val="nil"/>
                  </w:tcBorders>
                  <w:vAlign w:val="center"/>
                </w:tcPr>
                <w:p w14:paraId="017544F0">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r>
            <w:tr w14:paraId="232E7D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5" w:type="pct"/>
                  <w:vMerge w:val="continue"/>
                  <w:tcBorders>
                    <w:tl2br w:val="nil"/>
                    <w:tr2bl w:val="nil"/>
                  </w:tcBorders>
                  <w:vAlign w:val="center"/>
                </w:tcPr>
                <w:p w14:paraId="0DF2B05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p>
              </w:tc>
              <w:tc>
                <w:tcPr>
                  <w:tcW w:w="543" w:type="pct"/>
                  <w:tcBorders>
                    <w:tl2br w:val="nil"/>
                    <w:tr2bl w:val="nil"/>
                  </w:tcBorders>
                  <w:vAlign w:val="center"/>
                </w:tcPr>
                <w:p w14:paraId="713317E8">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238" w:type="pct"/>
                  <w:tcBorders>
                    <w:tl2br w:val="nil"/>
                    <w:tr2bl w:val="nil"/>
                  </w:tcBorders>
                  <w:vAlign w:val="center"/>
                </w:tcPr>
                <w:p w14:paraId="696101AB">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锡及其化合物</w:t>
                  </w:r>
                </w:p>
              </w:tc>
              <w:tc>
                <w:tcPr>
                  <w:tcW w:w="445" w:type="pct"/>
                  <w:tcBorders>
                    <w:tl2br w:val="nil"/>
                    <w:tr2bl w:val="nil"/>
                  </w:tcBorders>
                  <w:vAlign w:val="center"/>
                </w:tcPr>
                <w:p w14:paraId="0BEF4B92">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97" w:type="pct"/>
                  <w:tcBorders>
                    <w:tl2br w:val="nil"/>
                    <w:tr2bl w:val="nil"/>
                  </w:tcBorders>
                  <w:vAlign w:val="center"/>
                </w:tcPr>
                <w:p w14:paraId="5984E987">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502" w:type="pct"/>
                  <w:tcBorders>
                    <w:tl2br w:val="nil"/>
                    <w:tr2bl w:val="nil"/>
                  </w:tcBorders>
                  <w:vAlign w:val="center"/>
                </w:tcPr>
                <w:p w14:paraId="4D4DAA17">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879" w:type="pct"/>
                  <w:tcBorders>
                    <w:tl2br w:val="nil"/>
                    <w:tr2bl w:val="nil"/>
                  </w:tcBorders>
                  <w:vAlign w:val="center"/>
                </w:tcPr>
                <w:p w14:paraId="4A3B2D57">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49" w:type="pct"/>
                  <w:tcBorders>
                    <w:tl2br w:val="nil"/>
                    <w:tr2bl w:val="nil"/>
                  </w:tcBorders>
                  <w:vAlign w:val="center"/>
                </w:tcPr>
                <w:p w14:paraId="4770F6F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98" w:type="pct"/>
                  <w:tcBorders>
                    <w:tl2br w:val="nil"/>
                    <w:tr2bl w:val="nil"/>
                  </w:tcBorders>
                  <w:vAlign w:val="center"/>
                </w:tcPr>
                <w:p w14:paraId="381CA2A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509" w:type="pct"/>
                  <w:tcBorders>
                    <w:tl2br w:val="nil"/>
                    <w:tr2bl w:val="nil"/>
                  </w:tcBorders>
                  <w:vAlign w:val="center"/>
                </w:tcPr>
                <w:p w14:paraId="078AA44F">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r>
          </w:tbl>
          <w:p w14:paraId="3B9D838D">
            <w:pPr>
              <w:spacing w:line="360" w:lineRule="auto"/>
              <w:ind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highlight w:val="none"/>
                <w:lang w:val="en-US" w:eastAsia="zh-CN"/>
              </w:rPr>
              <w:t>②</w:t>
            </w:r>
            <w:r>
              <w:rPr>
                <w:rFonts w:hint="default" w:ascii="Times New Roman" w:hAnsi="Times New Roman" w:cs="Times New Roman"/>
                <w:color w:val="auto"/>
                <w:sz w:val="24"/>
                <w:highlight w:val="none"/>
                <w:lang w:val="en-US" w:eastAsia="zh-CN"/>
              </w:rPr>
              <w:t>清洗环节有机废气</w:t>
            </w:r>
          </w:p>
          <w:p w14:paraId="30A08DCF">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焊接环节后需对印制电路板上多余的锡膏进行清洗，清洗时采用TC-20环保清洗剂（主要成分为混合醇与烷烃类）在超声波清洗机中进行清洗</w:t>
            </w:r>
            <w:r>
              <w:rPr>
                <w:rFonts w:hint="default" w:ascii="Times New Roman" w:hAnsi="Times New Roman" w:eastAsia="宋体" w:cs="Times New Roman"/>
                <w:color w:val="auto"/>
                <w:sz w:val="24"/>
                <w:highlight w:val="none"/>
                <w:lang w:val="en-US" w:eastAsia="zh-CN"/>
              </w:rPr>
              <w:t>，根据建设单位提供资料，</w:t>
            </w:r>
            <w:r>
              <w:rPr>
                <w:rFonts w:hint="default" w:ascii="Times New Roman" w:hAnsi="Times New Roman" w:cs="Times New Roman"/>
                <w:color w:val="auto"/>
                <w:sz w:val="24"/>
                <w:highlight w:val="none"/>
                <w:lang w:val="en-US" w:eastAsia="zh-CN"/>
              </w:rPr>
              <w:t>敞口液面挥发速率采用气</w:t>
            </w:r>
            <w:r>
              <w:rPr>
                <w:rFonts w:hint="default" w:ascii="Times New Roman" w:hAnsi="Times New Roman" w:cs="Times New Roman"/>
                <w:color w:val="auto"/>
                <w:sz w:val="24"/>
                <w:highlight w:val="none"/>
                <w:lang w:val="en-US" w:eastAsia="zh-CN"/>
              </w:rPr>
              <w:noBreakHyphen/>
            </w:r>
            <w:r>
              <w:rPr>
                <w:rFonts w:hint="default" w:ascii="Times New Roman" w:hAnsi="Times New Roman" w:cs="Times New Roman"/>
                <w:color w:val="auto"/>
                <w:sz w:val="24"/>
                <w:highlight w:val="none"/>
                <w:lang w:val="en-US" w:eastAsia="zh-CN"/>
              </w:rPr>
              <w:t>液相传质模型：</w:t>
            </w:r>
          </w:p>
          <w:p w14:paraId="7DECB9CE">
            <w:pPr>
              <w:spacing w:line="360" w:lineRule="auto"/>
              <w:jc w:val="center"/>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drawing>
                <wp:inline distT="0" distB="0" distL="114300" distR="114300">
                  <wp:extent cx="1476375" cy="542925"/>
                  <wp:effectExtent l="0" t="0" r="9525" b="952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5"/>
                          <a:stretch>
                            <a:fillRect/>
                          </a:stretch>
                        </pic:blipFill>
                        <pic:spPr>
                          <a:xfrm>
                            <a:off x="0" y="0"/>
                            <a:ext cx="1476375" cy="542925"/>
                          </a:xfrm>
                          <a:prstGeom prst="rect">
                            <a:avLst/>
                          </a:prstGeom>
                          <a:noFill/>
                          <a:ln>
                            <a:noFill/>
                          </a:ln>
                        </pic:spPr>
                      </pic:pic>
                    </a:graphicData>
                  </a:graphic>
                </wp:inline>
              </w:drawing>
            </w:r>
          </w:p>
          <w:p w14:paraId="4F2B3E7C">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式中：G—挥发速率，kg/h；</w:t>
            </w:r>
          </w:p>
          <w:p w14:paraId="592B811F">
            <w:pPr>
              <w:spacing w:line="360" w:lineRule="auto"/>
              <w:ind w:firstLine="480" w:firstLineChars="200"/>
              <w:jc w:val="both"/>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 xml:space="preserve">      K—传质系数，参考同类工程取K=0.5；</w:t>
            </w:r>
          </w:p>
          <w:p w14:paraId="6BE916AA">
            <w:pPr>
              <w:spacing w:line="360" w:lineRule="auto"/>
              <w:ind w:firstLine="480" w:firstLineChars="200"/>
              <w:jc w:val="both"/>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lang w:val="en-US" w:eastAsia="zh-CN"/>
              </w:rPr>
              <w:t xml:space="preserve">      S—敞口面积，超声波清洗机总敞口面积S=1.125m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vertAlign w:val="baseline"/>
                <w:lang w:val="en-US" w:eastAsia="zh-CN"/>
              </w:rPr>
              <w:t>；</w:t>
            </w:r>
          </w:p>
          <w:p w14:paraId="2449A38B">
            <w:pPr>
              <w:spacing w:line="360" w:lineRule="auto"/>
              <w:ind w:firstLine="480" w:firstLineChars="200"/>
              <w:jc w:val="both"/>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t xml:space="preserve">      P—饱和蒸气压，根据环保清洗剂MSDS，P=4266.304Pa；</w:t>
            </w:r>
          </w:p>
          <w:p w14:paraId="6693A645">
            <w:pPr>
              <w:spacing w:line="360" w:lineRule="auto"/>
              <w:ind w:firstLine="480" w:firstLineChars="200"/>
              <w:jc w:val="both"/>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t xml:space="preserve">      M—摩尔质量，M=0.0609kg/mol；</w:t>
            </w:r>
          </w:p>
          <w:p w14:paraId="1AB64E95">
            <w:pPr>
              <w:spacing w:line="360" w:lineRule="auto"/>
              <w:ind w:firstLine="480" w:firstLineChars="200"/>
              <w:jc w:val="both"/>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t xml:space="preserve">      R—气体常数，R=8.314；</w:t>
            </w:r>
          </w:p>
          <w:p w14:paraId="5F11CFFF">
            <w:pPr>
              <w:spacing w:line="360" w:lineRule="auto"/>
              <w:ind w:firstLine="480" w:firstLineChars="200"/>
              <w:jc w:val="both"/>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t xml:space="preserve">      T—环境温度，T=293.15K</w:t>
            </w:r>
          </w:p>
          <w:p w14:paraId="7CC4CC77">
            <w:pPr>
              <w:spacing w:line="360" w:lineRule="auto"/>
              <w:ind w:firstLine="480" w:firstLineChars="200"/>
              <w:jc w:val="both"/>
              <w:rPr>
                <w:rFonts w:hint="default" w:ascii="Times New Roman" w:hAnsi="Times New Roman" w:cs="Times New Roman"/>
                <w:color w:val="auto"/>
                <w:sz w:val="24"/>
                <w:highlight w:val="none"/>
                <w:vertAlign w:val="baseline"/>
                <w:lang w:val="en-US" w:eastAsia="zh-CN"/>
              </w:rPr>
            </w:pPr>
            <w:r>
              <w:rPr>
                <w:rFonts w:hint="default" w:ascii="Times New Roman" w:hAnsi="Times New Roman" w:cs="Times New Roman"/>
                <w:color w:val="auto"/>
                <w:sz w:val="24"/>
                <w:highlight w:val="none"/>
                <w:vertAlign w:val="baseline"/>
                <w:lang w:val="en-US" w:eastAsia="zh-CN"/>
              </w:rPr>
              <w:t>计算得，G=0.06kg/h</w:t>
            </w:r>
          </w:p>
          <w:p w14:paraId="6150A4DB">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vertAlign w:val="baseline"/>
                <w:lang w:val="en-US" w:eastAsia="zh-CN"/>
              </w:rPr>
              <w:t>厂区年生产天数为250天，每天昼间工作8小时，故环保清洗剂挥发量为0.12t/a。</w:t>
            </w:r>
            <w:r>
              <w:rPr>
                <w:rFonts w:hint="default" w:ascii="Times New Roman" w:hAnsi="Times New Roman" w:cs="Times New Roman"/>
                <w:color w:val="auto"/>
                <w:sz w:val="24"/>
                <w:highlight w:val="none"/>
                <w:lang w:val="en-US" w:eastAsia="zh-CN"/>
              </w:rPr>
              <w:t>清洗环节废气经集气罩收集，环评要求集气罩风速设计不低于0.5m/s，采用顶吸式集气罩，集气罩距离设备小于0.5m，装置条件允许情况下加装软帘，要求定期对输送管道进行密闭测试。收集后引至1套过滤棉+二级活性炭吸附装置（TA001）中进行处理，</w:t>
            </w:r>
            <w:r>
              <w:rPr>
                <w:rFonts w:hint="default" w:ascii="Times New Roman" w:hAnsi="Times New Roman" w:eastAsia="宋体" w:cs="Times New Roman"/>
                <w:color w:val="auto"/>
                <w:sz w:val="24"/>
                <w:highlight w:val="none"/>
                <w:lang w:val="en-US" w:eastAsia="zh-CN"/>
              </w:rPr>
              <w:t>处理后的废气由</w:t>
            </w:r>
            <w:r>
              <w:rPr>
                <w:rFonts w:hint="default" w:ascii="Times New Roman" w:hAnsi="Times New Roman" w:cs="Times New Roman"/>
                <w:color w:val="auto"/>
                <w:sz w:val="24"/>
                <w:highlight w:val="none"/>
                <w:lang w:val="en-US" w:eastAsia="zh-CN"/>
              </w:rPr>
              <w:t>34</w:t>
            </w:r>
            <w:r>
              <w:rPr>
                <w:rFonts w:hint="default" w:ascii="Times New Roman" w:hAnsi="Times New Roman" w:eastAsia="宋体" w:cs="Times New Roman"/>
                <w:color w:val="auto"/>
                <w:sz w:val="24"/>
                <w:highlight w:val="none"/>
                <w:lang w:val="en-US" w:eastAsia="zh-CN"/>
              </w:rPr>
              <w:t>m高排气筒</w:t>
            </w:r>
            <w:r>
              <w:rPr>
                <w:rFonts w:hint="default" w:ascii="Times New Roman" w:hAnsi="Times New Roman" w:cs="Times New Roman"/>
                <w:color w:val="auto"/>
                <w:sz w:val="24"/>
                <w:highlight w:val="none"/>
                <w:lang w:val="en-US" w:eastAsia="zh-CN"/>
              </w:rPr>
              <w:t>（DA001）</w:t>
            </w:r>
            <w:r>
              <w:rPr>
                <w:rFonts w:hint="default" w:ascii="Times New Roman" w:hAnsi="Times New Roman" w:eastAsia="宋体" w:cs="Times New Roman"/>
                <w:color w:val="auto"/>
                <w:sz w:val="24"/>
                <w:highlight w:val="none"/>
                <w:lang w:val="en-US" w:eastAsia="zh-CN"/>
              </w:rPr>
              <w:t>排放</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sz w:val="24"/>
                <w:highlight w:val="none"/>
                <w:lang w:val="en-US" w:eastAsia="zh-CN"/>
              </w:rPr>
              <w:t>风机风量</w:t>
            </w:r>
            <w:r>
              <w:rPr>
                <w:rFonts w:hint="default" w:ascii="Times New Roman" w:hAnsi="Times New Roman" w:cs="Times New Roman"/>
                <w:color w:val="auto"/>
                <w:sz w:val="24"/>
                <w:highlight w:val="none"/>
                <w:lang w:val="en-US" w:eastAsia="zh-CN"/>
              </w:rPr>
              <w:t>为6000</w:t>
            </w:r>
            <w:r>
              <w:rPr>
                <w:rFonts w:hint="default" w:ascii="Times New Roman" w:hAnsi="Times New Roman" w:eastAsia="宋体" w:cs="Times New Roman"/>
                <w:color w:val="auto"/>
                <w:sz w:val="24"/>
                <w:highlight w:val="none"/>
                <w:lang w:val="en-US" w:eastAsia="zh-CN"/>
              </w:rPr>
              <w:t>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/h</w:t>
            </w:r>
            <w:r>
              <w:rPr>
                <w:rFonts w:hint="default" w:ascii="Times New Roman" w:hAnsi="Times New Roman" w:cs="Times New Roman"/>
                <w:color w:val="auto"/>
                <w:sz w:val="24"/>
                <w:highlight w:val="none"/>
                <w:lang w:val="en-US" w:eastAsia="zh-CN"/>
              </w:rPr>
              <w:t>。收集效率按80%计，根据《主要污染物总量减排核算技术指南（2022 修订）》（环办综合函〔2022〕350 号）二级活性炭吸附装置对非甲烷总烃的去除效率按27.75%计</w:t>
            </w:r>
            <w:r>
              <w:rPr>
                <w:rFonts w:hint="default" w:ascii="Times New Roman" w:hAnsi="Times New Roman" w:eastAsia="宋体" w:cs="Times New Roman"/>
                <w:color w:val="auto"/>
                <w:sz w:val="24"/>
                <w:highlight w:val="none"/>
                <w:lang w:val="en-US" w:eastAsia="zh-CN"/>
              </w:rPr>
              <w:t>，项目非甲烷总烃产排情况见下表4-</w:t>
            </w:r>
            <w:r>
              <w:rPr>
                <w:rFonts w:hint="default"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w:t>
            </w:r>
          </w:p>
          <w:p w14:paraId="1F98467C">
            <w:pPr>
              <w:autoSpaceDE w:val="0"/>
              <w:autoSpaceDN w:val="0"/>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表4-</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cs="Times New Roman"/>
                <w:b/>
                <w:bCs/>
                <w:color w:val="auto"/>
                <w:kern w:val="0"/>
                <w:sz w:val="21"/>
                <w:szCs w:val="21"/>
                <w:highlight w:val="none"/>
                <w:lang w:val="en-US" w:eastAsia="zh-CN"/>
              </w:rPr>
              <w:t>清洗环节</w:t>
            </w:r>
            <w:r>
              <w:rPr>
                <w:rFonts w:hint="default" w:ascii="Times New Roman" w:hAnsi="Times New Roman" w:eastAsia="宋体" w:cs="Times New Roman"/>
                <w:b/>
                <w:bCs/>
                <w:color w:val="auto"/>
                <w:kern w:val="0"/>
                <w:sz w:val="21"/>
                <w:szCs w:val="21"/>
                <w:highlight w:val="none"/>
                <w:lang w:val="en-US" w:eastAsia="zh-CN"/>
              </w:rPr>
              <w:t>非甲烷总烃产排情况一览表</w:t>
            </w:r>
          </w:p>
          <w:tbl>
            <w:tblPr>
              <w:tblStyle w:val="29"/>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3"/>
              <w:gridCol w:w="948"/>
              <w:gridCol w:w="416"/>
              <w:gridCol w:w="777"/>
              <w:gridCol w:w="1042"/>
              <w:gridCol w:w="875"/>
              <w:gridCol w:w="1532"/>
              <w:gridCol w:w="784"/>
              <w:gridCol w:w="1043"/>
              <w:gridCol w:w="888"/>
            </w:tblGrid>
            <w:tr w14:paraId="73171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vMerge w:val="restart"/>
                  <w:tcBorders>
                    <w:tl2br w:val="nil"/>
                    <w:tr2bl w:val="nil"/>
                  </w:tcBorders>
                  <w:vAlign w:val="center"/>
                </w:tcPr>
                <w:p w14:paraId="39D0E976">
                  <w:pPr>
                    <w:jc w:val="center"/>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cs="Times New Roman"/>
                      <w:color w:val="auto"/>
                      <w:spacing w:val="-17"/>
                      <w:sz w:val="21"/>
                      <w:szCs w:val="21"/>
                      <w:highlight w:val="none"/>
                      <w:lang w:val="en-US" w:eastAsia="zh-CN"/>
                    </w:rPr>
                    <w:t>污染源类型</w:t>
                  </w:r>
                </w:p>
              </w:tc>
              <w:tc>
                <w:tcPr>
                  <w:tcW w:w="547" w:type="pct"/>
                  <w:vMerge w:val="restart"/>
                  <w:tcBorders>
                    <w:tl2br w:val="nil"/>
                    <w:tr2bl w:val="nil"/>
                  </w:tcBorders>
                  <w:vAlign w:val="center"/>
                </w:tcPr>
                <w:p w14:paraId="056C0525">
                  <w:pPr>
                    <w:jc w:val="center"/>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cs="Times New Roman"/>
                      <w:color w:val="auto"/>
                      <w:spacing w:val="-17"/>
                      <w:sz w:val="21"/>
                      <w:szCs w:val="21"/>
                      <w:highlight w:val="none"/>
                    </w:rPr>
                    <w:t>废气量</w:t>
                  </w:r>
                  <w:r>
                    <w:rPr>
                      <w:rFonts w:hint="default" w:ascii="Times New Roman" w:hAnsi="Times New Roman" w:cs="Times New Roman"/>
                      <w:color w:val="auto"/>
                      <w:spacing w:val="-17"/>
                      <w:sz w:val="21"/>
                      <w:szCs w:val="21"/>
                      <w:highlight w:val="none"/>
                      <w:lang w:eastAsia="zh-CN"/>
                    </w:rPr>
                    <w:t>（</w:t>
                  </w:r>
                  <w:r>
                    <w:rPr>
                      <w:rFonts w:hint="default" w:ascii="Times New Roman" w:hAnsi="Times New Roman" w:cs="Times New Roman"/>
                      <w:color w:val="auto"/>
                      <w:spacing w:val="-17"/>
                      <w:sz w:val="21"/>
                      <w:szCs w:val="21"/>
                      <w:highlight w:val="none"/>
                    </w:rPr>
                    <w:t>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vertAlign w:val="baseline"/>
                      <w:lang w:val="en-US" w:eastAsia="zh-CN"/>
                    </w:rPr>
                    <w:t>/a）</w:t>
                  </w:r>
                </w:p>
              </w:tc>
              <w:tc>
                <w:tcPr>
                  <w:tcW w:w="242" w:type="pct"/>
                  <w:vMerge w:val="restart"/>
                  <w:tcBorders>
                    <w:tl2br w:val="nil"/>
                    <w:tr2bl w:val="nil"/>
                  </w:tcBorders>
                  <w:vAlign w:val="center"/>
                </w:tcPr>
                <w:p w14:paraId="486BFB16">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污染物</w:t>
                  </w:r>
                </w:p>
              </w:tc>
              <w:tc>
                <w:tcPr>
                  <w:tcW w:w="1540" w:type="pct"/>
                  <w:gridSpan w:val="3"/>
                  <w:tcBorders>
                    <w:tl2br w:val="nil"/>
                    <w:tr2bl w:val="nil"/>
                  </w:tcBorders>
                  <w:vAlign w:val="center"/>
                </w:tcPr>
                <w:p w14:paraId="7DB9948D">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产生情况</w:t>
                  </w:r>
                </w:p>
              </w:tc>
              <w:tc>
                <w:tcPr>
                  <w:tcW w:w="883" w:type="pct"/>
                  <w:vMerge w:val="restart"/>
                  <w:tcBorders>
                    <w:tl2br w:val="nil"/>
                    <w:tr2bl w:val="nil"/>
                  </w:tcBorders>
                  <w:vAlign w:val="center"/>
                </w:tcPr>
                <w:p w14:paraId="6CFAE064">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处理措施</w:t>
                  </w:r>
                </w:p>
              </w:tc>
              <w:tc>
                <w:tcPr>
                  <w:tcW w:w="1545" w:type="pct"/>
                  <w:gridSpan w:val="3"/>
                  <w:tcBorders>
                    <w:tl2br w:val="nil"/>
                    <w:tr2bl w:val="nil"/>
                  </w:tcBorders>
                  <w:vAlign w:val="center"/>
                </w:tcPr>
                <w:p w14:paraId="6DA0C73B">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排放情况</w:t>
                  </w:r>
                </w:p>
              </w:tc>
            </w:tr>
            <w:tr w14:paraId="6D895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vMerge w:val="continue"/>
                  <w:tcBorders>
                    <w:tl2br w:val="nil"/>
                    <w:tr2bl w:val="nil"/>
                  </w:tcBorders>
                  <w:vAlign w:val="center"/>
                </w:tcPr>
                <w:p w14:paraId="715C7A9A">
                  <w:pPr>
                    <w:jc w:val="center"/>
                    <w:rPr>
                      <w:rFonts w:hint="default" w:ascii="Times New Roman" w:hAnsi="Times New Roman" w:cs="Times New Roman"/>
                      <w:color w:val="auto"/>
                      <w:spacing w:val="-17"/>
                      <w:sz w:val="21"/>
                      <w:szCs w:val="21"/>
                      <w:highlight w:val="none"/>
                    </w:rPr>
                  </w:pPr>
                </w:p>
              </w:tc>
              <w:tc>
                <w:tcPr>
                  <w:tcW w:w="547" w:type="pct"/>
                  <w:vMerge w:val="continue"/>
                  <w:tcBorders>
                    <w:tl2br w:val="nil"/>
                    <w:tr2bl w:val="nil"/>
                  </w:tcBorders>
                  <w:vAlign w:val="center"/>
                </w:tcPr>
                <w:p w14:paraId="6A765975">
                  <w:pPr>
                    <w:jc w:val="center"/>
                    <w:rPr>
                      <w:rFonts w:hint="default" w:ascii="Times New Roman" w:hAnsi="Times New Roman" w:cs="Times New Roman"/>
                      <w:color w:val="auto"/>
                      <w:spacing w:val="-17"/>
                      <w:sz w:val="21"/>
                      <w:szCs w:val="21"/>
                      <w:highlight w:val="none"/>
                    </w:rPr>
                  </w:pPr>
                </w:p>
              </w:tc>
              <w:tc>
                <w:tcPr>
                  <w:tcW w:w="242" w:type="pct"/>
                  <w:vMerge w:val="continue"/>
                  <w:tcBorders>
                    <w:tl2br w:val="nil"/>
                    <w:tr2bl w:val="nil"/>
                  </w:tcBorders>
                  <w:vAlign w:val="center"/>
                </w:tcPr>
                <w:p w14:paraId="49F09A7B">
                  <w:pPr>
                    <w:jc w:val="center"/>
                    <w:rPr>
                      <w:rFonts w:hint="default" w:ascii="Times New Roman" w:hAnsi="Times New Roman" w:cs="Times New Roman"/>
                      <w:color w:val="auto"/>
                      <w:spacing w:val="-17"/>
                      <w:sz w:val="21"/>
                      <w:szCs w:val="21"/>
                      <w:highlight w:val="none"/>
                    </w:rPr>
                  </w:pPr>
                </w:p>
              </w:tc>
              <w:tc>
                <w:tcPr>
                  <w:tcW w:w="449" w:type="pct"/>
                  <w:tcBorders>
                    <w:tl2br w:val="nil"/>
                    <w:tr2bl w:val="nil"/>
                  </w:tcBorders>
                  <w:vAlign w:val="center"/>
                </w:tcPr>
                <w:p w14:paraId="1999251F">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量（t/a）</w:t>
                  </w:r>
                </w:p>
              </w:tc>
              <w:tc>
                <w:tcPr>
                  <w:tcW w:w="599" w:type="pct"/>
                  <w:tcBorders>
                    <w:tl2br w:val="nil"/>
                    <w:tr2bl w:val="nil"/>
                  </w:tcBorders>
                  <w:vAlign w:val="center"/>
                </w:tcPr>
                <w:p w14:paraId="38F1FAE3">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浓度（mg/m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rPr>
                    <w:t>）</w:t>
                  </w:r>
                </w:p>
              </w:tc>
              <w:tc>
                <w:tcPr>
                  <w:tcW w:w="490" w:type="pct"/>
                  <w:tcBorders>
                    <w:tl2br w:val="nil"/>
                    <w:tr2bl w:val="nil"/>
                  </w:tcBorders>
                  <w:vAlign w:val="center"/>
                </w:tcPr>
                <w:p w14:paraId="5EFCBB3A">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速率（</w:t>
                  </w:r>
                  <w:r>
                    <w:rPr>
                      <w:rFonts w:hint="default" w:ascii="Times New Roman" w:hAnsi="Times New Roman" w:cs="Times New Roman"/>
                      <w:color w:val="auto"/>
                      <w:spacing w:val="-17"/>
                      <w:sz w:val="21"/>
                      <w:szCs w:val="21"/>
                      <w:highlight w:val="none"/>
                      <w:lang w:eastAsia="zh-CN"/>
                    </w:rPr>
                    <w:t>kg</w:t>
                  </w:r>
                  <w:r>
                    <w:rPr>
                      <w:rFonts w:hint="default" w:ascii="Times New Roman" w:hAnsi="Times New Roman" w:cs="Times New Roman"/>
                      <w:color w:val="auto"/>
                      <w:spacing w:val="-17"/>
                      <w:sz w:val="21"/>
                      <w:szCs w:val="21"/>
                      <w:highlight w:val="none"/>
                    </w:rPr>
                    <w:t>/h）</w:t>
                  </w:r>
                </w:p>
              </w:tc>
              <w:tc>
                <w:tcPr>
                  <w:tcW w:w="883" w:type="pct"/>
                  <w:vMerge w:val="continue"/>
                  <w:tcBorders>
                    <w:tl2br w:val="nil"/>
                    <w:tr2bl w:val="nil"/>
                  </w:tcBorders>
                  <w:vAlign w:val="center"/>
                </w:tcPr>
                <w:p w14:paraId="2460D1FB">
                  <w:pPr>
                    <w:jc w:val="center"/>
                    <w:rPr>
                      <w:rFonts w:hint="default" w:ascii="Times New Roman" w:hAnsi="Times New Roman" w:cs="Times New Roman"/>
                      <w:color w:val="auto"/>
                      <w:spacing w:val="-17"/>
                      <w:sz w:val="21"/>
                      <w:szCs w:val="21"/>
                      <w:highlight w:val="none"/>
                    </w:rPr>
                  </w:pPr>
                </w:p>
              </w:tc>
              <w:tc>
                <w:tcPr>
                  <w:tcW w:w="452" w:type="pct"/>
                  <w:tcBorders>
                    <w:tl2br w:val="nil"/>
                    <w:tr2bl w:val="nil"/>
                  </w:tcBorders>
                  <w:vAlign w:val="center"/>
                </w:tcPr>
                <w:p w14:paraId="5C4E3B0B">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量（t/a）</w:t>
                  </w:r>
                </w:p>
              </w:tc>
              <w:tc>
                <w:tcPr>
                  <w:tcW w:w="581" w:type="pct"/>
                  <w:tcBorders>
                    <w:tl2br w:val="nil"/>
                    <w:tr2bl w:val="nil"/>
                  </w:tcBorders>
                  <w:vAlign w:val="center"/>
                </w:tcPr>
                <w:p w14:paraId="282F4C29">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浓度（mg/m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rPr>
                    <w:t>）</w:t>
                  </w:r>
                </w:p>
              </w:tc>
              <w:tc>
                <w:tcPr>
                  <w:tcW w:w="511" w:type="pct"/>
                  <w:tcBorders>
                    <w:tl2br w:val="nil"/>
                    <w:tr2bl w:val="nil"/>
                  </w:tcBorders>
                  <w:vAlign w:val="center"/>
                </w:tcPr>
                <w:p w14:paraId="4D98F69F">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速率（</w:t>
                  </w:r>
                  <w:r>
                    <w:rPr>
                      <w:rFonts w:hint="default" w:ascii="Times New Roman" w:hAnsi="Times New Roman" w:cs="Times New Roman"/>
                      <w:color w:val="auto"/>
                      <w:spacing w:val="-17"/>
                      <w:sz w:val="21"/>
                      <w:szCs w:val="21"/>
                      <w:highlight w:val="none"/>
                      <w:lang w:eastAsia="zh-CN"/>
                    </w:rPr>
                    <w:t>kg</w:t>
                  </w:r>
                  <w:r>
                    <w:rPr>
                      <w:rFonts w:hint="default" w:ascii="Times New Roman" w:hAnsi="Times New Roman" w:cs="Times New Roman"/>
                      <w:color w:val="auto"/>
                      <w:spacing w:val="-17"/>
                      <w:sz w:val="21"/>
                      <w:szCs w:val="21"/>
                      <w:highlight w:val="none"/>
                    </w:rPr>
                    <w:t>/h）</w:t>
                  </w:r>
                </w:p>
              </w:tc>
            </w:tr>
            <w:tr w14:paraId="547A37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tcBorders>
                    <w:tl2br w:val="nil"/>
                    <w:tr2bl w:val="nil"/>
                  </w:tcBorders>
                  <w:vAlign w:val="center"/>
                </w:tcPr>
                <w:p w14:paraId="186530DF">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有组织</w:t>
                  </w:r>
                </w:p>
              </w:tc>
              <w:tc>
                <w:tcPr>
                  <w:tcW w:w="547" w:type="pct"/>
                  <w:tcBorders>
                    <w:tl2br w:val="nil"/>
                    <w:tr2bl w:val="nil"/>
                  </w:tcBorders>
                  <w:vAlign w:val="center"/>
                </w:tcPr>
                <w:p w14:paraId="7F62380F">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1</w:t>
                  </w:r>
                  <w:r>
                    <w:rPr>
                      <w:rFonts w:hint="default" w:ascii="Times New Roman" w:hAnsi="Times New Roman" w:cs="Times New Roman"/>
                      <w:b w:val="0"/>
                      <w:bCs/>
                      <w:color w:val="auto"/>
                      <w:spacing w:val="-17"/>
                      <w:kern w:val="2"/>
                      <w:sz w:val="21"/>
                      <w:szCs w:val="21"/>
                      <w:highlight w:val="none"/>
                      <w:lang w:val="en-US" w:eastAsia="zh-CN" w:bidi="ar-SA"/>
                    </w:rPr>
                    <w:t>.2</w:t>
                  </w:r>
                  <w:r>
                    <w:rPr>
                      <w:rFonts w:hint="default" w:ascii="Times New Roman" w:hAnsi="Times New Roman" w:eastAsia="宋体" w:cs="Times New Roman"/>
                      <w:b w:val="0"/>
                      <w:bCs/>
                      <w:color w:val="auto"/>
                      <w:spacing w:val="-17"/>
                      <w:kern w:val="2"/>
                      <w:sz w:val="21"/>
                      <w:szCs w:val="21"/>
                      <w:highlight w:val="none"/>
                      <w:lang w:val="en-US" w:eastAsia="zh-CN" w:bidi="ar-SA"/>
                    </w:rPr>
                    <w:t>×10</w:t>
                  </w:r>
                  <w:r>
                    <w:rPr>
                      <w:rFonts w:hint="default" w:ascii="Times New Roman" w:hAnsi="Times New Roman" w:eastAsia="宋体" w:cs="Times New Roman"/>
                      <w:b w:val="0"/>
                      <w:bCs/>
                      <w:color w:val="auto"/>
                      <w:spacing w:val="-17"/>
                      <w:kern w:val="2"/>
                      <w:sz w:val="21"/>
                      <w:szCs w:val="21"/>
                      <w:highlight w:val="none"/>
                      <w:vertAlign w:val="superscript"/>
                      <w:lang w:val="en-US" w:eastAsia="zh-CN" w:bidi="ar-SA"/>
                    </w:rPr>
                    <w:t>7</w:t>
                  </w:r>
                </w:p>
              </w:tc>
              <w:tc>
                <w:tcPr>
                  <w:tcW w:w="242" w:type="pct"/>
                  <w:tcBorders>
                    <w:tl2br w:val="nil"/>
                    <w:tr2bl w:val="nil"/>
                  </w:tcBorders>
                  <w:vAlign w:val="center"/>
                </w:tcPr>
                <w:p w14:paraId="381AC8B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非甲烷总烃</w:t>
                  </w:r>
                </w:p>
              </w:tc>
              <w:tc>
                <w:tcPr>
                  <w:tcW w:w="449" w:type="pct"/>
                  <w:tcBorders>
                    <w:tl2br w:val="nil"/>
                    <w:tr2bl w:val="nil"/>
                  </w:tcBorders>
                  <w:vAlign w:val="center"/>
                </w:tcPr>
                <w:p w14:paraId="7DA37FD3">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0.096</w:t>
                  </w:r>
                </w:p>
              </w:tc>
              <w:tc>
                <w:tcPr>
                  <w:tcW w:w="599" w:type="pct"/>
                  <w:tcBorders>
                    <w:tl2br w:val="nil"/>
                    <w:tr2bl w:val="nil"/>
                  </w:tcBorders>
                  <w:vAlign w:val="center"/>
                </w:tcPr>
                <w:p w14:paraId="134C14FA">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8</w:t>
                  </w:r>
                </w:p>
              </w:tc>
              <w:tc>
                <w:tcPr>
                  <w:tcW w:w="490" w:type="pct"/>
                  <w:tcBorders>
                    <w:tl2br w:val="nil"/>
                    <w:tr2bl w:val="nil"/>
                  </w:tcBorders>
                  <w:vAlign w:val="center"/>
                </w:tcPr>
                <w:p w14:paraId="2BEEAC4B">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0.016</w:t>
                  </w:r>
                </w:p>
              </w:tc>
              <w:tc>
                <w:tcPr>
                  <w:tcW w:w="883" w:type="pct"/>
                  <w:tcBorders>
                    <w:tl2br w:val="nil"/>
                    <w:tr2bl w:val="nil"/>
                  </w:tcBorders>
                  <w:vAlign w:val="center"/>
                </w:tcPr>
                <w:p w14:paraId="6568BBBB">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集气罩</w:t>
                  </w:r>
                  <w:r>
                    <w:rPr>
                      <w:rFonts w:hint="default" w:ascii="Times New Roman" w:hAnsi="Times New Roman" w:eastAsia="宋体" w:cs="Times New Roman"/>
                      <w:b w:val="0"/>
                      <w:bCs/>
                      <w:color w:val="auto"/>
                      <w:spacing w:val="-17"/>
                      <w:kern w:val="2"/>
                      <w:sz w:val="21"/>
                      <w:szCs w:val="21"/>
                      <w:highlight w:val="none"/>
                      <w:lang w:val="en-US" w:eastAsia="zh-CN" w:bidi="ar-SA"/>
                    </w:rPr>
                    <w:t>收集+1套过滤棉+</w:t>
                  </w:r>
                  <w:r>
                    <w:rPr>
                      <w:rFonts w:hint="default" w:ascii="Times New Roman" w:hAnsi="Times New Roman" w:cs="Times New Roman"/>
                      <w:b w:val="0"/>
                      <w:bCs/>
                      <w:color w:val="auto"/>
                      <w:spacing w:val="-17"/>
                      <w:kern w:val="2"/>
                      <w:sz w:val="21"/>
                      <w:szCs w:val="21"/>
                      <w:highlight w:val="none"/>
                      <w:lang w:val="en-US" w:eastAsia="zh-CN" w:bidi="ar-SA"/>
                    </w:rPr>
                    <w:t>二级活性炭吸附装置（TA001）</w:t>
                  </w:r>
                  <w:r>
                    <w:rPr>
                      <w:rFonts w:hint="default" w:ascii="Times New Roman" w:hAnsi="Times New Roman" w:eastAsia="宋体" w:cs="Times New Roman"/>
                      <w:b w:val="0"/>
                      <w:bCs/>
                      <w:color w:val="auto"/>
                      <w:spacing w:val="-17"/>
                      <w:kern w:val="2"/>
                      <w:sz w:val="21"/>
                      <w:szCs w:val="21"/>
                      <w:highlight w:val="none"/>
                      <w:lang w:val="en-US" w:eastAsia="zh-CN" w:bidi="ar-SA"/>
                    </w:rPr>
                    <w:t>+34米排放（DA001）</w:t>
                  </w:r>
                </w:p>
              </w:tc>
              <w:tc>
                <w:tcPr>
                  <w:tcW w:w="452" w:type="pct"/>
                  <w:tcBorders>
                    <w:tl2br w:val="nil"/>
                    <w:tr2bl w:val="nil"/>
                  </w:tcBorders>
                  <w:vAlign w:val="center"/>
                </w:tcPr>
                <w:p w14:paraId="275956EF">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0.069</w:t>
                  </w:r>
                </w:p>
              </w:tc>
              <w:tc>
                <w:tcPr>
                  <w:tcW w:w="581" w:type="pct"/>
                  <w:tcBorders>
                    <w:tl2br w:val="nil"/>
                    <w:tr2bl w:val="nil"/>
                  </w:tcBorders>
                  <w:vAlign w:val="center"/>
                </w:tcPr>
                <w:p w14:paraId="46813F1F">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5.78</w:t>
                  </w:r>
                </w:p>
              </w:tc>
              <w:tc>
                <w:tcPr>
                  <w:tcW w:w="511" w:type="pct"/>
                  <w:tcBorders>
                    <w:tl2br w:val="nil"/>
                    <w:tr2bl w:val="nil"/>
                  </w:tcBorders>
                  <w:vAlign w:val="center"/>
                </w:tcPr>
                <w:p w14:paraId="3AF35DC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0.012</w:t>
                  </w:r>
                </w:p>
              </w:tc>
            </w:tr>
            <w:tr w14:paraId="0BEF09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tcBorders>
                    <w:tl2br w:val="nil"/>
                    <w:tr2bl w:val="nil"/>
                  </w:tcBorders>
                  <w:vAlign w:val="center"/>
                </w:tcPr>
                <w:p w14:paraId="789C98D9">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无组织</w:t>
                  </w:r>
                </w:p>
              </w:tc>
              <w:tc>
                <w:tcPr>
                  <w:tcW w:w="547" w:type="pct"/>
                  <w:tcBorders>
                    <w:tl2br w:val="nil"/>
                    <w:tr2bl w:val="nil"/>
                  </w:tcBorders>
                  <w:vAlign w:val="center"/>
                </w:tcPr>
                <w:p w14:paraId="15B0ADFD">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242" w:type="pct"/>
                  <w:tcBorders>
                    <w:tl2br w:val="nil"/>
                    <w:tr2bl w:val="nil"/>
                  </w:tcBorders>
                  <w:vAlign w:val="center"/>
                </w:tcPr>
                <w:p w14:paraId="3781547B">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非甲烷总烃</w:t>
                  </w:r>
                </w:p>
              </w:tc>
              <w:tc>
                <w:tcPr>
                  <w:tcW w:w="449" w:type="pct"/>
                  <w:tcBorders>
                    <w:tl2br w:val="nil"/>
                    <w:tr2bl w:val="nil"/>
                  </w:tcBorders>
                  <w:vAlign w:val="center"/>
                </w:tcPr>
                <w:p w14:paraId="0CBE5DF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0.024</w:t>
                  </w:r>
                </w:p>
              </w:tc>
              <w:tc>
                <w:tcPr>
                  <w:tcW w:w="599" w:type="pct"/>
                  <w:tcBorders>
                    <w:tl2br w:val="nil"/>
                    <w:tr2bl w:val="nil"/>
                  </w:tcBorders>
                  <w:vAlign w:val="center"/>
                </w:tcPr>
                <w:p w14:paraId="17508F0B">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90" w:type="pct"/>
                  <w:tcBorders>
                    <w:tl2br w:val="nil"/>
                    <w:tr2bl w:val="nil"/>
                  </w:tcBorders>
                  <w:vAlign w:val="center"/>
                </w:tcPr>
                <w:p w14:paraId="2D6C8A2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w:t>
                  </w:r>
                </w:p>
              </w:tc>
              <w:tc>
                <w:tcPr>
                  <w:tcW w:w="883" w:type="pct"/>
                  <w:tcBorders>
                    <w:tl2br w:val="nil"/>
                    <w:tr2bl w:val="nil"/>
                  </w:tcBorders>
                  <w:vAlign w:val="center"/>
                </w:tcPr>
                <w:p w14:paraId="3BC1F5C0">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52" w:type="pct"/>
                  <w:tcBorders>
                    <w:tl2br w:val="nil"/>
                    <w:tr2bl w:val="nil"/>
                  </w:tcBorders>
                  <w:vAlign w:val="center"/>
                </w:tcPr>
                <w:p w14:paraId="59603716">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0.024</w:t>
                  </w:r>
                </w:p>
              </w:tc>
              <w:tc>
                <w:tcPr>
                  <w:tcW w:w="581" w:type="pct"/>
                  <w:tcBorders>
                    <w:tl2br w:val="nil"/>
                    <w:tr2bl w:val="nil"/>
                  </w:tcBorders>
                  <w:vAlign w:val="center"/>
                </w:tcPr>
                <w:p w14:paraId="28A8A385">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511" w:type="pct"/>
                  <w:tcBorders>
                    <w:tl2br w:val="nil"/>
                    <w:tr2bl w:val="nil"/>
                  </w:tcBorders>
                  <w:vAlign w:val="center"/>
                </w:tcPr>
                <w:p w14:paraId="6ABA1473">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w:t>
                  </w:r>
                </w:p>
              </w:tc>
            </w:tr>
          </w:tbl>
          <w:p w14:paraId="1D8A7440">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③</w:t>
            </w:r>
            <w:r>
              <w:rPr>
                <w:rFonts w:hint="default" w:ascii="Times New Roman" w:hAnsi="Times New Roman" w:cs="Times New Roman"/>
                <w:color w:val="auto"/>
                <w:sz w:val="24"/>
                <w:highlight w:val="none"/>
                <w:lang w:val="en-US" w:eastAsia="zh-CN"/>
              </w:rPr>
              <w:t>灌封与烘干环节有机废气</w:t>
            </w:r>
          </w:p>
          <w:p w14:paraId="16A4E8C8">
            <w:pPr>
              <w:spacing w:line="360" w:lineRule="auto"/>
              <w:ind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灌封工序采用DOWSIL CN-8760G EncapsulantA/B有机硅灌封胶（不含烷烃、醇类有机溶剂，仅含微量低分子硅氧烷），产生少量的非甲烷总烃，根据建设单位提供资料，灌封胶年用量为150t，源强类比《排放源统计调查产排污核算方法和系数手册》（生态环境部公告2021年第24号）38</w:t>
            </w:r>
            <w:r>
              <w:rPr>
                <w:rFonts w:hint="default" w:ascii="Times New Roman" w:hAnsi="Times New Roman" w:cs="Times New Roman"/>
                <w:color w:val="auto"/>
                <w:sz w:val="24"/>
                <w:highlight w:val="none"/>
                <w:lang w:val="en-US" w:eastAsia="zh-CN"/>
              </w:rPr>
              <w:noBreakHyphen/>
            </w:r>
            <w:r>
              <w:rPr>
                <w:rFonts w:hint="default" w:ascii="Times New Roman" w:hAnsi="Times New Roman" w:cs="Times New Roman"/>
                <w:color w:val="auto"/>
                <w:sz w:val="24"/>
                <w:highlight w:val="none"/>
                <w:lang w:val="en-US" w:eastAsia="zh-CN"/>
              </w:rPr>
              <w:t>电气机械和器材制造业变压器树脂浇注固化工序NMHC产污系数0.0248 kg/t树脂，项目所用有机硅灌封胶其中挥发性成分含量与树脂相近，考虑到烘箱高温会加速小分子挥发，取非甲烷总烃产污系数严格100%为0.0496</w:t>
            </w:r>
            <w:r>
              <w:rPr>
                <w:rFonts w:hint="default" w:ascii="Times New Roman" w:hAnsi="Times New Roman" w:eastAsia="宋体" w:cs="Times New Roman"/>
                <w:color w:val="auto"/>
                <w:sz w:val="24"/>
                <w:highlight w:val="none"/>
                <w:lang w:val="en-US" w:eastAsia="zh-CN"/>
              </w:rPr>
              <w:t>kg/t，则非甲烷总烃产</w:t>
            </w:r>
            <w:r>
              <w:rPr>
                <w:rFonts w:hint="default" w:ascii="Times New Roman" w:hAnsi="Times New Roman" w:cs="Times New Roman"/>
                <w:color w:val="auto"/>
                <w:sz w:val="24"/>
                <w:highlight w:val="none"/>
                <w:lang w:val="en-US" w:eastAsia="zh-CN"/>
              </w:rPr>
              <w:t>生量为0.0074t/a。</w:t>
            </w:r>
            <w:r>
              <w:rPr>
                <w:rFonts w:hint="default" w:ascii="Times New Roman" w:hAnsi="Times New Roman" w:eastAsia="宋体" w:cs="Times New Roman"/>
                <w:color w:val="auto"/>
                <w:sz w:val="24"/>
                <w:highlight w:val="none"/>
                <w:lang w:val="en-US" w:eastAsia="zh-CN"/>
              </w:rPr>
              <w:t>废气经</w:t>
            </w:r>
            <w:r>
              <w:rPr>
                <w:rFonts w:hint="default" w:ascii="Times New Roman" w:hAnsi="Times New Roman" w:cs="Times New Roman"/>
                <w:color w:val="auto"/>
                <w:sz w:val="24"/>
                <w:highlight w:val="none"/>
                <w:lang w:val="en-US" w:eastAsia="zh-CN"/>
              </w:rPr>
              <w:t>集气罩</w:t>
            </w:r>
            <w:r>
              <w:rPr>
                <w:rFonts w:hint="default" w:ascii="Times New Roman" w:hAnsi="Times New Roman" w:eastAsia="宋体" w:cs="Times New Roman"/>
                <w:color w:val="auto"/>
                <w:sz w:val="24"/>
                <w:highlight w:val="none"/>
                <w:lang w:val="en-US" w:eastAsia="zh-CN"/>
              </w:rPr>
              <w:t>收集</w:t>
            </w:r>
            <w:r>
              <w:rPr>
                <w:rFonts w:hint="default" w:ascii="Times New Roman" w:hAnsi="Times New Roman" w:cs="Times New Roman"/>
                <w:color w:val="auto"/>
                <w:sz w:val="24"/>
                <w:highlight w:val="none"/>
                <w:lang w:val="en-US" w:eastAsia="zh-CN"/>
              </w:rPr>
              <w:t>，环评要求集气罩风速设计不低于0.5m/s，采用顶吸式集气罩，集气罩距离设备小于0.5m，装置条件允许情况下加装软帘，要求定期对输送管道进行密闭测试。收集</w:t>
            </w:r>
            <w:r>
              <w:rPr>
                <w:rFonts w:hint="default" w:ascii="Times New Roman" w:hAnsi="Times New Roman" w:eastAsia="宋体" w:cs="Times New Roman"/>
                <w:color w:val="auto"/>
                <w:sz w:val="24"/>
                <w:highlight w:val="none"/>
                <w:lang w:val="en-US" w:eastAsia="zh-CN"/>
              </w:rPr>
              <w:t>后引至1套过滤棉+</w:t>
            </w:r>
            <w:r>
              <w:rPr>
                <w:rFonts w:hint="default" w:ascii="Times New Roman" w:hAnsi="Times New Roman" w:cs="Times New Roman"/>
                <w:color w:val="auto"/>
                <w:sz w:val="24"/>
                <w:highlight w:val="none"/>
                <w:lang w:val="en-US" w:eastAsia="zh-CN"/>
              </w:rPr>
              <w:t>二级活性炭吸附装置（TA001）</w:t>
            </w:r>
            <w:r>
              <w:rPr>
                <w:rFonts w:hint="default" w:ascii="Times New Roman" w:hAnsi="Times New Roman" w:eastAsia="宋体" w:cs="Times New Roman"/>
                <w:color w:val="auto"/>
                <w:sz w:val="24"/>
                <w:highlight w:val="none"/>
                <w:lang w:val="en-US" w:eastAsia="zh-CN"/>
              </w:rPr>
              <w:t>中进行处理，处理后的废气由34m高排气筒</w:t>
            </w:r>
            <w:r>
              <w:rPr>
                <w:rFonts w:hint="default" w:ascii="Times New Roman" w:hAnsi="Times New Roman" w:cs="Times New Roman"/>
                <w:color w:val="auto"/>
                <w:sz w:val="24"/>
                <w:highlight w:val="none"/>
                <w:lang w:val="en-US" w:eastAsia="zh-CN"/>
              </w:rPr>
              <w:t>（DA001）</w:t>
            </w:r>
            <w:r>
              <w:rPr>
                <w:rFonts w:hint="default" w:ascii="Times New Roman" w:hAnsi="Times New Roman" w:eastAsia="宋体" w:cs="Times New Roman"/>
                <w:color w:val="auto"/>
                <w:sz w:val="24"/>
                <w:highlight w:val="none"/>
                <w:lang w:val="en-US" w:eastAsia="zh-CN"/>
              </w:rPr>
              <w:t>排放</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风机风量6000m</w:t>
            </w:r>
            <w:r>
              <w:rPr>
                <w:rFonts w:hint="default" w:ascii="Times New Roman" w:hAnsi="Times New Roman" w:eastAsia="宋体" w:cs="Times New Roman"/>
                <w:color w:val="auto"/>
                <w:sz w:val="24"/>
                <w:highlight w:val="none"/>
                <w:vertAlign w:val="superscript"/>
                <w:lang w:val="en-US" w:eastAsia="zh-CN"/>
              </w:rPr>
              <w:t>3</w:t>
            </w:r>
            <w:r>
              <w:rPr>
                <w:rFonts w:hint="default" w:ascii="Times New Roman" w:hAnsi="Times New Roman" w:eastAsia="宋体" w:cs="Times New Roman"/>
                <w:color w:val="auto"/>
                <w:sz w:val="24"/>
                <w:highlight w:val="none"/>
                <w:lang w:val="en-US" w:eastAsia="zh-CN"/>
              </w:rPr>
              <w:t>/h，</w:t>
            </w:r>
            <w:r>
              <w:rPr>
                <w:rFonts w:hint="default" w:ascii="Times New Roman" w:hAnsi="Times New Roman" w:cs="Times New Roman"/>
                <w:color w:val="auto"/>
                <w:sz w:val="24"/>
                <w:highlight w:val="none"/>
                <w:lang w:val="en-US" w:eastAsia="zh-CN"/>
              </w:rPr>
              <w:t>收集效率按80%计，</w:t>
            </w:r>
            <w:r>
              <w:rPr>
                <w:rFonts w:hint="default" w:ascii="Times New Roman" w:hAnsi="Times New Roman" w:eastAsia="宋体" w:cs="Times New Roman"/>
                <w:color w:val="auto"/>
                <w:sz w:val="24"/>
                <w:highlight w:val="none"/>
                <w:lang w:val="en-US" w:eastAsia="zh-CN"/>
              </w:rPr>
              <w:t>去除效率按</w:t>
            </w:r>
            <w:r>
              <w:rPr>
                <w:rFonts w:hint="default" w:ascii="Times New Roman" w:hAnsi="Times New Roman" w:cs="Times New Roman"/>
                <w:color w:val="auto"/>
                <w:sz w:val="24"/>
                <w:highlight w:val="none"/>
                <w:lang w:val="en-US" w:eastAsia="zh-CN"/>
              </w:rPr>
              <w:t>27.75</w:t>
            </w:r>
            <w:r>
              <w:rPr>
                <w:rFonts w:hint="default" w:ascii="Times New Roman" w:hAnsi="Times New Roman" w:eastAsia="宋体" w:cs="Times New Roman"/>
                <w:color w:val="auto"/>
                <w:sz w:val="24"/>
                <w:highlight w:val="none"/>
                <w:lang w:val="en-US" w:eastAsia="zh-CN"/>
              </w:rPr>
              <w:t>%计，项目非甲烷总烃产排情况见下表4-</w:t>
            </w:r>
            <w:r>
              <w:rPr>
                <w:rFonts w:hint="default" w:ascii="Times New Roman" w:hAnsi="Times New Roman"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w:t>
            </w:r>
          </w:p>
          <w:p w14:paraId="5118D1C4">
            <w:pPr>
              <w:autoSpaceDE w:val="0"/>
              <w:autoSpaceDN w:val="0"/>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表4-3   灌封与烘干环节非甲烷总烃产排情况一览表</w:t>
            </w:r>
          </w:p>
          <w:tbl>
            <w:tblPr>
              <w:tblStyle w:val="29"/>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3"/>
              <w:gridCol w:w="948"/>
              <w:gridCol w:w="416"/>
              <w:gridCol w:w="777"/>
              <w:gridCol w:w="1042"/>
              <w:gridCol w:w="875"/>
              <w:gridCol w:w="1532"/>
              <w:gridCol w:w="784"/>
              <w:gridCol w:w="1043"/>
              <w:gridCol w:w="888"/>
            </w:tblGrid>
            <w:tr w14:paraId="057C29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vMerge w:val="restart"/>
                  <w:tcBorders>
                    <w:tl2br w:val="nil"/>
                    <w:tr2bl w:val="nil"/>
                  </w:tcBorders>
                  <w:vAlign w:val="center"/>
                </w:tcPr>
                <w:p w14:paraId="15E63FFE">
                  <w:pPr>
                    <w:jc w:val="center"/>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cs="Times New Roman"/>
                      <w:color w:val="auto"/>
                      <w:spacing w:val="-17"/>
                      <w:sz w:val="21"/>
                      <w:szCs w:val="21"/>
                      <w:highlight w:val="none"/>
                      <w:lang w:val="en-US" w:eastAsia="zh-CN"/>
                    </w:rPr>
                    <w:t>污染源类型</w:t>
                  </w:r>
                </w:p>
              </w:tc>
              <w:tc>
                <w:tcPr>
                  <w:tcW w:w="547" w:type="pct"/>
                  <w:vMerge w:val="restart"/>
                  <w:tcBorders>
                    <w:tl2br w:val="nil"/>
                    <w:tr2bl w:val="nil"/>
                  </w:tcBorders>
                  <w:vAlign w:val="center"/>
                </w:tcPr>
                <w:p w14:paraId="0928E822">
                  <w:pPr>
                    <w:jc w:val="center"/>
                    <w:rPr>
                      <w:rFonts w:hint="default" w:ascii="Times New Roman" w:hAnsi="Times New Roman" w:eastAsia="宋体" w:cs="Times New Roman"/>
                      <w:color w:val="auto"/>
                      <w:spacing w:val="-17"/>
                      <w:sz w:val="21"/>
                      <w:szCs w:val="21"/>
                      <w:highlight w:val="none"/>
                      <w:lang w:val="en-US" w:eastAsia="zh-CN"/>
                    </w:rPr>
                  </w:pPr>
                  <w:r>
                    <w:rPr>
                      <w:rFonts w:hint="default" w:ascii="Times New Roman" w:hAnsi="Times New Roman" w:cs="Times New Roman"/>
                      <w:color w:val="auto"/>
                      <w:spacing w:val="-17"/>
                      <w:sz w:val="21"/>
                      <w:szCs w:val="21"/>
                      <w:highlight w:val="none"/>
                    </w:rPr>
                    <w:t>废气量</w:t>
                  </w:r>
                  <w:r>
                    <w:rPr>
                      <w:rFonts w:hint="default" w:ascii="Times New Roman" w:hAnsi="Times New Roman" w:cs="Times New Roman"/>
                      <w:color w:val="auto"/>
                      <w:spacing w:val="-17"/>
                      <w:sz w:val="21"/>
                      <w:szCs w:val="21"/>
                      <w:highlight w:val="none"/>
                      <w:lang w:eastAsia="zh-CN"/>
                    </w:rPr>
                    <w:t>（</w:t>
                  </w:r>
                  <w:r>
                    <w:rPr>
                      <w:rFonts w:hint="default" w:ascii="Times New Roman" w:hAnsi="Times New Roman" w:cs="Times New Roman"/>
                      <w:color w:val="auto"/>
                      <w:spacing w:val="-17"/>
                      <w:sz w:val="21"/>
                      <w:szCs w:val="21"/>
                      <w:highlight w:val="none"/>
                    </w:rPr>
                    <w:t>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vertAlign w:val="baseline"/>
                      <w:lang w:val="en-US" w:eastAsia="zh-CN"/>
                    </w:rPr>
                    <w:t>/a）</w:t>
                  </w:r>
                </w:p>
              </w:tc>
              <w:tc>
                <w:tcPr>
                  <w:tcW w:w="242" w:type="pct"/>
                  <w:vMerge w:val="restart"/>
                  <w:tcBorders>
                    <w:tl2br w:val="nil"/>
                    <w:tr2bl w:val="nil"/>
                  </w:tcBorders>
                  <w:vAlign w:val="center"/>
                </w:tcPr>
                <w:p w14:paraId="2AC42CB0">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污染物</w:t>
                  </w:r>
                </w:p>
              </w:tc>
              <w:tc>
                <w:tcPr>
                  <w:tcW w:w="1540" w:type="pct"/>
                  <w:gridSpan w:val="3"/>
                  <w:tcBorders>
                    <w:tl2br w:val="nil"/>
                    <w:tr2bl w:val="nil"/>
                  </w:tcBorders>
                  <w:vAlign w:val="center"/>
                </w:tcPr>
                <w:p w14:paraId="5327CCA7">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产生情况</w:t>
                  </w:r>
                </w:p>
              </w:tc>
              <w:tc>
                <w:tcPr>
                  <w:tcW w:w="883" w:type="pct"/>
                  <w:vMerge w:val="restart"/>
                  <w:tcBorders>
                    <w:tl2br w:val="nil"/>
                    <w:tr2bl w:val="nil"/>
                  </w:tcBorders>
                  <w:vAlign w:val="center"/>
                </w:tcPr>
                <w:p w14:paraId="5497868E">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处理措施</w:t>
                  </w:r>
                </w:p>
              </w:tc>
              <w:tc>
                <w:tcPr>
                  <w:tcW w:w="1545" w:type="pct"/>
                  <w:gridSpan w:val="3"/>
                  <w:tcBorders>
                    <w:tl2br w:val="nil"/>
                    <w:tr2bl w:val="nil"/>
                  </w:tcBorders>
                  <w:vAlign w:val="center"/>
                </w:tcPr>
                <w:p w14:paraId="727267C3">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排放情况</w:t>
                  </w:r>
                </w:p>
              </w:tc>
            </w:tr>
            <w:tr w14:paraId="2BDB82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vMerge w:val="continue"/>
                  <w:tcBorders>
                    <w:tl2br w:val="nil"/>
                    <w:tr2bl w:val="nil"/>
                  </w:tcBorders>
                  <w:vAlign w:val="center"/>
                </w:tcPr>
                <w:p w14:paraId="53E30865">
                  <w:pPr>
                    <w:jc w:val="center"/>
                    <w:rPr>
                      <w:rFonts w:hint="default" w:ascii="Times New Roman" w:hAnsi="Times New Roman" w:cs="Times New Roman"/>
                      <w:color w:val="auto"/>
                      <w:spacing w:val="-17"/>
                      <w:sz w:val="21"/>
                      <w:szCs w:val="21"/>
                      <w:highlight w:val="none"/>
                    </w:rPr>
                  </w:pPr>
                </w:p>
              </w:tc>
              <w:tc>
                <w:tcPr>
                  <w:tcW w:w="547" w:type="pct"/>
                  <w:vMerge w:val="continue"/>
                  <w:tcBorders>
                    <w:tl2br w:val="nil"/>
                    <w:tr2bl w:val="nil"/>
                  </w:tcBorders>
                  <w:vAlign w:val="center"/>
                </w:tcPr>
                <w:p w14:paraId="37D9F0D9">
                  <w:pPr>
                    <w:jc w:val="center"/>
                    <w:rPr>
                      <w:rFonts w:hint="default" w:ascii="Times New Roman" w:hAnsi="Times New Roman" w:cs="Times New Roman"/>
                      <w:color w:val="auto"/>
                      <w:spacing w:val="-17"/>
                      <w:sz w:val="21"/>
                      <w:szCs w:val="21"/>
                      <w:highlight w:val="none"/>
                    </w:rPr>
                  </w:pPr>
                </w:p>
              </w:tc>
              <w:tc>
                <w:tcPr>
                  <w:tcW w:w="242" w:type="pct"/>
                  <w:vMerge w:val="continue"/>
                  <w:tcBorders>
                    <w:tl2br w:val="nil"/>
                    <w:tr2bl w:val="nil"/>
                  </w:tcBorders>
                  <w:vAlign w:val="center"/>
                </w:tcPr>
                <w:p w14:paraId="24C4C151">
                  <w:pPr>
                    <w:jc w:val="center"/>
                    <w:rPr>
                      <w:rFonts w:hint="default" w:ascii="Times New Roman" w:hAnsi="Times New Roman" w:cs="Times New Roman"/>
                      <w:color w:val="auto"/>
                      <w:spacing w:val="-17"/>
                      <w:sz w:val="21"/>
                      <w:szCs w:val="21"/>
                      <w:highlight w:val="none"/>
                    </w:rPr>
                  </w:pPr>
                </w:p>
              </w:tc>
              <w:tc>
                <w:tcPr>
                  <w:tcW w:w="449" w:type="pct"/>
                  <w:tcBorders>
                    <w:tl2br w:val="nil"/>
                    <w:tr2bl w:val="nil"/>
                  </w:tcBorders>
                  <w:vAlign w:val="center"/>
                </w:tcPr>
                <w:p w14:paraId="200538D5">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量（t/a）</w:t>
                  </w:r>
                </w:p>
              </w:tc>
              <w:tc>
                <w:tcPr>
                  <w:tcW w:w="599" w:type="pct"/>
                  <w:tcBorders>
                    <w:tl2br w:val="nil"/>
                    <w:tr2bl w:val="nil"/>
                  </w:tcBorders>
                  <w:vAlign w:val="center"/>
                </w:tcPr>
                <w:p w14:paraId="049A6BCE">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浓度（mg/m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rPr>
                    <w:t>）</w:t>
                  </w:r>
                </w:p>
              </w:tc>
              <w:tc>
                <w:tcPr>
                  <w:tcW w:w="490" w:type="pct"/>
                  <w:tcBorders>
                    <w:tl2br w:val="nil"/>
                    <w:tr2bl w:val="nil"/>
                  </w:tcBorders>
                  <w:vAlign w:val="center"/>
                </w:tcPr>
                <w:p w14:paraId="116E5868">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速率（</w:t>
                  </w:r>
                  <w:r>
                    <w:rPr>
                      <w:rFonts w:hint="default" w:ascii="Times New Roman" w:hAnsi="Times New Roman" w:cs="Times New Roman"/>
                      <w:color w:val="auto"/>
                      <w:spacing w:val="-17"/>
                      <w:sz w:val="21"/>
                      <w:szCs w:val="21"/>
                      <w:highlight w:val="none"/>
                      <w:lang w:eastAsia="zh-CN"/>
                    </w:rPr>
                    <w:t>kg</w:t>
                  </w:r>
                  <w:r>
                    <w:rPr>
                      <w:rFonts w:hint="default" w:ascii="Times New Roman" w:hAnsi="Times New Roman" w:cs="Times New Roman"/>
                      <w:color w:val="auto"/>
                      <w:spacing w:val="-17"/>
                      <w:sz w:val="21"/>
                      <w:szCs w:val="21"/>
                      <w:highlight w:val="none"/>
                    </w:rPr>
                    <w:t>/h）</w:t>
                  </w:r>
                </w:p>
              </w:tc>
              <w:tc>
                <w:tcPr>
                  <w:tcW w:w="883" w:type="pct"/>
                  <w:vMerge w:val="continue"/>
                  <w:tcBorders>
                    <w:tl2br w:val="nil"/>
                    <w:tr2bl w:val="nil"/>
                  </w:tcBorders>
                  <w:vAlign w:val="center"/>
                </w:tcPr>
                <w:p w14:paraId="4B54E694">
                  <w:pPr>
                    <w:jc w:val="center"/>
                    <w:rPr>
                      <w:rFonts w:hint="default" w:ascii="Times New Roman" w:hAnsi="Times New Roman" w:cs="Times New Roman"/>
                      <w:color w:val="auto"/>
                      <w:spacing w:val="-17"/>
                      <w:sz w:val="21"/>
                      <w:szCs w:val="21"/>
                      <w:highlight w:val="none"/>
                    </w:rPr>
                  </w:pPr>
                </w:p>
              </w:tc>
              <w:tc>
                <w:tcPr>
                  <w:tcW w:w="452" w:type="pct"/>
                  <w:tcBorders>
                    <w:tl2br w:val="nil"/>
                    <w:tr2bl w:val="nil"/>
                  </w:tcBorders>
                  <w:vAlign w:val="center"/>
                </w:tcPr>
                <w:p w14:paraId="2A03E410">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量（t/a）</w:t>
                  </w:r>
                </w:p>
              </w:tc>
              <w:tc>
                <w:tcPr>
                  <w:tcW w:w="581" w:type="pct"/>
                  <w:tcBorders>
                    <w:tl2br w:val="nil"/>
                    <w:tr2bl w:val="nil"/>
                  </w:tcBorders>
                  <w:vAlign w:val="center"/>
                </w:tcPr>
                <w:p w14:paraId="7B31CF26">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浓度（mg/m</w:t>
                  </w:r>
                  <w:r>
                    <w:rPr>
                      <w:rFonts w:hint="default" w:ascii="Times New Roman" w:hAnsi="Times New Roman" w:cs="Times New Roman"/>
                      <w:color w:val="auto"/>
                      <w:spacing w:val="-17"/>
                      <w:sz w:val="21"/>
                      <w:szCs w:val="21"/>
                      <w:highlight w:val="none"/>
                      <w:vertAlign w:val="superscript"/>
                    </w:rPr>
                    <w:t>3</w:t>
                  </w:r>
                  <w:r>
                    <w:rPr>
                      <w:rFonts w:hint="default" w:ascii="Times New Roman" w:hAnsi="Times New Roman" w:cs="Times New Roman"/>
                      <w:color w:val="auto"/>
                      <w:spacing w:val="-17"/>
                      <w:sz w:val="21"/>
                      <w:szCs w:val="21"/>
                      <w:highlight w:val="none"/>
                    </w:rPr>
                    <w:t>）</w:t>
                  </w:r>
                </w:p>
              </w:tc>
              <w:tc>
                <w:tcPr>
                  <w:tcW w:w="511" w:type="pct"/>
                  <w:tcBorders>
                    <w:tl2br w:val="nil"/>
                    <w:tr2bl w:val="nil"/>
                  </w:tcBorders>
                  <w:vAlign w:val="center"/>
                </w:tcPr>
                <w:p w14:paraId="1B77BCD8">
                  <w:pPr>
                    <w:jc w:val="center"/>
                    <w:rPr>
                      <w:rFonts w:hint="default" w:ascii="Times New Roman" w:hAnsi="Times New Roman" w:cs="Times New Roman"/>
                      <w:color w:val="auto"/>
                      <w:spacing w:val="-17"/>
                      <w:sz w:val="21"/>
                      <w:szCs w:val="21"/>
                      <w:highlight w:val="none"/>
                    </w:rPr>
                  </w:pPr>
                  <w:r>
                    <w:rPr>
                      <w:rFonts w:hint="default" w:ascii="Times New Roman" w:hAnsi="Times New Roman" w:cs="Times New Roman"/>
                      <w:color w:val="auto"/>
                      <w:spacing w:val="-17"/>
                      <w:sz w:val="21"/>
                      <w:szCs w:val="21"/>
                      <w:highlight w:val="none"/>
                    </w:rPr>
                    <w:t>速率（</w:t>
                  </w:r>
                  <w:r>
                    <w:rPr>
                      <w:rFonts w:hint="default" w:ascii="Times New Roman" w:hAnsi="Times New Roman" w:cs="Times New Roman"/>
                      <w:color w:val="auto"/>
                      <w:spacing w:val="-17"/>
                      <w:sz w:val="21"/>
                      <w:szCs w:val="21"/>
                      <w:highlight w:val="none"/>
                      <w:lang w:eastAsia="zh-CN"/>
                    </w:rPr>
                    <w:t>kg</w:t>
                  </w:r>
                  <w:r>
                    <w:rPr>
                      <w:rFonts w:hint="default" w:ascii="Times New Roman" w:hAnsi="Times New Roman" w:cs="Times New Roman"/>
                      <w:color w:val="auto"/>
                      <w:spacing w:val="-17"/>
                      <w:sz w:val="21"/>
                      <w:szCs w:val="21"/>
                      <w:highlight w:val="none"/>
                    </w:rPr>
                    <w:t>/h）</w:t>
                  </w:r>
                </w:p>
              </w:tc>
            </w:tr>
            <w:tr w14:paraId="17A0B0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tcBorders>
                    <w:tl2br w:val="nil"/>
                    <w:tr2bl w:val="nil"/>
                  </w:tcBorders>
                  <w:vAlign w:val="center"/>
                </w:tcPr>
                <w:p w14:paraId="43CC2D7D">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有组织</w:t>
                  </w:r>
                </w:p>
              </w:tc>
              <w:tc>
                <w:tcPr>
                  <w:tcW w:w="547" w:type="pct"/>
                  <w:tcBorders>
                    <w:tl2br w:val="nil"/>
                    <w:tr2bl w:val="nil"/>
                  </w:tcBorders>
                  <w:vAlign w:val="center"/>
                </w:tcPr>
                <w:p w14:paraId="0ACD85A5">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1</w:t>
                  </w:r>
                  <w:r>
                    <w:rPr>
                      <w:rFonts w:hint="default" w:ascii="Times New Roman" w:hAnsi="Times New Roman" w:cs="Times New Roman"/>
                      <w:b w:val="0"/>
                      <w:bCs/>
                      <w:color w:val="auto"/>
                      <w:spacing w:val="-17"/>
                      <w:kern w:val="2"/>
                      <w:sz w:val="21"/>
                      <w:szCs w:val="21"/>
                      <w:highlight w:val="none"/>
                      <w:lang w:val="en-US" w:eastAsia="zh-CN" w:bidi="ar-SA"/>
                    </w:rPr>
                    <w:t>.2</w:t>
                  </w:r>
                  <w:r>
                    <w:rPr>
                      <w:rFonts w:hint="default" w:ascii="Times New Roman" w:hAnsi="Times New Roman" w:eastAsia="宋体" w:cs="Times New Roman"/>
                      <w:b w:val="0"/>
                      <w:bCs/>
                      <w:color w:val="auto"/>
                      <w:spacing w:val="-17"/>
                      <w:kern w:val="2"/>
                      <w:sz w:val="21"/>
                      <w:szCs w:val="21"/>
                      <w:highlight w:val="none"/>
                      <w:lang w:val="en-US" w:eastAsia="zh-CN" w:bidi="ar-SA"/>
                    </w:rPr>
                    <w:t>×10</w:t>
                  </w:r>
                  <w:r>
                    <w:rPr>
                      <w:rFonts w:hint="default" w:ascii="Times New Roman" w:hAnsi="Times New Roman" w:eastAsia="宋体" w:cs="Times New Roman"/>
                      <w:b w:val="0"/>
                      <w:bCs/>
                      <w:color w:val="auto"/>
                      <w:spacing w:val="-17"/>
                      <w:kern w:val="2"/>
                      <w:sz w:val="21"/>
                      <w:szCs w:val="21"/>
                      <w:highlight w:val="none"/>
                      <w:vertAlign w:val="superscript"/>
                      <w:lang w:val="en-US" w:eastAsia="zh-CN" w:bidi="ar-SA"/>
                    </w:rPr>
                    <w:t>7</w:t>
                  </w:r>
                </w:p>
              </w:tc>
              <w:tc>
                <w:tcPr>
                  <w:tcW w:w="242" w:type="pct"/>
                  <w:tcBorders>
                    <w:tl2br w:val="nil"/>
                    <w:tr2bl w:val="nil"/>
                  </w:tcBorders>
                  <w:vAlign w:val="center"/>
                </w:tcPr>
                <w:p w14:paraId="0F989E34">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eastAsia="宋体" w:cs="Times New Roman"/>
                      <w:b w:val="0"/>
                      <w:bCs/>
                      <w:color w:val="auto"/>
                      <w:spacing w:val="-17"/>
                      <w:kern w:val="2"/>
                      <w:sz w:val="21"/>
                      <w:szCs w:val="21"/>
                      <w:highlight w:val="none"/>
                      <w:lang w:val="en-US" w:eastAsia="zh-CN" w:bidi="ar-SA"/>
                    </w:rPr>
                    <w:t>非甲烷总烃</w:t>
                  </w:r>
                </w:p>
              </w:tc>
              <w:tc>
                <w:tcPr>
                  <w:tcW w:w="449" w:type="pct"/>
                  <w:tcBorders>
                    <w:tl2br w:val="nil"/>
                    <w:tr2bl w:val="nil"/>
                  </w:tcBorders>
                  <w:vAlign w:val="center"/>
                </w:tcPr>
                <w:p w14:paraId="73CB57E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0.0059</w:t>
                  </w:r>
                </w:p>
              </w:tc>
              <w:tc>
                <w:tcPr>
                  <w:tcW w:w="599" w:type="pct"/>
                  <w:tcBorders>
                    <w:tl2br w:val="nil"/>
                    <w:tr2bl w:val="nil"/>
                  </w:tcBorders>
                  <w:vAlign w:val="center"/>
                </w:tcPr>
                <w:p w14:paraId="1D6E3D89">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0.492</w:t>
                  </w:r>
                </w:p>
              </w:tc>
              <w:tc>
                <w:tcPr>
                  <w:tcW w:w="490" w:type="pct"/>
                  <w:tcBorders>
                    <w:tl2br w:val="nil"/>
                    <w:tr2bl w:val="nil"/>
                  </w:tcBorders>
                  <w:vAlign w:val="center"/>
                </w:tcPr>
                <w:p w14:paraId="3E0E3BA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0.00098</w:t>
                  </w:r>
                </w:p>
              </w:tc>
              <w:tc>
                <w:tcPr>
                  <w:tcW w:w="883" w:type="pct"/>
                  <w:tcBorders>
                    <w:tl2br w:val="nil"/>
                    <w:tr2bl w:val="nil"/>
                  </w:tcBorders>
                  <w:vAlign w:val="center"/>
                </w:tcPr>
                <w:p w14:paraId="16D73756">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集气罩</w:t>
                  </w:r>
                  <w:r>
                    <w:rPr>
                      <w:rFonts w:hint="default" w:ascii="Times New Roman" w:hAnsi="Times New Roman" w:eastAsia="宋体" w:cs="Times New Roman"/>
                      <w:b w:val="0"/>
                      <w:bCs/>
                      <w:color w:val="auto"/>
                      <w:spacing w:val="-17"/>
                      <w:kern w:val="2"/>
                      <w:sz w:val="21"/>
                      <w:szCs w:val="21"/>
                      <w:highlight w:val="none"/>
                      <w:lang w:val="en-US" w:eastAsia="zh-CN" w:bidi="ar-SA"/>
                    </w:rPr>
                    <w:t>收集+1套过滤棉+</w:t>
                  </w:r>
                  <w:r>
                    <w:rPr>
                      <w:rFonts w:hint="default" w:ascii="Times New Roman" w:hAnsi="Times New Roman" w:cs="Times New Roman"/>
                      <w:b w:val="0"/>
                      <w:bCs/>
                      <w:color w:val="auto"/>
                      <w:spacing w:val="-17"/>
                      <w:kern w:val="2"/>
                      <w:sz w:val="21"/>
                      <w:szCs w:val="21"/>
                      <w:highlight w:val="none"/>
                      <w:lang w:val="en-US" w:eastAsia="zh-CN" w:bidi="ar-SA"/>
                    </w:rPr>
                    <w:t>二级活性炭吸附装置（TA001）</w:t>
                  </w:r>
                  <w:r>
                    <w:rPr>
                      <w:rFonts w:hint="default" w:ascii="Times New Roman" w:hAnsi="Times New Roman" w:eastAsia="宋体" w:cs="Times New Roman"/>
                      <w:b w:val="0"/>
                      <w:bCs/>
                      <w:color w:val="auto"/>
                      <w:spacing w:val="-17"/>
                      <w:kern w:val="2"/>
                      <w:sz w:val="21"/>
                      <w:szCs w:val="21"/>
                      <w:highlight w:val="none"/>
                      <w:lang w:val="en-US" w:eastAsia="zh-CN" w:bidi="ar-SA"/>
                    </w:rPr>
                    <w:t>+34米排放（DA001）</w:t>
                  </w:r>
                </w:p>
              </w:tc>
              <w:tc>
                <w:tcPr>
                  <w:tcW w:w="452" w:type="pct"/>
                  <w:tcBorders>
                    <w:tl2br w:val="nil"/>
                    <w:tr2bl w:val="nil"/>
                  </w:tcBorders>
                  <w:vAlign w:val="center"/>
                </w:tcPr>
                <w:p w14:paraId="29A60FA3">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0.0043</w:t>
                  </w:r>
                </w:p>
              </w:tc>
              <w:tc>
                <w:tcPr>
                  <w:tcW w:w="581" w:type="pct"/>
                  <w:tcBorders>
                    <w:tl2br w:val="nil"/>
                    <w:tr2bl w:val="nil"/>
                  </w:tcBorders>
                  <w:vAlign w:val="center"/>
                </w:tcPr>
                <w:p w14:paraId="5578E64C">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0.355</w:t>
                  </w:r>
                </w:p>
              </w:tc>
              <w:tc>
                <w:tcPr>
                  <w:tcW w:w="511" w:type="pct"/>
                  <w:tcBorders>
                    <w:tl2br w:val="nil"/>
                    <w:tr2bl w:val="nil"/>
                  </w:tcBorders>
                  <w:vAlign w:val="center"/>
                </w:tcPr>
                <w:p w14:paraId="50A9C964">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0.00071</w:t>
                  </w:r>
                </w:p>
              </w:tc>
            </w:tr>
            <w:tr w14:paraId="62210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0" w:type="pct"/>
                  <w:tcBorders>
                    <w:tl2br w:val="nil"/>
                    <w:tr2bl w:val="nil"/>
                  </w:tcBorders>
                  <w:vAlign w:val="center"/>
                </w:tcPr>
                <w:p w14:paraId="765142FA">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无组织</w:t>
                  </w:r>
                </w:p>
              </w:tc>
              <w:tc>
                <w:tcPr>
                  <w:tcW w:w="547" w:type="pct"/>
                  <w:tcBorders>
                    <w:tl2br w:val="nil"/>
                    <w:tr2bl w:val="nil"/>
                  </w:tcBorders>
                  <w:vAlign w:val="center"/>
                </w:tcPr>
                <w:p w14:paraId="2D6C9321">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242" w:type="pct"/>
                  <w:tcBorders>
                    <w:tl2br w:val="nil"/>
                    <w:tr2bl w:val="nil"/>
                  </w:tcBorders>
                  <w:vAlign w:val="center"/>
                </w:tcPr>
                <w:p w14:paraId="65F690A2">
                  <w:pPr>
                    <w:adjustRightInd w:val="0"/>
                    <w:snapToGrid w:val="0"/>
                    <w:jc w:val="center"/>
                    <w:rPr>
                      <w:rFonts w:hint="default" w:ascii="Times New Roman" w:hAnsi="Times New Roman" w:eastAsia="宋体"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非甲烷总烃</w:t>
                  </w:r>
                </w:p>
              </w:tc>
              <w:tc>
                <w:tcPr>
                  <w:tcW w:w="449" w:type="pct"/>
                  <w:tcBorders>
                    <w:tl2br w:val="nil"/>
                    <w:tr2bl w:val="nil"/>
                  </w:tcBorders>
                  <w:vAlign w:val="center"/>
                </w:tcPr>
                <w:p w14:paraId="51BA4AB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0.0015</w:t>
                  </w:r>
                </w:p>
              </w:tc>
              <w:tc>
                <w:tcPr>
                  <w:tcW w:w="599" w:type="pct"/>
                  <w:tcBorders>
                    <w:tl2br w:val="nil"/>
                    <w:tr2bl w:val="nil"/>
                  </w:tcBorders>
                  <w:vAlign w:val="center"/>
                </w:tcPr>
                <w:p w14:paraId="52EA0D7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90" w:type="pct"/>
                  <w:tcBorders>
                    <w:tl2br w:val="nil"/>
                    <w:tr2bl w:val="nil"/>
                  </w:tcBorders>
                  <w:vAlign w:val="center"/>
                </w:tcPr>
                <w:p w14:paraId="08E7BC4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0.00025</w:t>
                  </w:r>
                </w:p>
              </w:tc>
              <w:tc>
                <w:tcPr>
                  <w:tcW w:w="883" w:type="pct"/>
                  <w:tcBorders>
                    <w:tl2br w:val="nil"/>
                    <w:tr2bl w:val="nil"/>
                  </w:tcBorders>
                  <w:vAlign w:val="center"/>
                </w:tcPr>
                <w:p w14:paraId="1B0031A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52" w:type="pct"/>
                  <w:tcBorders>
                    <w:tl2br w:val="nil"/>
                    <w:tr2bl w:val="nil"/>
                  </w:tcBorders>
                  <w:vAlign w:val="center"/>
                </w:tcPr>
                <w:p w14:paraId="0A861D59">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0.0015</w:t>
                  </w:r>
                </w:p>
              </w:tc>
              <w:tc>
                <w:tcPr>
                  <w:tcW w:w="581" w:type="pct"/>
                  <w:tcBorders>
                    <w:tl2br w:val="nil"/>
                    <w:tr2bl w:val="nil"/>
                  </w:tcBorders>
                  <w:vAlign w:val="center"/>
                </w:tcPr>
                <w:p w14:paraId="4A2427F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511" w:type="pct"/>
                  <w:tcBorders>
                    <w:tl2br w:val="nil"/>
                    <w:tr2bl w:val="nil"/>
                  </w:tcBorders>
                  <w:vAlign w:val="center"/>
                </w:tcPr>
                <w:p w14:paraId="123B4F6E">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0.00025</w:t>
                  </w:r>
                </w:p>
              </w:tc>
            </w:tr>
          </w:tbl>
          <w:p w14:paraId="2E1062F4">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w:t>
            </w: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 xml:space="preserve">    项目废气污染物产排情况一览表</w:t>
            </w:r>
          </w:p>
          <w:tbl>
            <w:tblPr>
              <w:tblStyle w:val="2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57"/>
              <w:gridCol w:w="357"/>
              <w:gridCol w:w="615"/>
              <w:gridCol w:w="357"/>
              <w:gridCol w:w="640"/>
              <w:gridCol w:w="875"/>
              <w:gridCol w:w="750"/>
              <w:gridCol w:w="391"/>
              <w:gridCol w:w="652"/>
              <w:gridCol w:w="475"/>
              <w:gridCol w:w="357"/>
              <w:gridCol w:w="640"/>
              <w:gridCol w:w="875"/>
              <w:gridCol w:w="750"/>
              <w:gridCol w:w="632"/>
            </w:tblGrid>
            <w:tr w14:paraId="053F0B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restart"/>
                  <w:tcBorders>
                    <w:tl2br w:val="nil"/>
                    <w:tr2bl w:val="nil"/>
                  </w:tcBorders>
                  <w:vAlign w:val="center"/>
                </w:tcPr>
                <w:p w14:paraId="77EAA825">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产污环节</w:t>
                  </w:r>
                </w:p>
              </w:tc>
              <w:tc>
                <w:tcPr>
                  <w:tcW w:w="204" w:type="pct"/>
                  <w:vMerge w:val="restart"/>
                  <w:tcBorders>
                    <w:tl2br w:val="nil"/>
                    <w:tr2bl w:val="nil"/>
                  </w:tcBorders>
                  <w:vAlign w:val="center"/>
                </w:tcPr>
                <w:p w14:paraId="04E04929">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污染源类型</w:t>
                  </w:r>
                </w:p>
              </w:tc>
              <w:tc>
                <w:tcPr>
                  <w:tcW w:w="352" w:type="pct"/>
                  <w:vMerge w:val="restart"/>
                  <w:tcBorders>
                    <w:tl2br w:val="nil"/>
                    <w:tr2bl w:val="nil"/>
                  </w:tcBorders>
                  <w:vAlign w:val="center"/>
                </w:tcPr>
                <w:p w14:paraId="211D0F27">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废气量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vertAlign w:val="baseline"/>
                      <w:lang w:val="en-US" w:eastAsia="zh-CN"/>
                    </w:rPr>
                    <w:t>/a</w:t>
                  </w:r>
                </w:p>
              </w:tc>
              <w:tc>
                <w:tcPr>
                  <w:tcW w:w="204" w:type="pct"/>
                  <w:vMerge w:val="restart"/>
                  <w:tcBorders>
                    <w:tl2br w:val="nil"/>
                    <w:tr2bl w:val="nil"/>
                  </w:tcBorders>
                  <w:vAlign w:val="center"/>
                </w:tcPr>
                <w:p w14:paraId="73B10C6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1298" w:type="pct"/>
                  <w:gridSpan w:val="3"/>
                  <w:tcBorders>
                    <w:tl2br w:val="nil"/>
                    <w:tr2bl w:val="nil"/>
                  </w:tcBorders>
                  <w:vAlign w:val="center"/>
                </w:tcPr>
                <w:p w14:paraId="39FFF5F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产生情况</w:t>
                  </w:r>
                </w:p>
              </w:tc>
              <w:tc>
                <w:tcPr>
                  <w:tcW w:w="1074" w:type="pct"/>
                  <w:gridSpan w:val="4"/>
                  <w:tcBorders>
                    <w:tl2br w:val="nil"/>
                    <w:tr2bl w:val="nil"/>
                  </w:tcBorders>
                  <w:vAlign w:val="center"/>
                </w:tcPr>
                <w:p w14:paraId="405D9F8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治理设施</w:t>
                  </w:r>
                </w:p>
              </w:tc>
              <w:tc>
                <w:tcPr>
                  <w:tcW w:w="1660" w:type="pct"/>
                  <w:gridSpan w:val="4"/>
                  <w:tcBorders>
                    <w:tl2br w:val="nil"/>
                    <w:tr2bl w:val="nil"/>
                  </w:tcBorders>
                  <w:vAlign w:val="center"/>
                </w:tcPr>
                <w:p w14:paraId="0E84637C">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排放情况</w:t>
                  </w:r>
                </w:p>
              </w:tc>
            </w:tr>
            <w:tr w14:paraId="213AB8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142681B8">
                  <w:pPr>
                    <w:jc w:val="center"/>
                    <w:rPr>
                      <w:rFonts w:hint="default" w:ascii="Times New Roman" w:hAnsi="Times New Roman" w:cs="Times New Roman"/>
                      <w:color w:val="auto"/>
                      <w:highlight w:val="none"/>
                    </w:rPr>
                  </w:pPr>
                </w:p>
              </w:tc>
              <w:tc>
                <w:tcPr>
                  <w:tcW w:w="204" w:type="pct"/>
                  <w:vMerge w:val="continue"/>
                  <w:tcBorders>
                    <w:tl2br w:val="nil"/>
                    <w:tr2bl w:val="nil"/>
                  </w:tcBorders>
                  <w:vAlign w:val="center"/>
                </w:tcPr>
                <w:p w14:paraId="7ECFF0D4">
                  <w:pPr>
                    <w:jc w:val="center"/>
                    <w:rPr>
                      <w:rFonts w:hint="default" w:ascii="Times New Roman" w:hAnsi="Times New Roman" w:cs="Times New Roman"/>
                      <w:color w:val="auto"/>
                      <w:highlight w:val="none"/>
                    </w:rPr>
                  </w:pPr>
                </w:p>
              </w:tc>
              <w:tc>
                <w:tcPr>
                  <w:tcW w:w="352" w:type="pct"/>
                  <w:vMerge w:val="continue"/>
                  <w:tcBorders>
                    <w:tl2br w:val="nil"/>
                    <w:tr2bl w:val="nil"/>
                  </w:tcBorders>
                  <w:vAlign w:val="center"/>
                </w:tcPr>
                <w:p w14:paraId="0769E0A6">
                  <w:pPr>
                    <w:jc w:val="center"/>
                    <w:rPr>
                      <w:rFonts w:hint="default" w:ascii="Times New Roman" w:hAnsi="Times New Roman" w:cs="Times New Roman"/>
                      <w:color w:val="auto"/>
                      <w:highlight w:val="none"/>
                    </w:rPr>
                  </w:pPr>
                </w:p>
              </w:tc>
              <w:tc>
                <w:tcPr>
                  <w:tcW w:w="204" w:type="pct"/>
                  <w:vMerge w:val="continue"/>
                  <w:tcBorders>
                    <w:tl2br w:val="nil"/>
                    <w:tr2bl w:val="nil"/>
                  </w:tcBorders>
                  <w:vAlign w:val="center"/>
                </w:tcPr>
                <w:p w14:paraId="597FC32E">
                  <w:pPr>
                    <w:jc w:val="center"/>
                    <w:rPr>
                      <w:rFonts w:hint="default" w:ascii="Times New Roman" w:hAnsi="Times New Roman" w:cs="Times New Roman"/>
                      <w:color w:val="auto"/>
                      <w:highlight w:val="none"/>
                    </w:rPr>
                  </w:pPr>
                </w:p>
              </w:tc>
              <w:tc>
                <w:tcPr>
                  <w:tcW w:w="366" w:type="pct"/>
                  <w:tcBorders>
                    <w:tl2br w:val="nil"/>
                    <w:tr2bl w:val="nil"/>
                  </w:tcBorders>
                  <w:vAlign w:val="center"/>
                </w:tcPr>
                <w:p w14:paraId="512FE40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量（t/a）</w:t>
                  </w:r>
                </w:p>
              </w:tc>
              <w:tc>
                <w:tcPr>
                  <w:tcW w:w="501" w:type="pct"/>
                  <w:tcBorders>
                    <w:tl2br w:val="nil"/>
                    <w:tr2bl w:val="nil"/>
                  </w:tcBorders>
                  <w:vAlign w:val="center"/>
                </w:tcPr>
                <w:p w14:paraId="138D839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浓度（mg/m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tc>
              <w:tc>
                <w:tcPr>
                  <w:tcW w:w="429" w:type="pct"/>
                  <w:tcBorders>
                    <w:tl2br w:val="nil"/>
                    <w:tr2bl w:val="nil"/>
                  </w:tcBorders>
                  <w:vAlign w:val="center"/>
                </w:tcPr>
                <w:p w14:paraId="52B7CAA9">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速率（kg/h）</w:t>
                  </w:r>
                </w:p>
              </w:tc>
              <w:tc>
                <w:tcPr>
                  <w:tcW w:w="224" w:type="pct"/>
                  <w:tcBorders>
                    <w:tl2br w:val="nil"/>
                    <w:tr2bl w:val="nil"/>
                  </w:tcBorders>
                  <w:vAlign w:val="center"/>
                </w:tcPr>
                <w:p w14:paraId="32654592">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处理措施</w:t>
                  </w:r>
                </w:p>
              </w:tc>
              <w:tc>
                <w:tcPr>
                  <w:tcW w:w="373" w:type="pct"/>
                  <w:tcBorders>
                    <w:tl2br w:val="nil"/>
                    <w:tr2bl w:val="nil"/>
                  </w:tcBorders>
                  <w:vAlign w:val="center"/>
                </w:tcPr>
                <w:p w14:paraId="2337D18C">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去除效率</w:t>
                  </w:r>
                </w:p>
              </w:tc>
              <w:tc>
                <w:tcPr>
                  <w:tcW w:w="272" w:type="pct"/>
                  <w:tcBorders>
                    <w:tl2br w:val="nil"/>
                    <w:tr2bl w:val="nil"/>
                  </w:tcBorders>
                  <w:vAlign w:val="center"/>
                </w:tcPr>
                <w:p w14:paraId="12DECE8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收集效率</w:t>
                  </w:r>
                </w:p>
              </w:tc>
              <w:tc>
                <w:tcPr>
                  <w:tcW w:w="204" w:type="pct"/>
                  <w:tcBorders>
                    <w:tl2br w:val="nil"/>
                    <w:tr2bl w:val="nil"/>
                  </w:tcBorders>
                  <w:vAlign w:val="center"/>
                </w:tcPr>
                <w:p w14:paraId="6CEAFF6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是否可行技术</w:t>
                  </w:r>
                </w:p>
              </w:tc>
              <w:tc>
                <w:tcPr>
                  <w:tcW w:w="366" w:type="pct"/>
                  <w:tcBorders>
                    <w:tl2br w:val="nil"/>
                    <w:tr2bl w:val="nil"/>
                  </w:tcBorders>
                  <w:vAlign w:val="center"/>
                </w:tcPr>
                <w:p w14:paraId="32E1147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量（t/a）</w:t>
                  </w:r>
                </w:p>
              </w:tc>
              <w:tc>
                <w:tcPr>
                  <w:tcW w:w="501" w:type="pct"/>
                  <w:tcBorders>
                    <w:tl2br w:val="nil"/>
                    <w:tr2bl w:val="nil"/>
                  </w:tcBorders>
                  <w:vAlign w:val="center"/>
                </w:tcPr>
                <w:p w14:paraId="1E6A3F5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浓度（mg/m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tc>
              <w:tc>
                <w:tcPr>
                  <w:tcW w:w="429" w:type="pct"/>
                  <w:tcBorders>
                    <w:tl2br w:val="nil"/>
                    <w:tr2bl w:val="nil"/>
                  </w:tcBorders>
                  <w:vAlign w:val="center"/>
                </w:tcPr>
                <w:p w14:paraId="3855F53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速率（kg/h）</w:t>
                  </w:r>
                </w:p>
              </w:tc>
              <w:tc>
                <w:tcPr>
                  <w:tcW w:w="362" w:type="pct"/>
                  <w:tcBorders>
                    <w:tl2br w:val="nil"/>
                    <w:tr2bl w:val="nil"/>
                  </w:tcBorders>
                  <w:vAlign w:val="center"/>
                </w:tcPr>
                <w:p w14:paraId="63291EB9">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排放口编号</w:t>
                  </w:r>
                </w:p>
              </w:tc>
            </w:tr>
            <w:tr w14:paraId="7DAF97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restart"/>
                  <w:tcBorders>
                    <w:tl2br w:val="nil"/>
                    <w:tr2bl w:val="nil"/>
                  </w:tcBorders>
                  <w:vAlign w:val="center"/>
                </w:tcPr>
                <w:p w14:paraId="3A501A65">
                  <w:pPr>
                    <w:adjustRightInd w:val="0"/>
                    <w:snapToGrid w:val="0"/>
                    <w:jc w:val="center"/>
                    <w:rPr>
                      <w:rFonts w:hint="default" w:ascii="Times New Roman" w:hAnsi="Times New Roman" w:eastAsia="宋体" w:cs="Times New Roman"/>
                      <w:bCs/>
                      <w:color w:val="auto"/>
                      <w:spacing w:val="-23"/>
                      <w:kern w:val="2"/>
                      <w:sz w:val="21"/>
                      <w:szCs w:val="21"/>
                      <w:highlight w:val="none"/>
                      <w:lang w:val="en-US" w:eastAsia="zh-CN" w:bidi="ar-SA"/>
                    </w:rPr>
                  </w:pPr>
                  <w:r>
                    <w:rPr>
                      <w:rFonts w:hint="default" w:ascii="Times New Roman" w:hAnsi="Times New Roman" w:cs="Times New Roman"/>
                      <w:bCs/>
                      <w:color w:val="auto"/>
                      <w:spacing w:val="-23"/>
                      <w:kern w:val="2"/>
                      <w:sz w:val="21"/>
                      <w:szCs w:val="21"/>
                      <w:highlight w:val="none"/>
                      <w:lang w:val="en-US" w:eastAsia="zh-CN" w:bidi="ar-SA"/>
                    </w:rPr>
                    <w:t>焊接</w:t>
                  </w:r>
                </w:p>
              </w:tc>
              <w:tc>
                <w:tcPr>
                  <w:tcW w:w="204" w:type="pct"/>
                  <w:vMerge w:val="restart"/>
                  <w:tcBorders>
                    <w:tl2br w:val="nil"/>
                    <w:tr2bl w:val="nil"/>
                  </w:tcBorders>
                  <w:vAlign w:val="center"/>
                </w:tcPr>
                <w:p w14:paraId="5D011D99">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有组织</w:t>
                  </w:r>
                </w:p>
              </w:tc>
              <w:tc>
                <w:tcPr>
                  <w:tcW w:w="352" w:type="pct"/>
                  <w:tcBorders>
                    <w:tl2br w:val="nil"/>
                    <w:tr2bl w:val="nil"/>
                  </w:tcBorders>
                  <w:vAlign w:val="center"/>
                </w:tcPr>
                <w:p w14:paraId="34C253A9">
                  <w:pPr>
                    <w:adjustRightInd w:val="0"/>
                    <w:snapToGrid w:val="0"/>
                    <w:jc w:val="center"/>
                    <w:rPr>
                      <w:rFonts w:hint="default" w:ascii="Times New Roman" w:hAnsi="Times New Roman" w:eastAsia="宋体" w:cs="Times New Roman"/>
                      <w:bCs/>
                      <w:color w:val="auto"/>
                      <w:spacing w:val="-23"/>
                      <w:kern w:val="2"/>
                      <w:sz w:val="21"/>
                      <w:szCs w:val="21"/>
                      <w:highlight w:val="none"/>
                      <w:lang w:val="en-US" w:eastAsia="zh-CN" w:bidi="ar-SA"/>
                    </w:rPr>
                  </w:pPr>
                  <w:r>
                    <w:rPr>
                      <w:rFonts w:hint="default" w:ascii="Times New Roman" w:hAnsi="Times New Roman" w:cs="Times New Roman"/>
                      <w:i w:val="0"/>
                      <w:iCs w:val="0"/>
                      <w:color w:val="auto"/>
                      <w:spacing w:val="-23"/>
                      <w:kern w:val="0"/>
                      <w:sz w:val="21"/>
                      <w:szCs w:val="21"/>
                      <w:highlight w:val="none"/>
                      <w:u w:val="none"/>
                      <w:lang w:val="en-US" w:eastAsia="zh-CN" w:bidi="ar"/>
                    </w:rPr>
                    <w:t>1.2</w:t>
                  </w:r>
                  <w:r>
                    <w:rPr>
                      <w:rFonts w:hint="default" w:ascii="Times New Roman" w:hAnsi="Times New Roman" w:cs="Times New Roman"/>
                      <w:bCs/>
                      <w:color w:val="auto"/>
                      <w:spacing w:val="-23"/>
                      <w:sz w:val="21"/>
                      <w:szCs w:val="21"/>
                      <w:highlight w:val="none"/>
                    </w:rPr>
                    <w:t>×10</w:t>
                  </w:r>
                  <w:r>
                    <w:rPr>
                      <w:rFonts w:hint="default" w:ascii="Times New Roman" w:hAnsi="Times New Roman" w:cs="Times New Roman"/>
                      <w:bCs/>
                      <w:color w:val="auto"/>
                      <w:spacing w:val="-23"/>
                      <w:sz w:val="21"/>
                      <w:szCs w:val="21"/>
                      <w:highlight w:val="none"/>
                      <w:vertAlign w:val="superscript"/>
                      <w:lang w:val="en-US" w:eastAsia="zh-CN"/>
                    </w:rPr>
                    <w:t>7</w:t>
                  </w:r>
                </w:p>
              </w:tc>
              <w:tc>
                <w:tcPr>
                  <w:tcW w:w="204" w:type="pct"/>
                  <w:tcBorders>
                    <w:tl2br w:val="nil"/>
                    <w:tr2bl w:val="nil"/>
                  </w:tcBorders>
                  <w:vAlign w:val="center"/>
                </w:tcPr>
                <w:p w14:paraId="2585B733">
                  <w:pPr>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颗粒物</w:t>
                  </w:r>
                </w:p>
              </w:tc>
              <w:tc>
                <w:tcPr>
                  <w:tcW w:w="366" w:type="pct"/>
                  <w:tcBorders>
                    <w:tl2br w:val="nil"/>
                    <w:tr2bl w:val="nil"/>
                  </w:tcBorders>
                  <w:vAlign w:val="center"/>
                </w:tcPr>
                <w:p w14:paraId="6AD02ABA">
                  <w:pPr>
                    <w:adjustRightInd w:val="0"/>
                    <w:snapToGrid w:val="0"/>
                    <w:jc w:val="center"/>
                    <w:rPr>
                      <w:rFonts w:hint="default" w:ascii="Times New Roman" w:hAnsi="Times New Roman" w:eastAsia="宋体" w:cs="Times New Roman"/>
                      <w:i w:val="0"/>
                      <w:iCs w:val="0"/>
                      <w:color w:val="auto"/>
                      <w:spacing w:val="-11"/>
                      <w:kern w:val="2"/>
                      <w:sz w:val="22"/>
                      <w:szCs w:val="22"/>
                      <w:highlight w:val="none"/>
                      <w:u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0.0016</w:t>
                  </w:r>
                </w:p>
              </w:tc>
              <w:tc>
                <w:tcPr>
                  <w:tcW w:w="501" w:type="pct"/>
                  <w:tcBorders>
                    <w:tl2br w:val="nil"/>
                    <w:tr2bl w:val="nil"/>
                  </w:tcBorders>
                  <w:vAlign w:val="center"/>
                </w:tcPr>
                <w:p w14:paraId="1F6AF1AC">
                  <w:pPr>
                    <w:adjustRightInd w:val="0"/>
                    <w:snapToGrid w:val="0"/>
                    <w:jc w:val="center"/>
                    <w:rPr>
                      <w:rFonts w:hint="default" w:ascii="Times New Roman" w:hAnsi="Times New Roman" w:eastAsia="宋体" w:cs="Times New Roman"/>
                      <w:bCs/>
                      <w:color w:val="auto"/>
                      <w:spacing w:val="-11"/>
                      <w:kern w:val="2"/>
                      <w:sz w:val="21"/>
                      <w:szCs w:val="21"/>
                      <w:highlight w:val="none"/>
                      <w:vertAlign w:val="baseli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0.133</w:t>
                  </w:r>
                </w:p>
              </w:tc>
              <w:tc>
                <w:tcPr>
                  <w:tcW w:w="429" w:type="pct"/>
                  <w:tcBorders>
                    <w:tl2br w:val="nil"/>
                    <w:tr2bl w:val="nil"/>
                  </w:tcBorders>
                  <w:vAlign w:val="center"/>
                </w:tcPr>
                <w:p w14:paraId="632B60A5">
                  <w:pPr>
                    <w:adjustRightInd w:val="0"/>
                    <w:snapToGrid w:val="0"/>
                    <w:jc w:val="center"/>
                    <w:rPr>
                      <w:rFonts w:hint="default" w:ascii="Times New Roman" w:hAnsi="Times New Roman" w:eastAsia="宋体" w:cs="Times New Roman"/>
                      <w:bCs/>
                      <w:color w:val="auto"/>
                      <w:spacing w:val="-11"/>
                      <w:kern w:val="2"/>
                      <w:sz w:val="21"/>
                      <w:szCs w:val="21"/>
                      <w:highlight w:val="none"/>
                      <w:vertAlign w:val="baseli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0.00027</w:t>
                  </w:r>
                </w:p>
              </w:tc>
              <w:tc>
                <w:tcPr>
                  <w:tcW w:w="224" w:type="pct"/>
                  <w:vMerge w:val="restart"/>
                  <w:tcBorders>
                    <w:tl2br w:val="nil"/>
                    <w:tr2bl w:val="nil"/>
                  </w:tcBorders>
                  <w:vAlign w:val="center"/>
                </w:tcPr>
                <w:p w14:paraId="7F1B02F5">
                  <w:pPr>
                    <w:jc w:val="center"/>
                    <w:rPr>
                      <w:rFonts w:hint="default" w:ascii="Times New Roman" w:hAnsi="Times New Roman" w:cs="Times New Roman"/>
                      <w:bCs/>
                      <w:color w:val="auto"/>
                      <w:spacing w:val="-23"/>
                      <w:sz w:val="21"/>
                      <w:szCs w:val="21"/>
                      <w:highlight w:val="none"/>
                      <w:vertAlign w:val="baseline"/>
                      <w:lang w:val="en-US" w:eastAsia="zh-CN"/>
                    </w:rPr>
                  </w:pPr>
                  <w:r>
                    <w:rPr>
                      <w:rFonts w:hint="default" w:ascii="Times New Roman" w:hAnsi="Times New Roman" w:cs="Times New Roman"/>
                      <w:bCs/>
                      <w:color w:val="auto"/>
                      <w:spacing w:val="-23"/>
                      <w:sz w:val="21"/>
                      <w:szCs w:val="21"/>
                      <w:highlight w:val="none"/>
                      <w:vertAlign w:val="baseline"/>
                      <w:lang w:val="en-US" w:eastAsia="zh-CN"/>
                    </w:rPr>
                    <w:t>集气罩收集+1套过滤棉+二级活性炭吸附装置+34米排气筒</w:t>
                  </w:r>
                </w:p>
              </w:tc>
              <w:tc>
                <w:tcPr>
                  <w:tcW w:w="373" w:type="pct"/>
                  <w:tcBorders>
                    <w:tl2br w:val="nil"/>
                    <w:tr2bl w:val="nil"/>
                  </w:tcBorders>
                  <w:vAlign w:val="center"/>
                </w:tcPr>
                <w:p w14:paraId="66C7FB5C">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72" w:type="pct"/>
                  <w:tcBorders>
                    <w:tl2br w:val="nil"/>
                    <w:tr2bl w:val="nil"/>
                  </w:tcBorders>
                  <w:vAlign w:val="center"/>
                </w:tcPr>
                <w:p w14:paraId="4453E87F">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r>
                    <w:rPr>
                      <w:rFonts w:hint="default" w:ascii="Times New Roman" w:hAnsi="Times New Roman" w:cs="Times New Roman"/>
                      <w:color w:val="auto"/>
                      <w:highlight w:val="none"/>
                    </w:rPr>
                    <w:t>%</w:t>
                  </w:r>
                </w:p>
              </w:tc>
              <w:tc>
                <w:tcPr>
                  <w:tcW w:w="204" w:type="pct"/>
                  <w:tcBorders>
                    <w:tl2br w:val="nil"/>
                    <w:tr2bl w:val="nil"/>
                  </w:tcBorders>
                  <w:vAlign w:val="center"/>
                </w:tcPr>
                <w:p w14:paraId="31A1BBF1">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是</w:t>
                  </w:r>
                </w:p>
              </w:tc>
              <w:tc>
                <w:tcPr>
                  <w:tcW w:w="366" w:type="pct"/>
                  <w:tcBorders>
                    <w:tl2br w:val="nil"/>
                    <w:tr2bl w:val="nil"/>
                  </w:tcBorders>
                  <w:vAlign w:val="center"/>
                </w:tcPr>
                <w:p w14:paraId="7B301244">
                  <w:pPr>
                    <w:adjustRightInd w:val="0"/>
                    <w:snapToGrid w:val="0"/>
                    <w:jc w:val="center"/>
                    <w:rPr>
                      <w:rFonts w:hint="default" w:ascii="Times New Roman" w:hAnsi="Times New Roman" w:eastAsia="宋体" w:cs="Times New Roman"/>
                      <w:i w:val="0"/>
                      <w:iCs w:val="0"/>
                      <w:color w:val="auto"/>
                      <w:spacing w:val="-17"/>
                      <w:kern w:val="0"/>
                      <w:sz w:val="21"/>
                      <w:szCs w:val="21"/>
                      <w:highlight w:val="none"/>
                      <w:u w:val="none"/>
                      <w:lang w:val="en-US" w:eastAsia="zh-CN" w:bidi="ar"/>
                    </w:rPr>
                  </w:pPr>
                  <w:r>
                    <w:rPr>
                      <w:rFonts w:hint="default" w:ascii="Times New Roman" w:hAnsi="Times New Roman" w:cs="Times New Roman"/>
                      <w:b w:val="0"/>
                      <w:bCs/>
                      <w:color w:val="auto"/>
                      <w:spacing w:val="-17"/>
                      <w:kern w:val="2"/>
                      <w:sz w:val="21"/>
                      <w:szCs w:val="21"/>
                      <w:highlight w:val="none"/>
                      <w:lang w:val="en-US" w:eastAsia="zh-CN" w:bidi="ar-SA"/>
                    </w:rPr>
                    <w:t>0.00128</w:t>
                  </w:r>
                </w:p>
              </w:tc>
              <w:tc>
                <w:tcPr>
                  <w:tcW w:w="501" w:type="pct"/>
                  <w:tcBorders>
                    <w:tl2br w:val="nil"/>
                    <w:tr2bl w:val="nil"/>
                  </w:tcBorders>
                  <w:vAlign w:val="center"/>
                </w:tcPr>
                <w:p w14:paraId="3668C06D">
                  <w:pPr>
                    <w:adjustRightInd w:val="0"/>
                    <w:snapToGrid w:val="0"/>
                    <w:jc w:val="center"/>
                    <w:rPr>
                      <w:rFonts w:hint="default" w:ascii="Times New Roman" w:hAnsi="Times New Roman" w:eastAsia="宋体"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b w:val="0"/>
                      <w:bCs/>
                      <w:color w:val="auto"/>
                      <w:spacing w:val="-17"/>
                      <w:kern w:val="2"/>
                      <w:sz w:val="21"/>
                      <w:szCs w:val="21"/>
                      <w:highlight w:val="none"/>
                      <w:lang w:val="en-US" w:eastAsia="zh-CN" w:bidi="ar-SA"/>
                    </w:rPr>
                    <w:t>0.107</w:t>
                  </w:r>
                </w:p>
              </w:tc>
              <w:tc>
                <w:tcPr>
                  <w:tcW w:w="429" w:type="pct"/>
                  <w:tcBorders>
                    <w:tl2br w:val="nil"/>
                    <w:tr2bl w:val="nil"/>
                  </w:tcBorders>
                  <w:vAlign w:val="center"/>
                </w:tcPr>
                <w:p w14:paraId="208266AA">
                  <w:pPr>
                    <w:adjustRightInd w:val="0"/>
                    <w:snapToGrid w:val="0"/>
                    <w:jc w:val="center"/>
                    <w:rPr>
                      <w:rFonts w:hint="default" w:ascii="Times New Roman" w:hAnsi="Times New Roman" w:eastAsia="宋体"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b w:val="0"/>
                      <w:bCs/>
                      <w:color w:val="auto"/>
                      <w:spacing w:val="-17"/>
                      <w:kern w:val="2"/>
                      <w:sz w:val="21"/>
                      <w:szCs w:val="21"/>
                      <w:highlight w:val="none"/>
                      <w:lang w:val="en-US" w:eastAsia="zh-CN" w:bidi="ar-SA"/>
                    </w:rPr>
                    <w:t>0.000216</w:t>
                  </w:r>
                </w:p>
              </w:tc>
              <w:tc>
                <w:tcPr>
                  <w:tcW w:w="362" w:type="pct"/>
                  <w:vMerge w:val="restart"/>
                  <w:tcBorders>
                    <w:tl2br w:val="nil"/>
                    <w:tr2bl w:val="nil"/>
                  </w:tcBorders>
                  <w:vAlign w:val="center"/>
                </w:tcPr>
                <w:p w14:paraId="6B816713">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DA001</w:t>
                  </w:r>
                </w:p>
              </w:tc>
            </w:tr>
            <w:tr w14:paraId="5B010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794E017A">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continue"/>
                  <w:tcBorders>
                    <w:tl2br w:val="nil"/>
                    <w:tr2bl w:val="nil"/>
                  </w:tcBorders>
                  <w:shd w:val="clear" w:color="auto" w:fill="auto"/>
                  <w:vAlign w:val="center"/>
                </w:tcPr>
                <w:p w14:paraId="4EB22862">
                  <w:pPr>
                    <w:adjustRightInd w:val="0"/>
                    <w:snapToGrid w:val="0"/>
                    <w:jc w:val="center"/>
                    <w:rPr>
                      <w:rFonts w:hint="default" w:ascii="Times New Roman" w:hAnsi="Times New Roman" w:eastAsia="宋体" w:cs="Times New Roman"/>
                      <w:i w:val="0"/>
                      <w:iCs w:val="0"/>
                      <w:color w:val="auto"/>
                      <w:spacing w:val="-23"/>
                      <w:kern w:val="0"/>
                      <w:sz w:val="21"/>
                      <w:szCs w:val="21"/>
                      <w:highlight w:val="none"/>
                      <w:u w:val="none"/>
                      <w:lang w:val="en-US" w:eastAsia="zh-CN" w:bidi="ar"/>
                    </w:rPr>
                  </w:pPr>
                </w:p>
              </w:tc>
              <w:tc>
                <w:tcPr>
                  <w:tcW w:w="352" w:type="pct"/>
                  <w:tcBorders>
                    <w:tl2br w:val="nil"/>
                    <w:tr2bl w:val="nil"/>
                  </w:tcBorders>
                  <w:vAlign w:val="center"/>
                </w:tcPr>
                <w:p w14:paraId="6B777E48">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1.2×10</w:t>
                  </w:r>
                  <w:r>
                    <w:rPr>
                      <w:rFonts w:hint="default" w:ascii="Times New Roman" w:hAnsi="Times New Roman" w:cs="Times New Roman"/>
                      <w:i w:val="0"/>
                      <w:iCs w:val="0"/>
                      <w:color w:val="auto"/>
                      <w:spacing w:val="-23"/>
                      <w:kern w:val="0"/>
                      <w:sz w:val="21"/>
                      <w:szCs w:val="21"/>
                      <w:highlight w:val="none"/>
                      <w:u w:val="none"/>
                      <w:vertAlign w:val="superscript"/>
                      <w:lang w:val="en-US" w:eastAsia="zh-CN" w:bidi="ar"/>
                    </w:rPr>
                    <w:t>7</w:t>
                  </w:r>
                </w:p>
              </w:tc>
              <w:tc>
                <w:tcPr>
                  <w:tcW w:w="204" w:type="pct"/>
                  <w:tcBorders>
                    <w:tl2br w:val="nil"/>
                    <w:tr2bl w:val="nil"/>
                  </w:tcBorders>
                  <w:vAlign w:val="center"/>
                </w:tcPr>
                <w:p w14:paraId="3FC7CE5E">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锡及其化合物</w:t>
                  </w:r>
                </w:p>
              </w:tc>
              <w:tc>
                <w:tcPr>
                  <w:tcW w:w="366" w:type="pct"/>
                  <w:tcBorders>
                    <w:tl2br w:val="nil"/>
                    <w:tr2bl w:val="nil"/>
                  </w:tcBorders>
                  <w:vAlign w:val="center"/>
                </w:tcPr>
                <w:p w14:paraId="7D799040">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0.0016</w:t>
                  </w:r>
                </w:p>
              </w:tc>
              <w:tc>
                <w:tcPr>
                  <w:tcW w:w="501" w:type="pct"/>
                  <w:tcBorders>
                    <w:tl2br w:val="nil"/>
                    <w:tr2bl w:val="nil"/>
                  </w:tcBorders>
                  <w:vAlign w:val="center"/>
                </w:tcPr>
                <w:p w14:paraId="39CF7941">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0.133</w:t>
                  </w:r>
                </w:p>
              </w:tc>
              <w:tc>
                <w:tcPr>
                  <w:tcW w:w="429" w:type="pct"/>
                  <w:tcBorders>
                    <w:tl2br w:val="nil"/>
                    <w:tr2bl w:val="nil"/>
                  </w:tcBorders>
                  <w:vAlign w:val="center"/>
                </w:tcPr>
                <w:p w14:paraId="1AC839FC">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0.00027</w:t>
                  </w:r>
                </w:p>
              </w:tc>
              <w:tc>
                <w:tcPr>
                  <w:tcW w:w="224" w:type="pct"/>
                  <w:vMerge w:val="continue"/>
                  <w:tcBorders>
                    <w:tl2br w:val="nil"/>
                    <w:tr2bl w:val="nil"/>
                  </w:tcBorders>
                  <w:vAlign w:val="center"/>
                </w:tcPr>
                <w:p w14:paraId="4694CC99">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2C45E8BF">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72" w:type="pct"/>
                  <w:tcBorders>
                    <w:tl2br w:val="nil"/>
                    <w:tr2bl w:val="nil"/>
                  </w:tcBorders>
                  <w:vAlign w:val="center"/>
                </w:tcPr>
                <w:p w14:paraId="0A208537">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04" w:type="pct"/>
                  <w:tcBorders>
                    <w:tl2br w:val="nil"/>
                    <w:tr2bl w:val="nil"/>
                  </w:tcBorders>
                  <w:vAlign w:val="center"/>
                </w:tcPr>
                <w:p w14:paraId="7F65BE56">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是</w:t>
                  </w:r>
                </w:p>
              </w:tc>
              <w:tc>
                <w:tcPr>
                  <w:tcW w:w="366" w:type="pct"/>
                  <w:tcBorders>
                    <w:tl2br w:val="nil"/>
                    <w:tr2bl w:val="nil"/>
                  </w:tcBorders>
                  <w:vAlign w:val="center"/>
                </w:tcPr>
                <w:p w14:paraId="2AAB22AB">
                  <w:pPr>
                    <w:adjustRightInd w:val="0"/>
                    <w:snapToGrid w:val="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pacing w:val="-17"/>
                      <w:kern w:val="2"/>
                      <w:sz w:val="21"/>
                      <w:szCs w:val="21"/>
                      <w:highlight w:val="none"/>
                      <w:lang w:val="en-US" w:eastAsia="zh-CN" w:bidi="ar-SA"/>
                    </w:rPr>
                    <w:t>0.00128</w:t>
                  </w:r>
                </w:p>
              </w:tc>
              <w:tc>
                <w:tcPr>
                  <w:tcW w:w="501" w:type="pct"/>
                  <w:tcBorders>
                    <w:tl2br w:val="nil"/>
                    <w:tr2bl w:val="nil"/>
                  </w:tcBorders>
                  <w:vAlign w:val="center"/>
                </w:tcPr>
                <w:p w14:paraId="1591323E">
                  <w:pPr>
                    <w:adjustRightInd w:val="0"/>
                    <w:snapToGrid w:val="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pacing w:val="-17"/>
                      <w:kern w:val="2"/>
                      <w:sz w:val="21"/>
                      <w:szCs w:val="21"/>
                      <w:highlight w:val="none"/>
                      <w:lang w:val="en-US" w:eastAsia="zh-CN" w:bidi="ar-SA"/>
                    </w:rPr>
                    <w:t>0.107</w:t>
                  </w:r>
                </w:p>
              </w:tc>
              <w:tc>
                <w:tcPr>
                  <w:tcW w:w="429" w:type="pct"/>
                  <w:tcBorders>
                    <w:tl2br w:val="nil"/>
                    <w:tr2bl w:val="nil"/>
                  </w:tcBorders>
                  <w:vAlign w:val="center"/>
                </w:tcPr>
                <w:p w14:paraId="2AD2E7D5">
                  <w:pPr>
                    <w:adjustRightInd w:val="0"/>
                    <w:snapToGrid w:val="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color w:val="auto"/>
                      <w:spacing w:val="-17"/>
                      <w:kern w:val="2"/>
                      <w:sz w:val="21"/>
                      <w:szCs w:val="21"/>
                      <w:highlight w:val="none"/>
                      <w:lang w:val="en-US" w:eastAsia="zh-CN" w:bidi="ar-SA"/>
                    </w:rPr>
                    <w:t>0.000216</w:t>
                  </w:r>
                </w:p>
              </w:tc>
              <w:tc>
                <w:tcPr>
                  <w:tcW w:w="362" w:type="pct"/>
                  <w:vMerge w:val="continue"/>
                  <w:tcBorders>
                    <w:tl2br w:val="nil"/>
                    <w:tr2bl w:val="nil"/>
                  </w:tcBorders>
                  <w:vAlign w:val="center"/>
                </w:tcPr>
                <w:p w14:paraId="473939F6">
                  <w:pPr>
                    <w:jc w:val="center"/>
                    <w:rPr>
                      <w:rFonts w:hint="default" w:ascii="Times New Roman" w:hAnsi="Times New Roman" w:cs="Times New Roman"/>
                      <w:color w:val="auto"/>
                      <w:highlight w:val="none"/>
                    </w:rPr>
                  </w:pPr>
                </w:p>
              </w:tc>
            </w:tr>
            <w:tr w14:paraId="6F9C25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0305DCA3">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restart"/>
                  <w:tcBorders>
                    <w:tl2br w:val="nil"/>
                    <w:tr2bl w:val="nil"/>
                  </w:tcBorders>
                  <w:vAlign w:val="center"/>
                </w:tcPr>
                <w:p w14:paraId="01BE4A7D">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无组织</w:t>
                  </w:r>
                </w:p>
              </w:tc>
              <w:tc>
                <w:tcPr>
                  <w:tcW w:w="352" w:type="pct"/>
                  <w:tcBorders>
                    <w:tl2br w:val="nil"/>
                    <w:tr2bl w:val="nil"/>
                  </w:tcBorders>
                  <w:vAlign w:val="center"/>
                </w:tcPr>
                <w:p w14:paraId="18898591">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tcBorders>
                    <w:tl2br w:val="nil"/>
                    <w:tr2bl w:val="nil"/>
                  </w:tcBorders>
                  <w:vAlign w:val="center"/>
                </w:tcPr>
                <w:p w14:paraId="5050719D">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366" w:type="pct"/>
                  <w:tcBorders>
                    <w:tl2br w:val="nil"/>
                    <w:tr2bl w:val="nil"/>
                  </w:tcBorders>
                  <w:vAlign w:val="center"/>
                </w:tcPr>
                <w:p w14:paraId="62BB71D5">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01" w:type="pct"/>
                  <w:tcBorders>
                    <w:tl2br w:val="nil"/>
                    <w:tr2bl w:val="nil"/>
                  </w:tcBorders>
                  <w:vAlign w:val="center"/>
                </w:tcPr>
                <w:p w14:paraId="654598D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58FE0ED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224" w:type="pct"/>
                  <w:vMerge w:val="continue"/>
                  <w:tcBorders>
                    <w:tl2br w:val="nil"/>
                    <w:tr2bl w:val="nil"/>
                  </w:tcBorders>
                  <w:vAlign w:val="center"/>
                </w:tcPr>
                <w:p w14:paraId="3C8E2685">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24D922A1">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66D710A3">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06BF7408">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366" w:type="pct"/>
                  <w:tcBorders>
                    <w:tl2br w:val="nil"/>
                    <w:tr2bl w:val="nil"/>
                  </w:tcBorders>
                  <w:vAlign w:val="center"/>
                </w:tcPr>
                <w:p w14:paraId="638E613F">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01" w:type="pct"/>
                  <w:tcBorders>
                    <w:tl2br w:val="nil"/>
                    <w:tr2bl w:val="nil"/>
                  </w:tcBorders>
                  <w:vAlign w:val="center"/>
                </w:tcPr>
                <w:p w14:paraId="7EDE339B">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279A0C5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362" w:type="pct"/>
                  <w:tcBorders>
                    <w:tl2br w:val="nil"/>
                    <w:tr2bl w:val="nil"/>
                  </w:tcBorders>
                  <w:vAlign w:val="center"/>
                </w:tcPr>
                <w:p w14:paraId="2268221A">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0AFCDF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214AEDAD">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continue"/>
                  <w:tcBorders>
                    <w:tl2br w:val="nil"/>
                    <w:tr2bl w:val="nil"/>
                  </w:tcBorders>
                  <w:vAlign w:val="center"/>
                </w:tcPr>
                <w:p w14:paraId="73B9A203">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352" w:type="pct"/>
                  <w:tcBorders>
                    <w:tl2br w:val="nil"/>
                    <w:tr2bl w:val="nil"/>
                  </w:tcBorders>
                  <w:vAlign w:val="center"/>
                </w:tcPr>
                <w:p w14:paraId="37668DC5">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tcBorders>
                    <w:tl2br w:val="nil"/>
                    <w:tr2bl w:val="nil"/>
                  </w:tcBorders>
                  <w:vAlign w:val="center"/>
                </w:tcPr>
                <w:p w14:paraId="31D38FE0">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锡及其化合物</w:t>
                  </w:r>
                </w:p>
              </w:tc>
              <w:tc>
                <w:tcPr>
                  <w:tcW w:w="366" w:type="pct"/>
                  <w:tcBorders>
                    <w:tl2br w:val="nil"/>
                    <w:tr2bl w:val="nil"/>
                  </w:tcBorders>
                  <w:vAlign w:val="center"/>
                </w:tcPr>
                <w:p w14:paraId="1FC46ED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01" w:type="pct"/>
                  <w:tcBorders>
                    <w:tl2br w:val="nil"/>
                    <w:tr2bl w:val="nil"/>
                  </w:tcBorders>
                  <w:vAlign w:val="center"/>
                </w:tcPr>
                <w:p w14:paraId="3B1FCFA2">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34F759E9">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224" w:type="pct"/>
                  <w:vMerge w:val="continue"/>
                  <w:tcBorders>
                    <w:tl2br w:val="nil"/>
                    <w:tr2bl w:val="nil"/>
                  </w:tcBorders>
                  <w:vAlign w:val="center"/>
                </w:tcPr>
                <w:p w14:paraId="0B4935FC">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6E64259E">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5DC9F2BB">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295811F1">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366" w:type="pct"/>
                  <w:tcBorders>
                    <w:tl2br w:val="nil"/>
                    <w:tr2bl w:val="nil"/>
                  </w:tcBorders>
                  <w:vAlign w:val="center"/>
                </w:tcPr>
                <w:p w14:paraId="1086D8FB">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501" w:type="pct"/>
                  <w:tcBorders>
                    <w:tl2br w:val="nil"/>
                    <w:tr2bl w:val="nil"/>
                  </w:tcBorders>
                  <w:vAlign w:val="center"/>
                </w:tcPr>
                <w:p w14:paraId="263FD58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4C7CB09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362" w:type="pct"/>
                  <w:tcBorders>
                    <w:tl2br w:val="nil"/>
                    <w:tr2bl w:val="nil"/>
                  </w:tcBorders>
                  <w:vAlign w:val="center"/>
                </w:tcPr>
                <w:p w14:paraId="7BCE274E">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59ED9B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restart"/>
                  <w:tcBorders>
                    <w:tl2br w:val="nil"/>
                    <w:tr2bl w:val="nil"/>
                  </w:tcBorders>
                  <w:vAlign w:val="center"/>
                </w:tcPr>
                <w:p w14:paraId="5D2378E6">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r>
                    <w:rPr>
                      <w:rFonts w:hint="default" w:ascii="Times New Roman" w:hAnsi="Times New Roman" w:cs="Times New Roman"/>
                      <w:bCs/>
                      <w:color w:val="auto"/>
                      <w:spacing w:val="-23"/>
                      <w:kern w:val="2"/>
                      <w:sz w:val="21"/>
                      <w:szCs w:val="21"/>
                      <w:highlight w:val="none"/>
                      <w:lang w:val="en-US" w:eastAsia="zh-CN" w:bidi="ar-SA"/>
                    </w:rPr>
                    <w:t>清洗</w:t>
                  </w:r>
                </w:p>
              </w:tc>
              <w:tc>
                <w:tcPr>
                  <w:tcW w:w="204" w:type="pct"/>
                  <w:tcBorders>
                    <w:tl2br w:val="nil"/>
                    <w:tr2bl w:val="nil"/>
                  </w:tcBorders>
                  <w:vAlign w:val="center"/>
                </w:tcPr>
                <w:p w14:paraId="40C4DC53">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有组织</w:t>
                  </w:r>
                </w:p>
              </w:tc>
              <w:tc>
                <w:tcPr>
                  <w:tcW w:w="352" w:type="pct"/>
                  <w:tcBorders>
                    <w:tl2br w:val="nil"/>
                    <w:tr2bl w:val="nil"/>
                  </w:tcBorders>
                  <w:vAlign w:val="center"/>
                </w:tcPr>
                <w:p w14:paraId="4F7610D5">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1.2×10</w:t>
                  </w:r>
                  <w:r>
                    <w:rPr>
                      <w:rFonts w:hint="default" w:ascii="Times New Roman" w:hAnsi="Times New Roman" w:cs="Times New Roman"/>
                      <w:i w:val="0"/>
                      <w:iCs w:val="0"/>
                      <w:color w:val="auto"/>
                      <w:spacing w:val="-23"/>
                      <w:kern w:val="0"/>
                      <w:sz w:val="21"/>
                      <w:szCs w:val="21"/>
                      <w:highlight w:val="none"/>
                      <w:u w:val="none"/>
                      <w:vertAlign w:val="superscript"/>
                      <w:lang w:val="en-US" w:eastAsia="zh-CN" w:bidi="ar"/>
                    </w:rPr>
                    <w:t>7</w:t>
                  </w:r>
                </w:p>
              </w:tc>
              <w:tc>
                <w:tcPr>
                  <w:tcW w:w="204" w:type="pct"/>
                  <w:vMerge w:val="restart"/>
                  <w:tcBorders>
                    <w:tl2br w:val="nil"/>
                    <w:tr2bl w:val="nil"/>
                  </w:tcBorders>
                  <w:vAlign w:val="center"/>
                </w:tcPr>
                <w:p w14:paraId="695E73D2">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366" w:type="pct"/>
                  <w:tcBorders>
                    <w:tl2br w:val="nil"/>
                    <w:tr2bl w:val="nil"/>
                  </w:tcBorders>
                  <w:vAlign w:val="center"/>
                </w:tcPr>
                <w:p w14:paraId="5C0A4D1B">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0.096</w:t>
                  </w:r>
                </w:p>
              </w:tc>
              <w:tc>
                <w:tcPr>
                  <w:tcW w:w="501" w:type="pct"/>
                  <w:tcBorders>
                    <w:tl2br w:val="nil"/>
                    <w:tr2bl w:val="nil"/>
                  </w:tcBorders>
                  <w:vAlign w:val="center"/>
                </w:tcPr>
                <w:p w14:paraId="51F38309">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8</w:t>
                  </w:r>
                </w:p>
              </w:tc>
              <w:tc>
                <w:tcPr>
                  <w:tcW w:w="429" w:type="pct"/>
                  <w:tcBorders>
                    <w:tl2br w:val="nil"/>
                    <w:tr2bl w:val="nil"/>
                  </w:tcBorders>
                  <w:vAlign w:val="center"/>
                </w:tcPr>
                <w:p w14:paraId="2FD02B12">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0.016</w:t>
                  </w:r>
                </w:p>
              </w:tc>
              <w:tc>
                <w:tcPr>
                  <w:tcW w:w="224" w:type="pct"/>
                  <w:vMerge w:val="continue"/>
                  <w:tcBorders>
                    <w:tl2br w:val="nil"/>
                    <w:tr2bl w:val="nil"/>
                  </w:tcBorders>
                  <w:vAlign w:val="center"/>
                </w:tcPr>
                <w:p w14:paraId="18821F1D">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00677BB8">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27.75%</w:t>
                  </w:r>
                </w:p>
              </w:tc>
              <w:tc>
                <w:tcPr>
                  <w:tcW w:w="272" w:type="pct"/>
                  <w:tcBorders>
                    <w:tl2br w:val="nil"/>
                    <w:tr2bl w:val="nil"/>
                  </w:tcBorders>
                  <w:vAlign w:val="center"/>
                </w:tcPr>
                <w:p w14:paraId="7D9A16B4">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04" w:type="pct"/>
                  <w:tcBorders>
                    <w:tl2br w:val="nil"/>
                    <w:tr2bl w:val="nil"/>
                  </w:tcBorders>
                  <w:vAlign w:val="center"/>
                </w:tcPr>
                <w:p w14:paraId="46812DD8">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是</w:t>
                  </w:r>
                </w:p>
              </w:tc>
              <w:tc>
                <w:tcPr>
                  <w:tcW w:w="366" w:type="pct"/>
                  <w:tcBorders>
                    <w:tl2br w:val="nil"/>
                    <w:tr2bl w:val="nil"/>
                  </w:tcBorders>
                  <w:vAlign w:val="center"/>
                </w:tcPr>
                <w:p w14:paraId="7F5CFA99">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0.069</w:t>
                  </w:r>
                </w:p>
              </w:tc>
              <w:tc>
                <w:tcPr>
                  <w:tcW w:w="501" w:type="pct"/>
                  <w:tcBorders>
                    <w:tl2br w:val="nil"/>
                    <w:tr2bl w:val="nil"/>
                  </w:tcBorders>
                  <w:vAlign w:val="center"/>
                </w:tcPr>
                <w:p w14:paraId="172F42FD">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5.78</w:t>
                  </w:r>
                </w:p>
              </w:tc>
              <w:tc>
                <w:tcPr>
                  <w:tcW w:w="429" w:type="pct"/>
                  <w:tcBorders>
                    <w:tl2br w:val="nil"/>
                    <w:tr2bl w:val="nil"/>
                  </w:tcBorders>
                  <w:vAlign w:val="center"/>
                </w:tcPr>
                <w:p w14:paraId="1D87C159">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0.012</w:t>
                  </w:r>
                </w:p>
              </w:tc>
              <w:tc>
                <w:tcPr>
                  <w:tcW w:w="362" w:type="pct"/>
                  <w:tcBorders>
                    <w:tl2br w:val="nil"/>
                    <w:tr2bl w:val="nil"/>
                  </w:tcBorders>
                  <w:vAlign w:val="center"/>
                </w:tcPr>
                <w:p w14:paraId="2A7A61BC">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DA001</w:t>
                  </w:r>
                </w:p>
              </w:tc>
            </w:tr>
            <w:tr w14:paraId="2A61C1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20DA85FE">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tcBorders>
                    <w:tl2br w:val="nil"/>
                    <w:tr2bl w:val="nil"/>
                  </w:tcBorders>
                  <w:vAlign w:val="center"/>
                </w:tcPr>
                <w:p w14:paraId="658937BA">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无组织</w:t>
                  </w:r>
                </w:p>
              </w:tc>
              <w:tc>
                <w:tcPr>
                  <w:tcW w:w="352" w:type="pct"/>
                  <w:tcBorders>
                    <w:tl2br w:val="nil"/>
                    <w:tr2bl w:val="nil"/>
                  </w:tcBorders>
                  <w:vAlign w:val="center"/>
                </w:tcPr>
                <w:p w14:paraId="739628B8">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vMerge w:val="continue"/>
                  <w:tcBorders>
                    <w:tl2br w:val="nil"/>
                    <w:tr2bl w:val="nil"/>
                  </w:tcBorders>
                  <w:vAlign w:val="center"/>
                </w:tcPr>
                <w:p w14:paraId="79396E29">
                  <w:pPr>
                    <w:jc w:val="center"/>
                    <w:rPr>
                      <w:rFonts w:hint="default" w:ascii="Times New Roman" w:hAnsi="Times New Roman" w:cs="Times New Roman"/>
                      <w:color w:val="auto"/>
                      <w:highlight w:val="none"/>
                      <w:lang w:val="en-US" w:eastAsia="zh-CN"/>
                    </w:rPr>
                  </w:pPr>
                </w:p>
              </w:tc>
              <w:tc>
                <w:tcPr>
                  <w:tcW w:w="366" w:type="pct"/>
                  <w:tcBorders>
                    <w:tl2br w:val="nil"/>
                    <w:tr2bl w:val="nil"/>
                  </w:tcBorders>
                  <w:vAlign w:val="center"/>
                </w:tcPr>
                <w:p w14:paraId="0E558F53">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0.024</w:t>
                  </w:r>
                </w:p>
              </w:tc>
              <w:tc>
                <w:tcPr>
                  <w:tcW w:w="501" w:type="pct"/>
                  <w:tcBorders>
                    <w:tl2br w:val="nil"/>
                    <w:tr2bl w:val="nil"/>
                  </w:tcBorders>
                  <w:vAlign w:val="center"/>
                </w:tcPr>
                <w:p w14:paraId="4D27BF33">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4D89A90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w:t>
                  </w:r>
                </w:p>
              </w:tc>
              <w:tc>
                <w:tcPr>
                  <w:tcW w:w="224" w:type="pct"/>
                  <w:vMerge w:val="continue"/>
                  <w:tcBorders>
                    <w:tl2br w:val="nil"/>
                    <w:tr2bl w:val="nil"/>
                  </w:tcBorders>
                  <w:vAlign w:val="center"/>
                </w:tcPr>
                <w:p w14:paraId="503BEE82">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03810470">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3B94416C">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5455F357">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366" w:type="pct"/>
                  <w:tcBorders>
                    <w:tl2br w:val="nil"/>
                    <w:tr2bl w:val="nil"/>
                  </w:tcBorders>
                  <w:vAlign w:val="center"/>
                </w:tcPr>
                <w:p w14:paraId="64E99EBE">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0.024</w:t>
                  </w:r>
                </w:p>
              </w:tc>
              <w:tc>
                <w:tcPr>
                  <w:tcW w:w="501" w:type="pct"/>
                  <w:tcBorders>
                    <w:tl2br w:val="nil"/>
                    <w:tr2bl w:val="nil"/>
                  </w:tcBorders>
                  <w:vAlign w:val="center"/>
                </w:tcPr>
                <w:p w14:paraId="4E103BF7">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0A507107">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w:t>
                  </w:r>
                </w:p>
              </w:tc>
              <w:tc>
                <w:tcPr>
                  <w:tcW w:w="362" w:type="pct"/>
                  <w:tcBorders>
                    <w:tl2br w:val="nil"/>
                    <w:tr2bl w:val="nil"/>
                  </w:tcBorders>
                  <w:vAlign w:val="center"/>
                </w:tcPr>
                <w:p w14:paraId="105DE25E">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6CC588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restart"/>
                  <w:tcBorders>
                    <w:tl2br w:val="nil"/>
                    <w:tr2bl w:val="nil"/>
                  </w:tcBorders>
                  <w:vAlign w:val="center"/>
                </w:tcPr>
                <w:p w14:paraId="77206262">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r>
                    <w:rPr>
                      <w:rFonts w:hint="default" w:ascii="Times New Roman" w:hAnsi="Times New Roman" w:cs="Times New Roman"/>
                      <w:bCs/>
                      <w:color w:val="auto"/>
                      <w:spacing w:val="-23"/>
                      <w:kern w:val="2"/>
                      <w:sz w:val="21"/>
                      <w:szCs w:val="21"/>
                      <w:highlight w:val="none"/>
                      <w:lang w:val="en-US" w:eastAsia="zh-CN" w:bidi="ar-SA"/>
                    </w:rPr>
                    <w:t>灌封与烘干</w:t>
                  </w:r>
                </w:p>
              </w:tc>
              <w:tc>
                <w:tcPr>
                  <w:tcW w:w="204" w:type="pct"/>
                  <w:tcBorders>
                    <w:tl2br w:val="nil"/>
                    <w:tr2bl w:val="nil"/>
                  </w:tcBorders>
                  <w:vAlign w:val="center"/>
                </w:tcPr>
                <w:p w14:paraId="38C50BF7">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有组织</w:t>
                  </w:r>
                </w:p>
              </w:tc>
              <w:tc>
                <w:tcPr>
                  <w:tcW w:w="352" w:type="pct"/>
                  <w:tcBorders>
                    <w:tl2br w:val="nil"/>
                    <w:tr2bl w:val="nil"/>
                  </w:tcBorders>
                  <w:vAlign w:val="center"/>
                </w:tcPr>
                <w:p w14:paraId="319AB425">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1.2×10</w:t>
                  </w:r>
                  <w:r>
                    <w:rPr>
                      <w:rFonts w:hint="default" w:ascii="Times New Roman" w:hAnsi="Times New Roman" w:cs="Times New Roman"/>
                      <w:i w:val="0"/>
                      <w:iCs w:val="0"/>
                      <w:color w:val="auto"/>
                      <w:spacing w:val="-23"/>
                      <w:kern w:val="0"/>
                      <w:sz w:val="21"/>
                      <w:szCs w:val="21"/>
                      <w:highlight w:val="none"/>
                      <w:u w:val="none"/>
                      <w:vertAlign w:val="superscript"/>
                      <w:lang w:val="en-US" w:eastAsia="zh-CN" w:bidi="ar"/>
                    </w:rPr>
                    <w:t>7</w:t>
                  </w:r>
                </w:p>
              </w:tc>
              <w:tc>
                <w:tcPr>
                  <w:tcW w:w="204" w:type="pct"/>
                  <w:vMerge w:val="restart"/>
                  <w:tcBorders>
                    <w:tl2br w:val="nil"/>
                    <w:tr2bl w:val="nil"/>
                  </w:tcBorders>
                  <w:vAlign w:val="center"/>
                </w:tcPr>
                <w:p w14:paraId="1E215177">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366" w:type="pct"/>
                  <w:tcBorders>
                    <w:tl2br w:val="nil"/>
                    <w:tr2bl w:val="nil"/>
                  </w:tcBorders>
                  <w:vAlign w:val="center"/>
                </w:tcPr>
                <w:p w14:paraId="75A3DDE3">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0.0059</w:t>
                  </w:r>
                </w:p>
              </w:tc>
              <w:tc>
                <w:tcPr>
                  <w:tcW w:w="501" w:type="pct"/>
                  <w:tcBorders>
                    <w:tl2br w:val="nil"/>
                    <w:tr2bl w:val="nil"/>
                  </w:tcBorders>
                  <w:vAlign w:val="center"/>
                </w:tcPr>
                <w:p w14:paraId="23898356">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0.492</w:t>
                  </w:r>
                </w:p>
              </w:tc>
              <w:tc>
                <w:tcPr>
                  <w:tcW w:w="429" w:type="pct"/>
                  <w:tcBorders>
                    <w:tl2br w:val="nil"/>
                    <w:tr2bl w:val="nil"/>
                  </w:tcBorders>
                  <w:vAlign w:val="center"/>
                </w:tcPr>
                <w:p w14:paraId="22D6B61D">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0.00098</w:t>
                  </w:r>
                </w:p>
              </w:tc>
              <w:tc>
                <w:tcPr>
                  <w:tcW w:w="224" w:type="pct"/>
                  <w:vMerge w:val="continue"/>
                  <w:tcBorders>
                    <w:tl2br w:val="nil"/>
                    <w:tr2bl w:val="nil"/>
                  </w:tcBorders>
                  <w:vAlign w:val="center"/>
                </w:tcPr>
                <w:p w14:paraId="0861279B">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7DEDD412">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27.75%</w:t>
                  </w:r>
                </w:p>
              </w:tc>
              <w:tc>
                <w:tcPr>
                  <w:tcW w:w="272" w:type="pct"/>
                  <w:tcBorders>
                    <w:tl2br w:val="nil"/>
                    <w:tr2bl w:val="nil"/>
                  </w:tcBorders>
                  <w:vAlign w:val="center"/>
                </w:tcPr>
                <w:p w14:paraId="2DDD2DC0">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04" w:type="pct"/>
                  <w:tcBorders>
                    <w:tl2br w:val="nil"/>
                    <w:tr2bl w:val="nil"/>
                  </w:tcBorders>
                  <w:vAlign w:val="center"/>
                </w:tcPr>
                <w:p w14:paraId="25666E95">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是</w:t>
                  </w:r>
                </w:p>
              </w:tc>
              <w:tc>
                <w:tcPr>
                  <w:tcW w:w="366" w:type="pct"/>
                  <w:tcBorders>
                    <w:tl2br w:val="nil"/>
                    <w:tr2bl w:val="nil"/>
                  </w:tcBorders>
                  <w:vAlign w:val="center"/>
                </w:tcPr>
                <w:p w14:paraId="47D97E2B">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0.0043</w:t>
                  </w:r>
                </w:p>
              </w:tc>
              <w:tc>
                <w:tcPr>
                  <w:tcW w:w="501" w:type="pct"/>
                  <w:tcBorders>
                    <w:tl2br w:val="nil"/>
                    <w:tr2bl w:val="nil"/>
                  </w:tcBorders>
                  <w:vAlign w:val="center"/>
                </w:tcPr>
                <w:p w14:paraId="5244D906">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0.355</w:t>
                  </w:r>
                </w:p>
              </w:tc>
              <w:tc>
                <w:tcPr>
                  <w:tcW w:w="429" w:type="pct"/>
                  <w:tcBorders>
                    <w:tl2br w:val="nil"/>
                    <w:tr2bl w:val="nil"/>
                  </w:tcBorders>
                  <w:vAlign w:val="center"/>
                </w:tcPr>
                <w:p w14:paraId="32296944">
                  <w:pPr>
                    <w:adjustRightInd w:val="0"/>
                    <w:snapToGrid w:val="0"/>
                    <w:jc w:val="center"/>
                    <w:rPr>
                      <w:rFonts w:hint="default" w:ascii="Times New Roman" w:hAnsi="Times New Roman" w:cs="Times New Roman"/>
                      <w:bCs/>
                      <w:color w:val="auto"/>
                      <w:spacing w:val="-11"/>
                      <w:sz w:val="21"/>
                      <w:szCs w:val="21"/>
                      <w:highlight w:val="none"/>
                      <w:vertAlign w:val="baseline"/>
                      <w:lang w:val="en-US" w:eastAsia="zh-CN"/>
                    </w:rPr>
                  </w:pPr>
                  <w:r>
                    <w:rPr>
                      <w:rFonts w:hint="default" w:ascii="Times New Roman" w:hAnsi="Times New Roman" w:cs="Times New Roman"/>
                      <w:b w:val="0"/>
                      <w:bCs/>
                      <w:color w:val="auto"/>
                      <w:spacing w:val="-17"/>
                      <w:kern w:val="2"/>
                      <w:sz w:val="21"/>
                      <w:szCs w:val="21"/>
                      <w:highlight w:val="none"/>
                      <w:lang w:val="en-US" w:eastAsia="zh-CN" w:bidi="ar-SA"/>
                    </w:rPr>
                    <w:t>0.00071</w:t>
                  </w:r>
                </w:p>
              </w:tc>
              <w:tc>
                <w:tcPr>
                  <w:tcW w:w="362" w:type="pct"/>
                  <w:tcBorders>
                    <w:tl2br w:val="nil"/>
                    <w:tr2bl w:val="nil"/>
                  </w:tcBorders>
                  <w:vAlign w:val="center"/>
                </w:tcPr>
                <w:p w14:paraId="381055EB">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DA001</w:t>
                  </w:r>
                </w:p>
              </w:tc>
            </w:tr>
            <w:tr w14:paraId="6C105A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4763D6EE">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tcBorders>
                    <w:tl2br w:val="nil"/>
                    <w:tr2bl w:val="nil"/>
                  </w:tcBorders>
                  <w:vAlign w:val="center"/>
                </w:tcPr>
                <w:p w14:paraId="7518AD5F">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无组织</w:t>
                  </w:r>
                </w:p>
              </w:tc>
              <w:tc>
                <w:tcPr>
                  <w:tcW w:w="352" w:type="pct"/>
                  <w:tcBorders>
                    <w:tl2br w:val="nil"/>
                    <w:tr2bl w:val="nil"/>
                  </w:tcBorders>
                  <w:vAlign w:val="center"/>
                </w:tcPr>
                <w:p w14:paraId="6A19C79E">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vMerge w:val="continue"/>
                  <w:tcBorders>
                    <w:tl2br w:val="nil"/>
                    <w:tr2bl w:val="nil"/>
                  </w:tcBorders>
                  <w:vAlign w:val="center"/>
                </w:tcPr>
                <w:p w14:paraId="7EBC6590">
                  <w:pPr>
                    <w:jc w:val="center"/>
                    <w:rPr>
                      <w:rFonts w:hint="default" w:ascii="Times New Roman" w:hAnsi="Times New Roman" w:cs="Times New Roman"/>
                      <w:color w:val="auto"/>
                      <w:highlight w:val="none"/>
                      <w:lang w:val="en-US" w:eastAsia="zh-CN"/>
                    </w:rPr>
                  </w:pPr>
                </w:p>
              </w:tc>
              <w:tc>
                <w:tcPr>
                  <w:tcW w:w="366" w:type="pct"/>
                  <w:tcBorders>
                    <w:tl2br w:val="nil"/>
                    <w:tr2bl w:val="nil"/>
                  </w:tcBorders>
                  <w:vAlign w:val="center"/>
                </w:tcPr>
                <w:p w14:paraId="269A2B7F">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0.0015</w:t>
                  </w:r>
                </w:p>
              </w:tc>
              <w:tc>
                <w:tcPr>
                  <w:tcW w:w="501" w:type="pct"/>
                  <w:tcBorders>
                    <w:tl2br w:val="nil"/>
                    <w:tr2bl w:val="nil"/>
                  </w:tcBorders>
                  <w:vAlign w:val="center"/>
                </w:tcPr>
                <w:p w14:paraId="7C5A4F17">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6B28127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0.00025</w:t>
                  </w:r>
                </w:p>
              </w:tc>
              <w:tc>
                <w:tcPr>
                  <w:tcW w:w="224" w:type="pct"/>
                  <w:vMerge w:val="continue"/>
                  <w:tcBorders>
                    <w:tl2br w:val="nil"/>
                    <w:tr2bl w:val="nil"/>
                  </w:tcBorders>
                  <w:vAlign w:val="center"/>
                </w:tcPr>
                <w:p w14:paraId="70322DAB">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0D8ECA44">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26DB9680">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09134705">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366" w:type="pct"/>
                  <w:tcBorders>
                    <w:tl2br w:val="nil"/>
                    <w:tr2bl w:val="nil"/>
                  </w:tcBorders>
                  <w:vAlign w:val="center"/>
                </w:tcPr>
                <w:p w14:paraId="593802F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0.0015</w:t>
                  </w:r>
                </w:p>
              </w:tc>
              <w:tc>
                <w:tcPr>
                  <w:tcW w:w="501" w:type="pct"/>
                  <w:tcBorders>
                    <w:tl2br w:val="nil"/>
                    <w:tr2bl w:val="nil"/>
                  </w:tcBorders>
                  <w:vAlign w:val="center"/>
                </w:tcPr>
                <w:p w14:paraId="734E8F26">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4CC31E0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0.00025</w:t>
                  </w:r>
                </w:p>
              </w:tc>
              <w:tc>
                <w:tcPr>
                  <w:tcW w:w="362" w:type="pct"/>
                  <w:tcBorders>
                    <w:tl2br w:val="nil"/>
                    <w:tr2bl w:val="nil"/>
                  </w:tcBorders>
                  <w:vAlign w:val="center"/>
                </w:tcPr>
                <w:p w14:paraId="369947D9">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14467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restart"/>
                  <w:tcBorders>
                    <w:tl2br w:val="nil"/>
                    <w:tr2bl w:val="nil"/>
                  </w:tcBorders>
                  <w:vAlign w:val="center"/>
                </w:tcPr>
                <w:p w14:paraId="3D02ED56">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r>
                    <w:rPr>
                      <w:rFonts w:hint="default" w:ascii="Times New Roman" w:hAnsi="Times New Roman" w:cs="Times New Roman"/>
                      <w:bCs/>
                      <w:color w:val="auto"/>
                      <w:spacing w:val="-23"/>
                      <w:kern w:val="2"/>
                      <w:sz w:val="21"/>
                      <w:szCs w:val="21"/>
                      <w:highlight w:val="none"/>
                      <w:lang w:val="en-US" w:eastAsia="zh-CN" w:bidi="ar-SA"/>
                    </w:rPr>
                    <w:t>合计</w:t>
                  </w:r>
                </w:p>
              </w:tc>
              <w:tc>
                <w:tcPr>
                  <w:tcW w:w="204" w:type="pct"/>
                  <w:vMerge w:val="restart"/>
                  <w:tcBorders>
                    <w:tl2br w:val="nil"/>
                    <w:tr2bl w:val="nil"/>
                  </w:tcBorders>
                  <w:vAlign w:val="center"/>
                </w:tcPr>
                <w:p w14:paraId="1667B5D8">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有组织</w:t>
                  </w:r>
                </w:p>
              </w:tc>
              <w:tc>
                <w:tcPr>
                  <w:tcW w:w="352" w:type="pct"/>
                  <w:vMerge w:val="restart"/>
                  <w:tcBorders>
                    <w:tl2br w:val="nil"/>
                    <w:tr2bl w:val="nil"/>
                  </w:tcBorders>
                  <w:vAlign w:val="center"/>
                </w:tcPr>
                <w:p w14:paraId="377785A4">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1.2×10</w:t>
                  </w:r>
                  <w:r>
                    <w:rPr>
                      <w:rFonts w:hint="default" w:ascii="Times New Roman" w:hAnsi="Times New Roman" w:cs="Times New Roman"/>
                      <w:i w:val="0"/>
                      <w:iCs w:val="0"/>
                      <w:color w:val="auto"/>
                      <w:spacing w:val="-23"/>
                      <w:kern w:val="0"/>
                      <w:sz w:val="21"/>
                      <w:szCs w:val="21"/>
                      <w:highlight w:val="none"/>
                      <w:u w:val="none"/>
                      <w:vertAlign w:val="superscript"/>
                      <w:lang w:val="en-US" w:eastAsia="zh-CN" w:bidi="ar"/>
                    </w:rPr>
                    <w:t>7</w:t>
                  </w:r>
                </w:p>
              </w:tc>
              <w:tc>
                <w:tcPr>
                  <w:tcW w:w="204" w:type="pct"/>
                  <w:tcBorders>
                    <w:tl2br w:val="nil"/>
                    <w:tr2bl w:val="nil"/>
                  </w:tcBorders>
                  <w:vAlign w:val="center"/>
                </w:tcPr>
                <w:p w14:paraId="527A3893">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366" w:type="pct"/>
                  <w:tcBorders>
                    <w:tl2br w:val="nil"/>
                    <w:tr2bl w:val="nil"/>
                  </w:tcBorders>
                  <w:vAlign w:val="center"/>
                </w:tcPr>
                <w:p w14:paraId="0A781FA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0.0016</w:t>
                  </w:r>
                </w:p>
              </w:tc>
              <w:tc>
                <w:tcPr>
                  <w:tcW w:w="501" w:type="pct"/>
                  <w:tcBorders>
                    <w:tl2br w:val="nil"/>
                    <w:tr2bl w:val="nil"/>
                  </w:tcBorders>
                  <w:vAlign w:val="center"/>
                </w:tcPr>
                <w:p w14:paraId="1A3F4F5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0.133</w:t>
                  </w:r>
                </w:p>
              </w:tc>
              <w:tc>
                <w:tcPr>
                  <w:tcW w:w="429" w:type="pct"/>
                  <w:tcBorders>
                    <w:tl2br w:val="nil"/>
                    <w:tr2bl w:val="nil"/>
                  </w:tcBorders>
                  <w:vAlign w:val="center"/>
                </w:tcPr>
                <w:p w14:paraId="38A8A792">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0.00027</w:t>
                  </w:r>
                </w:p>
              </w:tc>
              <w:tc>
                <w:tcPr>
                  <w:tcW w:w="224" w:type="pct"/>
                  <w:vMerge w:val="continue"/>
                  <w:tcBorders>
                    <w:tl2br w:val="nil"/>
                    <w:tr2bl w:val="nil"/>
                  </w:tcBorders>
                  <w:vAlign w:val="center"/>
                </w:tcPr>
                <w:p w14:paraId="6ABA1B27">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01D4AEFD">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72" w:type="pct"/>
                  <w:tcBorders>
                    <w:tl2br w:val="nil"/>
                    <w:tr2bl w:val="nil"/>
                  </w:tcBorders>
                  <w:vAlign w:val="center"/>
                </w:tcPr>
                <w:p w14:paraId="77D9F8EA">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04" w:type="pct"/>
                  <w:tcBorders>
                    <w:tl2br w:val="nil"/>
                    <w:tr2bl w:val="nil"/>
                  </w:tcBorders>
                  <w:vAlign w:val="center"/>
                </w:tcPr>
                <w:p w14:paraId="5778E238">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是</w:t>
                  </w:r>
                </w:p>
              </w:tc>
              <w:tc>
                <w:tcPr>
                  <w:tcW w:w="366" w:type="pct"/>
                  <w:tcBorders>
                    <w:tl2br w:val="nil"/>
                    <w:tr2bl w:val="nil"/>
                  </w:tcBorders>
                  <w:vAlign w:val="center"/>
                </w:tcPr>
                <w:p w14:paraId="0187C3F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0.00128</w:t>
                  </w:r>
                </w:p>
              </w:tc>
              <w:tc>
                <w:tcPr>
                  <w:tcW w:w="501" w:type="pct"/>
                  <w:tcBorders>
                    <w:tl2br w:val="nil"/>
                    <w:tr2bl w:val="nil"/>
                  </w:tcBorders>
                  <w:vAlign w:val="center"/>
                </w:tcPr>
                <w:p w14:paraId="0B7F17D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0.107</w:t>
                  </w:r>
                </w:p>
              </w:tc>
              <w:tc>
                <w:tcPr>
                  <w:tcW w:w="429" w:type="pct"/>
                  <w:tcBorders>
                    <w:tl2br w:val="nil"/>
                    <w:tr2bl w:val="nil"/>
                  </w:tcBorders>
                  <w:vAlign w:val="center"/>
                </w:tcPr>
                <w:p w14:paraId="35CDAC60">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0.000216</w:t>
                  </w:r>
                </w:p>
              </w:tc>
              <w:tc>
                <w:tcPr>
                  <w:tcW w:w="362" w:type="pct"/>
                  <w:vMerge w:val="restart"/>
                  <w:tcBorders>
                    <w:tl2br w:val="nil"/>
                    <w:tr2bl w:val="nil"/>
                  </w:tcBorders>
                  <w:vAlign w:val="center"/>
                </w:tcPr>
                <w:p w14:paraId="40C66639">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DA001</w:t>
                  </w:r>
                </w:p>
              </w:tc>
            </w:tr>
            <w:tr w14:paraId="4A9A8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22C6F0C1">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continue"/>
                  <w:tcBorders>
                    <w:tl2br w:val="nil"/>
                    <w:tr2bl w:val="nil"/>
                  </w:tcBorders>
                  <w:vAlign w:val="center"/>
                </w:tcPr>
                <w:p w14:paraId="2452440C">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352" w:type="pct"/>
                  <w:vMerge w:val="continue"/>
                  <w:tcBorders>
                    <w:tl2br w:val="nil"/>
                    <w:tr2bl w:val="nil"/>
                  </w:tcBorders>
                  <w:vAlign w:val="center"/>
                </w:tcPr>
                <w:p w14:paraId="00F2A964">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204" w:type="pct"/>
                  <w:tcBorders>
                    <w:tl2br w:val="nil"/>
                    <w:tr2bl w:val="nil"/>
                  </w:tcBorders>
                  <w:vAlign w:val="center"/>
                </w:tcPr>
                <w:p w14:paraId="488C7637">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锡及其化合物</w:t>
                  </w:r>
                </w:p>
              </w:tc>
              <w:tc>
                <w:tcPr>
                  <w:tcW w:w="366" w:type="pct"/>
                  <w:tcBorders>
                    <w:tl2br w:val="nil"/>
                    <w:tr2bl w:val="nil"/>
                  </w:tcBorders>
                  <w:vAlign w:val="center"/>
                </w:tcPr>
                <w:p w14:paraId="0333C180">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0.0016</w:t>
                  </w:r>
                </w:p>
              </w:tc>
              <w:tc>
                <w:tcPr>
                  <w:tcW w:w="501" w:type="pct"/>
                  <w:tcBorders>
                    <w:tl2br w:val="nil"/>
                    <w:tr2bl w:val="nil"/>
                  </w:tcBorders>
                  <w:vAlign w:val="center"/>
                </w:tcPr>
                <w:p w14:paraId="4F094015">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0.133</w:t>
                  </w:r>
                </w:p>
              </w:tc>
              <w:tc>
                <w:tcPr>
                  <w:tcW w:w="429" w:type="pct"/>
                  <w:tcBorders>
                    <w:tl2br w:val="nil"/>
                    <w:tr2bl w:val="nil"/>
                  </w:tcBorders>
                  <w:vAlign w:val="center"/>
                </w:tcPr>
                <w:p w14:paraId="47C8B32F">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0.00027</w:t>
                  </w:r>
                </w:p>
              </w:tc>
              <w:tc>
                <w:tcPr>
                  <w:tcW w:w="224" w:type="pct"/>
                  <w:vMerge w:val="continue"/>
                  <w:tcBorders>
                    <w:tl2br w:val="nil"/>
                    <w:tr2bl w:val="nil"/>
                  </w:tcBorders>
                  <w:vAlign w:val="center"/>
                </w:tcPr>
                <w:p w14:paraId="288213AA">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44A90919">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72" w:type="pct"/>
                  <w:tcBorders>
                    <w:tl2br w:val="nil"/>
                    <w:tr2bl w:val="nil"/>
                  </w:tcBorders>
                  <w:vAlign w:val="center"/>
                </w:tcPr>
                <w:p w14:paraId="51C8F970">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04" w:type="pct"/>
                  <w:tcBorders>
                    <w:tl2br w:val="nil"/>
                    <w:tr2bl w:val="nil"/>
                  </w:tcBorders>
                  <w:vAlign w:val="center"/>
                </w:tcPr>
                <w:p w14:paraId="4BB2138A">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是</w:t>
                  </w:r>
                </w:p>
              </w:tc>
              <w:tc>
                <w:tcPr>
                  <w:tcW w:w="366" w:type="pct"/>
                  <w:tcBorders>
                    <w:tl2br w:val="nil"/>
                    <w:tr2bl w:val="nil"/>
                  </w:tcBorders>
                  <w:vAlign w:val="center"/>
                </w:tcPr>
                <w:p w14:paraId="5F49E6D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0.00128</w:t>
                  </w:r>
                </w:p>
              </w:tc>
              <w:tc>
                <w:tcPr>
                  <w:tcW w:w="501" w:type="pct"/>
                  <w:tcBorders>
                    <w:tl2br w:val="nil"/>
                    <w:tr2bl w:val="nil"/>
                  </w:tcBorders>
                  <w:vAlign w:val="center"/>
                </w:tcPr>
                <w:p w14:paraId="6DD9E58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0.107</w:t>
                  </w:r>
                </w:p>
              </w:tc>
              <w:tc>
                <w:tcPr>
                  <w:tcW w:w="429" w:type="pct"/>
                  <w:tcBorders>
                    <w:tl2br w:val="nil"/>
                    <w:tr2bl w:val="nil"/>
                  </w:tcBorders>
                  <w:vAlign w:val="center"/>
                </w:tcPr>
                <w:p w14:paraId="71238D04">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0.000216</w:t>
                  </w:r>
                </w:p>
              </w:tc>
              <w:tc>
                <w:tcPr>
                  <w:tcW w:w="362" w:type="pct"/>
                  <w:vMerge w:val="continue"/>
                  <w:tcBorders>
                    <w:tl2br w:val="nil"/>
                    <w:tr2bl w:val="nil"/>
                  </w:tcBorders>
                  <w:vAlign w:val="center"/>
                </w:tcPr>
                <w:p w14:paraId="2004850F">
                  <w:pPr>
                    <w:jc w:val="center"/>
                    <w:rPr>
                      <w:rFonts w:hint="default" w:ascii="Times New Roman" w:hAnsi="Times New Roman" w:eastAsia="宋体" w:cs="Times New Roman"/>
                      <w:color w:val="auto"/>
                      <w:highlight w:val="none"/>
                      <w:lang w:val="en-US" w:eastAsia="zh-CN"/>
                    </w:rPr>
                  </w:pPr>
                </w:p>
              </w:tc>
            </w:tr>
            <w:tr w14:paraId="48650F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676347DD">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continue"/>
                  <w:tcBorders>
                    <w:tl2br w:val="nil"/>
                    <w:tr2bl w:val="nil"/>
                  </w:tcBorders>
                  <w:vAlign w:val="center"/>
                </w:tcPr>
                <w:p w14:paraId="2DF561CF">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352" w:type="pct"/>
                  <w:vMerge w:val="continue"/>
                  <w:tcBorders>
                    <w:tl2br w:val="nil"/>
                    <w:tr2bl w:val="nil"/>
                  </w:tcBorders>
                  <w:vAlign w:val="center"/>
                </w:tcPr>
                <w:p w14:paraId="17B35A34">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204" w:type="pct"/>
                  <w:tcBorders>
                    <w:tl2br w:val="nil"/>
                    <w:tr2bl w:val="nil"/>
                  </w:tcBorders>
                  <w:vAlign w:val="center"/>
                </w:tcPr>
                <w:p w14:paraId="5A68FA3F">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366" w:type="pct"/>
                  <w:tcBorders>
                    <w:tl2br w:val="nil"/>
                    <w:tr2bl w:val="nil"/>
                  </w:tcBorders>
                  <w:vAlign w:val="center"/>
                </w:tcPr>
                <w:p w14:paraId="49DC49B2">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0.1019</w:t>
                  </w:r>
                </w:p>
              </w:tc>
              <w:tc>
                <w:tcPr>
                  <w:tcW w:w="501" w:type="pct"/>
                  <w:tcBorders>
                    <w:tl2br w:val="nil"/>
                    <w:tr2bl w:val="nil"/>
                  </w:tcBorders>
                  <w:vAlign w:val="center"/>
                </w:tcPr>
                <w:p w14:paraId="06EBFCE6">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8.492</w:t>
                  </w:r>
                </w:p>
              </w:tc>
              <w:tc>
                <w:tcPr>
                  <w:tcW w:w="429" w:type="pct"/>
                  <w:tcBorders>
                    <w:tl2br w:val="nil"/>
                    <w:tr2bl w:val="nil"/>
                  </w:tcBorders>
                  <w:vAlign w:val="center"/>
                </w:tcPr>
                <w:p w14:paraId="4EEA1A3A">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0.017</w:t>
                  </w:r>
                </w:p>
              </w:tc>
              <w:tc>
                <w:tcPr>
                  <w:tcW w:w="224" w:type="pct"/>
                  <w:vMerge w:val="continue"/>
                  <w:tcBorders>
                    <w:tl2br w:val="nil"/>
                    <w:tr2bl w:val="nil"/>
                  </w:tcBorders>
                  <w:vAlign w:val="center"/>
                </w:tcPr>
                <w:p w14:paraId="6869D012">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41EFFE4C">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27.75%</w:t>
                  </w:r>
                </w:p>
              </w:tc>
              <w:tc>
                <w:tcPr>
                  <w:tcW w:w="272" w:type="pct"/>
                  <w:tcBorders>
                    <w:tl2br w:val="nil"/>
                    <w:tr2bl w:val="nil"/>
                  </w:tcBorders>
                  <w:vAlign w:val="center"/>
                </w:tcPr>
                <w:p w14:paraId="0081011C">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80%</w:t>
                  </w:r>
                </w:p>
              </w:tc>
              <w:tc>
                <w:tcPr>
                  <w:tcW w:w="204" w:type="pct"/>
                  <w:tcBorders>
                    <w:tl2br w:val="nil"/>
                    <w:tr2bl w:val="nil"/>
                  </w:tcBorders>
                  <w:vAlign w:val="center"/>
                </w:tcPr>
                <w:p w14:paraId="3A2A1ABE">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是</w:t>
                  </w:r>
                </w:p>
              </w:tc>
              <w:tc>
                <w:tcPr>
                  <w:tcW w:w="366" w:type="pct"/>
                  <w:tcBorders>
                    <w:tl2br w:val="nil"/>
                    <w:tr2bl w:val="nil"/>
                  </w:tcBorders>
                  <w:vAlign w:val="center"/>
                </w:tcPr>
                <w:p w14:paraId="0A75D305">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0.0733</w:t>
                  </w:r>
                </w:p>
              </w:tc>
              <w:tc>
                <w:tcPr>
                  <w:tcW w:w="501" w:type="pct"/>
                  <w:tcBorders>
                    <w:tl2br w:val="nil"/>
                    <w:tr2bl w:val="nil"/>
                  </w:tcBorders>
                  <w:vAlign w:val="center"/>
                </w:tcPr>
                <w:p w14:paraId="15F38026">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6.135</w:t>
                  </w:r>
                </w:p>
              </w:tc>
              <w:tc>
                <w:tcPr>
                  <w:tcW w:w="429" w:type="pct"/>
                  <w:tcBorders>
                    <w:tl2br w:val="nil"/>
                    <w:tr2bl w:val="nil"/>
                  </w:tcBorders>
                  <w:vAlign w:val="center"/>
                </w:tcPr>
                <w:p w14:paraId="360B8AA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0.0127</w:t>
                  </w:r>
                </w:p>
              </w:tc>
              <w:tc>
                <w:tcPr>
                  <w:tcW w:w="362" w:type="pct"/>
                  <w:vMerge w:val="continue"/>
                  <w:tcBorders>
                    <w:tl2br w:val="nil"/>
                    <w:tr2bl w:val="nil"/>
                  </w:tcBorders>
                  <w:vAlign w:val="center"/>
                </w:tcPr>
                <w:p w14:paraId="4BB7E84E">
                  <w:pPr>
                    <w:jc w:val="center"/>
                    <w:rPr>
                      <w:rFonts w:hint="default" w:ascii="Times New Roman" w:hAnsi="Times New Roman" w:eastAsia="宋体" w:cs="Times New Roman"/>
                      <w:color w:val="auto"/>
                      <w:highlight w:val="none"/>
                      <w:lang w:val="en-US" w:eastAsia="zh-CN"/>
                    </w:rPr>
                  </w:pPr>
                </w:p>
              </w:tc>
            </w:tr>
            <w:tr w14:paraId="48190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71AA9144">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restart"/>
                  <w:tcBorders>
                    <w:tl2br w:val="nil"/>
                    <w:tr2bl w:val="nil"/>
                  </w:tcBorders>
                  <w:vAlign w:val="center"/>
                </w:tcPr>
                <w:p w14:paraId="2F5128C2">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无组织</w:t>
                  </w:r>
                </w:p>
              </w:tc>
              <w:tc>
                <w:tcPr>
                  <w:tcW w:w="352" w:type="pct"/>
                  <w:tcBorders>
                    <w:tl2br w:val="nil"/>
                    <w:tr2bl w:val="nil"/>
                  </w:tcBorders>
                  <w:vAlign w:val="center"/>
                </w:tcPr>
                <w:p w14:paraId="08545615">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tcBorders>
                    <w:tl2br w:val="nil"/>
                    <w:tr2bl w:val="nil"/>
                  </w:tcBorders>
                  <w:vAlign w:val="center"/>
                </w:tcPr>
                <w:p w14:paraId="2BF23EAC">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颗粒物</w:t>
                  </w:r>
                </w:p>
              </w:tc>
              <w:tc>
                <w:tcPr>
                  <w:tcW w:w="640" w:type="dxa"/>
                  <w:tcBorders>
                    <w:tl2br w:val="nil"/>
                    <w:tr2bl w:val="nil"/>
                  </w:tcBorders>
                  <w:vAlign w:val="center"/>
                </w:tcPr>
                <w:p w14:paraId="6FCBDE5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875" w:type="dxa"/>
                  <w:tcBorders>
                    <w:tl2br w:val="nil"/>
                    <w:tr2bl w:val="nil"/>
                  </w:tcBorders>
                  <w:vAlign w:val="center"/>
                </w:tcPr>
                <w:p w14:paraId="4B62BAE6">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750" w:type="dxa"/>
                  <w:tcBorders>
                    <w:tl2br w:val="nil"/>
                    <w:tr2bl w:val="nil"/>
                  </w:tcBorders>
                  <w:vAlign w:val="center"/>
                </w:tcPr>
                <w:p w14:paraId="2A2FBCB4">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224" w:type="pct"/>
                  <w:vMerge w:val="continue"/>
                  <w:tcBorders>
                    <w:tl2br w:val="nil"/>
                    <w:tr2bl w:val="nil"/>
                  </w:tcBorders>
                  <w:vAlign w:val="center"/>
                </w:tcPr>
                <w:p w14:paraId="19C416E6">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012F2E63">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50C8877F">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01BCC768">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40" w:type="dxa"/>
                  <w:tcBorders>
                    <w:tl2br w:val="nil"/>
                    <w:tr2bl w:val="nil"/>
                  </w:tcBorders>
                  <w:vAlign w:val="center"/>
                </w:tcPr>
                <w:p w14:paraId="7F7FDC04">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875" w:type="dxa"/>
                  <w:tcBorders>
                    <w:tl2br w:val="nil"/>
                    <w:tr2bl w:val="nil"/>
                  </w:tcBorders>
                  <w:vAlign w:val="center"/>
                </w:tcPr>
                <w:p w14:paraId="61A6FA7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750" w:type="dxa"/>
                  <w:tcBorders>
                    <w:tl2br w:val="nil"/>
                    <w:tr2bl w:val="nil"/>
                  </w:tcBorders>
                  <w:vAlign w:val="center"/>
                </w:tcPr>
                <w:p w14:paraId="723ED29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362" w:type="pct"/>
                  <w:tcBorders>
                    <w:tl2br w:val="nil"/>
                    <w:tr2bl w:val="nil"/>
                  </w:tcBorders>
                  <w:vAlign w:val="center"/>
                </w:tcPr>
                <w:p w14:paraId="7C6A94FF">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692A8B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6C5D4A7A">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continue"/>
                  <w:tcBorders>
                    <w:tl2br w:val="nil"/>
                    <w:tr2bl w:val="nil"/>
                  </w:tcBorders>
                  <w:vAlign w:val="center"/>
                </w:tcPr>
                <w:p w14:paraId="5026AEA9">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352" w:type="pct"/>
                  <w:tcBorders>
                    <w:tl2br w:val="nil"/>
                    <w:tr2bl w:val="nil"/>
                  </w:tcBorders>
                  <w:vAlign w:val="center"/>
                </w:tcPr>
                <w:p w14:paraId="71D1A01C">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tcBorders>
                    <w:tl2br w:val="nil"/>
                    <w:tr2bl w:val="nil"/>
                  </w:tcBorders>
                  <w:vAlign w:val="center"/>
                </w:tcPr>
                <w:p w14:paraId="2AE698AE">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锡及其化合物</w:t>
                  </w:r>
                </w:p>
              </w:tc>
              <w:tc>
                <w:tcPr>
                  <w:tcW w:w="640" w:type="dxa"/>
                  <w:tcBorders>
                    <w:tl2br w:val="nil"/>
                    <w:tr2bl w:val="nil"/>
                  </w:tcBorders>
                  <w:vAlign w:val="center"/>
                </w:tcPr>
                <w:p w14:paraId="1E2AF683">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875" w:type="dxa"/>
                  <w:tcBorders>
                    <w:tl2br w:val="nil"/>
                    <w:tr2bl w:val="nil"/>
                  </w:tcBorders>
                  <w:vAlign w:val="center"/>
                </w:tcPr>
                <w:p w14:paraId="5ABD7CC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750" w:type="dxa"/>
                  <w:tcBorders>
                    <w:tl2br w:val="nil"/>
                    <w:tr2bl w:val="nil"/>
                  </w:tcBorders>
                  <w:vAlign w:val="center"/>
                </w:tcPr>
                <w:p w14:paraId="670F96C5">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224" w:type="pct"/>
                  <w:vMerge w:val="continue"/>
                  <w:tcBorders>
                    <w:tl2br w:val="nil"/>
                    <w:tr2bl w:val="nil"/>
                  </w:tcBorders>
                  <w:vAlign w:val="center"/>
                </w:tcPr>
                <w:p w14:paraId="0EDDF741">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4C21C3AB">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5B4BF132">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2A668BDA">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40" w:type="dxa"/>
                  <w:tcBorders>
                    <w:tl2br w:val="nil"/>
                    <w:tr2bl w:val="nil"/>
                  </w:tcBorders>
                  <w:vAlign w:val="center"/>
                </w:tcPr>
                <w:p w14:paraId="6DDD321C">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0.0004</w:t>
                  </w:r>
                </w:p>
              </w:tc>
              <w:tc>
                <w:tcPr>
                  <w:tcW w:w="875" w:type="dxa"/>
                  <w:tcBorders>
                    <w:tl2br w:val="nil"/>
                    <w:tr2bl w:val="nil"/>
                  </w:tcBorders>
                  <w:vAlign w:val="center"/>
                </w:tcPr>
                <w:p w14:paraId="41EC22AD">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750" w:type="dxa"/>
                  <w:tcBorders>
                    <w:tl2br w:val="nil"/>
                    <w:tr2bl w:val="nil"/>
                  </w:tcBorders>
                  <w:vAlign w:val="center"/>
                </w:tcPr>
                <w:p w14:paraId="3A9BA171">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0.00007</w:t>
                  </w:r>
                </w:p>
              </w:tc>
              <w:tc>
                <w:tcPr>
                  <w:tcW w:w="362" w:type="pct"/>
                  <w:tcBorders>
                    <w:tl2br w:val="nil"/>
                    <w:tr2bl w:val="nil"/>
                  </w:tcBorders>
                  <w:vAlign w:val="center"/>
                </w:tcPr>
                <w:p w14:paraId="4B1D6083">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r w14:paraId="6BB4A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4" w:type="pct"/>
                  <w:vMerge w:val="continue"/>
                  <w:tcBorders>
                    <w:tl2br w:val="nil"/>
                    <w:tr2bl w:val="nil"/>
                  </w:tcBorders>
                  <w:vAlign w:val="center"/>
                </w:tcPr>
                <w:p w14:paraId="3937B212">
                  <w:pPr>
                    <w:adjustRightInd w:val="0"/>
                    <w:snapToGrid w:val="0"/>
                    <w:jc w:val="center"/>
                    <w:rPr>
                      <w:rFonts w:hint="default" w:ascii="Times New Roman" w:hAnsi="Times New Roman" w:cs="Times New Roman"/>
                      <w:bCs/>
                      <w:color w:val="auto"/>
                      <w:spacing w:val="-23"/>
                      <w:kern w:val="2"/>
                      <w:sz w:val="21"/>
                      <w:szCs w:val="21"/>
                      <w:highlight w:val="none"/>
                      <w:lang w:val="en-US" w:eastAsia="zh-CN" w:bidi="ar-SA"/>
                    </w:rPr>
                  </w:pPr>
                </w:p>
              </w:tc>
              <w:tc>
                <w:tcPr>
                  <w:tcW w:w="204" w:type="pct"/>
                  <w:vMerge w:val="continue"/>
                  <w:tcBorders>
                    <w:tl2br w:val="nil"/>
                    <w:tr2bl w:val="nil"/>
                  </w:tcBorders>
                  <w:vAlign w:val="center"/>
                </w:tcPr>
                <w:p w14:paraId="48CDB1BC">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p>
              </w:tc>
              <w:tc>
                <w:tcPr>
                  <w:tcW w:w="352" w:type="pct"/>
                  <w:tcBorders>
                    <w:tl2br w:val="nil"/>
                    <w:tr2bl w:val="nil"/>
                  </w:tcBorders>
                  <w:vAlign w:val="center"/>
                </w:tcPr>
                <w:p w14:paraId="73ED8968">
                  <w:pPr>
                    <w:adjustRightInd w:val="0"/>
                    <w:snapToGrid w:val="0"/>
                    <w:jc w:val="center"/>
                    <w:rPr>
                      <w:rFonts w:hint="default" w:ascii="Times New Roman" w:hAnsi="Times New Roman" w:cs="Times New Roman"/>
                      <w:i w:val="0"/>
                      <w:iCs w:val="0"/>
                      <w:color w:val="auto"/>
                      <w:spacing w:val="-23"/>
                      <w:kern w:val="0"/>
                      <w:sz w:val="21"/>
                      <w:szCs w:val="21"/>
                      <w:highlight w:val="none"/>
                      <w:u w:val="none"/>
                      <w:lang w:val="en-US" w:eastAsia="zh-CN" w:bidi="ar"/>
                    </w:rPr>
                  </w:pPr>
                  <w:r>
                    <w:rPr>
                      <w:rFonts w:hint="default" w:ascii="Times New Roman" w:hAnsi="Times New Roman" w:cs="Times New Roman"/>
                      <w:i w:val="0"/>
                      <w:iCs w:val="0"/>
                      <w:color w:val="auto"/>
                      <w:spacing w:val="-23"/>
                      <w:kern w:val="0"/>
                      <w:sz w:val="21"/>
                      <w:szCs w:val="21"/>
                      <w:highlight w:val="none"/>
                      <w:u w:val="none"/>
                      <w:lang w:val="en-US" w:eastAsia="zh-CN" w:bidi="ar"/>
                    </w:rPr>
                    <w:t>/</w:t>
                  </w:r>
                </w:p>
              </w:tc>
              <w:tc>
                <w:tcPr>
                  <w:tcW w:w="204" w:type="pct"/>
                  <w:tcBorders>
                    <w:tl2br w:val="nil"/>
                    <w:tr2bl w:val="nil"/>
                  </w:tcBorders>
                  <w:vAlign w:val="center"/>
                </w:tcPr>
                <w:p w14:paraId="2EC2AA9B">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非甲烷总烃</w:t>
                  </w:r>
                </w:p>
              </w:tc>
              <w:tc>
                <w:tcPr>
                  <w:tcW w:w="366" w:type="pct"/>
                  <w:tcBorders>
                    <w:tl2br w:val="nil"/>
                    <w:tr2bl w:val="nil"/>
                  </w:tcBorders>
                  <w:vAlign w:val="center"/>
                </w:tcPr>
                <w:p w14:paraId="53C2D719">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0.0255</w:t>
                  </w:r>
                </w:p>
              </w:tc>
              <w:tc>
                <w:tcPr>
                  <w:tcW w:w="501" w:type="pct"/>
                  <w:tcBorders>
                    <w:tl2br w:val="nil"/>
                    <w:tr2bl w:val="nil"/>
                  </w:tcBorders>
                  <w:vAlign w:val="center"/>
                </w:tcPr>
                <w:p w14:paraId="43341C82">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429" w:type="pct"/>
                  <w:tcBorders>
                    <w:tl2br w:val="nil"/>
                    <w:tr2bl w:val="nil"/>
                  </w:tcBorders>
                  <w:vAlign w:val="center"/>
                </w:tcPr>
                <w:p w14:paraId="3DD8BD52">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0.00425</w:t>
                  </w:r>
                </w:p>
              </w:tc>
              <w:tc>
                <w:tcPr>
                  <w:tcW w:w="224" w:type="pct"/>
                  <w:vMerge w:val="continue"/>
                  <w:tcBorders>
                    <w:tl2br w:val="nil"/>
                    <w:tr2bl w:val="nil"/>
                  </w:tcBorders>
                  <w:vAlign w:val="center"/>
                </w:tcPr>
                <w:p w14:paraId="5271F471">
                  <w:pPr>
                    <w:jc w:val="center"/>
                    <w:rPr>
                      <w:rFonts w:hint="default" w:ascii="Times New Roman" w:hAnsi="Times New Roman" w:cs="Times New Roman"/>
                      <w:bCs/>
                      <w:color w:val="auto"/>
                      <w:spacing w:val="-23"/>
                      <w:sz w:val="21"/>
                      <w:szCs w:val="21"/>
                      <w:highlight w:val="none"/>
                      <w:vertAlign w:val="baseline"/>
                      <w:lang w:val="en-US" w:eastAsia="zh-CN"/>
                    </w:rPr>
                  </w:pPr>
                </w:p>
              </w:tc>
              <w:tc>
                <w:tcPr>
                  <w:tcW w:w="373" w:type="pct"/>
                  <w:tcBorders>
                    <w:tl2br w:val="nil"/>
                    <w:tr2bl w:val="nil"/>
                  </w:tcBorders>
                  <w:vAlign w:val="center"/>
                </w:tcPr>
                <w:p w14:paraId="70C31539">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72" w:type="pct"/>
                  <w:tcBorders>
                    <w:tl2br w:val="nil"/>
                    <w:tr2bl w:val="nil"/>
                  </w:tcBorders>
                  <w:vAlign w:val="center"/>
                </w:tcPr>
                <w:p w14:paraId="0C3B93B5">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204" w:type="pct"/>
                  <w:tcBorders>
                    <w:tl2br w:val="nil"/>
                    <w:tr2bl w:val="nil"/>
                  </w:tcBorders>
                  <w:vAlign w:val="center"/>
                </w:tcPr>
                <w:p w14:paraId="449F31EC">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40" w:type="dxa"/>
                  <w:tcBorders>
                    <w:tl2br w:val="nil"/>
                    <w:tr2bl w:val="nil"/>
                  </w:tcBorders>
                  <w:vAlign w:val="center"/>
                </w:tcPr>
                <w:p w14:paraId="66E9EDFF">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0.0255</w:t>
                  </w:r>
                </w:p>
              </w:tc>
              <w:tc>
                <w:tcPr>
                  <w:tcW w:w="875" w:type="dxa"/>
                  <w:tcBorders>
                    <w:tl2br w:val="nil"/>
                    <w:tr2bl w:val="nil"/>
                  </w:tcBorders>
                  <w:vAlign w:val="center"/>
                </w:tcPr>
                <w:p w14:paraId="5F8375F7">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w:t>
                  </w:r>
                </w:p>
              </w:tc>
              <w:tc>
                <w:tcPr>
                  <w:tcW w:w="750" w:type="dxa"/>
                  <w:tcBorders>
                    <w:tl2br w:val="nil"/>
                    <w:tr2bl w:val="nil"/>
                  </w:tcBorders>
                  <w:vAlign w:val="center"/>
                </w:tcPr>
                <w:p w14:paraId="781BE738">
                  <w:pPr>
                    <w:adjustRightInd w:val="0"/>
                    <w:snapToGrid w:val="0"/>
                    <w:jc w:val="center"/>
                    <w:rPr>
                      <w:rFonts w:hint="default" w:ascii="Times New Roman" w:hAnsi="Times New Roman" w:cs="Times New Roman"/>
                      <w:b w:val="0"/>
                      <w:bCs/>
                      <w:color w:val="auto"/>
                      <w:spacing w:val="-17"/>
                      <w:kern w:val="2"/>
                      <w:sz w:val="21"/>
                      <w:szCs w:val="21"/>
                      <w:highlight w:val="none"/>
                      <w:lang w:val="en-US" w:eastAsia="zh-CN" w:bidi="ar-SA"/>
                    </w:rPr>
                  </w:pPr>
                  <w:r>
                    <w:rPr>
                      <w:rFonts w:hint="default" w:ascii="Times New Roman" w:hAnsi="Times New Roman" w:cs="Times New Roman"/>
                      <w:b w:val="0"/>
                      <w:bCs/>
                      <w:color w:val="auto"/>
                      <w:spacing w:val="-17"/>
                      <w:kern w:val="2"/>
                      <w:sz w:val="21"/>
                      <w:szCs w:val="21"/>
                      <w:highlight w:val="none"/>
                      <w:lang w:val="en-US" w:eastAsia="zh-CN" w:bidi="ar-SA"/>
                    </w:rPr>
                    <w:t>0.00425</w:t>
                  </w:r>
                </w:p>
              </w:tc>
              <w:tc>
                <w:tcPr>
                  <w:tcW w:w="362" w:type="pct"/>
                  <w:tcBorders>
                    <w:tl2br w:val="nil"/>
                    <w:tr2bl w:val="nil"/>
                  </w:tcBorders>
                  <w:vAlign w:val="center"/>
                </w:tcPr>
                <w:p w14:paraId="74E7E8D1">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r>
          </w:tbl>
          <w:p w14:paraId="64384CE8">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表4-</w:t>
            </w:r>
            <w:r>
              <w:rPr>
                <w:rFonts w:hint="default" w:ascii="Times New Roman" w:hAnsi="Times New Roman" w:cs="Times New Roman"/>
                <w:b/>
                <w:bCs/>
                <w:color w:val="auto"/>
                <w:highlight w:val="none"/>
                <w:lang w:val="en-US" w:eastAsia="zh-CN"/>
              </w:rPr>
              <w:t>5</w:t>
            </w:r>
            <w:r>
              <w:rPr>
                <w:rFonts w:hint="default" w:ascii="Times New Roman" w:hAnsi="Times New Roman" w:cs="Times New Roman"/>
                <w:b/>
                <w:bCs/>
                <w:color w:val="auto"/>
                <w:highlight w:val="none"/>
              </w:rPr>
              <w:t xml:space="preserve">   有组织废气排放口基本情况表</w:t>
            </w:r>
          </w:p>
          <w:tbl>
            <w:tblPr>
              <w:tblStyle w:val="2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735"/>
              <w:gridCol w:w="386"/>
              <w:gridCol w:w="1184"/>
              <w:gridCol w:w="1100"/>
              <w:gridCol w:w="700"/>
              <w:gridCol w:w="700"/>
              <w:gridCol w:w="753"/>
              <w:gridCol w:w="850"/>
              <w:gridCol w:w="475"/>
              <w:gridCol w:w="1358"/>
            </w:tblGrid>
            <w:tr w14:paraId="23903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vMerge w:val="restart"/>
                  <w:tcBorders>
                    <w:tl2br w:val="nil"/>
                    <w:tr2bl w:val="nil"/>
                  </w:tcBorders>
                  <w:vAlign w:val="center"/>
                </w:tcPr>
                <w:p w14:paraId="0A18537A">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排放口名称</w:t>
                  </w:r>
                </w:p>
              </w:tc>
              <w:tc>
                <w:tcPr>
                  <w:tcW w:w="421" w:type="pct"/>
                  <w:vMerge w:val="restart"/>
                  <w:tcBorders>
                    <w:tl2br w:val="nil"/>
                    <w:tr2bl w:val="nil"/>
                  </w:tcBorders>
                  <w:vAlign w:val="center"/>
                </w:tcPr>
                <w:p w14:paraId="6B0FEB28">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排放口编号</w:t>
                  </w:r>
                </w:p>
              </w:tc>
              <w:tc>
                <w:tcPr>
                  <w:tcW w:w="221" w:type="pct"/>
                  <w:vMerge w:val="restart"/>
                  <w:tcBorders>
                    <w:tl2br w:val="nil"/>
                    <w:tr2bl w:val="nil"/>
                  </w:tcBorders>
                  <w:vAlign w:val="center"/>
                </w:tcPr>
                <w:p w14:paraId="26C9DD99">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污染物</w:t>
                  </w:r>
                </w:p>
              </w:tc>
              <w:tc>
                <w:tcPr>
                  <w:tcW w:w="1308" w:type="pct"/>
                  <w:gridSpan w:val="2"/>
                  <w:tcBorders>
                    <w:tl2br w:val="nil"/>
                    <w:tr2bl w:val="nil"/>
                  </w:tcBorders>
                  <w:vAlign w:val="center"/>
                </w:tcPr>
                <w:p w14:paraId="5144D8F6">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排放口地理坐标</w:t>
                  </w:r>
                </w:p>
              </w:tc>
              <w:tc>
                <w:tcPr>
                  <w:tcW w:w="1233" w:type="pct"/>
                  <w:gridSpan w:val="3"/>
                  <w:tcBorders>
                    <w:tl2br w:val="nil"/>
                    <w:tr2bl w:val="nil"/>
                  </w:tcBorders>
                  <w:vAlign w:val="center"/>
                </w:tcPr>
                <w:p w14:paraId="5B253B04">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排气筒参数</w:t>
                  </w:r>
                </w:p>
              </w:tc>
              <w:tc>
                <w:tcPr>
                  <w:tcW w:w="487" w:type="pct"/>
                  <w:vMerge w:val="restart"/>
                  <w:tcBorders>
                    <w:tl2br w:val="nil"/>
                    <w:tr2bl w:val="nil"/>
                  </w:tcBorders>
                  <w:vAlign w:val="center"/>
                </w:tcPr>
                <w:p w14:paraId="274B43CF">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lang w:val="en-US" w:eastAsia="zh-CN"/>
                    </w:rPr>
                    <w:t>最高允许排放速率（kg/h）</w:t>
                  </w:r>
                </w:p>
              </w:tc>
              <w:tc>
                <w:tcPr>
                  <w:tcW w:w="272" w:type="pct"/>
                  <w:vMerge w:val="restart"/>
                  <w:tcBorders>
                    <w:tl2br w:val="nil"/>
                    <w:tr2bl w:val="nil"/>
                  </w:tcBorders>
                  <w:vAlign w:val="center"/>
                </w:tcPr>
                <w:p w14:paraId="3C8721B9">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排放口类型</w:t>
                  </w:r>
                </w:p>
              </w:tc>
              <w:tc>
                <w:tcPr>
                  <w:tcW w:w="778" w:type="pct"/>
                  <w:vMerge w:val="restart"/>
                  <w:tcBorders>
                    <w:tl2br w:val="nil"/>
                    <w:tr2bl w:val="nil"/>
                  </w:tcBorders>
                  <w:vAlign w:val="center"/>
                </w:tcPr>
                <w:p w14:paraId="00E66A39">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排气筒设置要求</w:t>
                  </w:r>
                </w:p>
              </w:tc>
            </w:tr>
            <w:tr w14:paraId="6A2E6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vMerge w:val="continue"/>
                  <w:tcBorders>
                    <w:tl2br w:val="nil"/>
                    <w:tr2bl w:val="nil"/>
                  </w:tcBorders>
                  <w:vAlign w:val="center"/>
                </w:tcPr>
                <w:p w14:paraId="0259D7BA">
                  <w:pPr>
                    <w:jc w:val="center"/>
                    <w:rPr>
                      <w:rFonts w:hint="default" w:ascii="Times New Roman" w:hAnsi="Times New Roman" w:cs="Times New Roman"/>
                      <w:color w:val="auto"/>
                      <w:spacing w:val="-20"/>
                      <w:sz w:val="21"/>
                      <w:szCs w:val="21"/>
                      <w:highlight w:val="none"/>
                    </w:rPr>
                  </w:pPr>
                </w:p>
              </w:tc>
              <w:tc>
                <w:tcPr>
                  <w:tcW w:w="421" w:type="pct"/>
                  <w:vMerge w:val="continue"/>
                  <w:tcBorders>
                    <w:tl2br w:val="nil"/>
                    <w:tr2bl w:val="nil"/>
                  </w:tcBorders>
                  <w:vAlign w:val="center"/>
                </w:tcPr>
                <w:p w14:paraId="61E28385">
                  <w:pPr>
                    <w:jc w:val="center"/>
                    <w:rPr>
                      <w:rFonts w:hint="default" w:ascii="Times New Roman" w:hAnsi="Times New Roman" w:cs="Times New Roman"/>
                      <w:color w:val="auto"/>
                      <w:spacing w:val="-20"/>
                      <w:sz w:val="21"/>
                      <w:szCs w:val="21"/>
                      <w:highlight w:val="none"/>
                    </w:rPr>
                  </w:pPr>
                </w:p>
              </w:tc>
              <w:tc>
                <w:tcPr>
                  <w:tcW w:w="221" w:type="pct"/>
                  <w:vMerge w:val="continue"/>
                  <w:tcBorders>
                    <w:tl2br w:val="nil"/>
                    <w:tr2bl w:val="nil"/>
                  </w:tcBorders>
                  <w:vAlign w:val="center"/>
                </w:tcPr>
                <w:p w14:paraId="036C33BE">
                  <w:pPr>
                    <w:jc w:val="center"/>
                    <w:rPr>
                      <w:rFonts w:hint="default" w:ascii="Times New Roman" w:hAnsi="Times New Roman" w:cs="Times New Roman"/>
                      <w:color w:val="auto"/>
                      <w:spacing w:val="-20"/>
                      <w:sz w:val="21"/>
                      <w:szCs w:val="21"/>
                      <w:highlight w:val="none"/>
                    </w:rPr>
                  </w:pPr>
                </w:p>
              </w:tc>
              <w:tc>
                <w:tcPr>
                  <w:tcW w:w="678" w:type="pct"/>
                  <w:tcBorders>
                    <w:tl2br w:val="nil"/>
                    <w:tr2bl w:val="nil"/>
                  </w:tcBorders>
                  <w:vAlign w:val="center"/>
                </w:tcPr>
                <w:p w14:paraId="14C30CDA">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经度</w:t>
                  </w:r>
                </w:p>
              </w:tc>
              <w:tc>
                <w:tcPr>
                  <w:tcW w:w="630" w:type="pct"/>
                  <w:tcBorders>
                    <w:tl2br w:val="nil"/>
                    <w:tr2bl w:val="nil"/>
                  </w:tcBorders>
                  <w:vAlign w:val="center"/>
                </w:tcPr>
                <w:p w14:paraId="6E23727D">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纬度</w:t>
                  </w:r>
                </w:p>
              </w:tc>
              <w:tc>
                <w:tcPr>
                  <w:tcW w:w="401" w:type="pct"/>
                  <w:tcBorders>
                    <w:tl2br w:val="nil"/>
                    <w:tr2bl w:val="nil"/>
                  </w:tcBorders>
                  <w:vAlign w:val="center"/>
                </w:tcPr>
                <w:p w14:paraId="0949E1D7">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高度（m）</w:t>
                  </w:r>
                </w:p>
              </w:tc>
              <w:tc>
                <w:tcPr>
                  <w:tcW w:w="401" w:type="pct"/>
                  <w:tcBorders>
                    <w:tl2br w:val="nil"/>
                    <w:tr2bl w:val="nil"/>
                  </w:tcBorders>
                  <w:vAlign w:val="center"/>
                </w:tcPr>
                <w:p w14:paraId="68C5384C">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内径（m）</w:t>
                  </w:r>
                </w:p>
              </w:tc>
              <w:tc>
                <w:tcPr>
                  <w:tcW w:w="431" w:type="pct"/>
                  <w:tcBorders>
                    <w:tl2br w:val="nil"/>
                    <w:tr2bl w:val="nil"/>
                  </w:tcBorders>
                  <w:vAlign w:val="center"/>
                </w:tcPr>
                <w:p w14:paraId="47C4F287">
                  <w:pPr>
                    <w:jc w:val="center"/>
                    <w:rPr>
                      <w:rFonts w:hint="default" w:ascii="Times New Roman" w:hAnsi="Times New Roman" w:cs="Times New Roman"/>
                      <w:b w:val="0"/>
                      <w:bCs w:val="0"/>
                      <w:color w:val="auto"/>
                      <w:spacing w:val="-20"/>
                      <w:sz w:val="21"/>
                      <w:szCs w:val="21"/>
                      <w:highlight w:val="none"/>
                    </w:rPr>
                  </w:pPr>
                  <w:r>
                    <w:rPr>
                      <w:rFonts w:hint="default" w:ascii="Times New Roman" w:hAnsi="Times New Roman" w:cs="Times New Roman"/>
                      <w:b w:val="0"/>
                      <w:bCs w:val="0"/>
                      <w:color w:val="auto"/>
                      <w:spacing w:val="-20"/>
                      <w:sz w:val="21"/>
                      <w:szCs w:val="21"/>
                      <w:highlight w:val="none"/>
                    </w:rPr>
                    <w:t>温度（℃）</w:t>
                  </w:r>
                </w:p>
              </w:tc>
              <w:tc>
                <w:tcPr>
                  <w:tcW w:w="487" w:type="pct"/>
                  <w:vMerge w:val="continue"/>
                  <w:tcBorders>
                    <w:tl2br w:val="nil"/>
                    <w:tr2bl w:val="nil"/>
                  </w:tcBorders>
                  <w:vAlign w:val="center"/>
                </w:tcPr>
                <w:p w14:paraId="7D946023">
                  <w:pPr>
                    <w:jc w:val="center"/>
                    <w:rPr>
                      <w:rFonts w:hint="default" w:ascii="Times New Roman" w:hAnsi="Times New Roman" w:cs="Times New Roman"/>
                      <w:color w:val="auto"/>
                      <w:spacing w:val="-20"/>
                      <w:sz w:val="21"/>
                      <w:szCs w:val="21"/>
                      <w:highlight w:val="none"/>
                    </w:rPr>
                  </w:pPr>
                </w:p>
              </w:tc>
              <w:tc>
                <w:tcPr>
                  <w:tcW w:w="272" w:type="pct"/>
                  <w:vMerge w:val="continue"/>
                  <w:tcBorders>
                    <w:tl2br w:val="nil"/>
                    <w:tr2bl w:val="nil"/>
                  </w:tcBorders>
                  <w:vAlign w:val="center"/>
                </w:tcPr>
                <w:p w14:paraId="7F39A65E">
                  <w:pPr>
                    <w:jc w:val="center"/>
                    <w:rPr>
                      <w:rFonts w:hint="default" w:ascii="Times New Roman" w:hAnsi="Times New Roman" w:cs="Times New Roman"/>
                      <w:color w:val="auto"/>
                      <w:spacing w:val="-20"/>
                      <w:sz w:val="21"/>
                      <w:szCs w:val="21"/>
                      <w:highlight w:val="none"/>
                    </w:rPr>
                  </w:pPr>
                </w:p>
              </w:tc>
              <w:tc>
                <w:tcPr>
                  <w:tcW w:w="778" w:type="pct"/>
                  <w:vMerge w:val="continue"/>
                  <w:tcBorders>
                    <w:tl2br w:val="nil"/>
                    <w:tr2bl w:val="nil"/>
                  </w:tcBorders>
                  <w:vAlign w:val="center"/>
                </w:tcPr>
                <w:p w14:paraId="03171C49">
                  <w:pPr>
                    <w:jc w:val="center"/>
                    <w:rPr>
                      <w:rFonts w:hint="default" w:ascii="Times New Roman" w:hAnsi="Times New Roman" w:cs="Times New Roman"/>
                      <w:color w:val="auto"/>
                      <w:spacing w:val="-20"/>
                      <w:sz w:val="21"/>
                      <w:szCs w:val="21"/>
                      <w:highlight w:val="none"/>
                    </w:rPr>
                  </w:pPr>
                </w:p>
              </w:tc>
            </w:tr>
            <w:tr w14:paraId="35FFC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vMerge w:val="restart"/>
                  <w:tcBorders>
                    <w:tl2br w:val="nil"/>
                    <w:tr2bl w:val="nil"/>
                  </w:tcBorders>
                  <w:vAlign w:val="center"/>
                </w:tcPr>
                <w:p w14:paraId="4897006B">
                  <w:pPr>
                    <w:jc w:val="center"/>
                    <w:rPr>
                      <w:rFonts w:hint="default" w:ascii="Times New Roman" w:hAnsi="Times New Roman" w:eastAsia="宋体"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高压电源生产线废气</w:t>
                  </w:r>
                </w:p>
              </w:tc>
              <w:tc>
                <w:tcPr>
                  <w:tcW w:w="421" w:type="pct"/>
                  <w:vMerge w:val="restart"/>
                  <w:tcBorders>
                    <w:tl2br w:val="nil"/>
                    <w:tr2bl w:val="nil"/>
                  </w:tcBorders>
                  <w:vAlign w:val="center"/>
                </w:tcPr>
                <w:p w14:paraId="12FC194B">
                  <w:pPr>
                    <w:jc w:val="center"/>
                    <w:rPr>
                      <w:rFonts w:hint="default" w:ascii="Times New Roman" w:hAnsi="Times New Roman" w:cs="Times New Roman"/>
                      <w:color w:val="auto"/>
                      <w:spacing w:val="-20"/>
                      <w:sz w:val="21"/>
                      <w:szCs w:val="21"/>
                      <w:highlight w:val="none"/>
                    </w:rPr>
                  </w:pPr>
                  <w:r>
                    <w:rPr>
                      <w:rFonts w:hint="default" w:ascii="Times New Roman" w:hAnsi="Times New Roman" w:cs="Times New Roman"/>
                      <w:color w:val="auto"/>
                      <w:spacing w:val="-20"/>
                      <w:sz w:val="21"/>
                      <w:szCs w:val="21"/>
                      <w:highlight w:val="none"/>
                    </w:rPr>
                    <w:t>DA001</w:t>
                  </w:r>
                </w:p>
              </w:tc>
              <w:tc>
                <w:tcPr>
                  <w:tcW w:w="221" w:type="pct"/>
                  <w:tcBorders>
                    <w:tl2br w:val="nil"/>
                    <w:tr2bl w:val="nil"/>
                  </w:tcBorders>
                  <w:vAlign w:val="center"/>
                </w:tcPr>
                <w:p w14:paraId="5EA82858">
                  <w:pPr>
                    <w:jc w:val="center"/>
                    <w:rPr>
                      <w:rFonts w:hint="default" w:ascii="Times New Roman" w:hAnsi="Times New Roman" w:eastAsia="宋体" w:cs="Times New Roman"/>
                      <w:b/>
                      <w:bCs/>
                      <w:color w:val="auto"/>
                      <w:spacing w:val="-20"/>
                      <w:sz w:val="21"/>
                      <w:szCs w:val="21"/>
                      <w:highlight w:val="none"/>
                      <w:lang w:eastAsia="zh-CN"/>
                    </w:rPr>
                  </w:pPr>
                  <w:r>
                    <w:rPr>
                      <w:rFonts w:hint="default" w:ascii="Times New Roman" w:hAnsi="Times New Roman" w:cs="Times New Roman"/>
                      <w:color w:val="auto"/>
                      <w:spacing w:val="-20"/>
                      <w:sz w:val="21"/>
                      <w:szCs w:val="21"/>
                      <w:highlight w:val="none"/>
                      <w:lang w:val="en-US" w:eastAsia="zh-CN"/>
                    </w:rPr>
                    <w:t>非甲烷总烃</w:t>
                  </w:r>
                </w:p>
              </w:tc>
              <w:tc>
                <w:tcPr>
                  <w:tcW w:w="678" w:type="pct"/>
                  <w:vMerge w:val="restart"/>
                  <w:tcBorders>
                    <w:tl2br w:val="nil"/>
                    <w:tr2bl w:val="nil"/>
                  </w:tcBorders>
                  <w:vAlign w:val="center"/>
                </w:tcPr>
                <w:p w14:paraId="261EE680">
                  <w:pPr>
                    <w:jc w:val="center"/>
                    <w:rPr>
                      <w:rFonts w:hint="default" w:ascii="Times New Roman" w:hAnsi="Times New Roman" w:cs="Times New Roman"/>
                      <w:color w:val="auto"/>
                      <w:spacing w:val="-20"/>
                      <w:sz w:val="21"/>
                      <w:szCs w:val="21"/>
                      <w:highlight w:val="none"/>
                      <w:lang w:val="en-US"/>
                    </w:rPr>
                  </w:pPr>
                  <w:r>
                    <w:rPr>
                      <w:rFonts w:hint="default" w:ascii="Times New Roman" w:hAnsi="Times New Roman" w:cs="Times New Roman"/>
                      <w:color w:val="auto"/>
                      <w:spacing w:val="-20"/>
                      <w:sz w:val="21"/>
                      <w:szCs w:val="21"/>
                      <w:highlight w:val="none"/>
                      <w:lang w:val="en-US"/>
                    </w:rPr>
                    <w:t>102.28887320</w:t>
                  </w:r>
                </w:p>
              </w:tc>
              <w:tc>
                <w:tcPr>
                  <w:tcW w:w="630" w:type="pct"/>
                  <w:vMerge w:val="restart"/>
                  <w:tcBorders>
                    <w:tl2br w:val="nil"/>
                    <w:tr2bl w:val="nil"/>
                  </w:tcBorders>
                  <w:vAlign w:val="center"/>
                </w:tcPr>
                <w:p w14:paraId="05F6CD36">
                  <w:pPr>
                    <w:jc w:val="center"/>
                    <w:rPr>
                      <w:rFonts w:hint="default" w:ascii="Times New Roman" w:hAnsi="Times New Roman" w:eastAsia="宋体" w:cs="Times New Roman"/>
                      <w:color w:val="auto"/>
                      <w:spacing w:val="-20"/>
                      <w:sz w:val="21"/>
                      <w:szCs w:val="21"/>
                      <w:highlight w:val="none"/>
                      <w:lang w:val="en-US" w:eastAsia="zh-CN"/>
                    </w:rPr>
                  </w:pPr>
                  <w:r>
                    <w:rPr>
                      <w:rFonts w:hint="default" w:ascii="Times New Roman" w:hAnsi="Times New Roman" w:eastAsia="宋体" w:cs="Times New Roman"/>
                      <w:color w:val="auto"/>
                      <w:spacing w:val="-20"/>
                      <w:sz w:val="21"/>
                      <w:szCs w:val="21"/>
                      <w:highlight w:val="none"/>
                      <w:lang w:val="en-US" w:eastAsia="zh-CN"/>
                    </w:rPr>
                    <w:t>38.52289402</w:t>
                  </w:r>
                </w:p>
              </w:tc>
              <w:tc>
                <w:tcPr>
                  <w:tcW w:w="401" w:type="pct"/>
                  <w:vMerge w:val="restart"/>
                  <w:tcBorders>
                    <w:tl2br w:val="nil"/>
                    <w:tr2bl w:val="nil"/>
                  </w:tcBorders>
                  <w:vAlign w:val="center"/>
                </w:tcPr>
                <w:p w14:paraId="3D37602C">
                  <w:pPr>
                    <w:jc w:val="center"/>
                    <w:rPr>
                      <w:rFonts w:hint="default" w:ascii="Times New Roman" w:hAnsi="Times New Roman" w:eastAsia="宋体"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34</w:t>
                  </w:r>
                </w:p>
              </w:tc>
              <w:tc>
                <w:tcPr>
                  <w:tcW w:w="401" w:type="pct"/>
                  <w:vMerge w:val="restart"/>
                  <w:tcBorders>
                    <w:tl2br w:val="nil"/>
                    <w:tr2bl w:val="nil"/>
                  </w:tcBorders>
                  <w:vAlign w:val="center"/>
                </w:tcPr>
                <w:p w14:paraId="6CE95BF8">
                  <w:pPr>
                    <w:jc w:val="center"/>
                    <w:rPr>
                      <w:rFonts w:hint="default" w:ascii="Times New Roman" w:hAnsi="Times New Roman" w:eastAsia="宋体"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rPr>
                    <w:t>0.</w:t>
                  </w:r>
                  <w:r>
                    <w:rPr>
                      <w:rFonts w:hint="default" w:ascii="Times New Roman" w:hAnsi="Times New Roman" w:cs="Times New Roman"/>
                      <w:color w:val="auto"/>
                      <w:spacing w:val="-20"/>
                      <w:sz w:val="21"/>
                      <w:szCs w:val="21"/>
                      <w:highlight w:val="none"/>
                      <w:lang w:val="en-US" w:eastAsia="zh-CN"/>
                    </w:rPr>
                    <w:t>6</w:t>
                  </w:r>
                </w:p>
              </w:tc>
              <w:tc>
                <w:tcPr>
                  <w:tcW w:w="431" w:type="pct"/>
                  <w:vMerge w:val="restart"/>
                  <w:tcBorders>
                    <w:tl2br w:val="nil"/>
                    <w:tr2bl w:val="nil"/>
                  </w:tcBorders>
                  <w:vAlign w:val="center"/>
                </w:tcPr>
                <w:p w14:paraId="067C2E34">
                  <w:pPr>
                    <w:jc w:val="center"/>
                    <w:rPr>
                      <w:rFonts w:hint="default" w:ascii="Times New Roman" w:hAnsi="Times New Roman" w:cs="Times New Roman"/>
                      <w:color w:val="auto"/>
                      <w:spacing w:val="-20"/>
                      <w:sz w:val="21"/>
                      <w:szCs w:val="21"/>
                      <w:highlight w:val="none"/>
                    </w:rPr>
                  </w:pPr>
                  <w:r>
                    <w:rPr>
                      <w:rFonts w:hint="default" w:ascii="Times New Roman" w:hAnsi="Times New Roman" w:cs="Times New Roman"/>
                      <w:color w:val="auto"/>
                      <w:spacing w:val="-20"/>
                      <w:sz w:val="21"/>
                      <w:szCs w:val="21"/>
                      <w:highlight w:val="none"/>
                    </w:rPr>
                    <w:t>25</w:t>
                  </w:r>
                </w:p>
              </w:tc>
              <w:tc>
                <w:tcPr>
                  <w:tcW w:w="487" w:type="pct"/>
                  <w:tcBorders>
                    <w:tl2br w:val="nil"/>
                    <w:tr2bl w:val="nil"/>
                  </w:tcBorders>
                  <w:vAlign w:val="center"/>
                </w:tcPr>
                <w:p w14:paraId="33767070">
                  <w:pPr>
                    <w:jc w:val="center"/>
                    <w:rPr>
                      <w:rFonts w:hint="default" w:ascii="Times New Roman" w:hAnsi="Times New Roman" w:eastAsia="宋体"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71.8</w:t>
                  </w:r>
                </w:p>
              </w:tc>
              <w:tc>
                <w:tcPr>
                  <w:tcW w:w="272" w:type="pct"/>
                  <w:vMerge w:val="restart"/>
                  <w:tcBorders>
                    <w:tl2br w:val="nil"/>
                    <w:tr2bl w:val="nil"/>
                  </w:tcBorders>
                  <w:vAlign w:val="center"/>
                </w:tcPr>
                <w:p w14:paraId="0CC8DDBF">
                  <w:pPr>
                    <w:jc w:val="center"/>
                    <w:rPr>
                      <w:rFonts w:hint="default" w:ascii="Times New Roman" w:hAnsi="Times New Roman" w:cs="Times New Roman"/>
                      <w:color w:val="auto"/>
                      <w:spacing w:val="-20"/>
                      <w:sz w:val="21"/>
                      <w:szCs w:val="21"/>
                      <w:highlight w:val="none"/>
                    </w:rPr>
                  </w:pPr>
                  <w:r>
                    <w:rPr>
                      <w:rFonts w:hint="default" w:ascii="Times New Roman" w:hAnsi="Times New Roman" w:cs="Times New Roman"/>
                      <w:color w:val="auto"/>
                      <w:spacing w:val="-20"/>
                      <w:sz w:val="21"/>
                      <w:szCs w:val="21"/>
                      <w:highlight w:val="none"/>
                    </w:rPr>
                    <w:t>一般排放口</w:t>
                  </w:r>
                </w:p>
              </w:tc>
              <w:tc>
                <w:tcPr>
                  <w:tcW w:w="778" w:type="pct"/>
                  <w:vMerge w:val="restart"/>
                  <w:tcBorders>
                    <w:tl2br w:val="nil"/>
                    <w:tr2bl w:val="nil"/>
                  </w:tcBorders>
                  <w:vAlign w:val="center"/>
                </w:tcPr>
                <w:p w14:paraId="40C16343">
                  <w:pPr>
                    <w:jc w:val="both"/>
                    <w:rPr>
                      <w:rFonts w:hint="default" w:ascii="Times New Roman" w:hAnsi="Times New Roman" w:eastAsia="宋体"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34m（高出建筑5m）</w:t>
                  </w:r>
                </w:p>
              </w:tc>
            </w:tr>
            <w:tr w14:paraId="6A2A33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vMerge w:val="continue"/>
                  <w:tcBorders>
                    <w:tl2br w:val="nil"/>
                    <w:tr2bl w:val="nil"/>
                  </w:tcBorders>
                  <w:vAlign w:val="center"/>
                </w:tcPr>
                <w:p w14:paraId="5081FDC2">
                  <w:pPr>
                    <w:jc w:val="center"/>
                    <w:rPr>
                      <w:rFonts w:hint="default" w:ascii="Times New Roman" w:hAnsi="Times New Roman" w:eastAsia="宋体" w:cs="Times New Roman"/>
                      <w:bCs/>
                      <w:color w:val="auto"/>
                      <w:spacing w:val="-20"/>
                      <w:sz w:val="21"/>
                      <w:szCs w:val="21"/>
                      <w:highlight w:val="none"/>
                      <w:lang w:val="en-US" w:eastAsia="zh-CN"/>
                    </w:rPr>
                  </w:pPr>
                </w:p>
              </w:tc>
              <w:tc>
                <w:tcPr>
                  <w:tcW w:w="421" w:type="pct"/>
                  <w:vMerge w:val="continue"/>
                  <w:tcBorders>
                    <w:tl2br w:val="nil"/>
                    <w:tr2bl w:val="nil"/>
                  </w:tcBorders>
                  <w:vAlign w:val="center"/>
                </w:tcPr>
                <w:p w14:paraId="7DBCD2FB">
                  <w:pPr>
                    <w:jc w:val="center"/>
                    <w:rPr>
                      <w:rFonts w:hint="default" w:ascii="Times New Roman" w:hAnsi="Times New Roman" w:cs="Times New Roman"/>
                      <w:color w:val="auto"/>
                      <w:spacing w:val="-20"/>
                      <w:sz w:val="21"/>
                      <w:szCs w:val="21"/>
                      <w:highlight w:val="none"/>
                    </w:rPr>
                  </w:pPr>
                </w:p>
              </w:tc>
              <w:tc>
                <w:tcPr>
                  <w:tcW w:w="221" w:type="pct"/>
                  <w:tcBorders>
                    <w:tl2br w:val="nil"/>
                    <w:tr2bl w:val="nil"/>
                  </w:tcBorders>
                  <w:vAlign w:val="center"/>
                </w:tcPr>
                <w:p w14:paraId="765922F8">
                  <w:pPr>
                    <w:jc w:val="center"/>
                    <w:rPr>
                      <w:rFonts w:hint="default" w:ascii="Times New Roman" w:hAnsi="Times New Roman"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颗粒物</w:t>
                  </w:r>
                </w:p>
              </w:tc>
              <w:tc>
                <w:tcPr>
                  <w:tcW w:w="678" w:type="pct"/>
                  <w:vMerge w:val="continue"/>
                  <w:tcBorders>
                    <w:tl2br w:val="nil"/>
                    <w:tr2bl w:val="nil"/>
                  </w:tcBorders>
                  <w:vAlign w:val="center"/>
                </w:tcPr>
                <w:p w14:paraId="6C577F4C">
                  <w:pPr>
                    <w:jc w:val="center"/>
                    <w:rPr>
                      <w:rFonts w:hint="default" w:ascii="Times New Roman" w:hAnsi="Times New Roman" w:cs="Times New Roman"/>
                      <w:color w:val="auto"/>
                      <w:spacing w:val="-20"/>
                      <w:sz w:val="21"/>
                      <w:szCs w:val="21"/>
                      <w:highlight w:val="none"/>
                      <w:lang w:val="en-US"/>
                    </w:rPr>
                  </w:pPr>
                </w:p>
              </w:tc>
              <w:tc>
                <w:tcPr>
                  <w:tcW w:w="630" w:type="pct"/>
                  <w:vMerge w:val="continue"/>
                  <w:tcBorders>
                    <w:tl2br w:val="nil"/>
                    <w:tr2bl w:val="nil"/>
                  </w:tcBorders>
                  <w:vAlign w:val="center"/>
                </w:tcPr>
                <w:p w14:paraId="7E5E73F8">
                  <w:pPr>
                    <w:jc w:val="center"/>
                    <w:rPr>
                      <w:rFonts w:hint="default" w:ascii="Times New Roman" w:hAnsi="Times New Roman" w:eastAsia="宋体" w:cs="Times New Roman"/>
                      <w:color w:val="auto"/>
                      <w:spacing w:val="-20"/>
                      <w:sz w:val="21"/>
                      <w:szCs w:val="21"/>
                      <w:highlight w:val="none"/>
                      <w:lang w:val="en-US" w:eastAsia="zh-CN"/>
                    </w:rPr>
                  </w:pPr>
                </w:p>
              </w:tc>
              <w:tc>
                <w:tcPr>
                  <w:tcW w:w="401" w:type="pct"/>
                  <w:vMerge w:val="continue"/>
                  <w:tcBorders>
                    <w:tl2br w:val="nil"/>
                    <w:tr2bl w:val="nil"/>
                  </w:tcBorders>
                  <w:vAlign w:val="center"/>
                </w:tcPr>
                <w:p w14:paraId="7F095397">
                  <w:pPr>
                    <w:jc w:val="center"/>
                    <w:rPr>
                      <w:rFonts w:hint="default" w:ascii="Times New Roman" w:hAnsi="Times New Roman" w:cs="Times New Roman"/>
                      <w:color w:val="auto"/>
                      <w:spacing w:val="-20"/>
                      <w:sz w:val="21"/>
                      <w:szCs w:val="21"/>
                      <w:highlight w:val="none"/>
                      <w:lang w:val="en-US" w:eastAsia="zh-CN"/>
                    </w:rPr>
                  </w:pPr>
                </w:p>
              </w:tc>
              <w:tc>
                <w:tcPr>
                  <w:tcW w:w="401" w:type="pct"/>
                  <w:vMerge w:val="continue"/>
                  <w:tcBorders>
                    <w:tl2br w:val="nil"/>
                    <w:tr2bl w:val="nil"/>
                  </w:tcBorders>
                  <w:vAlign w:val="center"/>
                </w:tcPr>
                <w:p w14:paraId="71F47F26">
                  <w:pPr>
                    <w:jc w:val="center"/>
                    <w:rPr>
                      <w:rFonts w:hint="default" w:ascii="Times New Roman" w:hAnsi="Times New Roman" w:cs="Times New Roman"/>
                      <w:color w:val="auto"/>
                      <w:spacing w:val="-20"/>
                      <w:sz w:val="21"/>
                      <w:szCs w:val="21"/>
                      <w:highlight w:val="none"/>
                    </w:rPr>
                  </w:pPr>
                </w:p>
              </w:tc>
              <w:tc>
                <w:tcPr>
                  <w:tcW w:w="431" w:type="pct"/>
                  <w:vMerge w:val="continue"/>
                  <w:tcBorders>
                    <w:tl2br w:val="nil"/>
                    <w:tr2bl w:val="nil"/>
                  </w:tcBorders>
                  <w:vAlign w:val="center"/>
                </w:tcPr>
                <w:p w14:paraId="11B13588">
                  <w:pPr>
                    <w:jc w:val="center"/>
                    <w:rPr>
                      <w:rFonts w:hint="default" w:ascii="Times New Roman" w:hAnsi="Times New Roman" w:cs="Times New Roman"/>
                      <w:color w:val="auto"/>
                      <w:spacing w:val="-20"/>
                      <w:sz w:val="21"/>
                      <w:szCs w:val="21"/>
                      <w:highlight w:val="none"/>
                    </w:rPr>
                  </w:pPr>
                </w:p>
              </w:tc>
              <w:tc>
                <w:tcPr>
                  <w:tcW w:w="487" w:type="pct"/>
                  <w:tcBorders>
                    <w:tl2br w:val="nil"/>
                    <w:tr2bl w:val="nil"/>
                  </w:tcBorders>
                  <w:vAlign w:val="center"/>
                </w:tcPr>
                <w:p w14:paraId="463D76A7">
                  <w:pPr>
                    <w:jc w:val="center"/>
                    <w:rPr>
                      <w:rFonts w:hint="default" w:ascii="Times New Roman" w:hAnsi="Times New Roman"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29.4</w:t>
                  </w:r>
                </w:p>
              </w:tc>
              <w:tc>
                <w:tcPr>
                  <w:tcW w:w="272" w:type="pct"/>
                  <w:vMerge w:val="continue"/>
                  <w:tcBorders>
                    <w:tl2br w:val="nil"/>
                    <w:tr2bl w:val="nil"/>
                  </w:tcBorders>
                  <w:vAlign w:val="center"/>
                </w:tcPr>
                <w:p w14:paraId="20A8FEA0">
                  <w:pPr>
                    <w:jc w:val="center"/>
                    <w:rPr>
                      <w:rFonts w:hint="default" w:ascii="Times New Roman" w:hAnsi="Times New Roman" w:cs="Times New Roman"/>
                      <w:color w:val="auto"/>
                      <w:spacing w:val="-20"/>
                      <w:sz w:val="21"/>
                      <w:szCs w:val="21"/>
                      <w:highlight w:val="none"/>
                    </w:rPr>
                  </w:pPr>
                </w:p>
              </w:tc>
              <w:tc>
                <w:tcPr>
                  <w:tcW w:w="778" w:type="pct"/>
                  <w:vMerge w:val="continue"/>
                  <w:tcBorders>
                    <w:tl2br w:val="nil"/>
                    <w:tr2bl w:val="nil"/>
                  </w:tcBorders>
                  <w:vAlign w:val="center"/>
                </w:tcPr>
                <w:p w14:paraId="3E99CE39">
                  <w:pPr>
                    <w:jc w:val="center"/>
                    <w:rPr>
                      <w:rFonts w:hint="default" w:ascii="Times New Roman" w:hAnsi="Times New Roman" w:cs="Times New Roman"/>
                      <w:color w:val="auto"/>
                      <w:spacing w:val="-20"/>
                      <w:sz w:val="21"/>
                      <w:szCs w:val="21"/>
                      <w:highlight w:val="none"/>
                      <w:lang w:val="en-US" w:eastAsia="zh-CN"/>
                    </w:rPr>
                  </w:pPr>
                </w:p>
              </w:tc>
            </w:tr>
            <w:tr w14:paraId="1BE9E8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vMerge w:val="continue"/>
                  <w:tcBorders>
                    <w:tl2br w:val="nil"/>
                    <w:tr2bl w:val="nil"/>
                  </w:tcBorders>
                  <w:vAlign w:val="center"/>
                </w:tcPr>
                <w:p w14:paraId="00E75818">
                  <w:pPr>
                    <w:jc w:val="center"/>
                    <w:rPr>
                      <w:rFonts w:hint="default" w:ascii="Times New Roman" w:hAnsi="Times New Roman" w:eastAsia="宋体" w:cs="Times New Roman"/>
                      <w:bCs/>
                      <w:color w:val="auto"/>
                      <w:spacing w:val="-20"/>
                      <w:sz w:val="21"/>
                      <w:szCs w:val="21"/>
                      <w:highlight w:val="none"/>
                      <w:lang w:val="en-US" w:eastAsia="zh-CN"/>
                    </w:rPr>
                  </w:pPr>
                </w:p>
              </w:tc>
              <w:tc>
                <w:tcPr>
                  <w:tcW w:w="421" w:type="pct"/>
                  <w:vMerge w:val="continue"/>
                  <w:tcBorders>
                    <w:tl2br w:val="nil"/>
                    <w:tr2bl w:val="nil"/>
                  </w:tcBorders>
                  <w:vAlign w:val="center"/>
                </w:tcPr>
                <w:p w14:paraId="52D01D21">
                  <w:pPr>
                    <w:jc w:val="center"/>
                    <w:rPr>
                      <w:rFonts w:hint="default" w:ascii="Times New Roman" w:hAnsi="Times New Roman" w:cs="Times New Roman"/>
                      <w:color w:val="auto"/>
                      <w:spacing w:val="-20"/>
                      <w:sz w:val="21"/>
                      <w:szCs w:val="21"/>
                      <w:highlight w:val="none"/>
                    </w:rPr>
                  </w:pPr>
                </w:p>
              </w:tc>
              <w:tc>
                <w:tcPr>
                  <w:tcW w:w="221" w:type="pct"/>
                  <w:tcBorders>
                    <w:tl2br w:val="nil"/>
                    <w:tr2bl w:val="nil"/>
                  </w:tcBorders>
                  <w:vAlign w:val="center"/>
                </w:tcPr>
                <w:p w14:paraId="4FDAACAA">
                  <w:pPr>
                    <w:jc w:val="center"/>
                    <w:rPr>
                      <w:rFonts w:hint="default" w:ascii="Times New Roman" w:hAnsi="Times New Roman"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锡及其化合物</w:t>
                  </w:r>
                </w:p>
              </w:tc>
              <w:tc>
                <w:tcPr>
                  <w:tcW w:w="678" w:type="pct"/>
                  <w:vMerge w:val="continue"/>
                  <w:tcBorders>
                    <w:tl2br w:val="nil"/>
                    <w:tr2bl w:val="nil"/>
                  </w:tcBorders>
                  <w:vAlign w:val="center"/>
                </w:tcPr>
                <w:p w14:paraId="584CD9B1">
                  <w:pPr>
                    <w:jc w:val="center"/>
                    <w:rPr>
                      <w:rFonts w:hint="default" w:ascii="Times New Roman" w:hAnsi="Times New Roman" w:cs="Times New Roman"/>
                      <w:color w:val="auto"/>
                      <w:spacing w:val="-20"/>
                      <w:sz w:val="21"/>
                      <w:szCs w:val="21"/>
                      <w:highlight w:val="none"/>
                      <w:lang w:val="en-US"/>
                    </w:rPr>
                  </w:pPr>
                </w:p>
              </w:tc>
              <w:tc>
                <w:tcPr>
                  <w:tcW w:w="630" w:type="pct"/>
                  <w:vMerge w:val="continue"/>
                  <w:tcBorders>
                    <w:tl2br w:val="nil"/>
                    <w:tr2bl w:val="nil"/>
                  </w:tcBorders>
                  <w:vAlign w:val="center"/>
                </w:tcPr>
                <w:p w14:paraId="2C264EA4">
                  <w:pPr>
                    <w:jc w:val="center"/>
                    <w:rPr>
                      <w:rFonts w:hint="default" w:ascii="Times New Roman" w:hAnsi="Times New Roman" w:eastAsia="宋体" w:cs="Times New Roman"/>
                      <w:color w:val="auto"/>
                      <w:spacing w:val="-20"/>
                      <w:sz w:val="21"/>
                      <w:szCs w:val="21"/>
                      <w:highlight w:val="none"/>
                      <w:lang w:val="en-US" w:eastAsia="zh-CN"/>
                    </w:rPr>
                  </w:pPr>
                </w:p>
              </w:tc>
              <w:tc>
                <w:tcPr>
                  <w:tcW w:w="401" w:type="pct"/>
                  <w:vMerge w:val="continue"/>
                  <w:tcBorders>
                    <w:tl2br w:val="nil"/>
                    <w:tr2bl w:val="nil"/>
                  </w:tcBorders>
                  <w:vAlign w:val="center"/>
                </w:tcPr>
                <w:p w14:paraId="3F533C4F">
                  <w:pPr>
                    <w:jc w:val="center"/>
                    <w:rPr>
                      <w:rFonts w:hint="default" w:ascii="Times New Roman" w:hAnsi="Times New Roman" w:cs="Times New Roman"/>
                      <w:color w:val="auto"/>
                      <w:spacing w:val="-20"/>
                      <w:sz w:val="21"/>
                      <w:szCs w:val="21"/>
                      <w:highlight w:val="none"/>
                      <w:lang w:val="en-US" w:eastAsia="zh-CN"/>
                    </w:rPr>
                  </w:pPr>
                </w:p>
              </w:tc>
              <w:tc>
                <w:tcPr>
                  <w:tcW w:w="401" w:type="pct"/>
                  <w:vMerge w:val="continue"/>
                  <w:tcBorders>
                    <w:tl2br w:val="nil"/>
                    <w:tr2bl w:val="nil"/>
                  </w:tcBorders>
                  <w:vAlign w:val="center"/>
                </w:tcPr>
                <w:p w14:paraId="27FBB9CD">
                  <w:pPr>
                    <w:jc w:val="center"/>
                    <w:rPr>
                      <w:rFonts w:hint="default" w:ascii="Times New Roman" w:hAnsi="Times New Roman" w:cs="Times New Roman"/>
                      <w:color w:val="auto"/>
                      <w:spacing w:val="-20"/>
                      <w:sz w:val="21"/>
                      <w:szCs w:val="21"/>
                      <w:highlight w:val="none"/>
                    </w:rPr>
                  </w:pPr>
                </w:p>
              </w:tc>
              <w:tc>
                <w:tcPr>
                  <w:tcW w:w="431" w:type="pct"/>
                  <w:vMerge w:val="continue"/>
                  <w:tcBorders>
                    <w:tl2br w:val="nil"/>
                    <w:tr2bl w:val="nil"/>
                  </w:tcBorders>
                  <w:vAlign w:val="center"/>
                </w:tcPr>
                <w:p w14:paraId="16C4E8D4">
                  <w:pPr>
                    <w:jc w:val="center"/>
                    <w:rPr>
                      <w:rFonts w:hint="default" w:ascii="Times New Roman" w:hAnsi="Times New Roman" w:cs="Times New Roman"/>
                      <w:color w:val="auto"/>
                      <w:spacing w:val="-20"/>
                      <w:sz w:val="21"/>
                      <w:szCs w:val="21"/>
                      <w:highlight w:val="none"/>
                    </w:rPr>
                  </w:pPr>
                </w:p>
              </w:tc>
              <w:tc>
                <w:tcPr>
                  <w:tcW w:w="487" w:type="pct"/>
                  <w:tcBorders>
                    <w:tl2br w:val="nil"/>
                    <w:tr2bl w:val="nil"/>
                  </w:tcBorders>
                  <w:vAlign w:val="center"/>
                </w:tcPr>
                <w:p w14:paraId="029DE29B">
                  <w:pPr>
                    <w:jc w:val="center"/>
                    <w:rPr>
                      <w:rFonts w:hint="default" w:ascii="Times New Roman" w:hAnsi="Times New Roman" w:cs="Times New Roman"/>
                      <w:color w:val="auto"/>
                      <w:spacing w:val="-20"/>
                      <w:sz w:val="21"/>
                      <w:szCs w:val="21"/>
                      <w:highlight w:val="none"/>
                      <w:lang w:val="en-US" w:eastAsia="zh-CN"/>
                    </w:rPr>
                  </w:pPr>
                  <w:r>
                    <w:rPr>
                      <w:rFonts w:hint="default" w:ascii="Times New Roman" w:hAnsi="Times New Roman" w:cs="Times New Roman"/>
                      <w:color w:val="auto"/>
                      <w:spacing w:val="-20"/>
                      <w:sz w:val="21"/>
                      <w:szCs w:val="21"/>
                      <w:highlight w:val="none"/>
                      <w:lang w:val="en-US" w:eastAsia="zh-CN"/>
                    </w:rPr>
                    <w:t>2.28</w:t>
                  </w:r>
                </w:p>
              </w:tc>
              <w:tc>
                <w:tcPr>
                  <w:tcW w:w="272" w:type="pct"/>
                  <w:vMerge w:val="continue"/>
                  <w:tcBorders>
                    <w:tl2br w:val="nil"/>
                    <w:tr2bl w:val="nil"/>
                  </w:tcBorders>
                  <w:vAlign w:val="center"/>
                </w:tcPr>
                <w:p w14:paraId="655FA627">
                  <w:pPr>
                    <w:jc w:val="center"/>
                    <w:rPr>
                      <w:rFonts w:hint="default" w:ascii="Times New Roman" w:hAnsi="Times New Roman" w:cs="Times New Roman"/>
                      <w:color w:val="auto"/>
                      <w:spacing w:val="-20"/>
                      <w:sz w:val="21"/>
                      <w:szCs w:val="21"/>
                      <w:highlight w:val="none"/>
                    </w:rPr>
                  </w:pPr>
                </w:p>
              </w:tc>
              <w:tc>
                <w:tcPr>
                  <w:tcW w:w="778" w:type="pct"/>
                  <w:vMerge w:val="continue"/>
                  <w:tcBorders>
                    <w:tl2br w:val="nil"/>
                    <w:tr2bl w:val="nil"/>
                  </w:tcBorders>
                  <w:vAlign w:val="center"/>
                </w:tcPr>
                <w:p w14:paraId="6CA12712">
                  <w:pPr>
                    <w:jc w:val="center"/>
                    <w:rPr>
                      <w:rFonts w:hint="default" w:ascii="Times New Roman" w:hAnsi="Times New Roman" w:cs="Times New Roman"/>
                      <w:color w:val="auto"/>
                      <w:spacing w:val="-20"/>
                      <w:sz w:val="21"/>
                      <w:szCs w:val="21"/>
                      <w:highlight w:val="none"/>
                      <w:lang w:val="en-US" w:eastAsia="zh-CN"/>
                    </w:rPr>
                  </w:pPr>
                </w:p>
              </w:tc>
            </w:tr>
          </w:tbl>
          <w:p w14:paraId="01C30D3B">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④食堂油烟</w:t>
            </w:r>
          </w:p>
          <w:p w14:paraId="7068E194">
            <w:pPr>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食堂每天就餐人数按1200人计，据统计，目前人均食用油用量约30g/（人·d），一般油烟挥发量约占总耗油量的2~4%，本项目以2.83%计，则食堂油烟日产生量为1018.8g/d，年产生量为0.255t/a，产生速率0.0425kg/h。食堂设25个灶头，每个灶头基准排风量为2000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/h，排风量共计50000m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/h，油烟产生浓度为0.85mg/m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。净化效率取85%，经净化后通过屋顶排放，油烟排放量为0.0382t/a，排放速率0.0064kg/h，油烟的排放浓度为0.13mg/m</w:t>
            </w:r>
            <w:r>
              <w:rPr>
                <w:rFonts w:hint="default" w:ascii="Times New Roman" w:hAnsi="Times New Roman" w:cs="Times New Roman"/>
                <w:color w:val="auto"/>
                <w:sz w:val="24"/>
                <w:highlight w:val="none"/>
                <w:vertAlign w:val="superscript"/>
                <w:lang w:val="en-US" w:eastAsia="zh-CN"/>
              </w:rPr>
              <w:t>3</w:t>
            </w:r>
            <w:r>
              <w:rPr>
                <w:rFonts w:hint="default" w:ascii="Times New Roman" w:hAnsi="Times New Roman" w:cs="Times New Roman"/>
                <w:color w:val="auto"/>
                <w:sz w:val="24"/>
                <w:highlight w:val="none"/>
                <w:lang w:val="en-US" w:eastAsia="zh-CN"/>
              </w:rPr>
              <w:t>，满足《饮食业油烟排放标准(试行)》(GB18483-2001)大型要求。</w:t>
            </w:r>
          </w:p>
          <w:p w14:paraId="7C038B79">
            <w:pPr>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（2）废气处理装置技术可行性分析</w:t>
            </w:r>
          </w:p>
          <w:p w14:paraId="0EC7BFFF">
            <w:pPr>
              <w:adjustRightInd w:val="0"/>
              <w:snapToGrid w:val="0"/>
              <w:spacing w:line="360" w:lineRule="auto"/>
              <w:ind w:firstLine="480" w:firstLineChars="200"/>
              <w:jc w:val="left"/>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bCs/>
                <w:color w:val="auto"/>
                <w:sz w:val="24"/>
                <w:highlight w:val="none"/>
              </w:rPr>
              <w:t>本项目运营期废气主要为</w:t>
            </w:r>
            <w:r>
              <w:rPr>
                <w:rFonts w:hint="default" w:ascii="Times New Roman" w:hAnsi="Times New Roman" w:cs="Times New Roman"/>
                <w:bCs/>
                <w:color w:val="auto"/>
                <w:sz w:val="24"/>
                <w:highlight w:val="none"/>
                <w:lang w:val="en-US" w:eastAsia="zh-CN"/>
              </w:rPr>
              <w:t>焊接过程中产生的颗粒物（锡及其化合物）和清洗、灌封以及烘干</w:t>
            </w:r>
            <w:r>
              <w:rPr>
                <w:rFonts w:hint="default" w:ascii="Times New Roman" w:hAnsi="Times New Roman" w:cs="Times New Roman"/>
                <w:color w:val="auto"/>
                <w:sz w:val="24"/>
                <w:highlight w:val="none"/>
                <w:lang w:val="en-US" w:eastAsia="zh-CN"/>
              </w:rPr>
              <w:t>过程中产生的非甲烷总烃，</w:t>
            </w:r>
            <w:r>
              <w:rPr>
                <w:rFonts w:hint="default" w:ascii="Times New Roman" w:hAnsi="Times New Roman" w:cs="Times New Roman"/>
                <w:color w:val="auto"/>
                <w:sz w:val="24"/>
                <w:highlight w:val="none"/>
                <w:lang w:val="en-US" w:eastAsia="zh-CN"/>
              </w:rPr>
              <w:t>产生的非甲烷总烃与颗粒物统一经管道收集后引至</w:t>
            </w:r>
            <w:r>
              <w:rPr>
                <w:rFonts w:hint="default" w:ascii="Times New Roman" w:hAnsi="Times New Roman" w:eastAsia="宋体" w:cs="Times New Roman"/>
                <w:color w:val="auto"/>
                <w:sz w:val="24"/>
                <w:highlight w:val="none"/>
                <w:lang w:val="en-US" w:eastAsia="zh-CN"/>
              </w:rPr>
              <w:t>1套</w:t>
            </w:r>
            <w:r>
              <w:rPr>
                <w:rFonts w:hint="default" w:ascii="Times New Roman" w:hAnsi="Times New Roman" w:cs="Times New Roman"/>
                <w:color w:val="auto"/>
                <w:sz w:val="24"/>
                <w:highlight w:val="none"/>
                <w:lang w:val="en-US" w:eastAsia="zh-CN"/>
              </w:rPr>
              <w:t>过滤棉+二级活性炭吸附装置</w:t>
            </w:r>
            <w:r>
              <w:rPr>
                <w:rFonts w:hint="default" w:ascii="Times New Roman" w:hAnsi="Times New Roman" w:eastAsia="宋体" w:cs="Times New Roman"/>
                <w:color w:val="auto"/>
                <w:sz w:val="24"/>
                <w:highlight w:val="none"/>
                <w:lang w:val="en-US" w:eastAsia="zh-CN"/>
              </w:rPr>
              <w:t>中进行处理，过滤棉+</w:t>
            </w:r>
            <w:r>
              <w:rPr>
                <w:rFonts w:hint="default" w:ascii="Times New Roman" w:hAnsi="Times New Roman" w:cs="Times New Roman"/>
                <w:color w:val="auto"/>
                <w:sz w:val="24"/>
                <w:highlight w:val="none"/>
                <w:lang w:val="en-US" w:eastAsia="zh-CN"/>
              </w:rPr>
              <w:t>二级活性炭吸附装置对颗粒物、锡及其化合物的去除效率取80%，对非甲烷总烃的去除效率取75%，</w:t>
            </w:r>
            <w:r>
              <w:rPr>
                <w:rFonts w:hint="default" w:ascii="Times New Roman" w:hAnsi="Times New Roman" w:eastAsia="宋体" w:cs="Times New Roman"/>
                <w:color w:val="auto"/>
                <w:sz w:val="24"/>
                <w:highlight w:val="none"/>
                <w:lang w:val="en-US" w:eastAsia="zh-CN"/>
              </w:rPr>
              <w:t>处理后的废气由</w:t>
            </w:r>
            <w:r>
              <w:rPr>
                <w:rFonts w:hint="default" w:ascii="Times New Roman" w:hAnsi="Times New Roman" w:cs="Times New Roman"/>
                <w:color w:val="auto"/>
                <w:sz w:val="24"/>
                <w:highlight w:val="none"/>
                <w:lang w:val="en-US" w:eastAsia="zh-CN"/>
              </w:rPr>
              <w:t>34</w:t>
            </w:r>
            <w:r>
              <w:rPr>
                <w:rFonts w:hint="default" w:ascii="Times New Roman" w:hAnsi="Times New Roman" w:eastAsia="宋体" w:cs="Times New Roman"/>
                <w:color w:val="auto"/>
                <w:sz w:val="24"/>
                <w:highlight w:val="none"/>
                <w:lang w:val="en-US" w:eastAsia="zh-CN"/>
              </w:rPr>
              <w:t>m高排气筒排放。</w:t>
            </w:r>
            <w:r>
              <w:rPr>
                <w:rFonts w:hint="default" w:ascii="Times New Roman" w:hAnsi="Times New Roman" w:cs="Times New Roman"/>
                <w:color w:val="auto"/>
                <w:sz w:val="24"/>
                <w:highlight w:val="none"/>
              </w:rPr>
              <w:t>经计算分析可知，项目排放的非甲烷总烃</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颗粒物、锡及其化合物</w:t>
            </w:r>
            <w:r>
              <w:rPr>
                <w:rFonts w:hint="default" w:ascii="Times New Roman" w:hAnsi="Times New Roman" w:cs="Times New Roman"/>
                <w:color w:val="auto"/>
                <w:sz w:val="24"/>
                <w:highlight w:val="none"/>
              </w:rPr>
              <w:t>满足</w:t>
            </w:r>
            <w:r>
              <w:rPr>
                <w:rFonts w:hint="default" w:ascii="Times New Roman" w:hAnsi="Times New Roman" w:cs="Times New Roman"/>
                <w:color w:val="auto"/>
                <w:sz w:val="24"/>
                <w:highlight w:val="none"/>
                <w:lang w:val="en-US" w:eastAsia="zh-CN"/>
              </w:rPr>
              <w:t>《大气污染物综合排放标准》（GB16297-1996）表2排放浓度和排放速率</w:t>
            </w:r>
            <w:r>
              <w:rPr>
                <w:rFonts w:hint="default" w:ascii="Times New Roman" w:hAnsi="Times New Roman" w:cs="Times New Roman"/>
                <w:color w:val="auto"/>
                <w:sz w:val="24"/>
                <w:highlight w:val="none"/>
              </w:rPr>
              <w:t>限值要求</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且焊接、清洗、灌封、烘干四个工序产生的废气组分混合后，无反应、无爆炸、无强腐蚀、不会造成治理设备失效，整套装置风量、处理效率，满足所有工序最大同时生产工况下的污染物负荷。</w:t>
            </w:r>
          </w:p>
          <w:p w14:paraId="54658FDD">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活性炭吸附法是利用活性炭作为物理吸附剂，把生产过程中产生的有害物质成分，在固相表面进行浓缩，从而使废气得到净化治理。吸附过程在固相-气相间界面发生物理过程。活性炭的吸附原理：进入吸附装置的有机废气在流经活性炭层时被表面积很大的活性炭截留，在其颗粒物表面形成一层平衡的表面浓度，并将有机物等吸附到活性炭的细孔，使用初期的吸附效果很高。活性炭对本项目有机废气的吸附量为</w:t>
            </w:r>
            <w:r>
              <w:rPr>
                <w:rFonts w:hint="default" w:ascii="Times New Roman" w:hAnsi="Times New Roman" w:cs="Times New Roman"/>
                <w:bCs/>
                <w:color w:val="auto"/>
                <w:sz w:val="24"/>
                <w:highlight w:val="none"/>
                <w:lang w:val="en-US" w:eastAsia="zh-CN"/>
              </w:rPr>
              <w:t>1.1</w:t>
            </w:r>
            <w:r>
              <w:rPr>
                <w:rFonts w:hint="default" w:ascii="Times New Roman" w:hAnsi="Times New Roman" w:cs="Times New Roman"/>
                <w:bCs/>
                <w:color w:val="auto"/>
                <w:sz w:val="24"/>
                <w:highlight w:val="none"/>
              </w:rPr>
              <w:t>t/a，平均每吨活性炭可吸附0.25t有机废气，</w:t>
            </w:r>
            <w:r>
              <w:rPr>
                <w:rFonts w:hint="default" w:ascii="Times New Roman" w:hAnsi="Times New Roman" w:cs="Times New Roman"/>
                <w:bCs/>
                <w:color w:val="auto"/>
                <w:sz w:val="24"/>
                <w:highlight w:val="none"/>
                <w:lang w:val="en-US" w:eastAsia="zh-CN"/>
              </w:rPr>
              <w:t>则</w:t>
            </w:r>
            <w:r>
              <w:rPr>
                <w:rFonts w:hint="default" w:ascii="Times New Roman" w:hAnsi="Times New Roman" w:cs="Times New Roman"/>
                <w:bCs/>
                <w:color w:val="auto"/>
                <w:sz w:val="24"/>
                <w:highlight w:val="none"/>
              </w:rPr>
              <w:t>项目</w:t>
            </w:r>
            <w:r>
              <w:rPr>
                <w:rFonts w:hint="default" w:ascii="Times New Roman" w:hAnsi="Times New Roman" w:cs="Times New Roman"/>
                <w:bCs/>
                <w:color w:val="auto"/>
                <w:sz w:val="24"/>
                <w:highlight w:val="none"/>
                <w:lang w:val="en-US" w:eastAsia="zh-CN"/>
              </w:rPr>
              <w:t>活性炭使用量</w:t>
            </w:r>
            <w:r>
              <w:rPr>
                <w:rFonts w:hint="default" w:ascii="Times New Roman" w:hAnsi="Times New Roman" w:cs="Times New Roman"/>
                <w:bCs/>
                <w:color w:val="auto"/>
                <w:sz w:val="24"/>
                <w:highlight w:val="none"/>
              </w:rPr>
              <w:t>约</w:t>
            </w:r>
            <w:r>
              <w:rPr>
                <w:rFonts w:hint="default" w:ascii="Times New Roman" w:hAnsi="Times New Roman" w:cs="Times New Roman"/>
                <w:bCs/>
                <w:color w:val="auto"/>
                <w:sz w:val="24"/>
                <w:highlight w:val="none"/>
                <w:lang w:val="en-US" w:eastAsia="zh-CN"/>
              </w:rPr>
              <w:t>4.4</w:t>
            </w:r>
            <w:r>
              <w:rPr>
                <w:rFonts w:hint="default" w:ascii="Times New Roman" w:hAnsi="Times New Roman" w:cs="Times New Roman"/>
                <w:bCs/>
                <w:color w:val="auto"/>
                <w:sz w:val="24"/>
                <w:highlight w:val="none"/>
              </w:rPr>
              <w:t>t/a</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选择碘值不低于</w:t>
            </w:r>
            <w:r>
              <w:rPr>
                <w:rFonts w:hint="default" w:ascii="Times New Roman" w:hAnsi="Times New Roman" w:cs="Times New Roman"/>
                <w:bCs/>
                <w:color w:val="auto"/>
                <w:sz w:val="24"/>
                <w:highlight w:val="none"/>
                <w:lang w:val="en-US" w:eastAsia="zh-CN"/>
              </w:rPr>
              <w:t>65</w:t>
            </w:r>
            <w:r>
              <w:rPr>
                <w:rFonts w:hint="default" w:ascii="Times New Roman" w:hAnsi="Times New Roman" w:cs="Times New Roman"/>
                <w:bCs/>
                <w:color w:val="auto"/>
                <w:sz w:val="24"/>
                <w:highlight w:val="none"/>
              </w:rPr>
              <w:t>0</w:t>
            </w:r>
            <w:r>
              <w:rPr>
                <w:rFonts w:hint="default" w:ascii="Times New Roman" w:hAnsi="Times New Roman" w:cs="Times New Roman"/>
                <w:bCs/>
                <w:color w:val="auto"/>
                <w:sz w:val="24"/>
                <w:highlight w:val="none"/>
                <w:lang w:val="en-US" w:eastAsia="zh-CN"/>
              </w:rPr>
              <w:t>mg</w:t>
            </w:r>
            <w:r>
              <w:rPr>
                <w:rFonts w:hint="default" w:ascii="Times New Roman" w:hAnsi="Times New Roman" w:cs="Times New Roman"/>
                <w:bCs/>
                <w:color w:val="auto"/>
                <w:sz w:val="24"/>
                <w:highlight w:val="none"/>
              </w:rPr>
              <w:t>/</w:t>
            </w:r>
            <w:r>
              <w:rPr>
                <w:rFonts w:hint="default" w:ascii="Times New Roman" w:hAnsi="Times New Roman" w:cs="Times New Roman"/>
                <w:bCs/>
                <w:color w:val="auto"/>
                <w:sz w:val="24"/>
                <w:highlight w:val="none"/>
                <w:lang w:val="en-US" w:eastAsia="zh-CN"/>
              </w:rPr>
              <w:t>g</w:t>
            </w:r>
            <w:r>
              <w:rPr>
                <w:rFonts w:hint="default" w:ascii="Times New Roman" w:hAnsi="Times New Roman" w:cs="Times New Roman"/>
                <w:bCs/>
                <w:color w:val="auto"/>
                <w:sz w:val="24"/>
                <w:highlight w:val="none"/>
              </w:rPr>
              <w:t>的</w:t>
            </w:r>
            <w:r>
              <w:rPr>
                <w:rFonts w:hint="default" w:ascii="Times New Roman" w:hAnsi="Times New Roman" w:cs="Times New Roman"/>
                <w:bCs/>
                <w:color w:val="auto"/>
                <w:sz w:val="24"/>
                <w:highlight w:val="none"/>
                <w:lang w:val="en-US" w:eastAsia="zh-CN"/>
              </w:rPr>
              <w:t>蜂窝</w:t>
            </w:r>
            <w:r>
              <w:rPr>
                <w:rFonts w:hint="default" w:ascii="Times New Roman" w:hAnsi="Times New Roman" w:cs="Times New Roman"/>
                <w:bCs/>
                <w:color w:val="auto"/>
                <w:sz w:val="24"/>
                <w:highlight w:val="none"/>
              </w:rPr>
              <w:t>活性炭</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企业应至少半年更换一次活性炭</w:t>
            </w:r>
            <w:r>
              <w:rPr>
                <w:rFonts w:hint="default" w:ascii="Times New Roman" w:hAnsi="Times New Roman" w:cs="Times New Roman"/>
                <w:bCs/>
                <w:color w:val="auto"/>
                <w:sz w:val="24"/>
                <w:highlight w:val="none"/>
              </w:rPr>
              <w:t>。设专用容器收集，暂存于</w:t>
            </w:r>
            <w:r>
              <w:rPr>
                <w:rFonts w:hint="default" w:ascii="Times New Roman" w:hAnsi="Times New Roman" w:cs="Times New Roman"/>
                <w:bCs/>
                <w:color w:val="auto"/>
                <w:sz w:val="24"/>
                <w:highlight w:val="none"/>
                <w:lang w:eastAsia="zh-CN"/>
              </w:rPr>
              <w:t>危废贮存库</w:t>
            </w:r>
            <w:r>
              <w:rPr>
                <w:rFonts w:hint="default" w:ascii="Times New Roman" w:hAnsi="Times New Roman" w:cs="Times New Roman"/>
                <w:bCs/>
                <w:color w:val="auto"/>
                <w:sz w:val="24"/>
                <w:highlight w:val="none"/>
              </w:rPr>
              <w:t>，交由有资质单位处置。</w:t>
            </w:r>
          </w:p>
          <w:p w14:paraId="66D9B87F">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本项目生产过程中产生的有机废气与焊接烟尘在经过过滤棉+二级活性炭吸附装置处理后均能达标排放，因此本项目生产</w:t>
            </w:r>
            <w:r>
              <w:rPr>
                <w:rFonts w:hint="default" w:ascii="Times New Roman" w:hAnsi="Times New Roman" w:cs="Times New Roman"/>
                <w:color w:val="auto"/>
                <w:sz w:val="24"/>
                <w:highlight w:val="none"/>
                <w:lang w:val="en-US" w:eastAsia="zh-CN"/>
              </w:rPr>
              <w:t>过程产生的非甲烷总烃、颗粒物、锡及其化合物采用过滤棉+二级活性炭吸附装置可行。</w:t>
            </w:r>
          </w:p>
          <w:p w14:paraId="5C32FC7F">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（3）废气监测计划</w:t>
            </w:r>
          </w:p>
          <w:p w14:paraId="279EE166">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根据</w:t>
            </w:r>
            <w:r>
              <w:rPr>
                <w:rFonts w:hint="default" w:ascii="Times New Roman" w:hAnsi="Times New Roman" w:cs="Times New Roman"/>
                <w:color w:val="auto"/>
                <w:kern w:val="0"/>
                <w:sz w:val="24"/>
                <w:highlight w:val="none"/>
                <w:lang w:bidi="ar"/>
              </w:rPr>
              <w:t>《排污单位自行监测技术指南总则》（HJ 819-2017），项目运营期废气环境监测计划</w:t>
            </w:r>
            <w:r>
              <w:rPr>
                <w:rFonts w:hint="default" w:ascii="Times New Roman" w:hAnsi="Times New Roman" w:cs="Times New Roman"/>
                <w:color w:val="auto"/>
                <w:kern w:val="0"/>
                <w:sz w:val="24"/>
                <w:highlight w:val="none"/>
                <w:lang w:val="en-US" w:eastAsia="zh-CN" w:bidi="ar"/>
              </w:rPr>
              <w:t>见</w:t>
            </w:r>
            <w:r>
              <w:rPr>
                <w:rFonts w:hint="default" w:ascii="Times New Roman" w:hAnsi="Times New Roman" w:cs="Times New Roman"/>
                <w:color w:val="auto"/>
                <w:kern w:val="0"/>
                <w:sz w:val="24"/>
                <w:highlight w:val="none"/>
                <w:lang w:bidi="ar"/>
              </w:rPr>
              <w:t>表4-</w:t>
            </w:r>
            <w:r>
              <w:rPr>
                <w:rFonts w:hint="default" w:ascii="Times New Roman" w:hAnsi="Times New Roman" w:cs="Times New Roman"/>
                <w:color w:val="auto"/>
                <w:kern w:val="0"/>
                <w:sz w:val="24"/>
                <w:highlight w:val="none"/>
                <w:lang w:val="en-US" w:eastAsia="zh-CN" w:bidi="ar"/>
              </w:rPr>
              <w:t>4</w:t>
            </w:r>
            <w:r>
              <w:rPr>
                <w:rFonts w:hint="default" w:ascii="Times New Roman" w:hAnsi="Times New Roman" w:cs="Times New Roman"/>
                <w:color w:val="auto"/>
                <w:kern w:val="0"/>
                <w:sz w:val="24"/>
                <w:highlight w:val="none"/>
                <w:lang w:bidi="ar"/>
              </w:rPr>
              <w:t>。</w:t>
            </w:r>
          </w:p>
          <w:p w14:paraId="7751C828">
            <w:pPr>
              <w:pStyle w:val="49"/>
              <w:widowControl/>
              <w:adjustRightInd/>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4</w:t>
            </w:r>
            <w:r>
              <w:rPr>
                <w:rFonts w:hint="default" w:ascii="Times New Roman" w:hAnsi="Times New Roman" w:cs="Times New Roman"/>
                <w:b/>
                <w:color w:val="auto"/>
                <w:sz w:val="21"/>
                <w:szCs w:val="21"/>
                <w:highlight w:val="none"/>
              </w:rPr>
              <w:t xml:space="preserve">   废气监测计划一览表</w:t>
            </w:r>
          </w:p>
          <w:tbl>
            <w:tblPr>
              <w:tblStyle w:val="28"/>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395"/>
              <w:gridCol w:w="1490"/>
              <w:gridCol w:w="1429"/>
              <w:gridCol w:w="2406"/>
            </w:tblGrid>
            <w:tr w14:paraId="32F54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47" w:type="pct"/>
                  <w:tcBorders>
                    <w:tl2br w:val="nil"/>
                    <w:tr2bl w:val="nil"/>
                  </w:tcBorders>
                  <w:vAlign w:val="center"/>
                </w:tcPr>
                <w:p w14:paraId="5D504043">
                  <w:pPr>
                    <w:adjustRightInd w:val="0"/>
                    <w:snapToGrid w:val="0"/>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bidi="ar"/>
                    </w:rPr>
                    <w:t>监测点位</w:t>
                  </w:r>
                </w:p>
              </w:tc>
              <w:tc>
                <w:tcPr>
                  <w:tcW w:w="854" w:type="pct"/>
                  <w:tcBorders>
                    <w:tl2br w:val="nil"/>
                    <w:tr2bl w:val="nil"/>
                  </w:tcBorders>
                  <w:vAlign w:val="center"/>
                </w:tcPr>
                <w:p w14:paraId="601C2F6A">
                  <w:pPr>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bidi="ar"/>
                    </w:rPr>
                    <w:t>监测因子</w:t>
                  </w:r>
                </w:p>
              </w:tc>
              <w:tc>
                <w:tcPr>
                  <w:tcW w:w="819" w:type="pct"/>
                  <w:tcBorders>
                    <w:tl2br w:val="nil"/>
                    <w:tr2bl w:val="nil"/>
                  </w:tcBorders>
                  <w:vAlign w:val="center"/>
                </w:tcPr>
                <w:p w14:paraId="67CEED55">
                  <w:pPr>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bidi="ar"/>
                    </w:rPr>
                    <w:t>最低监测频次</w:t>
                  </w:r>
                </w:p>
              </w:tc>
              <w:tc>
                <w:tcPr>
                  <w:tcW w:w="1379" w:type="pct"/>
                  <w:tcBorders>
                    <w:tl2br w:val="nil"/>
                    <w:tr2bl w:val="nil"/>
                  </w:tcBorders>
                  <w:vAlign w:val="center"/>
                </w:tcPr>
                <w:p w14:paraId="2C0FE3D5">
                  <w:pPr>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bidi="ar"/>
                    </w:rPr>
                    <w:t>执行标准</w:t>
                  </w:r>
                </w:p>
              </w:tc>
            </w:tr>
            <w:tr w14:paraId="660E08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47" w:type="pct"/>
                  <w:tcBorders>
                    <w:tl2br w:val="nil"/>
                    <w:tr2bl w:val="nil"/>
                  </w:tcBorders>
                  <w:vAlign w:val="center"/>
                </w:tcPr>
                <w:p w14:paraId="51A037F4">
                  <w:pPr>
                    <w:adjustRightInd w:val="0"/>
                    <w:snapToGrid w:val="0"/>
                    <w:jc w:val="center"/>
                    <w:rPr>
                      <w:rFonts w:hint="default" w:ascii="Times New Roman" w:hAnsi="Times New Roman" w:eastAsia="宋体" w:cs="Times New Roman"/>
                      <w:b w:val="0"/>
                      <w:bCs/>
                      <w:color w:val="auto"/>
                      <w:szCs w:val="21"/>
                      <w:highlight w:val="none"/>
                      <w:lang w:val="en-US" w:eastAsia="zh-CN" w:bidi="ar"/>
                    </w:rPr>
                  </w:pPr>
                  <w:r>
                    <w:rPr>
                      <w:rFonts w:hint="default" w:ascii="Times New Roman" w:hAnsi="Times New Roman" w:cs="Times New Roman"/>
                      <w:b w:val="0"/>
                      <w:bCs/>
                      <w:color w:val="auto"/>
                      <w:szCs w:val="21"/>
                      <w:highlight w:val="none"/>
                      <w:lang w:val="en-US" w:eastAsia="zh-CN" w:bidi="ar"/>
                    </w:rPr>
                    <w:t>DA001</w:t>
                  </w:r>
                </w:p>
              </w:tc>
              <w:tc>
                <w:tcPr>
                  <w:tcW w:w="854" w:type="pct"/>
                  <w:tcBorders>
                    <w:tl2br w:val="nil"/>
                    <w:tr2bl w:val="nil"/>
                  </w:tcBorders>
                  <w:vAlign w:val="center"/>
                </w:tcPr>
                <w:p w14:paraId="685CAD65">
                  <w:pPr>
                    <w:jc w:val="center"/>
                    <w:rPr>
                      <w:rFonts w:hint="default" w:ascii="Times New Roman" w:hAnsi="Times New Roman" w:eastAsia="宋体" w:cs="Times New Roman"/>
                      <w:b w:val="0"/>
                      <w:bCs/>
                      <w:color w:val="auto"/>
                      <w:szCs w:val="21"/>
                      <w:highlight w:val="none"/>
                      <w:lang w:val="en-US" w:eastAsia="zh-CN" w:bidi="ar"/>
                    </w:rPr>
                  </w:pPr>
                  <w:r>
                    <w:rPr>
                      <w:rFonts w:hint="default" w:ascii="Times New Roman" w:hAnsi="Times New Roman" w:cs="Times New Roman"/>
                      <w:b w:val="0"/>
                      <w:bCs/>
                      <w:color w:val="auto"/>
                      <w:szCs w:val="21"/>
                      <w:highlight w:val="none"/>
                      <w:lang w:val="en-US" w:eastAsia="zh-CN" w:bidi="ar"/>
                    </w:rPr>
                    <w:t>非甲烷总烃、颗粒物、锡及其化合物</w:t>
                  </w:r>
                </w:p>
              </w:tc>
              <w:tc>
                <w:tcPr>
                  <w:tcW w:w="819" w:type="pct"/>
                  <w:tcBorders>
                    <w:tl2br w:val="nil"/>
                    <w:tr2bl w:val="nil"/>
                  </w:tcBorders>
                  <w:vAlign w:val="center"/>
                </w:tcPr>
                <w:p w14:paraId="14BDAE10">
                  <w:pPr>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bidi="ar"/>
                    </w:rPr>
                    <w:t>一次/年</w:t>
                  </w:r>
                </w:p>
              </w:tc>
              <w:tc>
                <w:tcPr>
                  <w:tcW w:w="1379" w:type="pct"/>
                  <w:vMerge w:val="restart"/>
                  <w:tcBorders>
                    <w:tl2br w:val="nil"/>
                    <w:tr2bl w:val="nil"/>
                  </w:tcBorders>
                  <w:vAlign w:val="center"/>
                </w:tcPr>
                <w:p w14:paraId="7F93E603">
                  <w:pPr>
                    <w:jc w:val="center"/>
                    <w:rPr>
                      <w:rFonts w:hint="default" w:ascii="Times New Roman" w:hAnsi="Times New Roman" w:eastAsia="宋体" w:cs="Times New Roman"/>
                      <w:b w:val="0"/>
                      <w:bCs/>
                      <w:color w:val="auto"/>
                      <w:szCs w:val="21"/>
                      <w:highlight w:val="none"/>
                      <w:lang w:val="en-US" w:eastAsia="zh-CN" w:bidi="ar"/>
                    </w:rPr>
                  </w:pPr>
                  <w:r>
                    <w:rPr>
                      <w:rFonts w:hint="default" w:ascii="Times New Roman" w:hAnsi="Times New Roman" w:eastAsia="宋体" w:cs="Times New Roman"/>
                      <w:b w:val="0"/>
                      <w:bCs/>
                      <w:color w:val="auto"/>
                      <w:szCs w:val="21"/>
                      <w:highlight w:val="none"/>
                      <w:lang w:val="en-US" w:eastAsia="zh-CN" w:bidi="ar"/>
                    </w:rPr>
                    <w:t>《大气污染物综合排放标准》（GB16297-1996）表2二级标准</w:t>
                  </w:r>
                </w:p>
              </w:tc>
            </w:tr>
            <w:tr w14:paraId="7B6E8D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47" w:type="pct"/>
                  <w:tcBorders>
                    <w:tl2br w:val="nil"/>
                    <w:tr2bl w:val="nil"/>
                  </w:tcBorders>
                  <w:vAlign w:val="center"/>
                </w:tcPr>
                <w:p w14:paraId="3662AEC8">
                  <w:pPr>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
                    </w:rPr>
                  </w:pPr>
                  <w:r>
                    <w:rPr>
                      <w:rFonts w:hint="default" w:ascii="Times New Roman" w:hAnsi="Times New Roman" w:cs="Times New Roman"/>
                      <w:b w:val="0"/>
                      <w:bCs/>
                      <w:color w:val="auto"/>
                      <w:szCs w:val="21"/>
                      <w:highlight w:val="none"/>
                      <w:lang w:bidi="ar"/>
                    </w:rPr>
                    <w:t>厂界外</w:t>
                  </w:r>
                  <w:r>
                    <w:rPr>
                      <w:rFonts w:hint="default" w:ascii="Times New Roman" w:hAnsi="Times New Roman" w:cs="Times New Roman"/>
                      <w:b w:val="0"/>
                      <w:bCs/>
                      <w:color w:val="auto"/>
                      <w:szCs w:val="21"/>
                      <w:highlight w:val="none"/>
                      <w:lang w:val="en-US" w:eastAsia="zh-CN" w:bidi="ar"/>
                    </w:rPr>
                    <w:t>2</w:t>
                  </w:r>
                  <w:r>
                    <w:rPr>
                      <w:rFonts w:hint="default" w:ascii="Times New Roman" w:hAnsi="Times New Roman" w:cs="Times New Roman"/>
                      <w:b w:val="0"/>
                      <w:bCs/>
                      <w:color w:val="auto"/>
                      <w:szCs w:val="21"/>
                      <w:highlight w:val="none"/>
                      <w:lang w:bidi="ar"/>
                    </w:rPr>
                    <w:t>0m范围内上风向1个参照点，下风向3个浓度监控点</w:t>
                  </w:r>
                </w:p>
              </w:tc>
              <w:tc>
                <w:tcPr>
                  <w:tcW w:w="854" w:type="pct"/>
                  <w:tcBorders>
                    <w:tl2br w:val="nil"/>
                    <w:tr2bl w:val="nil"/>
                  </w:tcBorders>
                  <w:vAlign w:val="center"/>
                </w:tcPr>
                <w:p w14:paraId="1C179BBB">
                  <w:pPr>
                    <w:jc w:val="center"/>
                    <w:rPr>
                      <w:rFonts w:hint="default" w:ascii="Times New Roman" w:hAnsi="Times New Roman" w:eastAsia="宋体" w:cs="Times New Roman"/>
                      <w:b w:val="0"/>
                      <w:bCs/>
                      <w:color w:val="auto"/>
                      <w:kern w:val="2"/>
                      <w:sz w:val="21"/>
                      <w:szCs w:val="21"/>
                      <w:highlight w:val="none"/>
                      <w:lang w:val="en-US" w:eastAsia="zh-CN" w:bidi="ar"/>
                    </w:rPr>
                  </w:pPr>
                  <w:r>
                    <w:rPr>
                      <w:rFonts w:hint="default" w:ascii="Times New Roman" w:hAnsi="Times New Roman" w:cs="Times New Roman"/>
                      <w:b w:val="0"/>
                      <w:bCs/>
                      <w:color w:val="auto"/>
                      <w:szCs w:val="21"/>
                      <w:highlight w:val="none"/>
                      <w:lang w:val="en-US" w:eastAsia="zh-CN" w:bidi="ar"/>
                    </w:rPr>
                    <w:t>非甲烷总烃、颗粒物、锡及其化合物</w:t>
                  </w:r>
                </w:p>
              </w:tc>
              <w:tc>
                <w:tcPr>
                  <w:tcW w:w="819" w:type="pct"/>
                  <w:tcBorders>
                    <w:tl2br w:val="nil"/>
                    <w:tr2bl w:val="nil"/>
                  </w:tcBorders>
                  <w:vAlign w:val="center"/>
                </w:tcPr>
                <w:p w14:paraId="17A8F29E">
                  <w:pPr>
                    <w:jc w:val="center"/>
                    <w:rPr>
                      <w:rFonts w:hint="default" w:ascii="Times New Roman" w:hAnsi="Times New Roman" w:eastAsia="宋体" w:cs="Times New Roman"/>
                      <w:b w:val="0"/>
                      <w:bCs/>
                      <w:color w:val="auto"/>
                      <w:kern w:val="2"/>
                      <w:sz w:val="21"/>
                      <w:szCs w:val="21"/>
                      <w:highlight w:val="none"/>
                      <w:lang w:val="en-US" w:eastAsia="zh-CN" w:bidi="ar"/>
                    </w:rPr>
                  </w:pPr>
                  <w:r>
                    <w:rPr>
                      <w:rFonts w:hint="default" w:ascii="Times New Roman" w:hAnsi="Times New Roman" w:cs="Times New Roman"/>
                      <w:b w:val="0"/>
                      <w:bCs/>
                      <w:color w:val="auto"/>
                      <w:szCs w:val="21"/>
                      <w:highlight w:val="none"/>
                      <w:lang w:bidi="ar"/>
                    </w:rPr>
                    <w:t>一次/年</w:t>
                  </w:r>
                </w:p>
              </w:tc>
              <w:tc>
                <w:tcPr>
                  <w:tcW w:w="1379" w:type="pct"/>
                  <w:vMerge w:val="continue"/>
                  <w:tcBorders>
                    <w:tl2br w:val="nil"/>
                    <w:tr2bl w:val="nil"/>
                  </w:tcBorders>
                  <w:vAlign w:val="center"/>
                </w:tcPr>
                <w:p w14:paraId="656732E4">
                  <w:pPr>
                    <w:jc w:val="center"/>
                    <w:rPr>
                      <w:rFonts w:hint="default" w:ascii="Times New Roman" w:hAnsi="Times New Roman" w:cs="Times New Roman"/>
                      <w:b w:val="0"/>
                      <w:bCs/>
                      <w:color w:val="auto"/>
                      <w:szCs w:val="21"/>
                      <w:highlight w:val="none"/>
                    </w:rPr>
                  </w:pPr>
                </w:p>
              </w:tc>
            </w:tr>
            <w:tr w14:paraId="14FEA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947" w:type="pct"/>
                  <w:tcBorders>
                    <w:tl2br w:val="nil"/>
                    <w:tr2bl w:val="nil"/>
                  </w:tcBorders>
                  <w:vAlign w:val="center"/>
                </w:tcPr>
                <w:p w14:paraId="518F3A3F">
                  <w:pPr>
                    <w:adjustRightInd w:val="0"/>
                    <w:snapToGrid w:val="0"/>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val="en-US" w:eastAsia="zh-CN" w:bidi="ar"/>
                    </w:rPr>
                    <w:t>厂区内厂房外1个监控点</w:t>
                  </w:r>
                </w:p>
              </w:tc>
              <w:tc>
                <w:tcPr>
                  <w:tcW w:w="854" w:type="pct"/>
                  <w:tcBorders>
                    <w:tl2br w:val="nil"/>
                    <w:tr2bl w:val="nil"/>
                  </w:tcBorders>
                  <w:vAlign w:val="center"/>
                </w:tcPr>
                <w:p w14:paraId="4B0DC5BA">
                  <w:pPr>
                    <w:jc w:val="center"/>
                    <w:rPr>
                      <w:rFonts w:hint="default" w:ascii="Times New Roman" w:hAnsi="Times New Roman" w:cs="Times New Roman"/>
                      <w:b w:val="0"/>
                      <w:bCs/>
                      <w:color w:val="auto"/>
                      <w:szCs w:val="21"/>
                      <w:highlight w:val="none"/>
                      <w:lang w:val="en-US" w:eastAsia="zh-CN" w:bidi="ar"/>
                    </w:rPr>
                  </w:pPr>
                  <w:r>
                    <w:rPr>
                      <w:rFonts w:hint="default" w:ascii="Times New Roman" w:hAnsi="Times New Roman" w:cs="Times New Roman"/>
                      <w:b w:val="0"/>
                      <w:bCs/>
                      <w:color w:val="auto"/>
                      <w:szCs w:val="21"/>
                      <w:highlight w:val="none"/>
                      <w:lang w:val="en-US" w:eastAsia="zh-CN" w:bidi="ar"/>
                    </w:rPr>
                    <w:t>非甲烷总烃</w:t>
                  </w:r>
                </w:p>
              </w:tc>
              <w:tc>
                <w:tcPr>
                  <w:tcW w:w="819" w:type="pct"/>
                  <w:tcBorders>
                    <w:tl2br w:val="nil"/>
                    <w:tr2bl w:val="nil"/>
                  </w:tcBorders>
                  <w:vAlign w:val="center"/>
                </w:tcPr>
                <w:p w14:paraId="4BB2734D">
                  <w:pPr>
                    <w:jc w:val="center"/>
                    <w:rPr>
                      <w:rFonts w:hint="default" w:ascii="Times New Roman" w:hAnsi="Times New Roman" w:cs="Times New Roman"/>
                      <w:b w:val="0"/>
                      <w:bCs/>
                      <w:color w:val="auto"/>
                      <w:szCs w:val="21"/>
                      <w:highlight w:val="none"/>
                      <w:lang w:bidi="ar"/>
                    </w:rPr>
                  </w:pPr>
                  <w:r>
                    <w:rPr>
                      <w:rFonts w:hint="default" w:ascii="Times New Roman" w:hAnsi="Times New Roman" w:cs="Times New Roman"/>
                      <w:b w:val="0"/>
                      <w:bCs/>
                      <w:color w:val="auto"/>
                      <w:szCs w:val="21"/>
                      <w:highlight w:val="none"/>
                      <w:lang w:bidi="ar"/>
                    </w:rPr>
                    <w:t>一次/年</w:t>
                  </w:r>
                </w:p>
              </w:tc>
              <w:tc>
                <w:tcPr>
                  <w:tcW w:w="1379" w:type="pct"/>
                  <w:tcBorders>
                    <w:tl2br w:val="nil"/>
                    <w:tr2bl w:val="nil"/>
                  </w:tcBorders>
                  <w:vAlign w:val="center"/>
                </w:tcPr>
                <w:p w14:paraId="3ACF3D36">
                  <w:pPr>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《挥发性有机物无组织排放控制标准》（GB37822-2019）</w:t>
                  </w:r>
                </w:p>
              </w:tc>
            </w:tr>
          </w:tbl>
          <w:p w14:paraId="3A8181DD">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（4）非正常排放情况</w:t>
            </w:r>
          </w:p>
          <w:p w14:paraId="26DFC0EA">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本项目的非正常工况主要是污染物排放处理设施达不到应有的处理效率及环保设施发生故障，造成废气污染物未经净化直接排放。</w:t>
            </w:r>
            <w:r>
              <w:rPr>
                <w:rFonts w:hint="default" w:ascii="Times New Roman" w:hAnsi="Times New Roman" w:cs="Times New Roman"/>
                <w:bCs/>
                <w:color w:val="auto"/>
                <w:sz w:val="24"/>
                <w:highlight w:val="none"/>
                <w:lang w:val="en-US" w:eastAsia="zh-CN"/>
              </w:rPr>
              <w:t>本项目非正常工况下各污染物排放处理设施的去除效率均取正常工况对应去除效率的50%</w:t>
            </w:r>
            <w:r>
              <w:rPr>
                <w:rFonts w:hint="default" w:ascii="Times New Roman" w:hAnsi="Times New Roman" w:cs="Times New Roman"/>
                <w:bCs/>
                <w:color w:val="auto"/>
                <w:sz w:val="24"/>
                <w:highlight w:val="none"/>
              </w:rPr>
              <w:t>，详见下表4-</w:t>
            </w:r>
            <w:r>
              <w:rPr>
                <w:rFonts w:hint="default"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w:t>
            </w:r>
          </w:p>
          <w:p w14:paraId="0D917A17">
            <w:pPr>
              <w:pStyle w:val="49"/>
              <w:widowControl/>
              <w:adjustRightInd/>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5</w:t>
            </w:r>
            <w:r>
              <w:rPr>
                <w:rFonts w:hint="default" w:ascii="Times New Roman" w:hAnsi="Times New Roman" w:cs="Times New Roman"/>
                <w:b/>
                <w:color w:val="auto"/>
                <w:sz w:val="21"/>
                <w:szCs w:val="21"/>
                <w:highlight w:val="none"/>
              </w:rPr>
              <w:t xml:space="preserve">   非正常情况排放量核算表</w:t>
            </w:r>
          </w:p>
          <w:tbl>
            <w:tblPr>
              <w:tblStyle w:val="29"/>
              <w:tblW w:w="4998"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937"/>
              <w:gridCol w:w="862"/>
              <w:gridCol w:w="1028"/>
              <w:gridCol w:w="859"/>
              <w:gridCol w:w="1028"/>
              <w:gridCol w:w="968"/>
              <w:gridCol w:w="839"/>
              <w:gridCol w:w="876"/>
            </w:tblGrid>
            <w:tr w14:paraId="4DFD4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8" w:type="pct"/>
                  <w:vMerge w:val="restart"/>
                  <w:tcBorders>
                    <w:tl2br w:val="nil"/>
                    <w:tr2bl w:val="nil"/>
                  </w:tcBorders>
                  <w:vAlign w:val="center"/>
                </w:tcPr>
                <w:p w14:paraId="32D45EA9">
                  <w:pPr>
                    <w:jc w:val="center"/>
                    <w:rPr>
                      <w:rFonts w:hint="default" w:ascii="Times New Roman" w:hAnsi="Times New Roman" w:cs="Times New Roman"/>
                      <w:color w:val="auto"/>
                      <w:spacing w:val="-20"/>
                      <w:highlight w:val="none"/>
                    </w:rPr>
                  </w:pPr>
                  <w:r>
                    <w:rPr>
                      <w:rFonts w:hint="default" w:ascii="Times New Roman" w:hAnsi="Times New Roman" w:cs="Times New Roman"/>
                      <w:color w:val="auto"/>
                      <w:spacing w:val="-20"/>
                      <w:highlight w:val="none"/>
                    </w:rPr>
                    <w:t>产污环节</w:t>
                  </w:r>
                </w:p>
              </w:tc>
              <w:tc>
                <w:tcPr>
                  <w:tcW w:w="537" w:type="pct"/>
                  <w:vMerge w:val="restart"/>
                  <w:tcBorders>
                    <w:tl2br w:val="nil"/>
                    <w:tr2bl w:val="nil"/>
                  </w:tcBorders>
                  <w:vAlign w:val="center"/>
                </w:tcPr>
                <w:p w14:paraId="58A1E936">
                  <w:pPr>
                    <w:jc w:val="center"/>
                    <w:rPr>
                      <w:rFonts w:hint="default" w:ascii="Times New Roman" w:hAnsi="Times New Roman" w:cs="Times New Roman"/>
                      <w:color w:val="auto"/>
                      <w:spacing w:val="-20"/>
                      <w:highlight w:val="none"/>
                    </w:rPr>
                  </w:pPr>
                  <w:r>
                    <w:rPr>
                      <w:rFonts w:hint="default" w:ascii="Times New Roman" w:hAnsi="Times New Roman" w:cs="Times New Roman"/>
                      <w:color w:val="auto"/>
                      <w:spacing w:val="-20"/>
                      <w:highlight w:val="none"/>
                    </w:rPr>
                    <w:t>废气量</w:t>
                  </w:r>
                </w:p>
              </w:tc>
              <w:tc>
                <w:tcPr>
                  <w:tcW w:w="494" w:type="pct"/>
                  <w:vMerge w:val="restart"/>
                  <w:tcBorders>
                    <w:tl2br w:val="nil"/>
                    <w:tr2bl w:val="nil"/>
                  </w:tcBorders>
                  <w:vAlign w:val="center"/>
                </w:tcPr>
                <w:p w14:paraId="319AC317">
                  <w:pPr>
                    <w:jc w:val="center"/>
                    <w:rPr>
                      <w:rFonts w:hint="default" w:ascii="Times New Roman" w:hAnsi="Times New Roman" w:eastAsia="宋体" w:cs="Times New Roman"/>
                      <w:color w:val="auto"/>
                      <w:spacing w:val="-20"/>
                      <w:highlight w:val="none"/>
                      <w:lang w:val="en-US" w:eastAsia="zh-CN"/>
                    </w:rPr>
                  </w:pPr>
                  <w:r>
                    <w:rPr>
                      <w:rFonts w:hint="default" w:ascii="Times New Roman" w:hAnsi="Times New Roman" w:cs="Times New Roman"/>
                      <w:color w:val="auto"/>
                      <w:spacing w:val="-20"/>
                      <w:highlight w:val="none"/>
                      <w:lang w:val="en-US" w:eastAsia="zh-CN"/>
                    </w:rPr>
                    <w:t>污染因子</w:t>
                  </w:r>
                </w:p>
              </w:tc>
              <w:tc>
                <w:tcPr>
                  <w:tcW w:w="3208" w:type="pct"/>
                  <w:gridSpan w:val="6"/>
                  <w:tcBorders>
                    <w:tl2br w:val="nil"/>
                    <w:tr2bl w:val="nil"/>
                  </w:tcBorders>
                  <w:vAlign w:val="center"/>
                </w:tcPr>
                <w:p w14:paraId="255D4429">
                  <w:pPr>
                    <w:jc w:val="center"/>
                    <w:rPr>
                      <w:rFonts w:hint="default" w:ascii="Times New Roman" w:hAnsi="Times New Roman" w:cs="Times New Roman"/>
                      <w:color w:val="auto"/>
                      <w:spacing w:val="-20"/>
                      <w:highlight w:val="none"/>
                    </w:rPr>
                  </w:pPr>
                  <w:r>
                    <w:rPr>
                      <w:rFonts w:hint="default" w:ascii="Times New Roman" w:hAnsi="Times New Roman" w:cs="Times New Roman"/>
                      <w:color w:val="auto"/>
                      <w:spacing w:val="-20"/>
                      <w:highlight w:val="none"/>
                    </w:rPr>
                    <w:t>排放情况</w:t>
                  </w:r>
                </w:p>
              </w:tc>
            </w:tr>
            <w:tr w14:paraId="2EBD7E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8" w:type="pct"/>
                  <w:vMerge w:val="continue"/>
                  <w:tcBorders>
                    <w:tl2br w:val="nil"/>
                    <w:tr2bl w:val="nil"/>
                  </w:tcBorders>
                  <w:vAlign w:val="center"/>
                </w:tcPr>
                <w:p w14:paraId="13149345">
                  <w:pPr>
                    <w:jc w:val="center"/>
                    <w:rPr>
                      <w:rFonts w:hint="default" w:ascii="Times New Roman" w:hAnsi="Times New Roman" w:cs="Times New Roman"/>
                      <w:color w:val="auto"/>
                      <w:spacing w:val="-20"/>
                      <w:highlight w:val="none"/>
                    </w:rPr>
                  </w:pPr>
                </w:p>
              </w:tc>
              <w:tc>
                <w:tcPr>
                  <w:tcW w:w="537" w:type="pct"/>
                  <w:vMerge w:val="continue"/>
                  <w:tcBorders>
                    <w:tl2br w:val="nil"/>
                    <w:tr2bl w:val="nil"/>
                  </w:tcBorders>
                  <w:vAlign w:val="center"/>
                </w:tcPr>
                <w:p w14:paraId="02CAF4D3">
                  <w:pPr>
                    <w:jc w:val="center"/>
                    <w:rPr>
                      <w:rFonts w:hint="default" w:ascii="Times New Roman" w:hAnsi="Times New Roman" w:cs="Times New Roman"/>
                      <w:color w:val="auto"/>
                      <w:spacing w:val="-20"/>
                      <w:highlight w:val="none"/>
                    </w:rPr>
                  </w:pPr>
                </w:p>
              </w:tc>
              <w:tc>
                <w:tcPr>
                  <w:tcW w:w="494" w:type="pct"/>
                  <w:vMerge w:val="continue"/>
                  <w:tcBorders>
                    <w:tl2br w:val="nil"/>
                    <w:tr2bl w:val="nil"/>
                  </w:tcBorders>
                  <w:vAlign w:val="center"/>
                </w:tcPr>
                <w:p w14:paraId="7CE28C04">
                  <w:pPr>
                    <w:jc w:val="center"/>
                    <w:rPr>
                      <w:rFonts w:hint="default" w:ascii="Times New Roman" w:hAnsi="Times New Roman" w:cs="Times New Roman"/>
                      <w:color w:val="auto"/>
                      <w:spacing w:val="-20"/>
                      <w:highlight w:val="none"/>
                    </w:rPr>
                  </w:pPr>
                </w:p>
              </w:tc>
              <w:tc>
                <w:tcPr>
                  <w:tcW w:w="589" w:type="pct"/>
                  <w:tcBorders>
                    <w:tl2br w:val="nil"/>
                    <w:tr2bl w:val="nil"/>
                  </w:tcBorders>
                  <w:vAlign w:val="center"/>
                </w:tcPr>
                <w:p w14:paraId="26EBC8FC">
                  <w:pPr>
                    <w:jc w:val="center"/>
                    <w:rPr>
                      <w:rFonts w:hint="default" w:ascii="Times New Roman" w:hAnsi="Times New Roman" w:cs="Times New Roman"/>
                      <w:color w:val="auto"/>
                      <w:spacing w:val="-20"/>
                      <w:highlight w:val="none"/>
                    </w:rPr>
                  </w:pPr>
                  <w:r>
                    <w:rPr>
                      <w:rFonts w:hint="default" w:ascii="Times New Roman" w:hAnsi="Times New Roman" w:cs="Times New Roman"/>
                      <w:color w:val="auto"/>
                      <w:spacing w:val="-20"/>
                      <w:highlight w:val="none"/>
                    </w:rPr>
                    <w:t>浓度（mg/m</w:t>
                  </w:r>
                  <w:r>
                    <w:rPr>
                      <w:rFonts w:hint="default" w:ascii="Times New Roman" w:hAnsi="Times New Roman" w:cs="Times New Roman"/>
                      <w:color w:val="auto"/>
                      <w:spacing w:val="-20"/>
                      <w:highlight w:val="none"/>
                      <w:vertAlign w:val="superscript"/>
                    </w:rPr>
                    <w:t>3</w:t>
                  </w:r>
                  <w:r>
                    <w:rPr>
                      <w:rFonts w:hint="default" w:ascii="Times New Roman" w:hAnsi="Times New Roman" w:cs="Times New Roman"/>
                      <w:color w:val="auto"/>
                      <w:spacing w:val="-20"/>
                      <w:highlight w:val="none"/>
                    </w:rPr>
                    <w:t>）</w:t>
                  </w:r>
                </w:p>
              </w:tc>
              <w:tc>
                <w:tcPr>
                  <w:tcW w:w="492" w:type="pct"/>
                  <w:tcBorders>
                    <w:tl2br w:val="nil"/>
                    <w:tr2bl w:val="nil"/>
                  </w:tcBorders>
                  <w:vAlign w:val="center"/>
                </w:tcPr>
                <w:p w14:paraId="651A112E">
                  <w:pPr>
                    <w:jc w:val="center"/>
                    <w:rPr>
                      <w:rFonts w:hint="default" w:ascii="Times New Roman" w:hAnsi="Times New Roman" w:cs="Times New Roman"/>
                      <w:color w:val="auto"/>
                      <w:spacing w:val="-20"/>
                      <w:highlight w:val="none"/>
                    </w:rPr>
                  </w:pPr>
                  <w:r>
                    <w:rPr>
                      <w:rFonts w:hint="default" w:ascii="Times New Roman" w:hAnsi="Times New Roman" w:cs="Times New Roman"/>
                      <w:color w:val="auto"/>
                      <w:spacing w:val="-20"/>
                      <w:highlight w:val="none"/>
                    </w:rPr>
                    <w:t>速率（kg/h）</w:t>
                  </w:r>
                </w:p>
              </w:tc>
              <w:tc>
                <w:tcPr>
                  <w:tcW w:w="589" w:type="pct"/>
                  <w:tcBorders>
                    <w:tl2br w:val="nil"/>
                    <w:tr2bl w:val="nil"/>
                  </w:tcBorders>
                  <w:vAlign w:val="center"/>
                </w:tcPr>
                <w:p w14:paraId="757D124D">
                  <w:pPr>
                    <w:jc w:val="center"/>
                    <w:rPr>
                      <w:rFonts w:hint="default" w:ascii="Times New Roman" w:hAnsi="Times New Roman" w:cs="Times New Roman"/>
                      <w:color w:val="auto"/>
                      <w:spacing w:val="-20"/>
                      <w:highlight w:val="none"/>
                    </w:rPr>
                  </w:pPr>
                  <w:r>
                    <w:rPr>
                      <w:rFonts w:hint="default" w:ascii="Times New Roman" w:hAnsi="Times New Roman" w:cs="Times New Roman"/>
                      <w:color w:val="auto"/>
                      <w:spacing w:val="-20"/>
                      <w:highlight w:val="none"/>
                      <w:lang w:eastAsia="zh-CN"/>
                    </w:rPr>
                    <w:t>单次</w:t>
                  </w:r>
                  <w:r>
                    <w:rPr>
                      <w:rFonts w:hint="default" w:ascii="Times New Roman" w:hAnsi="Times New Roman" w:cs="Times New Roman"/>
                      <w:color w:val="auto"/>
                      <w:spacing w:val="-20"/>
                      <w:highlight w:val="none"/>
                    </w:rPr>
                    <w:t>持续时间（h）</w:t>
                  </w:r>
                </w:p>
              </w:tc>
              <w:tc>
                <w:tcPr>
                  <w:tcW w:w="555" w:type="pct"/>
                  <w:tcBorders>
                    <w:tl2br w:val="nil"/>
                    <w:tr2bl w:val="nil"/>
                  </w:tcBorders>
                  <w:vAlign w:val="center"/>
                </w:tcPr>
                <w:p w14:paraId="0078917F">
                  <w:pPr>
                    <w:jc w:val="center"/>
                    <w:rPr>
                      <w:rFonts w:hint="default" w:ascii="Times New Roman" w:hAnsi="Times New Roman" w:eastAsia="宋体" w:cs="Times New Roman"/>
                      <w:color w:val="auto"/>
                      <w:spacing w:val="-20"/>
                      <w:highlight w:val="none"/>
                      <w:lang w:eastAsia="zh-CN"/>
                    </w:rPr>
                  </w:pPr>
                  <w:r>
                    <w:rPr>
                      <w:rFonts w:hint="default" w:ascii="Times New Roman" w:hAnsi="Times New Roman" w:cs="Times New Roman"/>
                      <w:color w:val="auto"/>
                      <w:spacing w:val="-20"/>
                      <w:highlight w:val="none"/>
                      <w:lang w:eastAsia="zh-CN"/>
                    </w:rPr>
                    <w:t>原因</w:t>
                  </w:r>
                </w:p>
              </w:tc>
              <w:tc>
                <w:tcPr>
                  <w:tcW w:w="481" w:type="pct"/>
                  <w:tcBorders>
                    <w:tl2br w:val="nil"/>
                    <w:tr2bl w:val="nil"/>
                  </w:tcBorders>
                  <w:vAlign w:val="center"/>
                </w:tcPr>
                <w:p w14:paraId="7B45ABDA">
                  <w:pPr>
                    <w:jc w:val="center"/>
                    <w:rPr>
                      <w:rFonts w:hint="default" w:ascii="Times New Roman" w:hAnsi="Times New Roman" w:eastAsia="宋体" w:cs="Times New Roman"/>
                      <w:color w:val="auto"/>
                      <w:spacing w:val="-20"/>
                      <w:highlight w:val="none"/>
                      <w:lang w:eastAsia="zh-CN"/>
                    </w:rPr>
                  </w:pPr>
                  <w:r>
                    <w:rPr>
                      <w:rFonts w:hint="default" w:ascii="Times New Roman" w:hAnsi="Times New Roman" w:cs="Times New Roman"/>
                      <w:color w:val="auto"/>
                      <w:spacing w:val="-20"/>
                      <w:highlight w:val="none"/>
                      <w:lang w:eastAsia="zh-CN"/>
                    </w:rPr>
                    <w:t>年发生频次</w:t>
                  </w:r>
                </w:p>
              </w:tc>
              <w:tc>
                <w:tcPr>
                  <w:tcW w:w="501" w:type="pct"/>
                  <w:tcBorders>
                    <w:tl2br w:val="nil"/>
                    <w:tr2bl w:val="nil"/>
                  </w:tcBorders>
                  <w:vAlign w:val="center"/>
                </w:tcPr>
                <w:p w14:paraId="6BC71C93">
                  <w:pPr>
                    <w:jc w:val="center"/>
                    <w:rPr>
                      <w:rFonts w:hint="default" w:ascii="Times New Roman" w:hAnsi="Times New Roman" w:eastAsia="宋体" w:cs="Times New Roman"/>
                      <w:color w:val="auto"/>
                      <w:spacing w:val="-20"/>
                      <w:highlight w:val="none"/>
                      <w:lang w:eastAsia="zh-CN"/>
                    </w:rPr>
                  </w:pPr>
                  <w:r>
                    <w:rPr>
                      <w:rFonts w:hint="default" w:ascii="Times New Roman" w:hAnsi="Times New Roman" w:cs="Times New Roman"/>
                      <w:color w:val="auto"/>
                      <w:spacing w:val="-20"/>
                      <w:highlight w:val="none"/>
                      <w:lang w:eastAsia="zh-CN"/>
                    </w:rPr>
                    <w:t>应对措施</w:t>
                  </w:r>
                </w:p>
              </w:tc>
            </w:tr>
            <w:tr w14:paraId="56E4E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8" w:type="pct"/>
                  <w:vMerge w:val="restart"/>
                  <w:tcBorders>
                    <w:tl2br w:val="nil"/>
                    <w:tr2bl w:val="nil"/>
                  </w:tcBorders>
                  <w:vAlign w:val="center"/>
                </w:tcPr>
                <w:p w14:paraId="42EE7F8D">
                  <w:pPr>
                    <w:jc w:val="center"/>
                    <w:rPr>
                      <w:rFonts w:hint="default" w:ascii="Times New Roman" w:hAnsi="Times New Roman" w:eastAsia="宋体" w:cs="Times New Roman"/>
                      <w:color w:val="auto"/>
                      <w:spacing w:val="-20"/>
                      <w:highlight w:val="none"/>
                      <w:lang w:val="en-US" w:eastAsia="zh-CN"/>
                    </w:rPr>
                  </w:pPr>
                  <w:r>
                    <w:rPr>
                      <w:rFonts w:hint="default" w:ascii="Times New Roman" w:hAnsi="Times New Roman" w:cs="Times New Roman"/>
                      <w:bCs/>
                      <w:color w:val="auto"/>
                      <w:spacing w:val="-20"/>
                      <w:szCs w:val="21"/>
                      <w:highlight w:val="none"/>
                      <w:lang w:val="en-US" w:eastAsia="zh-CN"/>
                    </w:rPr>
                    <w:t>焊接</w:t>
                  </w:r>
                </w:p>
              </w:tc>
              <w:tc>
                <w:tcPr>
                  <w:tcW w:w="537" w:type="pct"/>
                  <w:vMerge w:val="restart"/>
                  <w:tcBorders>
                    <w:tl2br w:val="nil"/>
                    <w:tr2bl w:val="nil"/>
                  </w:tcBorders>
                  <w:vAlign w:val="center"/>
                </w:tcPr>
                <w:p w14:paraId="5B874AA8">
                  <w:pPr>
                    <w:adjustRightInd w:val="0"/>
                    <w:snapToGrid w:val="0"/>
                    <w:jc w:val="center"/>
                    <w:rPr>
                      <w:rFonts w:hint="default" w:ascii="Times New Roman" w:hAnsi="Times New Roman" w:cs="Times New Roman"/>
                      <w:bCs/>
                      <w:color w:val="auto"/>
                      <w:spacing w:val="-20"/>
                      <w:sz w:val="21"/>
                      <w:szCs w:val="21"/>
                      <w:highlight w:val="none"/>
                    </w:rPr>
                  </w:pPr>
                  <w:r>
                    <w:rPr>
                      <w:rFonts w:hint="default" w:ascii="Times New Roman" w:hAnsi="Times New Roman" w:cs="Times New Roman"/>
                      <w:color w:val="auto"/>
                      <w:spacing w:val="-20"/>
                      <w:kern w:val="0"/>
                      <w:sz w:val="21"/>
                      <w:szCs w:val="21"/>
                      <w:highlight w:val="none"/>
                      <w:lang w:val="en-US" w:eastAsia="zh-CN"/>
                    </w:rPr>
                    <w:t>6000m</w:t>
                  </w:r>
                  <w:r>
                    <w:rPr>
                      <w:rFonts w:hint="default" w:ascii="Times New Roman" w:hAnsi="Times New Roman" w:cs="Times New Roman"/>
                      <w:color w:val="auto"/>
                      <w:spacing w:val="-20"/>
                      <w:kern w:val="0"/>
                      <w:sz w:val="21"/>
                      <w:szCs w:val="21"/>
                      <w:highlight w:val="none"/>
                      <w:vertAlign w:val="superscript"/>
                      <w:lang w:val="en-US" w:eastAsia="zh-CN"/>
                    </w:rPr>
                    <w:t>3</w:t>
                  </w:r>
                  <w:r>
                    <w:rPr>
                      <w:rFonts w:hint="default" w:ascii="Times New Roman" w:hAnsi="Times New Roman" w:cs="Times New Roman"/>
                      <w:color w:val="auto"/>
                      <w:spacing w:val="-20"/>
                      <w:kern w:val="0"/>
                      <w:sz w:val="21"/>
                      <w:szCs w:val="21"/>
                      <w:highlight w:val="none"/>
                      <w:lang w:val="en-US" w:eastAsia="zh-CN"/>
                    </w:rPr>
                    <w:t>/h</w:t>
                  </w:r>
                </w:p>
              </w:tc>
              <w:tc>
                <w:tcPr>
                  <w:tcW w:w="494" w:type="pct"/>
                  <w:tcBorders>
                    <w:tl2br w:val="nil"/>
                    <w:tr2bl w:val="nil"/>
                  </w:tcBorders>
                  <w:vAlign w:val="center"/>
                </w:tcPr>
                <w:p w14:paraId="4B2355FE">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颗粒物</w:t>
                  </w:r>
                </w:p>
              </w:tc>
              <w:tc>
                <w:tcPr>
                  <w:tcW w:w="589" w:type="pct"/>
                  <w:tcBorders>
                    <w:tl2br w:val="nil"/>
                    <w:tr2bl w:val="nil"/>
                  </w:tcBorders>
                  <w:vAlign w:val="center"/>
                </w:tcPr>
                <w:p w14:paraId="5204520B">
                  <w:pPr>
                    <w:widowControl/>
                    <w:jc w:val="center"/>
                    <w:textAlignment w:val="center"/>
                    <w:rPr>
                      <w:rFonts w:hint="default" w:ascii="Times New Roman" w:hAnsi="Times New Roman" w:eastAsia="宋体" w:cs="Times New Roman"/>
                      <w:bCs/>
                      <w:color w:val="auto"/>
                      <w:spacing w:val="-20"/>
                      <w:szCs w:val="21"/>
                      <w:highlight w:val="none"/>
                      <w:lang w:val="en-US" w:eastAsia="zh-CN"/>
                    </w:rPr>
                  </w:pPr>
                  <w:r>
                    <w:rPr>
                      <w:rFonts w:hint="default" w:ascii="Times New Roman" w:hAnsi="Times New Roman" w:cs="Times New Roman"/>
                      <w:bCs/>
                      <w:color w:val="auto"/>
                      <w:spacing w:val="-20"/>
                      <w:szCs w:val="21"/>
                      <w:highlight w:val="none"/>
                      <w:lang w:val="en-US" w:eastAsia="zh-CN"/>
                    </w:rPr>
                    <w:t>0.080</w:t>
                  </w:r>
                </w:p>
              </w:tc>
              <w:tc>
                <w:tcPr>
                  <w:tcW w:w="492" w:type="pct"/>
                  <w:tcBorders>
                    <w:tl2br w:val="nil"/>
                    <w:tr2bl w:val="nil"/>
                  </w:tcBorders>
                  <w:vAlign w:val="center"/>
                </w:tcPr>
                <w:p w14:paraId="04E96B79">
                  <w:pPr>
                    <w:widowControl/>
                    <w:jc w:val="center"/>
                    <w:textAlignment w:val="center"/>
                    <w:rPr>
                      <w:rFonts w:hint="default" w:ascii="Times New Roman" w:hAnsi="Times New Roman" w:eastAsia="宋体" w:cs="Times New Roman"/>
                      <w:bCs/>
                      <w:color w:val="auto"/>
                      <w:spacing w:val="-20"/>
                      <w:szCs w:val="21"/>
                      <w:highlight w:val="none"/>
                      <w:lang w:val="en-US" w:eastAsia="zh-CN"/>
                    </w:rPr>
                  </w:pPr>
                  <w:r>
                    <w:rPr>
                      <w:rFonts w:hint="default" w:ascii="Times New Roman" w:hAnsi="Times New Roman" w:cs="Times New Roman"/>
                      <w:bCs/>
                      <w:color w:val="auto"/>
                      <w:spacing w:val="-20"/>
                      <w:szCs w:val="21"/>
                      <w:highlight w:val="none"/>
                      <w:lang w:val="en-US" w:eastAsia="zh-CN"/>
                    </w:rPr>
                    <w:t>0.00016</w:t>
                  </w:r>
                </w:p>
              </w:tc>
              <w:tc>
                <w:tcPr>
                  <w:tcW w:w="589" w:type="pct"/>
                  <w:vMerge w:val="restart"/>
                  <w:tcBorders>
                    <w:tl2br w:val="nil"/>
                    <w:tr2bl w:val="nil"/>
                  </w:tcBorders>
                  <w:vAlign w:val="center"/>
                </w:tcPr>
                <w:p w14:paraId="71ACF679">
                  <w:pPr>
                    <w:widowControl/>
                    <w:jc w:val="center"/>
                    <w:textAlignment w:val="center"/>
                    <w:rPr>
                      <w:rFonts w:hint="default" w:ascii="Times New Roman" w:hAnsi="Times New Roman" w:eastAsia="宋体" w:cs="Times New Roman"/>
                      <w:bCs/>
                      <w:color w:val="auto"/>
                      <w:spacing w:val="-20"/>
                      <w:szCs w:val="21"/>
                      <w:highlight w:val="none"/>
                      <w:lang w:val="en-US" w:eastAsia="zh-CN"/>
                    </w:rPr>
                  </w:pPr>
                  <w:r>
                    <w:rPr>
                      <w:rFonts w:hint="default" w:ascii="Times New Roman" w:hAnsi="Times New Roman" w:cs="Times New Roman"/>
                      <w:bCs/>
                      <w:color w:val="auto"/>
                      <w:spacing w:val="-20"/>
                      <w:szCs w:val="21"/>
                      <w:highlight w:val="none"/>
                    </w:rPr>
                    <w:t>1</w:t>
                  </w:r>
                </w:p>
              </w:tc>
              <w:tc>
                <w:tcPr>
                  <w:tcW w:w="555" w:type="pct"/>
                  <w:vMerge w:val="restart"/>
                  <w:tcBorders>
                    <w:tl2br w:val="nil"/>
                    <w:tr2bl w:val="nil"/>
                  </w:tcBorders>
                  <w:vAlign w:val="center"/>
                </w:tcPr>
                <w:p w14:paraId="12FD62CA">
                  <w:pPr>
                    <w:jc w:val="center"/>
                    <w:rPr>
                      <w:rFonts w:hint="default" w:ascii="Times New Roman" w:hAnsi="Times New Roman" w:eastAsia="宋体" w:cs="Times New Roman"/>
                      <w:color w:val="auto"/>
                      <w:spacing w:val="-20"/>
                      <w:highlight w:val="none"/>
                      <w:lang w:val="en-US" w:eastAsia="zh-CN"/>
                    </w:rPr>
                  </w:pPr>
                  <w:r>
                    <w:rPr>
                      <w:rFonts w:hint="default" w:ascii="Times New Roman" w:hAnsi="Times New Roman" w:cs="Times New Roman"/>
                      <w:color w:val="auto"/>
                      <w:spacing w:val="-20"/>
                      <w:highlight w:val="none"/>
                      <w:lang w:val="en-US" w:eastAsia="zh-CN"/>
                    </w:rPr>
                    <w:t>过滤棉+二级活性炭吸附装置</w:t>
                  </w:r>
                  <w:r>
                    <w:rPr>
                      <w:rFonts w:hint="default" w:ascii="Times New Roman" w:hAnsi="Times New Roman" w:cs="Times New Roman"/>
                      <w:color w:val="auto"/>
                      <w:spacing w:val="-20"/>
                      <w:highlight w:val="none"/>
                      <w:lang w:eastAsia="zh-CN"/>
                    </w:rPr>
                    <w:t>故障，</w:t>
                  </w:r>
                  <w:r>
                    <w:rPr>
                      <w:rFonts w:hint="default" w:ascii="Times New Roman" w:hAnsi="Times New Roman" w:cs="Times New Roman"/>
                      <w:color w:val="auto"/>
                      <w:spacing w:val="-20"/>
                      <w:highlight w:val="none"/>
                      <w:lang w:val="en-US" w:eastAsia="zh-CN"/>
                    </w:rPr>
                    <w:t>去除效率仅40%</w:t>
                  </w:r>
                </w:p>
              </w:tc>
              <w:tc>
                <w:tcPr>
                  <w:tcW w:w="481" w:type="pct"/>
                  <w:vMerge w:val="restart"/>
                  <w:tcBorders>
                    <w:tl2br w:val="nil"/>
                    <w:tr2bl w:val="nil"/>
                  </w:tcBorders>
                  <w:vAlign w:val="center"/>
                </w:tcPr>
                <w:p w14:paraId="01A06DA8">
                  <w:pPr>
                    <w:jc w:val="center"/>
                    <w:rPr>
                      <w:rFonts w:hint="default" w:ascii="Times New Roman" w:hAnsi="Times New Roman" w:cs="Times New Roman"/>
                      <w:color w:val="auto"/>
                      <w:spacing w:val="-20"/>
                      <w:highlight w:val="none"/>
                      <w:lang w:val="en-US" w:eastAsia="zh-CN"/>
                    </w:rPr>
                  </w:pPr>
                  <w:r>
                    <w:rPr>
                      <w:rFonts w:hint="default" w:ascii="Times New Roman" w:hAnsi="Times New Roman" w:cs="Times New Roman"/>
                      <w:color w:val="auto"/>
                      <w:spacing w:val="-20"/>
                      <w:highlight w:val="none"/>
                      <w:lang w:val="en-US" w:eastAsia="zh-CN"/>
                    </w:rPr>
                    <w:t>2</w:t>
                  </w:r>
                </w:p>
              </w:tc>
              <w:tc>
                <w:tcPr>
                  <w:tcW w:w="501" w:type="pct"/>
                  <w:vMerge w:val="restart"/>
                  <w:tcBorders>
                    <w:tl2br w:val="nil"/>
                    <w:tr2bl w:val="nil"/>
                  </w:tcBorders>
                  <w:vAlign w:val="center"/>
                </w:tcPr>
                <w:p w14:paraId="386C5E5E">
                  <w:pPr>
                    <w:jc w:val="center"/>
                    <w:rPr>
                      <w:rFonts w:hint="default" w:ascii="Times New Roman" w:hAnsi="Times New Roman" w:cs="Times New Roman"/>
                      <w:color w:val="auto"/>
                      <w:spacing w:val="-20"/>
                      <w:highlight w:val="none"/>
                      <w:lang w:eastAsia="zh-CN"/>
                    </w:rPr>
                  </w:pPr>
                  <w:r>
                    <w:rPr>
                      <w:rFonts w:hint="default" w:ascii="Times New Roman" w:hAnsi="Times New Roman" w:cs="Times New Roman"/>
                      <w:color w:val="auto"/>
                      <w:spacing w:val="-20"/>
                      <w:highlight w:val="none"/>
                      <w:lang w:eastAsia="zh-CN"/>
                    </w:rPr>
                    <w:t>停产检修</w:t>
                  </w:r>
                </w:p>
              </w:tc>
            </w:tr>
            <w:tr w14:paraId="119164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8" w:type="pct"/>
                  <w:vMerge w:val="continue"/>
                  <w:tcBorders>
                    <w:tl2br w:val="nil"/>
                    <w:tr2bl w:val="nil"/>
                  </w:tcBorders>
                  <w:vAlign w:val="center"/>
                </w:tcPr>
                <w:p w14:paraId="007BE83B">
                  <w:pPr>
                    <w:jc w:val="center"/>
                    <w:rPr>
                      <w:rFonts w:hint="default" w:ascii="Times New Roman" w:hAnsi="Times New Roman" w:cs="Times New Roman"/>
                      <w:bCs/>
                      <w:color w:val="auto"/>
                      <w:spacing w:val="-20"/>
                      <w:szCs w:val="21"/>
                      <w:highlight w:val="none"/>
                      <w:lang w:val="en-US" w:eastAsia="zh-CN"/>
                    </w:rPr>
                  </w:pPr>
                </w:p>
              </w:tc>
              <w:tc>
                <w:tcPr>
                  <w:tcW w:w="537" w:type="pct"/>
                  <w:vMerge w:val="continue"/>
                  <w:tcBorders>
                    <w:tl2br w:val="nil"/>
                    <w:tr2bl w:val="nil"/>
                  </w:tcBorders>
                  <w:vAlign w:val="center"/>
                </w:tcPr>
                <w:p w14:paraId="3EC989EC">
                  <w:pPr>
                    <w:adjustRightInd w:val="0"/>
                    <w:snapToGrid w:val="0"/>
                    <w:jc w:val="center"/>
                    <w:rPr>
                      <w:rFonts w:hint="default" w:ascii="Times New Roman" w:hAnsi="Times New Roman" w:cs="Times New Roman"/>
                      <w:color w:val="auto"/>
                      <w:spacing w:val="-20"/>
                      <w:kern w:val="0"/>
                      <w:sz w:val="21"/>
                      <w:szCs w:val="21"/>
                      <w:highlight w:val="none"/>
                      <w:lang w:val="en-US" w:eastAsia="zh-CN"/>
                    </w:rPr>
                  </w:pPr>
                </w:p>
              </w:tc>
              <w:tc>
                <w:tcPr>
                  <w:tcW w:w="494" w:type="pct"/>
                  <w:tcBorders>
                    <w:tl2br w:val="nil"/>
                    <w:tr2bl w:val="nil"/>
                  </w:tcBorders>
                  <w:vAlign w:val="center"/>
                </w:tcPr>
                <w:p w14:paraId="466A0463">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锡及其化合物</w:t>
                  </w:r>
                </w:p>
              </w:tc>
              <w:tc>
                <w:tcPr>
                  <w:tcW w:w="589" w:type="pct"/>
                  <w:tcBorders>
                    <w:tl2br w:val="nil"/>
                    <w:tr2bl w:val="nil"/>
                  </w:tcBorders>
                  <w:vAlign w:val="center"/>
                </w:tcPr>
                <w:p w14:paraId="18B8DFCA">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0.080</w:t>
                  </w:r>
                </w:p>
              </w:tc>
              <w:tc>
                <w:tcPr>
                  <w:tcW w:w="492" w:type="pct"/>
                  <w:tcBorders>
                    <w:tl2br w:val="nil"/>
                    <w:tr2bl w:val="nil"/>
                  </w:tcBorders>
                  <w:vAlign w:val="center"/>
                </w:tcPr>
                <w:p w14:paraId="52CF0752">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0.00016</w:t>
                  </w:r>
                </w:p>
              </w:tc>
              <w:tc>
                <w:tcPr>
                  <w:tcW w:w="589" w:type="pct"/>
                  <w:vMerge w:val="continue"/>
                  <w:tcBorders>
                    <w:tl2br w:val="nil"/>
                    <w:tr2bl w:val="nil"/>
                  </w:tcBorders>
                  <w:vAlign w:val="center"/>
                </w:tcPr>
                <w:p w14:paraId="223EC36A">
                  <w:pPr>
                    <w:widowControl/>
                    <w:jc w:val="center"/>
                    <w:textAlignment w:val="center"/>
                    <w:rPr>
                      <w:rFonts w:hint="default" w:ascii="Times New Roman" w:hAnsi="Times New Roman" w:eastAsia="宋体" w:cs="Times New Roman"/>
                      <w:bCs/>
                      <w:color w:val="auto"/>
                      <w:spacing w:val="-20"/>
                      <w:szCs w:val="21"/>
                      <w:highlight w:val="none"/>
                      <w:lang w:val="en-US" w:eastAsia="zh-CN"/>
                    </w:rPr>
                  </w:pPr>
                </w:p>
              </w:tc>
              <w:tc>
                <w:tcPr>
                  <w:tcW w:w="555" w:type="pct"/>
                  <w:vMerge w:val="continue"/>
                  <w:tcBorders>
                    <w:tl2br w:val="nil"/>
                    <w:tr2bl w:val="nil"/>
                  </w:tcBorders>
                  <w:vAlign w:val="center"/>
                </w:tcPr>
                <w:p w14:paraId="2F6CA74A">
                  <w:pPr>
                    <w:jc w:val="center"/>
                    <w:rPr>
                      <w:rFonts w:hint="default" w:ascii="Times New Roman" w:hAnsi="Times New Roman" w:cs="Times New Roman"/>
                      <w:color w:val="auto"/>
                      <w:spacing w:val="-20"/>
                      <w:highlight w:val="none"/>
                      <w:lang w:val="en-US" w:eastAsia="zh-CN"/>
                    </w:rPr>
                  </w:pPr>
                </w:p>
              </w:tc>
              <w:tc>
                <w:tcPr>
                  <w:tcW w:w="481" w:type="pct"/>
                  <w:vMerge w:val="continue"/>
                  <w:tcBorders>
                    <w:tl2br w:val="nil"/>
                    <w:tr2bl w:val="nil"/>
                  </w:tcBorders>
                  <w:vAlign w:val="center"/>
                </w:tcPr>
                <w:p w14:paraId="3EFCD708">
                  <w:pPr>
                    <w:jc w:val="center"/>
                    <w:rPr>
                      <w:rFonts w:hint="default" w:ascii="Times New Roman" w:hAnsi="Times New Roman" w:cs="Times New Roman"/>
                      <w:color w:val="auto"/>
                      <w:spacing w:val="-20"/>
                      <w:highlight w:val="none"/>
                      <w:lang w:val="en-US" w:eastAsia="zh-CN"/>
                    </w:rPr>
                  </w:pPr>
                </w:p>
              </w:tc>
              <w:tc>
                <w:tcPr>
                  <w:tcW w:w="501" w:type="pct"/>
                  <w:vMerge w:val="continue"/>
                  <w:tcBorders>
                    <w:tl2br w:val="nil"/>
                    <w:tr2bl w:val="nil"/>
                  </w:tcBorders>
                  <w:vAlign w:val="center"/>
                </w:tcPr>
                <w:p w14:paraId="36DC5BD4">
                  <w:pPr>
                    <w:jc w:val="center"/>
                    <w:rPr>
                      <w:rFonts w:hint="default" w:ascii="Times New Roman" w:hAnsi="Times New Roman" w:cs="Times New Roman"/>
                      <w:color w:val="auto"/>
                      <w:spacing w:val="-20"/>
                      <w:highlight w:val="none"/>
                      <w:lang w:eastAsia="zh-CN"/>
                    </w:rPr>
                  </w:pPr>
                </w:p>
              </w:tc>
            </w:tr>
            <w:tr w14:paraId="5EFC5F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8" w:type="pct"/>
                  <w:tcBorders>
                    <w:tl2br w:val="nil"/>
                    <w:tr2bl w:val="nil"/>
                  </w:tcBorders>
                  <w:vAlign w:val="center"/>
                </w:tcPr>
                <w:p w14:paraId="64B9390B">
                  <w:pPr>
                    <w:jc w:val="center"/>
                    <w:rPr>
                      <w:rFonts w:hint="default" w:ascii="Times New Roman" w:hAnsi="Times New Roman" w:cs="Times New Roman"/>
                      <w:bCs/>
                      <w:color w:val="auto"/>
                      <w:spacing w:val="-20"/>
                      <w:szCs w:val="21"/>
                      <w:highlight w:val="none"/>
                      <w:lang w:val="en-US" w:eastAsia="zh-CN"/>
                    </w:rPr>
                  </w:pPr>
                  <w:r>
                    <w:rPr>
                      <w:rFonts w:hint="default" w:ascii="Times New Roman" w:hAnsi="Times New Roman" w:cs="Times New Roman"/>
                      <w:bCs/>
                      <w:color w:val="auto"/>
                      <w:spacing w:val="-20"/>
                      <w:szCs w:val="21"/>
                      <w:highlight w:val="none"/>
                      <w:lang w:val="en-US" w:eastAsia="zh-CN"/>
                    </w:rPr>
                    <w:t>清洗</w:t>
                  </w:r>
                </w:p>
              </w:tc>
              <w:tc>
                <w:tcPr>
                  <w:tcW w:w="537" w:type="pct"/>
                  <w:tcBorders>
                    <w:tl2br w:val="nil"/>
                    <w:tr2bl w:val="nil"/>
                  </w:tcBorders>
                  <w:vAlign w:val="center"/>
                </w:tcPr>
                <w:p w14:paraId="6ABC816A">
                  <w:pPr>
                    <w:adjustRightInd w:val="0"/>
                    <w:snapToGrid w:val="0"/>
                    <w:jc w:val="center"/>
                    <w:rPr>
                      <w:rFonts w:hint="default" w:ascii="Times New Roman" w:hAnsi="Times New Roman" w:cs="Times New Roman"/>
                      <w:color w:val="auto"/>
                      <w:spacing w:val="-20"/>
                      <w:kern w:val="0"/>
                      <w:sz w:val="21"/>
                      <w:szCs w:val="21"/>
                      <w:highlight w:val="none"/>
                      <w:lang w:val="en-US" w:eastAsia="zh-CN"/>
                    </w:rPr>
                  </w:pPr>
                  <w:r>
                    <w:rPr>
                      <w:rFonts w:hint="default" w:ascii="Times New Roman" w:hAnsi="Times New Roman" w:cs="Times New Roman"/>
                      <w:color w:val="auto"/>
                      <w:spacing w:val="-20"/>
                      <w:kern w:val="0"/>
                      <w:sz w:val="21"/>
                      <w:szCs w:val="21"/>
                      <w:highlight w:val="none"/>
                      <w:lang w:val="en-US" w:eastAsia="zh-CN"/>
                    </w:rPr>
                    <w:t>6000m</w:t>
                  </w:r>
                  <w:r>
                    <w:rPr>
                      <w:rFonts w:hint="default" w:ascii="Times New Roman" w:hAnsi="Times New Roman" w:cs="Times New Roman"/>
                      <w:color w:val="auto"/>
                      <w:spacing w:val="-20"/>
                      <w:kern w:val="0"/>
                      <w:sz w:val="21"/>
                      <w:szCs w:val="21"/>
                      <w:highlight w:val="none"/>
                      <w:vertAlign w:val="superscript"/>
                      <w:lang w:val="en-US" w:eastAsia="zh-CN"/>
                    </w:rPr>
                    <w:t>3</w:t>
                  </w:r>
                  <w:r>
                    <w:rPr>
                      <w:rFonts w:hint="default" w:ascii="Times New Roman" w:hAnsi="Times New Roman" w:cs="Times New Roman"/>
                      <w:color w:val="auto"/>
                      <w:spacing w:val="-20"/>
                      <w:kern w:val="0"/>
                      <w:sz w:val="21"/>
                      <w:szCs w:val="21"/>
                      <w:highlight w:val="none"/>
                      <w:lang w:val="en-US" w:eastAsia="zh-CN"/>
                    </w:rPr>
                    <w:t>/h</w:t>
                  </w:r>
                </w:p>
              </w:tc>
              <w:tc>
                <w:tcPr>
                  <w:tcW w:w="494" w:type="pct"/>
                  <w:tcBorders>
                    <w:tl2br w:val="nil"/>
                    <w:tr2bl w:val="nil"/>
                  </w:tcBorders>
                  <w:vAlign w:val="center"/>
                </w:tcPr>
                <w:p w14:paraId="4A58685B">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非甲烷总烃</w:t>
                  </w:r>
                </w:p>
              </w:tc>
              <w:tc>
                <w:tcPr>
                  <w:tcW w:w="589" w:type="pct"/>
                  <w:tcBorders>
                    <w:tl2br w:val="nil"/>
                    <w:tr2bl w:val="nil"/>
                  </w:tcBorders>
                  <w:vAlign w:val="center"/>
                </w:tcPr>
                <w:p w14:paraId="2EA8C793">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6.88</w:t>
                  </w:r>
                </w:p>
              </w:tc>
              <w:tc>
                <w:tcPr>
                  <w:tcW w:w="492" w:type="pct"/>
                  <w:tcBorders>
                    <w:tl2br w:val="nil"/>
                    <w:tr2bl w:val="nil"/>
                  </w:tcBorders>
                  <w:vAlign w:val="center"/>
                </w:tcPr>
                <w:p w14:paraId="71E02867">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0.0138</w:t>
                  </w:r>
                </w:p>
              </w:tc>
              <w:tc>
                <w:tcPr>
                  <w:tcW w:w="589" w:type="pct"/>
                  <w:vMerge w:val="continue"/>
                  <w:tcBorders>
                    <w:tl2br w:val="nil"/>
                    <w:tr2bl w:val="nil"/>
                  </w:tcBorders>
                  <w:vAlign w:val="center"/>
                </w:tcPr>
                <w:p w14:paraId="779F714B">
                  <w:pPr>
                    <w:widowControl/>
                    <w:jc w:val="center"/>
                    <w:textAlignment w:val="center"/>
                    <w:rPr>
                      <w:rFonts w:hint="default" w:ascii="Times New Roman" w:hAnsi="Times New Roman" w:eastAsia="宋体" w:cs="Times New Roman"/>
                      <w:bCs/>
                      <w:color w:val="auto"/>
                      <w:spacing w:val="-20"/>
                      <w:szCs w:val="21"/>
                      <w:highlight w:val="none"/>
                      <w:lang w:val="en-US" w:eastAsia="zh-CN"/>
                    </w:rPr>
                  </w:pPr>
                </w:p>
              </w:tc>
              <w:tc>
                <w:tcPr>
                  <w:tcW w:w="555" w:type="pct"/>
                  <w:vMerge w:val="restart"/>
                  <w:tcBorders>
                    <w:tl2br w:val="nil"/>
                    <w:tr2bl w:val="nil"/>
                  </w:tcBorders>
                  <w:vAlign w:val="center"/>
                </w:tcPr>
                <w:p w14:paraId="7650F9E2">
                  <w:pPr>
                    <w:jc w:val="center"/>
                    <w:rPr>
                      <w:rFonts w:hint="default" w:ascii="Times New Roman" w:hAnsi="Times New Roman" w:cs="Times New Roman"/>
                      <w:color w:val="auto"/>
                      <w:spacing w:val="-20"/>
                      <w:highlight w:val="none"/>
                      <w:lang w:val="en-US" w:eastAsia="zh-CN"/>
                    </w:rPr>
                  </w:pPr>
                  <w:r>
                    <w:rPr>
                      <w:rFonts w:hint="default" w:ascii="Times New Roman" w:hAnsi="Times New Roman" w:cs="Times New Roman"/>
                      <w:color w:val="auto"/>
                      <w:spacing w:val="-20"/>
                      <w:highlight w:val="none"/>
                      <w:lang w:val="en-US" w:eastAsia="zh-CN"/>
                    </w:rPr>
                    <w:t>过滤棉+二级活性炭吸附装置故障，去除效率仅14%</w:t>
                  </w:r>
                </w:p>
              </w:tc>
              <w:tc>
                <w:tcPr>
                  <w:tcW w:w="481" w:type="pct"/>
                  <w:vMerge w:val="continue"/>
                  <w:tcBorders>
                    <w:tl2br w:val="nil"/>
                    <w:tr2bl w:val="nil"/>
                  </w:tcBorders>
                  <w:vAlign w:val="center"/>
                </w:tcPr>
                <w:p w14:paraId="41712DA0">
                  <w:pPr>
                    <w:jc w:val="center"/>
                    <w:rPr>
                      <w:rFonts w:hint="default" w:ascii="Times New Roman" w:hAnsi="Times New Roman" w:cs="Times New Roman"/>
                      <w:color w:val="auto"/>
                      <w:spacing w:val="-20"/>
                      <w:highlight w:val="none"/>
                      <w:lang w:val="en-US" w:eastAsia="zh-CN"/>
                    </w:rPr>
                  </w:pPr>
                </w:p>
              </w:tc>
              <w:tc>
                <w:tcPr>
                  <w:tcW w:w="501" w:type="pct"/>
                  <w:vMerge w:val="continue"/>
                  <w:tcBorders>
                    <w:tl2br w:val="nil"/>
                    <w:tr2bl w:val="nil"/>
                  </w:tcBorders>
                  <w:vAlign w:val="center"/>
                </w:tcPr>
                <w:p w14:paraId="2D84E462">
                  <w:pPr>
                    <w:jc w:val="center"/>
                    <w:rPr>
                      <w:rFonts w:hint="default" w:ascii="Times New Roman" w:hAnsi="Times New Roman" w:cs="Times New Roman"/>
                      <w:color w:val="auto"/>
                      <w:spacing w:val="-20"/>
                      <w:highlight w:val="none"/>
                      <w:lang w:eastAsia="zh-CN"/>
                    </w:rPr>
                  </w:pPr>
                </w:p>
              </w:tc>
            </w:tr>
            <w:tr w14:paraId="5E5938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8" w:type="pct"/>
                  <w:tcBorders>
                    <w:tl2br w:val="nil"/>
                    <w:tr2bl w:val="nil"/>
                  </w:tcBorders>
                  <w:vAlign w:val="center"/>
                </w:tcPr>
                <w:p w14:paraId="70006C30">
                  <w:pPr>
                    <w:jc w:val="center"/>
                    <w:rPr>
                      <w:rFonts w:hint="default" w:ascii="Times New Roman" w:hAnsi="Times New Roman" w:cs="Times New Roman"/>
                      <w:bCs/>
                      <w:color w:val="auto"/>
                      <w:spacing w:val="-20"/>
                      <w:szCs w:val="21"/>
                      <w:highlight w:val="none"/>
                      <w:lang w:val="en-US" w:eastAsia="zh-CN"/>
                    </w:rPr>
                  </w:pPr>
                  <w:r>
                    <w:rPr>
                      <w:rFonts w:hint="default" w:ascii="Times New Roman" w:hAnsi="Times New Roman" w:cs="Times New Roman"/>
                      <w:bCs/>
                      <w:color w:val="auto"/>
                      <w:spacing w:val="-20"/>
                      <w:szCs w:val="21"/>
                      <w:highlight w:val="none"/>
                      <w:lang w:val="en-US" w:eastAsia="zh-CN"/>
                    </w:rPr>
                    <w:t>灌封、烘干</w:t>
                  </w:r>
                </w:p>
              </w:tc>
              <w:tc>
                <w:tcPr>
                  <w:tcW w:w="537" w:type="pct"/>
                  <w:tcBorders>
                    <w:tl2br w:val="nil"/>
                    <w:tr2bl w:val="nil"/>
                  </w:tcBorders>
                  <w:vAlign w:val="center"/>
                </w:tcPr>
                <w:p w14:paraId="311C30F8">
                  <w:pPr>
                    <w:adjustRightInd w:val="0"/>
                    <w:snapToGrid w:val="0"/>
                    <w:jc w:val="center"/>
                    <w:rPr>
                      <w:rFonts w:hint="default" w:ascii="Times New Roman" w:hAnsi="Times New Roman" w:cs="Times New Roman"/>
                      <w:color w:val="auto"/>
                      <w:spacing w:val="-20"/>
                      <w:kern w:val="0"/>
                      <w:sz w:val="21"/>
                      <w:szCs w:val="21"/>
                      <w:highlight w:val="none"/>
                      <w:lang w:val="en-US" w:eastAsia="zh-CN"/>
                    </w:rPr>
                  </w:pPr>
                  <w:r>
                    <w:rPr>
                      <w:rFonts w:hint="default" w:ascii="Times New Roman" w:hAnsi="Times New Roman" w:cs="Times New Roman"/>
                      <w:color w:val="auto"/>
                      <w:spacing w:val="-20"/>
                      <w:kern w:val="0"/>
                      <w:sz w:val="21"/>
                      <w:szCs w:val="21"/>
                      <w:highlight w:val="none"/>
                      <w:lang w:val="en-US" w:eastAsia="zh-CN"/>
                    </w:rPr>
                    <w:t>6000m</w:t>
                  </w:r>
                  <w:r>
                    <w:rPr>
                      <w:rFonts w:hint="default" w:ascii="Times New Roman" w:hAnsi="Times New Roman" w:cs="Times New Roman"/>
                      <w:color w:val="auto"/>
                      <w:spacing w:val="-20"/>
                      <w:kern w:val="0"/>
                      <w:sz w:val="21"/>
                      <w:szCs w:val="21"/>
                      <w:highlight w:val="none"/>
                      <w:vertAlign w:val="superscript"/>
                      <w:lang w:val="en-US" w:eastAsia="zh-CN"/>
                    </w:rPr>
                    <w:t>3</w:t>
                  </w:r>
                  <w:r>
                    <w:rPr>
                      <w:rFonts w:hint="default" w:ascii="Times New Roman" w:hAnsi="Times New Roman" w:cs="Times New Roman"/>
                      <w:color w:val="auto"/>
                      <w:spacing w:val="-20"/>
                      <w:kern w:val="0"/>
                      <w:sz w:val="21"/>
                      <w:szCs w:val="21"/>
                      <w:highlight w:val="none"/>
                      <w:lang w:val="en-US" w:eastAsia="zh-CN"/>
                    </w:rPr>
                    <w:t>/h</w:t>
                  </w:r>
                </w:p>
              </w:tc>
              <w:tc>
                <w:tcPr>
                  <w:tcW w:w="494" w:type="pct"/>
                  <w:tcBorders>
                    <w:tl2br w:val="nil"/>
                    <w:tr2bl w:val="nil"/>
                  </w:tcBorders>
                  <w:vAlign w:val="center"/>
                </w:tcPr>
                <w:p w14:paraId="2EEB9187">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非甲烷总烃</w:t>
                  </w:r>
                </w:p>
              </w:tc>
              <w:tc>
                <w:tcPr>
                  <w:tcW w:w="589" w:type="pct"/>
                  <w:tcBorders>
                    <w:tl2br w:val="nil"/>
                    <w:tr2bl w:val="nil"/>
                  </w:tcBorders>
                  <w:vAlign w:val="center"/>
                </w:tcPr>
                <w:p w14:paraId="3D96B9B1">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0.423</w:t>
                  </w:r>
                </w:p>
              </w:tc>
              <w:tc>
                <w:tcPr>
                  <w:tcW w:w="492" w:type="pct"/>
                  <w:tcBorders>
                    <w:tl2br w:val="nil"/>
                    <w:tr2bl w:val="nil"/>
                  </w:tcBorders>
                  <w:vAlign w:val="center"/>
                </w:tcPr>
                <w:p w14:paraId="58EC72A2">
                  <w:pPr>
                    <w:widowControl/>
                    <w:jc w:val="center"/>
                    <w:textAlignment w:val="center"/>
                    <w:rPr>
                      <w:rFonts w:hint="default" w:ascii="Times New Roman" w:hAnsi="Times New Roman" w:cs="Times New Roman"/>
                      <w:color w:val="auto"/>
                      <w:spacing w:val="-20"/>
                      <w:kern w:val="0"/>
                      <w:szCs w:val="21"/>
                      <w:highlight w:val="none"/>
                      <w:lang w:val="en-US" w:eastAsia="zh-CN" w:bidi="ar"/>
                    </w:rPr>
                  </w:pPr>
                  <w:r>
                    <w:rPr>
                      <w:rFonts w:hint="default" w:ascii="Times New Roman" w:hAnsi="Times New Roman" w:cs="Times New Roman"/>
                      <w:color w:val="auto"/>
                      <w:spacing w:val="-20"/>
                      <w:kern w:val="0"/>
                      <w:szCs w:val="21"/>
                      <w:highlight w:val="none"/>
                      <w:lang w:val="en-US" w:eastAsia="zh-CN" w:bidi="ar"/>
                    </w:rPr>
                    <w:t>0.00084</w:t>
                  </w:r>
                </w:p>
              </w:tc>
              <w:tc>
                <w:tcPr>
                  <w:tcW w:w="589" w:type="pct"/>
                  <w:vMerge w:val="continue"/>
                  <w:tcBorders>
                    <w:tl2br w:val="nil"/>
                    <w:tr2bl w:val="nil"/>
                  </w:tcBorders>
                  <w:vAlign w:val="center"/>
                </w:tcPr>
                <w:p w14:paraId="1917DC6A">
                  <w:pPr>
                    <w:widowControl/>
                    <w:jc w:val="center"/>
                    <w:textAlignment w:val="center"/>
                    <w:rPr>
                      <w:rFonts w:hint="default" w:ascii="Times New Roman" w:hAnsi="Times New Roman" w:eastAsia="宋体" w:cs="Times New Roman"/>
                      <w:bCs/>
                      <w:color w:val="auto"/>
                      <w:spacing w:val="-20"/>
                      <w:szCs w:val="21"/>
                      <w:highlight w:val="none"/>
                      <w:lang w:val="en-US" w:eastAsia="zh-CN"/>
                    </w:rPr>
                  </w:pPr>
                </w:p>
              </w:tc>
              <w:tc>
                <w:tcPr>
                  <w:tcW w:w="555" w:type="pct"/>
                  <w:vMerge w:val="continue"/>
                  <w:tcBorders>
                    <w:tl2br w:val="nil"/>
                    <w:tr2bl w:val="nil"/>
                  </w:tcBorders>
                  <w:vAlign w:val="center"/>
                </w:tcPr>
                <w:p w14:paraId="2A681C67">
                  <w:pPr>
                    <w:jc w:val="center"/>
                    <w:rPr>
                      <w:rFonts w:hint="default" w:ascii="Times New Roman" w:hAnsi="Times New Roman" w:cs="Times New Roman"/>
                      <w:color w:val="auto"/>
                      <w:spacing w:val="-20"/>
                      <w:highlight w:val="none"/>
                      <w:lang w:val="en-US" w:eastAsia="zh-CN"/>
                    </w:rPr>
                  </w:pPr>
                </w:p>
              </w:tc>
              <w:tc>
                <w:tcPr>
                  <w:tcW w:w="481" w:type="pct"/>
                  <w:vMerge w:val="continue"/>
                  <w:tcBorders>
                    <w:tl2br w:val="nil"/>
                    <w:tr2bl w:val="nil"/>
                  </w:tcBorders>
                  <w:vAlign w:val="center"/>
                </w:tcPr>
                <w:p w14:paraId="019796EB">
                  <w:pPr>
                    <w:jc w:val="center"/>
                    <w:rPr>
                      <w:rFonts w:hint="default" w:ascii="Times New Roman" w:hAnsi="Times New Roman" w:cs="Times New Roman"/>
                      <w:color w:val="auto"/>
                      <w:spacing w:val="-20"/>
                      <w:highlight w:val="none"/>
                      <w:lang w:val="en-US" w:eastAsia="zh-CN"/>
                    </w:rPr>
                  </w:pPr>
                </w:p>
              </w:tc>
              <w:tc>
                <w:tcPr>
                  <w:tcW w:w="501" w:type="pct"/>
                  <w:vMerge w:val="continue"/>
                  <w:tcBorders>
                    <w:tl2br w:val="nil"/>
                    <w:tr2bl w:val="nil"/>
                  </w:tcBorders>
                  <w:vAlign w:val="center"/>
                </w:tcPr>
                <w:p w14:paraId="250D010E">
                  <w:pPr>
                    <w:jc w:val="center"/>
                    <w:rPr>
                      <w:rFonts w:hint="default" w:ascii="Times New Roman" w:hAnsi="Times New Roman" w:cs="Times New Roman"/>
                      <w:color w:val="auto"/>
                      <w:spacing w:val="-20"/>
                      <w:highlight w:val="none"/>
                      <w:lang w:eastAsia="zh-CN"/>
                    </w:rPr>
                  </w:pPr>
                </w:p>
              </w:tc>
            </w:tr>
          </w:tbl>
          <w:p w14:paraId="597C2D0A">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rPr>
              <w:t>在非正常工况下，</w:t>
            </w:r>
            <w:r>
              <w:rPr>
                <w:rFonts w:hint="default" w:ascii="Times New Roman" w:hAnsi="Times New Roman" w:cs="Times New Roman"/>
                <w:bCs/>
                <w:color w:val="auto"/>
                <w:sz w:val="24"/>
                <w:highlight w:val="none"/>
                <w:lang w:val="en-US" w:eastAsia="zh-CN"/>
              </w:rPr>
              <w:t>过滤棉+二级活性炭吸附装置对颗粒物与锡及其化合物的去除效率仅40%，对非甲烷总烃的去除效率仅14%，</w:t>
            </w:r>
            <w:r>
              <w:rPr>
                <w:rFonts w:hint="default" w:ascii="Times New Roman" w:hAnsi="Times New Roman" w:cs="Times New Roman"/>
                <w:bCs/>
                <w:color w:val="auto"/>
                <w:sz w:val="24"/>
                <w:highlight w:val="none"/>
              </w:rPr>
              <w:t>废气经过</w:t>
            </w:r>
            <w:r>
              <w:rPr>
                <w:rFonts w:hint="default" w:ascii="Times New Roman" w:hAnsi="Times New Roman" w:cs="Times New Roman"/>
                <w:bCs/>
                <w:color w:val="auto"/>
                <w:sz w:val="24"/>
                <w:highlight w:val="none"/>
                <w:lang w:val="en-US" w:eastAsia="zh-CN"/>
              </w:rPr>
              <w:t>不完全</w:t>
            </w:r>
            <w:r>
              <w:rPr>
                <w:rFonts w:hint="default" w:ascii="Times New Roman" w:hAnsi="Times New Roman" w:cs="Times New Roman"/>
                <w:bCs/>
                <w:color w:val="auto"/>
                <w:sz w:val="24"/>
                <w:highlight w:val="none"/>
              </w:rPr>
              <w:t>净化向空气中排放，</w:t>
            </w:r>
            <w:r>
              <w:rPr>
                <w:rFonts w:hint="default" w:ascii="Times New Roman" w:hAnsi="Times New Roman" w:cs="Times New Roman"/>
                <w:bCs/>
                <w:color w:val="auto"/>
                <w:sz w:val="24"/>
                <w:highlight w:val="none"/>
                <w:lang w:val="en-US" w:eastAsia="zh-CN"/>
              </w:rPr>
              <w:t>由于焊接过程无铅锡膏使用量较小，清洗、灌封、烘干环节非甲烷总烃产生量较小，经核算非正常工况下颗粒物、锡及其化合物、非甲烷总烃的排放浓度与排放速率也满足《大气污染物综合排放标准》（GB16297-1996）表2二级标准要求。</w:t>
            </w:r>
          </w:p>
          <w:p w14:paraId="3E831BE2">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为减少废气产生量，防止生产废气非正常工况排放，企业必须加强废气处理设施的管理，定期检修，确保废气处理设施正常运行，在废气处理设备停止运行或出现故障时，产生废气的各工序也必须相应停止生产。为</w:t>
            </w:r>
            <w:r>
              <w:rPr>
                <w:rFonts w:hint="default" w:ascii="Times New Roman" w:hAnsi="Times New Roman" w:cs="Times New Roman"/>
                <w:bCs/>
                <w:color w:val="auto"/>
                <w:sz w:val="24"/>
                <w:highlight w:val="none"/>
                <w:lang w:val="en-US" w:eastAsia="zh-CN"/>
              </w:rPr>
              <w:t>减少</w:t>
            </w:r>
            <w:r>
              <w:rPr>
                <w:rFonts w:hint="default" w:ascii="Times New Roman" w:hAnsi="Times New Roman" w:cs="Times New Roman"/>
                <w:bCs/>
                <w:color w:val="auto"/>
                <w:sz w:val="24"/>
                <w:highlight w:val="none"/>
              </w:rPr>
              <w:t>废气非正常排放，应采取以下措施降低废气对环境产生的</w:t>
            </w:r>
            <w:r>
              <w:rPr>
                <w:rFonts w:hint="default" w:ascii="Times New Roman" w:hAnsi="Times New Roman" w:cs="Times New Roman"/>
                <w:bCs/>
                <w:color w:val="auto"/>
                <w:sz w:val="24"/>
                <w:highlight w:val="none"/>
                <w:lang w:val="en-US" w:eastAsia="zh-CN"/>
              </w:rPr>
              <w:t>影响</w:t>
            </w:r>
            <w:r>
              <w:rPr>
                <w:rFonts w:hint="default" w:ascii="Times New Roman" w:hAnsi="Times New Roman" w:cs="Times New Roman"/>
                <w:bCs/>
                <w:color w:val="auto"/>
                <w:sz w:val="24"/>
                <w:highlight w:val="none"/>
                <w:lang w:eastAsia="zh-CN"/>
              </w:rPr>
              <w:t>：</w:t>
            </w:r>
          </w:p>
          <w:p w14:paraId="643683BF">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①安排专人负责环保设备的日常维护和管理，每个月固定时间检查、汇报情况，及时发现废气治理设施的隐患，确保废气处理系统正常运行。</w:t>
            </w:r>
          </w:p>
          <w:p w14:paraId="4F348CB5">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②应定期维护、检查废气净化装置，以保持废气处理装置的净化能力和净化容量。</w:t>
            </w:r>
          </w:p>
          <w:p w14:paraId="5C689F31">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③建立健全的环保管理制度，对环保管理人员和技术人员进行岗位培训，委托具有专业资质的环境监测单位对项目排放的污染物进行定期监测。</w:t>
            </w:r>
          </w:p>
          <w:p w14:paraId="064C3F73">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④生产车间生产设施运行时，废气处理设施开启，关闭生产设施过一段时间后再关闭影响废气处理设施，保证废气得到有效处理。</w:t>
            </w:r>
          </w:p>
          <w:p w14:paraId="2CD09ECE">
            <w:pPr>
              <w:spacing w:line="360" w:lineRule="auto"/>
              <w:ind w:firstLine="480" w:firstLineChars="200"/>
              <w:jc w:val="both"/>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综上所述，项目大气污染物采取相应的措施后</w:t>
            </w:r>
            <w:r>
              <w:rPr>
                <w:rFonts w:hint="default" w:ascii="Times New Roman" w:hAnsi="Times New Roman" w:cs="Times New Roman"/>
                <w:snapToGrid w:val="0"/>
                <w:color w:val="auto"/>
                <w:kern w:val="0"/>
                <w:sz w:val="24"/>
                <w:highlight w:val="none"/>
                <w:lang w:eastAsia="zh-CN"/>
              </w:rPr>
              <w:t>，</w:t>
            </w:r>
            <w:r>
              <w:rPr>
                <w:rFonts w:hint="default" w:ascii="Times New Roman" w:hAnsi="Times New Roman" w:cs="Times New Roman"/>
                <w:snapToGrid w:val="0"/>
                <w:color w:val="auto"/>
                <w:kern w:val="0"/>
                <w:sz w:val="24"/>
                <w:highlight w:val="none"/>
              </w:rPr>
              <w:t>对环境造成的影响较小。</w:t>
            </w:r>
          </w:p>
          <w:p w14:paraId="607F9BB1">
            <w:pPr>
              <w:spacing w:line="360" w:lineRule="auto"/>
              <w:ind w:firstLine="480" w:firstLineChars="200"/>
              <w:jc w:val="both"/>
              <w:rPr>
                <w:rFonts w:hint="default" w:ascii="Times New Roman" w:hAnsi="Times New Roman"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lang w:eastAsia="zh-CN"/>
              </w:rPr>
              <w:t>（</w:t>
            </w:r>
            <w:r>
              <w:rPr>
                <w:rFonts w:hint="default" w:ascii="Times New Roman" w:hAnsi="Times New Roman" w:cs="Times New Roman"/>
                <w:snapToGrid w:val="0"/>
                <w:color w:val="auto"/>
                <w:kern w:val="0"/>
                <w:sz w:val="24"/>
                <w:highlight w:val="none"/>
                <w:lang w:val="en-US" w:eastAsia="zh-CN"/>
              </w:rPr>
              <w:t>5</w:t>
            </w:r>
            <w:r>
              <w:rPr>
                <w:rFonts w:hint="default" w:ascii="Times New Roman" w:hAnsi="Times New Roman" w:cs="Times New Roman"/>
                <w:snapToGrid w:val="0"/>
                <w:color w:val="auto"/>
                <w:kern w:val="0"/>
                <w:sz w:val="24"/>
                <w:highlight w:val="none"/>
                <w:lang w:eastAsia="zh-CN"/>
              </w:rPr>
              <w:t>）</w:t>
            </w:r>
            <w:r>
              <w:rPr>
                <w:rFonts w:hint="default" w:ascii="Times New Roman" w:hAnsi="Times New Roman" w:cs="Times New Roman"/>
                <w:snapToGrid w:val="0"/>
                <w:color w:val="auto"/>
                <w:kern w:val="0"/>
                <w:sz w:val="24"/>
                <w:highlight w:val="none"/>
                <w:lang w:val="en-US" w:eastAsia="zh-CN"/>
              </w:rPr>
              <w:t>环境影响</w:t>
            </w:r>
          </w:p>
          <w:p w14:paraId="5D5C1A14">
            <w:pPr>
              <w:spacing w:line="360" w:lineRule="auto"/>
              <w:ind w:firstLine="480" w:firstLineChars="200"/>
              <w:jc w:val="both"/>
              <w:rPr>
                <w:rFonts w:hint="default" w:ascii="Times New Roman" w:hAnsi="Times New Roman"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lang w:val="en-US" w:eastAsia="zh-CN"/>
              </w:rPr>
              <w:t>本项目生产过程中产生的废气为焊接环节产生的焊接烟尘、清洗环节清洗剂挥发产生的有机废气、灌封与烘干过程产生的有机废气。焊接环节产生的焊接烟尘、清洗环节、灌封环节以及烘干环节产生的有机废气均经集气罩收集后通过1套过滤棉＋二级活性炭吸附装置处理后通过34m高排气筒排放。</w:t>
            </w:r>
          </w:p>
          <w:p w14:paraId="4852EE79">
            <w:pPr>
              <w:spacing w:line="360" w:lineRule="auto"/>
              <w:ind w:firstLine="480" w:firstLineChars="200"/>
              <w:jc w:val="both"/>
              <w:rPr>
                <w:rFonts w:hint="default" w:ascii="Times New Roman" w:hAnsi="Times New Roman"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lang w:val="en-US" w:eastAsia="zh-CN"/>
              </w:rPr>
              <w:t>本项目各产排污环节均采取有效治理措施，污染物可达标排放，污染物排放量符合要求。因此，本项目废气排放对周边环境空气影响较小。</w:t>
            </w:r>
          </w:p>
          <w:p w14:paraId="3EE680B6">
            <w:pPr>
              <w:spacing w:line="360" w:lineRule="auto"/>
              <w:ind w:firstLine="480" w:firstLineChars="200"/>
              <w:jc w:val="both"/>
              <w:rPr>
                <w:rFonts w:hint="default" w:ascii="Times New Roman" w:hAnsi="Times New Roman"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lang w:val="en-US" w:eastAsia="zh-CN"/>
              </w:rPr>
              <w:t>排气筒高度合理性分析：</w:t>
            </w:r>
          </w:p>
          <w:p w14:paraId="16C6EE23">
            <w:pPr>
              <w:spacing w:line="360" w:lineRule="auto"/>
              <w:ind w:firstLine="480" w:firstLineChars="200"/>
              <w:jc w:val="both"/>
              <w:rPr>
                <w:rFonts w:hint="default" w:ascii="Times New Roman" w:hAnsi="Times New Roman"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lang w:val="en-US" w:eastAsia="zh-CN"/>
              </w:rPr>
              <w:t>据现场调查，周围200m半径范围最高建筑为28m。根据《大气污染物综合排放标准》（GB 16297-1996）7.1，“排气筒高度除须遵守表列排放速率标准值外，还应高出周围200m半径范围的建筑5m以上”。本项目排气筒DA001高度为34m，排放速率采用内插法进行计算，颗粒物最高允许排放速率为29.4kg/h，锡及其化合物最高允许排放速率为2.28kg/h，非甲烷总烃最高允许排放速率为71.8kg/h。本项目各大气污染物经34m排气筒排放速率均不超过根据内插法计算得最高允许排放速率，因此使用34m高排气筒进行排气可行。</w:t>
            </w:r>
          </w:p>
          <w:p w14:paraId="01FE13FC">
            <w:pPr>
              <w:adjustRightInd w:val="0"/>
              <w:snapToGrid w:val="0"/>
              <w:spacing w:line="360" w:lineRule="auto"/>
              <w:ind w:firstLine="482" w:firstLineChars="200"/>
              <w:jc w:val="left"/>
              <w:rPr>
                <w:rFonts w:hint="default" w:ascii="Times New Roman" w:hAnsi="Times New Roman" w:cs="Times New Roman"/>
                <w:b/>
                <w:color w:val="auto"/>
                <w:sz w:val="24"/>
                <w:highlight w:val="none"/>
                <w:lang w:eastAsia="zh-CN"/>
              </w:rPr>
            </w:pPr>
            <w:r>
              <w:rPr>
                <w:rFonts w:hint="default" w:ascii="Times New Roman" w:hAnsi="Times New Roman" w:cs="Times New Roman"/>
                <w:b/>
                <w:color w:val="auto"/>
                <w:sz w:val="24"/>
                <w:highlight w:val="none"/>
                <w:lang w:eastAsia="zh-CN"/>
              </w:rPr>
              <w:t>二、废水</w:t>
            </w:r>
          </w:p>
          <w:p w14:paraId="709EE7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运营过程产生的废水为生活污水</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食堂废水</w:t>
            </w:r>
            <w:r>
              <w:rPr>
                <w:rFonts w:hint="eastAsia" w:cs="Times New Roman"/>
                <w:color w:val="auto"/>
                <w:sz w:val="24"/>
                <w:szCs w:val="24"/>
                <w:highlight w:val="none"/>
                <w:lang w:val="en-US" w:eastAsia="zh-CN"/>
              </w:rPr>
              <w:t>与纯水机浓水</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纯水机制备纯水产生的部分浓水回用于道路浇洒用水，多余的浓水经市政污水管网排入沣西新城大王污水处理厂；</w:t>
            </w:r>
            <w:r>
              <w:rPr>
                <w:rFonts w:hint="eastAsia" w:cs="Times New Roman"/>
                <w:color w:val="auto"/>
                <w:sz w:val="24"/>
                <w:szCs w:val="24"/>
                <w:highlight w:val="none"/>
                <w:lang w:val="en-US" w:eastAsia="zh-CN"/>
              </w:rPr>
              <w:t>空调冷水机组</w:t>
            </w:r>
            <w:r>
              <w:rPr>
                <w:rFonts w:hint="default" w:ascii="Times New Roman" w:hAnsi="Times New Roman" w:cs="Times New Roman"/>
                <w:color w:val="auto"/>
                <w:sz w:val="24"/>
                <w:szCs w:val="24"/>
                <w:highlight w:val="none"/>
                <w:lang w:val="en-US" w:eastAsia="zh-CN"/>
              </w:rPr>
              <w:t>冷却循环水不外排，定期补充损耗；食堂废水经油水分离器处理后与</w:t>
            </w:r>
            <w:r>
              <w:rPr>
                <w:rFonts w:hint="default" w:ascii="Times New Roman" w:hAnsi="Times New Roman" w:cs="Times New Roman"/>
                <w:color w:val="auto"/>
                <w:sz w:val="24"/>
                <w:szCs w:val="24"/>
                <w:highlight w:val="none"/>
                <w:lang w:eastAsia="zh-CN"/>
              </w:rPr>
              <w:t>生活污水</w:t>
            </w:r>
            <w:r>
              <w:rPr>
                <w:rFonts w:hint="default" w:ascii="Times New Roman" w:hAnsi="Times New Roman" w:cs="Times New Roman"/>
                <w:color w:val="auto"/>
                <w:sz w:val="24"/>
                <w:szCs w:val="24"/>
                <w:highlight w:val="none"/>
                <w:lang w:val="en-US" w:eastAsia="zh-CN"/>
              </w:rPr>
              <w:t>均经厂区化粪池预处理后再经</w:t>
            </w:r>
            <w:r>
              <w:rPr>
                <w:rFonts w:hint="default" w:ascii="Times New Roman" w:hAnsi="Times New Roman" w:cs="Times New Roman"/>
                <w:color w:val="auto"/>
                <w:sz w:val="24"/>
                <w:szCs w:val="24"/>
                <w:highlight w:val="none"/>
              </w:rPr>
              <w:t>市政污水管网排</w:t>
            </w:r>
            <w:r>
              <w:rPr>
                <w:rFonts w:hint="default" w:ascii="Times New Roman" w:hAnsi="Times New Roman" w:cs="Times New Roman"/>
                <w:color w:val="auto"/>
                <w:sz w:val="24"/>
                <w:szCs w:val="24"/>
                <w:highlight w:val="none"/>
              </w:rPr>
              <w:t>入</w:t>
            </w:r>
            <w:r>
              <w:rPr>
                <w:rFonts w:hint="default" w:ascii="Times New Roman" w:hAnsi="Times New Roman" w:cs="Times New Roman"/>
                <w:color w:val="auto"/>
                <w:sz w:val="24"/>
                <w:szCs w:val="24"/>
                <w:highlight w:val="none"/>
                <w:lang w:val="en-US" w:eastAsia="zh-CN"/>
              </w:rPr>
              <w:t>沣西新城大王</w:t>
            </w:r>
            <w:r>
              <w:rPr>
                <w:rFonts w:hint="default" w:ascii="Times New Roman" w:hAnsi="Times New Roman" w:cs="Times New Roman"/>
                <w:color w:val="auto"/>
                <w:sz w:val="24"/>
                <w:szCs w:val="24"/>
                <w:highlight w:val="none"/>
                <w:lang w:eastAsia="zh-CN"/>
              </w:rPr>
              <w:t>污水处理厂</w:t>
            </w:r>
            <w:r>
              <w:rPr>
                <w:rFonts w:hint="default" w:ascii="Times New Roman" w:hAnsi="Times New Roman" w:cs="Times New Roman"/>
                <w:color w:val="auto"/>
                <w:sz w:val="24"/>
                <w:szCs w:val="24"/>
                <w:highlight w:val="none"/>
              </w:rPr>
              <w:t>进一步处理。</w:t>
            </w:r>
          </w:p>
          <w:p w14:paraId="39A41D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）废水达标排放情况分析</w:t>
            </w:r>
          </w:p>
          <w:p w14:paraId="14B9FB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本项目定员</w:t>
            </w:r>
            <w:r>
              <w:rPr>
                <w:rFonts w:hint="default" w:ascii="Times New Roman" w:hAnsi="Times New Roman" w:cs="Times New Roman"/>
                <w:color w:val="auto"/>
                <w:sz w:val="24"/>
                <w:szCs w:val="24"/>
                <w:highlight w:val="none"/>
                <w:lang w:val="en-US" w:eastAsia="zh-CN"/>
              </w:rPr>
              <w:t>1200</w:t>
            </w:r>
            <w:r>
              <w:rPr>
                <w:rFonts w:hint="default" w:ascii="Times New Roman" w:hAnsi="Times New Roman" w:cs="Times New Roman"/>
                <w:color w:val="auto"/>
                <w:sz w:val="24"/>
                <w:szCs w:val="24"/>
                <w:highlight w:val="none"/>
              </w:rPr>
              <w:t>人，</w:t>
            </w:r>
            <w:r>
              <w:rPr>
                <w:rFonts w:hint="default" w:ascii="Times New Roman" w:hAnsi="Times New Roman" w:cs="Times New Roman"/>
                <w:color w:val="auto"/>
                <w:sz w:val="24"/>
                <w:szCs w:val="24"/>
                <w:highlight w:val="none"/>
                <w:lang w:val="en-US" w:eastAsia="zh-CN"/>
              </w:rPr>
              <w:t>生活</w:t>
            </w:r>
            <w:r>
              <w:rPr>
                <w:rFonts w:hint="default" w:ascii="Times New Roman" w:hAnsi="Times New Roman" w:cs="Times New Roman"/>
                <w:color w:val="auto"/>
                <w:sz w:val="24"/>
                <w:szCs w:val="24"/>
                <w:highlight w:val="none"/>
              </w:rPr>
              <w:t>污水排放量为</w:t>
            </w:r>
            <w:r>
              <w:rPr>
                <w:rFonts w:hint="default" w:ascii="Times New Roman" w:hAnsi="Times New Roman" w:cs="Times New Roman"/>
                <w:color w:val="auto"/>
                <w:sz w:val="24"/>
                <w:szCs w:val="24"/>
                <w:highlight w:val="none"/>
                <w:lang w:val="en-US" w:eastAsia="zh-CN"/>
              </w:rPr>
              <w:t>95.81</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23952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其中食堂废水为25.2m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/d（6300m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r>
              <w:rPr>
                <w:rFonts w:hint="eastAsia" w:cs="Times New Roman"/>
                <w:color w:val="auto"/>
                <w:sz w:val="24"/>
                <w:szCs w:val="24"/>
                <w:highlight w:val="none"/>
                <w:lang w:val="en-US" w:eastAsia="zh-CN"/>
              </w:rPr>
              <w:t>，浓水排放量为4200m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/a</w:t>
            </w:r>
            <w:r>
              <w:rPr>
                <w:rFonts w:hint="default" w:ascii="Times New Roman" w:hAnsi="Times New Roman" w:cs="Times New Roman"/>
                <w:color w:val="auto"/>
                <w:sz w:val="24"/>
                <w:szCs w:val="24"/>
                <w:highlight w:val="none"/>
              </w:rPr>
              <w:t>。本项目产生的废水中主要污染物为</w:t>
            </w:r>
            <w:r>
              <w:rPr>
                <w:rFonts w:hint="default" w:ascii="Times New Roman" w:hAnsi="Times New Roman" w:cs="Times New Roman"/>
                <w:color w:val="auto"/>
                <w:sz w:val="24"/>
                <w:szCs w:val="24"/>
                <w:highlight w:val="none"/>
                <w:lang w:val="en-US" w:eastAsia="zh-CN"/>
              </w:rPr>
              <w:t>pH、</w:t>
            </w:r>
            <w:r>
              <w:rPr>
                <w:rFonts w:hint="default" w:ascii="Times New Roman" w:hAnsi="Times New Roman" w:cs="Times New Roman"/>
                <w:color w:val="auto"/>
                <w:sz w:val="24"/>
                <w:szCs w:val="24"/>
                <w:highlight w:val="none"/>
              </w:rPr>
              <w:t>COD、BOD</w:t>
            </w:r>
            <w:r>
              <w:rPr>
                <w:rFonts w:hint="default" w:ascii="Times New Roman" w:hAnsi="Times New Roman" w:cs="Times New Roman"/>
                <w:color w:val="auto"/>
                <w:sz w:val="24"/>
                <w:szCs w:val="24"/>
                <w:highlight w:val="none"/>
                <w:vertAlign w:val="subscript"/>
              </w:rPr>
              <w:t>5</w:t>
            </w:r>
            <w:r>
              <w:rPr>
                <w:rFonts w:hint="default" w:ascii="Times New Roman" w:hAnsi="Times New Roman" w:cs="Times New Roman"/>
                <w:color w:val="auto"/>
                <w:sz w:val="24"/>
                <w:szCs w:val="24"/>
                <w:highlight w:val="none"/>
              </w:rPr>
              <w:t>、SS、NH</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-N、总磷、总氮</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动植物油</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生活污水主要污染物浓度参照《给排水设计手册</w:t>
            </w:r>
            <w:r>
              <w:rPr>
                <w:rFonts w:hint="default" w:ascii="Times New Roman" w:hAnsi="Times New Roman" w:cs="Times New Roman"/>
                <w:color w:val="auto"/>
                <w:sz w:val="24"/>
                <w:szCs w:val="24"/>
                <w:highlight w:val="none"/>
                <w:lang w:val="en-US" w:eastAsia="zh-CN"/>
              </w:rPr>
              <w:t xml:space="preserve"> 第二版 第05期 城镇排水</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本项目生活污水排放情况见表</w:t>
            </w:r>
            <w:r>
              <w:rPr>
                <w:rFonts w:hint="default" w:ascii="Times New Roman" w:hAnsi="Times New Roman" w:cs="Times New Roman"/>
                <w:color w:val="auto"/>
                <w:sz w:val="24"/>
                <w:szCs w:val="24"/>
                <w:highlight w:val="none"/>
                <w:lang w:val="en-US" w:eastAsia="zh-CN"/>
              </w:rPr>
              <w:t>4-6。</w:t>
            </w:r>
          </w:p>
          <w:p w14:paraId="1A9364BA">
            <w:pPr>
              <w:pStyle w:val="2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9"/>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w:t>
            </w:r>
            <w:r>
              <w:rPr>
                <w:rFonts w:hint="default" w:ascii="Times New Roman" w:hAnsi="Times New Roman" w:cs="Times New Roman"/>
                <w:b/>
                <w:color w:val="auto"/>
                <w:sz w:val="21"/>
                <w:szCs w:val="21"/>
                <w:highlight w:val="none"/>
                <w:lang w:val="en-US" w:eastAsia="zh-CN"/>
              </w:rPr>
              <w:t>4-6</w:t>
            </w:r>
            <w:r>
              <w:rPr>
                <w:rFonts w:hint="default" w:ascii="Times New Roman" w:hAnsi="Times New Roman" w:cs="Times New Roman"/>
                <w:b/>
                <w:color w:val="auto"/>
                <w:sz w:val="21"/>
                <w:szCs w:val="21"/>
                <w:highlight w:val="none"/>
              </w:rPr>
              <w:t xml:space="preserve">   项目水污染物产生源强一览表</w:t>
            </w:r>
          </w:p>
          <w:tbl>
            <w:tblPr>
              <w:tblStyle w:val="28"/>
              <w:tblW w:w="4997"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626"/>
              <w:gridCol w:w="781"/>
              <w:gridCol w:w="910"/>
              <w:gridCol w:w="715"/>
              <w:gridCol w:w="715"/>
              <w:gridCol w:w="802"/>
              <w:gridCol w:w="802"/>
              <w:gridCol w:w="645"/>
              <w:gridCol w:w="722"/>
            </w:tblGrid>
            <w:tr w14:paraId="34DF1D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6" w:type="pct"/>
                  <w:tcBorders>
                    <w:tl2br w:val="nil"/>
                    <w:tr2bl w:val="nil"/>
                  </w:tcBorders>
                  <w:vAlign w:val="center"/>
                </w:tcPr>
                <w:p w14:paraId="65B7882D">
                  <w:pPr>
                    <w:pStyle w:val="25"/>
                    <w:adjustRightInd w:val="0"/>
                    <w:snapToGrid w:val="0"/>
                    <w:spacing w:line="240" w:lineRule="auto"/>
                    <w:ind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指标</w:t>
                  </w:r>
                </w:p>
              </w:tc>
              <w:tc>
                <w:tcPr>
                  <w:tcW w:w="448" w:type="pct"/>
                  <w:tcBorders>
                    <w:tl2br w:val="nil"/>
                    <w:tr2bl w:val="nil"/>
                  </w:tcBorders>
                  <w:vAlign w:val="center"/>
                </w:tcPr>
                <w:p w14:paraId="44E692DF">
                  <w:pPr>
                    <w:keepNext w:val="0"/>
                    <w:keepLines w:val="0"/>
                    <w:widowControl/>
                    <w:suppressLineNumbers w:val="0"/>
                    <w:jc w:val="center"/>
                    <w:textAlignment w:val="center"/>
                    <w:rPr>
                      <w:rStyle w:val="55"/>
                      <w:rFonts w:hint="default" w:ascii="Times New Roman" w:hAnsi="Times New Roman" w:eastAsia="宋体" w:cs="Times New Roman"/>
                      <w:color w:val="auto"/>
                      <w:spacing w:val="-11"/>
                      <w:sz w:val="21"/>
                      <w:szCs w:val="21"/>
                      <w:highlight w:val="none"/>
                      <w:lang w:val="en-US" w:eastAsia="zh-CN" w:bidi="ar"/>
                    </w:rPr>
                  </w:pPr>
                  <w:r>
                    <w:rPr>
                      <w:rStyle w:val="55"/>
                      <w:rFonts w:hint="default" w:ascii="Times New Roman" w:hAnsi="Times New Roman" w:cs="Times New Roman"/>
                      <w:color w:val="auto"/>
                      <w:spacing w:val="-11"/>
                      <w:sz w:val="21"/>
                      <w:szCs w:val="21"/>
                      <w:highlight w:val="none"/>
                      <w:lang w:val="en-US" w:eastAsia="zh-CN" w:bidi="ar"/>
                    </w:rPr>
                    <w:t>pH</w:t>
                  </w:r>
                </w:p>
              </w:tc>
              <w:tc>
                <w:tcPr>
                  <w:tcW w:w="522" w:type="pct"/>
                  <w:tcBorders>
                    <w:tl2br w:val="nil"/>
                    <w:tr2bl w:val="nil"/>
                  </w:tcBorders>
                  <w:vAlign w:val="center"/>
                </w:tcPr>
                <w:p w14:paraId="552C8BF8">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Style w:val="55"/>
                      <w:rFonts w:hint="default" w:ascii="Times New Roman" w:hAnsi="Times New Roman" w:eastAsia="宋体" w:cs="Times New Roman"/>
                      <w:color w:val="auto"/>
                      <w:spacing w:val="-11"/>
                      <w:sz w:val="21"/>
                      <w:szCs w:val="21"/>
                      <w:highlight w:val="none"/>
                      <w:lang w:val="en-US" w:eastAsia="zh-CN" w:bidi="ar"/>
                    </w:rPr>
                    <w:t>COD</w:t>
                  </w:r>
                </w:p>
              </w:tc>
              <w:tc>
                <w:tcPr>
                  <w:tcW w:w="410" w:type="pct"/>
                  <w:tcBorders>
                    <w:tl2br w:val="nil"/>
                    <w:tr2bl w:val="nil"/>
                  </w:tcBorders>
                  <w:vAlign w:val="center"/>
                </w:tcPr>
                <w:p w14:paraId="0BF8E4E7">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Style w:val="55"/>
                      <w:rFonts w:hint="default" w:ascii="Times New Roman" w:hAnsi="Times New Roman" w:eastAsia="宋体" w:cs="Times New Roman"/>
                      <w:color w:val="auto"/>
                      <w:spacing w:val="-11"/>
                      <w:sz w:val="21"/>
                      <w:szCs w:val="21"/>
                      <w:highlight w:val="none"/>
                      <w:lang w:val="en-US" w:eastAsia="zh-CN" w:bidi="ar"/>
                    </w:rPr>
                    <w:t>BOD</w:t>
                  </w:r>
                  <w:r>
                    <w:rPr>
                      <w:rStyle w:val="56"/>
                      <w:rFonts w:hint="default" w:ascii="Times New Roman" w:hAnsi="Times New Roman" w:eastAsia="宋体" w:cs="Times New Roman"/>
                      <w:color w:val="auto"/>
                      <w:spacing w:val="-11"/>
                      <w:sz w:val="21"/>
                      <w:szCs w:val="21"/>
                      <w:highlight w:val="none"/>
                      <w:lang w:val="en-US" w:eastAsia="zh-CN" w:bidi="ar"/>
                    </w:rPr>
                    <w:t>5</w:t>
                  </w:r>
                </w:p>
              </w:tc>
              <w:tc>
                <w:tcPr>
                  <w:tcW w:w="410" w:type="pct"/>
                  <w:tcBorders>
                    <w:tl2br w:val="nil"/>
                    <w:tr2bl w:val="nil"/>
                  </w:tcBorders>
                  <w:vAlign w:val="center"/>
                </w:tcPr>
                <w:p w14:paraId="08609BC5">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Style w:val="55"/>
                      <w:rFonts w:hint="default" w:ascii="Times New Roman" w:hAnsi="Times New Roman" w:eastAsia="宋体" w:cs="Times New Roman"/>
                      <w:color w:val="auto"/>
                      <w:spacing w:val="-11"/>
                      <w:sz w:val="21"/>
                      <w:szCs w:val="21"/>
                      <w:highlight w:val="none"/>
                      <w:lang w:val="en-US" w:eastAsia="zh-CN" w:bidi="ar"/>
                    </w:rPr>
                    <w:t>SS</w:t>
                  </w:r>
                </w:p>
              </w:tc>
              <w:tc>
                <w:tcPr>
                  <w:tcW w:w="460" w:type="pct"/>
                  <w:tcBorders>
                    <w:tl2br w:val="nil"/>
                    <w:tr2bl w:val="nil"/>
                  </w:tcBorders>
                  <w:vAlign w:val="center"/>
                </w:tcPr>
                <w:p w14:paraId="23428DA4">
                  <w:pPr>
                    <w:keepNext w:val="0"/>
                    <w:keepLines w:val="0"/>
                    <w:widowControl/>
                    <w:suppressLineNumbers w:val="0"/>
                    <w:jc w:val="center"/>
                    <w:textAlignment w:val="center"/>
                    <w:rPr>
                      <w:rStyle w:val="55"/>
                      <w:rFonts w:hint="default" w:ascii="Times New Roman" w:hAnsi="Times New Roman" w:eastAsia="宋体" w:cs="Times New Roman"/>
                      <w:color w:val="auto"/>
                      <w:spacing w:val="-11"/>
                      <w:sz w:val="21"/>
                      <w:szCs w:val="21"/>
                      <w:highlight w:val="none"/>
                      <w:lang w:val="en-US" w:eastAsia="zh-CN" w:bidi="ar"/>
                    </w:rPr>
                  </w:pPr>
                  <w:r>
                    <w:rPr>
                      <w:rStyle w:val="55"/>
                      <w:rFonts w:hint="default" w:ascii="Times New Roman" w:hAnsi="Times New Roman" w:cs="Times New Roman"/>
                      <w:color w:val="auto"/>
                      <w:spacing w:val="-11"/>
                      <w:sz w:val="21"/>
                      <w:szCs w:val="21"/>
                      <w:highlight w:val="none"/>
                      <w:lang w:val="en-US" w:eastAsia="zh-CN" w:bidi="ar"/>
                    </w:rPr>
                    <w:t>动植物油</w:t>
                  </w:r>
                  <w:r>
                    <w:rPr>
                      <w:rStyle w:val="55"/>
                      <w:rFonts w:hint="default" w:ascii="Times New Roman" w:hAnsi="Times New Roman" w:cs="Times New Roman"/>
                      <w:color w:val="auto"/>
                      <w:spacing w:val="-11"/>
                      <w:sz w:val="21"/>
                      <w:szCs w:val="21"/>
                      <w:highlight w:val="none"/>
                      <w:vertAlign w:val="superscript"/>
                      <w:lang w:val="en-US" w:eastAsia="zh-CN" w:bidi="ar"/>
                    </w:rPr>
                    <w:t>①</w:t>
                  </w:r>
                </w:p>
              </w:tc>
              <w:tc>
                <w:tcPr>
                  <w:tcW w:w="460" w:type="pct"/>
                  <w:tcBorders>
                    <w:tl2br w:val="nil"/>
                    <w:tr2bl w:val="nil"/>
                  </w:tcBorders>
                  <w:vAlign w:val="center"/>
                </w:tcPr>
                <w:p w14:paraId="4F96DF3C">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Style w:val="55"/>
                      <w:rFonts w:hint="default" w:ascii="Times New Roman" w:hAnsi="Times New Roman" w:eastAsia="宋体" w:cs="Times New Roman"/>
                      <w:color w:val="auto"/>
                      <w:spacing w:val="-11"/>
                      <w:sz w:val="21"/>
                      <w:szCs w:val="21"/>
                      <w:highlight w:val="none"/>
                      <w:lang w:val="en-US" w:eastAsia="zh-CN" w:bidi="ar"/>
                    </w:rPr>
                    <w:t>NH</w:t>
                  </w:r>
                  <w:r>
                    <w:rPr>
                      <w:rStyle w:val="56"/>
                      <w:rFonts w:hint="default" w:ascii="Times New Roman" w:hAnsi="Times New Roman" w:eastAsia="宋体" w:cs="Times New Roman"/>
                      <w:color w:val="auto"/>
                      <w:spacing w:val="-11"/>
                      <w:sz w:val="21"/>
                      <w:szCs w:val="21"/>
                      <w:highlight w:val="none"/>
                      <w:lang w:val="en-US" w:eastAsia="zh-CN" w:bidi="ar"/>
                    </w:rPr>
                    <w:t>3</w:t>
                  </w:r>
                  <w:r>
                    <w:rPr>
                      <w:rStyle w:val="55"/>
                      <w:rFonts w:hint="default" w:ascii="Times New Roman" w:hAnsi="Times New Roman" w:eastAsia="宋体" w:cs="Times New Roman"/>
                      <w:color w:val="auto"/>
                      <w:spacing w:val="-11"/>
                      <w:sz w:val="21"/>
                      <w:szCs w:val="21"/>
                      <w:highlight w:val="none"/>
                      <w:lang w:val="en-US" w:eastAsia="zh-CN" w:bidi="ar"/>
                    </w:rPr>
                    <w:t>-N</w:t>
                  </w:r>
                </w:p>
              </w:tc>
              <w:tc>
                <w:tcPr>
                  <w:tcW w:w="370" w:type="pct"/>
                  <w:tcBorders>
                    <w:tl2br w:val="nil"/>
                    <w:tr2bl w:val="nil"/>
                  </w:tcBorders>
                  <w:vAlign w:val="center"/>
                </w:tcPr>
                <w:p w14:paraId="5BE2B389">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Style w:val="57"/>
                      <w:rFonts w:hint="default" w:ascii="Times New Roman" w:hAnsi="Times New Roman" w:cs="Times New Roman"/>
                      <w:color w:val="auto"/>
                      <w:spacing w:val="-11"/>
                      <w:sz w:val="21"/>
                      <w:szCs w:val="21"/>
                      <w:highlight w:val="none"/>
                      <w:lang w:val="en-US" w:eastAsia="zh-CN" w:bidi="ar"/>
                    </w:rPr>
                    <w:t>总磷</w:t>
                  </w:r>
                </w:p>
              </w:tc>
              <w:tc>
                <w:tcPr>
                  <w:tcW w:w="410" w:type="pct"/>
                  <w:tcBorders>
                    <w:tl2br w:val="nil"/>
                    <w:tr2bl w:val="nil"/>
                  </w:tcBorders>
                  <w:vAlign w:val="center"/>
                </w:tcPr>
                <w:p w14:paraId="69E6CF97">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Style w:val="57"/>
                      <w:rFonts w:hint="default" w:ascii="Times New Roman" w:hAnsi="Times New Roman" w:cs="Times New Roman"/>
                      <w:color w:val="auto"/>
                      <w:spacing w:val="-11"/>
                      <w:sz w:val="21"/>
                      <w:szCs w:val="21"/>
                      <w:highlight w:val="none"/>
                      <w:lang w:val="en-US" w:eastAsia="zh-CN" w:bidi="ar"/>
                    </w:rPr>
                    <w:t>总氮</w:t>
                  </w:r>
                </w:p>
              </w:tc>
            </w:tr>
            <w:tr w14:paraId="1E5C12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6" w:type="pct"/>
                  <w:tcBorders>
                    <w:tl2br w:val="nil"/>
                    <w:tr2bl w:val="nil"/>
                  </w:tcBorders>
                  <w:vAlign w:val="center"/>
                </w:tcPr>
                <w:p w14:paraId="5F3F75E2">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排放</w:t>
                  </w:r>
                  <w:r>
                    <w:rPr>
                      <w:rFonts w:hint="default" w:ascii="Times New Roman" w:hAnsi="Times New Roman" w:cs="Times New Roman"/>
                      <w:bCs/>
                      <w:color w:val="auto"/>
                      <w:sz w:val="21"/>
                      <w:szCs w:val="21"/>
                      <w:highlight w:val="none"/>
                    </w:rPr>
                    <w:t>浓度（</w:t>
                  </w:r>
                  <w:r>
                    <w:rPr>
                      <w:rFonts w:hint="default" w:ascii="Times New Roman" w:hAnsi="Times New Roman" w:cs="Times New Roman"/>
                      <w:bCs/>
                      <w:color w:val="auto"/>
                      <w:sz w:val="21"/>
                      <w:szCs w:val="21"/>
                      <w:highlight w:val="none"/>
                      <w:lang w:val="en-US" w:eastAsia="zh-CN"/>
                    </w:rPr>
                    <w:t>除pH外，</w:t>
                  </w:r>
                  <w:r>
                    <w:rPr>
                      <w:rFonts w:hint="default" w:ascii="Times New Roman" w:hAnsi="Times New Roman" w:cs="Times New Roman"/>
                      <w:bCs/>
                      <w:color w:val="auto"/>
                      <w:sz w:val="21"/>
                      <w:szCs w:val="21"/>
                      <w:highlight w:val="none"/>
                    </w:rPr>
                    <w:t>mg/L）</w:t>
                  </w:r>
                </w:p>
              </w:tc>
              <w:tc>
                <w:tcPr>
                  <w:tcW w:w="448" w:type="pct"/>
                  <w:tcBorders>
                    <w:tl2br w:val="nil"/>
                    <w:tr2bl w:val="nil"/>
                  </w:tcBorders>
                  <w:vAlign w:val="center"/>
                </w:tcPr>
                <w:p w14:paraId="6A51576D">
                  <w:pPr>
                    <w:keepNext w:val="0"/>
                    <w:keepLines w:val="0"/>
                    <w:widowControl/>
                    <w:suppressLineNumbers w:val="0"/>
                    <w:jc w:val="center"/>
                    <w:textAlignment w:val="center"/>
                    <w:rPr>
                      <w:rFonts w:hint="default" w:ascii="Times New Roman" w:hAnsi="Times New Roman" w:eastAsia="宋体" w:cs="Times New Roman"/>
                      <w:i w:val="0"/>
                      <w:iCs w:val="0"/>
                      <w:color w:val="auto"/>
                      <w:spacing w:val="-11"/>
                      <w:kern w:val="0"/>
                      <w:sz w:val="21"/>
                      <w:szCs w:val="21"/>
                      <w:highlight w:val="none"/>
                      <w:u w:val="none"/>
                      <w:lang w:val="en-US" w:eastAsia="zh-CN" w:bidi="ar"/>
                    </w:rPr>
                  </w:pPr>
                  <w:r>
                    <w:rPr>
                      <w:rFonts w:hint="default" w:ascii="Times New Roman" w:hAnsi="Times New Roman" w:cs="Times New Roman"/>
                      <w:i w:val="0"/>
                      <w:iCs w:val="0"/>
                      <w:color w:val="auto"/>
                      <w:spacing w:val="-11"/>
                      <w:kern w:val="0"/>
                      <w:sz w:val="21"/>
                      <w:szCs w:val="21"/>
                      <w:highlight w:val="none"/>
                      <w:u w:val="none"/>
                      <w:lang w:val="en-US" w:eastAsia="zh-CN" w:bidi="ar"/>
                    </w:rPr>
                    <w:t>6-9</w:t>
                  </w:r>
                </w:p>
              </w:tc>
              <w:tc>
                <w:tcPr>
                  <w:tcW w:w="522" w:type="pct"/>
                  <w:tcBorders>
                    <w:tl2br w:val="nil"/>
                    <w:tr2bl w:val="nil"/>
                  </w:tcBorders>
                  <w:vAlign w:val="center"/>
                </w:tcPr>
                <w:p w14:paraId="20B257A9">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i w:val="0"/>
                      <w:iCs w:val="0"/>
                      <w:color w:val="auto"/>
                      <w:spacing w:val="-11"/>
                      <w:kern w:val="0"/>
                      <w:sz w:val="21"/>
                      <w:szCs w:val="21"/>
                      <w:highlight w:val="none"/>
                      <w:u w:val="none"/>
                      <w:lang w:val="en-US" w:eastAsia="zh-CN" w:bidi="ar"/>
                    </w:rPr>
                    <w:t>400</w:t>
                  </w:r>
                </w:p>
              </w:tc>
              <w:tc>
                <w:tcPr>
                  <w:tcW w:w="410" w:type="pct"/>
                  <w:tcBorders>
                    <w:tl2br w:val="nil"/>
                    <w:tr2bl w:val="nil"/>
                  </w:tcBorders>
                  <w:vAlign w:val="center"/>
                </w:tcPr>
                <w:p w14:paraId="4ED1A250">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i w:val="0"/>
                      <w:iCs w:val="0"/>
                      <w:color w:val="auto"/>
                      <w:spacing w:val="-11"/>
                      <w:kern w:val="0"/>
                      <w:sz w:val="21"/>
                      <w:szCs w:val="21"/>
                      <w:highlight w:val="none"/>
                      <w:u w:val="none"/>
                      <w:lang w:val="en-US" w:eastAsia="zh-CN" w:bidi="ar"/>
                    </w:rPr>
                    <w:t>220</w:t>
                  </w:r>
                </w:p>
              </w:tc>
              <w:tc>
                <w:tcPr>
                  <w:tcW w:w="410" w:type="pct"/>
                  <w:tcBorders>
                    <w:tl2br w:val="nil"/>
                    <w:tr2bl w:val="nil"/>
                  </w:tcBorders>
                  <w:vAlign w:val="center"/>
                </w:tcPr>
                <w:p w14:paraId="47EE0378">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i w:val="0"/>
                      <w:iCs w:val="0"/>
                      <w:color w:val="auto"/>
                      <w:spacing w:val="-11"/>
                      <w:kern w:val="0"/>
                      <w:sz w:val="21"/>
                      <w:szCs w:val="21"/>
                      <w:highlight w:val="none"/>
                      <w:u w:val="none"/>
                      <w:lang w:val="en-US" w:eastAsia="zh-CN" w:bidi="ar"/>
                    </w:rPr>
                    <w:t>200</w:t>
                  </w:r>
                </w:p>
              </w:tc>
              <w:tc>
                <w:tcPr>
                  <w:tcW w:w="460" w:type="pct"/>
                  <w:tcBorders>
                    <w:tl2br w:val="nil"/>
                    <w:tr2bl w:val="nil"/>
                  </w:tcBorders>
                  <w:vAlign w:val="center"/>
                </w:tcPr>
                <w:p w14:paraId="34AB5390">
                  <w:pPr>
                    <w:keepNext w:val="0"/>
                    <w:keepLines w:val="0"/>
                    <w:widowControl/>
                    <w:suppressLineNumbers w:val="0"/>
                    <w:jc w:val="center"/>
                    <w:textAlignment w:val="center"/>
                    <w:rPr>
                      <w:rFonts w:hint="default" w:ascii="Times New Roman" w:hAnsi="Times New Roman" w:eastAsia="宋体" w:cs="Times New Roman"/>
                      <w:i w:val="0"/>
                      <w:iCs w:val="0"/>
                      <w:color w:val="auto"/>
                      <w:spacing w:val="-11"/>
                      <w:kern w:val="0"/>
                      <w:sz w:val="21"/>
                      <w:szCs w:val="21"/>
                      <w:highlight w:val="none"/>
                      <w:u w:val="none"/>
                      <w:lang w:val="en-US" w:eastAsia="zh-CN" w:bidi="ar"/>
                    </w:rPr>
                  </w:pPr>
                  <w:r>
                    <w:rPr>
                      <w:rFonts w:hint="default" w:ascii="Times New Roman" w:hAnsi="Times New Roman" w:cs="Times New Roman"/>
                      <w:i w:val="0"/>
                      <w:iCs w:val="0"/>
                      <w:color w:val="auto"/>
                      <w:spacing w:val="-11"/>
                      <w:kern w:val="0"/>
                      <w:sz w:val="21"/>
                      <w:szCs w:val="21"/>
                      <w:highlight w:val="none"/>
                      <w:u w:val="none"/>
                      <w:lang w:val="en-US" w:eastAsia="zh-CN" w:bidi="ar"/>
                    </w:rPr>
                    <w:t>50</w:t>
                  </w:r>
                </w:p>
              </w:tc>
              <w:tc>
                <w:tcPr>
                  <w:tcW w:w="460" w:type="pct"/>
                  <w:tcBorders>
                    <w:tl2br w:val="nil"/>
                    <w:tr2bl w:val="nil"/>
                  </w:tcBorders>
                  <w:vAlign w:val="center"/>
                </w:tcPr>
                <w:p w14:paraId="224253BF">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rPr>
                  </w:pPr>
                  <w:r>
                    <w:rPr>
                      <w:rFonts w:hint="default" w:ascii="Times New Roman" w:hAnsi="Times New Roman" w:eastAsia="宋体" w:cs="Times New Roman"/>
                      <w:i w:val="0"/>
                      <w:iCs w:val="0"/>
                      <w:color w:val="auto"/>
                      <w:spacing w:val="-11"/>
                      <w:kern w:val="0"/>
                      <w:sz w:val="21"/>
                      <w:szCs w:val="21"/>
                      <w:highlight w:val="none"/>
                      <w:u w:val="none"/>
                      <w:lang w:val="en-US" w:eastAsia="zh-CN" w:bidi="ar"/>
                    </w:rPr>
                    <w:t>25</w:t>
                  </w:r>
                </w:p>
              </w:tc>
              <w:tc>
                <w:tcPr>
                  <w:tcW w:w="370" w:type="pct"/>
                  <w:tcBorders>
                    <w:tl2br w:val="nil"/>
                    <w:tr2bl w:val="nil"/>
                  </w:tcBorders>
                  <w:vAlign w:val="center"/>
                </w:tcPr>
                <w:p w14:paraId="61F71032">
                  <w:pPr>
                    <w:keepNext w:val="0"/>
                    <w:keepLines w:val="0"/>
                    <w:widowControl/>
                    <w:suppressLineNumbers w:val="0"/>
                    <w:jc w:val="center"/>
                    <w:textAlignment w:val="center"/>
                    <w:rPr>
                      <w:rFonts w:hint="default" w:ascii="Times New Roman" w:hAnsi="Times New Roman" w:eastAsia="宋体" w:cs="Times New Roman"/>
                      <w:color w:val="auto"/>
                      <w:spacing w:val="-11"/>
                      <w:kern w:val="0"/>
                      <w:sz w:val="21"/>
                      <w:szCs w:val="21"/>
                      <w:highlight w:val="none"/>
                      <w:lang w:eastAsia="zh-CN"/>
                    </w:rPr>
                  </w:pPr>
                  <w:r>
                    <w:rPr>
                      <w:rFonts w:hint="default" w:ascii="Times New Roman" w:hAnsi="Times New Roman" w:cs="Times New Roman"/>
                      <w:i w:val="0"/>
                      <w:iCs w:val="0"/>
                      <w:color w:val="auto"/>
                      <w:spacing w:val="-11"/>
                      <w:kern w:val="0"/>
                      <w:sz w:val="21"/>
                      <w:szCs w:val="21"/>
                      <w:highlight w:val="none"/>
                      <w:u w:val="none"/>
                      <w:lang w:val="en-US" w:eastAsia="zh-CN" w:bidi="ar"/>
                    </w:rPr>
                    <w:t>7</w:t>
                  </w:r>
                </w:p>
              </w:tc>
              <w:tc>
                <w:tcPr>
                  <w:tcW w:w="410" w:type="pct"/>
                  <w:tcBorders>
                    <w:tl2br w:val="nil"/>
                    <w:tr2bl w:val="nil"/>
                  </w:tcBorders>
                  <w:vAlign w:val="center"/>
                </w:tcPr>
                <w:p w14:paraId="45ECA015">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i w:val="0"/>
                      <w:iCs w:val="0"/>
                      <w:color w:val="auto"/>
                      <w:spacing w:val="-11"/>
                      <w:kern w:val="0"/>
                      <w:sz w:val="21"/>
                      <w:szCs w:val="21"/>
                      <w:highlight w:val="none"/>
                      <w:u w:val="none"/>
                      <w:lang w:val="en-US" w:eastAsia="zh-CN" w:bidi="ar"/>
                    </w:rPr>
                    <w:t>40</w:t>
                  </w:r>
                </w:p>
              </w:tc>
            </w:tr>
            <w:tr w14:paraId="218105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6" w:type="pct"/>
                  <w:tcBorders>
                    <w:tl2br w:val="nil"/>
                    <w:tr2bl w:val="nil"/>
                  </w:tcBorders>
                  <w:vAlign w:val="center"/>
                </w:tcPr>
                <w:p w14:paraId="6CB60356">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排放</w:t>
                  </w:r>
                  <w:r>
                    <w:rPr>
                      <w:rFonts w:hint="default" w:ascii="Times New Roman" w:hAnsi="Times New Roman" w:cs="Times New Roman"/>
                      <w:bCs/>
                      <w:color w:val="auto"/>
                      <w:sz w:val="21"/>
                      <w:szCs w:val="21"/>
                      <w:highlight w:val="none"/>
                    </w:rPr>
                    <w:t>量（t/a）</w:t>
                  </w:r>
                </w:p>
              </w:tc>
              <w:tc>
                <w:tcPr>
                  <w:tcW w:w="448" w:type="pct"/>
                  <w:tcBorders>
                    <w:tl2br w:val="nil"/>
                    <w:tr2bl w:val="nil"/>
                  </w:tcBorders>
                  <w:vAlign w:val="center"/>
                </w:tcPr>
                <w:p w14:paraId="702964DA">
                  <w:pPr>
                    <w:keepNext w:val="0"/>
                    <w:keepLines w:val="0"/>
                    <w:widowControl/>
                    <w:suppressLineNumbers w:val="0"/>
                    <w:jc w:val="center"/>
                    <w:textAlignment w:val="center"/>
                    <w:rPr>
                      <w:rFonts w:hint="default" w:ascii="Times New Roman" w:hAnsi="Times New Roman" w:eastAsia="宋体" w:cs="Times New Roman"/>
                      <w:i w:val="0"/>
                      <w:iCs w:val="0"/>
                      <w:color w:val="auto"/>
                      <w:spacing w:val="-11"/>
                      <w:kern w:val="0"/>
                      <w:sz w:val="21"/>
                      <w:szCs w:val="21"/>
                      <w:highlight w:val="none"/>
                      <w:u w:val="none"/>
                      <w:lang w:val="en-US" w:eastAsia="zh-CN" w:bidi="ar"/>
                    </w:rPr>
                  </w:pPr>
                  <w:r>
                    <w:rPr>
                      <w:rFonts w:hint="default" w:ascii="Times New Roman" w:hAnsi="Times New Roman" w:cs="Times New Roman"/>
                      <w:i w:val="0"/>
                      <w:iCs w:val="0"/>
                      <w:color w:val="auto"/>
                      <w:spacing w:val="-11"/>
                      <w:kern w:val="0"/>
                      <w:sz w:val="21"/>
                      <w:szCs w:val="21"/>
                      <w:highlight w:val="none"/>
                      <w:u w:val="none"/>
                      <w:lang w:val="en-US" w:eastAsia="zh-CN" w:bidi="ar"/>
                    </w:rPr>
                    <w:t>/</w:t>
                  </w:r>
                </w:p>
              </w:tc>
              <w:tc>
                <w:tcPr>
                  <w:tcW w:w="522" w:type="pct"/>
                  <w:tcBorders>
                    <w:tl2br w:val="nil"/>
                    <w:tr2bl w:val="nil"/>
                  </w:tcBorders>
                  <w:vAlign w:val="center"/>
                </w:tcPr>
                <w:p w14:paraId="3C49E658">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11.26</w:t>
                  </w:r>
                </w:p>
              </w:tc>
              <w:tc>
                <w:tcPr>
                  <w:tcW w:w="410" w:type="pct"/>
                  <w:tcBorders>
                    <w:tl2br w:val="nil"/>
                    <w:tr2bl w:val="nil"/>
                  </w:tcBorders>
                  <w:vAlign w:val="center"/>
                </w:tcPr>
                <w:p w14:paraId="629A7D2E">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6.19</w:t>
                  </w:r>
                </w:p>
              </w:tc>
              <w:tc>
                <w:tcPr>
                  <w:tcW w:w="410" w:type="pct"/>
                  <w:tcBorders>
                    <w:tl2br w:val="nil"/>
                    <w:tr2bl w:val="nil"/>
                  </w:tcBorders>
                  <w:vAlign w:val="center"/>
                </w:tcPr>
                <w:p w14:paraId="000BFD97">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5.63</w:t>
                  </w:r>
                </w:p>
              </w:tc>
              <w:tc>
                <w:tcPr>
                  <w:tcW w:w="460" w:type="pct"/>
                  <w:tcBorders>
                    <w:tl2br w:val="nil"/>
                    <w:tr2bl w:val="nil"/>
                  </w:tcBorders>
                  <w:vAlign w:val="center"/>
                </w:tcPr>
                <w:p w14:paraId="62403A50">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0.315</w:t>
                  </w:r>
                </w:p>
              </w:tc>
              <w:tc>
                <w:tcPr>
                  <w:tcW w:w="460" w:type="pct"/>
                  <w:tcBorders>
                    <w:tl2br w:val="nil"/>
                    <w:tr2bl w:val="nil"/>
                  </w:tcBorders>
                  <w:vAlign w:val="center"/>
                </w:tcPr>
                <w:p w14:paraId="73276F85">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0.704</w:t>
                  </w:r>
                </w:p>
              </w:tc>
              <w:tc>
                <w:tcPr>
                  <w:tcW w:w="370" w:type="pct"/>
                  <w:tcBorders>
                    <w:tl2br w:val="nil"/>
                    <w:tr2bl w:val="nil"/>
                  </w:tcBorders>
                  <w:vAlign w:val="center"/>
                </w:tcPr>
                <w:p w14:paraId="33412001">
                  <w:pPr>
                    <w:keepNext w:val="0"/>
                    <w:keepLines w:val="0"/>
                    <w:widowControl/>
                    <w:suppressLineNumbers w:val="0"/>
                    <w:jc w:val="center"/>
                    <w:textAlignment w:val="center"/>
                    <w:rPr>
                      <w:rFonts w:hint="default" w:ascii="Times New Roman" w:hAnsi="Times New Roman"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0.197</w:t>
                  </w:r>
                </w:p>
              </w:tc>
              <w:tc>
                <w:tcPr>
                  <w:tcW w:w="410" w:type="pct"/>
                  <w:tcBorders>
                    <w:tl2br w:val="nil"/>
                    <w:tr2bl w:val="nil"/>
                  </w:tcBorders>
                  <w:vAlign w:val="center"/>
                </w:tcPr>
                <w:p w14:paraId="51F1990F">
                  <w:pPr>
                    <w:keepNext w:val="0"/>
                    <w:keepLines w:val="0"/>
                    <w:widowControl/>
                    <w:suppressLineNumbers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eastAsia" w:cs="Times New Roman"/>
                      <w:color w:val="auto"/>
                      <w:spacing w:val="-11"/>
                      <w:sz w:val="21"/>
                      <w:szCs w:val="21"/>
                      <w:highlight w:val="none"/>
                      <w:lang w:val="en-US" w:eastAsia="zh-CN"/>
                    </w:rPr>
                    <w:t>1.126</w:t>
                  </w:r>
                </w:p>
              </w:tc>
            </w:tr>
            <w:tr w14:paraId="06538A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6" w:type="pct"/>
                  <w:tcBorders>
                    <w:tl2br w:val="nil"/>
                    <w:tr2bl w:val="nil"/>
                  </w:tcBorders>
                  <w:vAlign w:val="center"/>
                </w:tcPr>
                <w:p w14:paraId="64F63EEC">
                  <w:pPr>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《污水综合排放标准》（GB8978-1996）三级标准</w:t>
                  </w:r>
                </w:p>
              </w:tc>
              <w:tc>
                <w:tcPr>
                  <w:tcW w:w="448" w:type="pct"/>
                  <w:tcBorders>
                    <w:tl2br w:val="nil"/>
                    <w:tr2bl w:val="nil"/>
                  </w:tcBorders>
                  <w:vAlign w:val="center"/>
                </w:tcPr>
                <w:p w14:paraId="5E623498">
                  <w:pPr>
                    <w:widowControl/>
                    <w:adjustRightInd w:val="0"/>
                    <w:snapToGrid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6-9</w:t>
                  </w:r>
                </w:p>
              </w:tc>
              <w:tc>
                <w:tcPr>
                  <w:tcW w:w="522" w:type="pct"/>
                  <w:tcBorders>
                    <w:tl2br w:val="nil"/>
                    <w:tr2bl w:val="nil"/>
                  </w:tcBorders>
                  <w:vAlign w:val="center"/>
                </w:tcPr>
                <w:p w14:paraId="0CFF3AF6">
                  <w:pPr>
                    <w:widowControl/>
                    <w:adjustRightInd w:val="0"/>
                    <w:snapToGrid w:val="0"/>
                    <w:jc w:val="center"/>
                    <w:textAlignment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500</w:t>
                  </w:r>
                </w:p>
              </w:tc>
              <w:tc>
                <w:tcPr>
                  <w:tcW w:w="410" w:type="pct"/>
                  <w:tcBorders>
                    <w:tl2br w:val="nil"/>
                    <w:tr2bl w:val="nil"/>
                  </w:tcBorders>
                  <w:vAlign w:val="center"/>
                </w:tcPr>
                <w:p w14:paraId="28C79939">
                  <w:pPr>
                    <w:widowControl/>
                    <w:adjustRightInd w:val="0"/>
                    <w:snapToGrid w:val="0"/>
                    <w:jc w:val="center"/>
                    <w:textAlignment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300</w:t>
                  </w:r>
                </w:p>
              </w:tc>
              <w:tc>
                <w:tcPr>
                  <w:tcW w:w="410" w:type="pct"/>
                  <w:tcBorders>
                    <w:tl2br w:val="nil"/>
                    <w:tr2bl w:val="nil"/>
                  </w:tcBorders>
                  <w:vAlign w:val="center"/>
                </w:tcPr>
                <w:p w14:paraId="03302B7C">
                  <w:pPr>
                    <w:widowControl/>
                    <w:adjustRightInd w:val="0"/>
                    <w:snapToGrid w:val="0"/>
                    <w:jc w:val="center"/>
                    <w:textAlignment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400</w:t>
                  </w:r>
                </w:p>
              </w:tc>
              <w:tc>
                <w:tcPr>
                  <w:tcW w:w="460" w:type="pct"/>
                  <w:tcBorders>
                    <w:tl2br w:val="nil"/>
                    <w:tr2bl w:val="nil"/>
                  </w:tcBorders>
                  <w:vAlign w:val="center"/>
                </w:tcPr>
                <w:p w14:paraId="31086DCF">
                  <w:pPr>
                    <w:widowControl/>
                    <w:adjustRightInd w:val="0"/>
                    <w:snapToGrid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100</w:t>
                  </w:r>
                </w:p>
              </w:tc>
              <w:tc>
                <w:tcPr>
                  <w:tcW w:w="460" w:type="pct"/>
                  <w:tcBorders>
                    <w:tl2br w:val="nil"/>
                    <w:tr2bl w:val="nil"/>
                  </w:tcBorders>
                  <w:vAlign w:val="center"/>
                </w:tcPr>
                <w:p w14:paraId="2B951AF5">
                  <w:pPr>
                    <w:widowControl/>
                    <w:adjustRightInd w:val="0"/>
                    <w:snapToGrid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c>
                <w:tcPr>
                  <w:tcW w:w="370" w:type="pct"/>
                  <w:tcBorders>
                    <w:tl2br w:val="nil"/>
                    <w:tr2bl w:val="nil"/>
                  </w:tcBorders>
                  <w:vAlign w:val="center"/>
                </w:tcPr>
                <w:p w14:paraId="4F84D967">
                  <w:pPr>
                    <w:widowControl/>
                    <w:adjustRightInd w:val="0"/>
                    <w:snapToGrid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c>
                <w:tcPr>
                  <w:tcW w:w="410" w:type="pct"/>
                  <w:tcBorders>
                    <w:tl2br w:val="nil"/>
                    <w:tr2bl w:val="nil"/>
                  </w:tcBorders>
                  <w:vAlign w:val="center"/>
                </w:tcPr>
                <w:p w14:paraId="3F245F01">
                  <w:pPr>
                    <w:widowControl/>
                    <w:adjustRightInd w:val="0"/>
                    <w:snapToGrid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r>
            <w:tr w14:paraId="0C84C7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06" w:type="pct"/>
                  <w:tcBorders>
                    <w:tl2br w:val="nil"/>
                    <w:tr2bl w:val="nil"/>
                  </w:tcBorders>
                  <w:vAlign w:val="center"/>
                </w:tcPr>
                <w:p w14:paraId="5A637358">
                  <w:pPr>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《污水排入城镇下水道水质标准》（GB</w:t>
                  </w:r>
                  <w:r>
                    <w:rPr>
                      <w:rFonts w:hint="default" w:ascii="Times New Roman" w:hAnsi="Times New Roman" w:cs="Times New Roman"/>
                      <w:color w:val="auto"/>
                      <w:spacing w:val="-11"/>
                      <w:sz w:val="21"/>
                      <w:szCs w:val="21"/>
                      <w:highlight w:val="none"/>
                      <w:lang w:val="en-US" w:eastAsia="zh-CN"/>
                    </w:rPr>
                    <w:t>/T</w:t>
                  </w:r>
                  <w:r>
                    <w:rPr>
                      <w:rFonts w:hint="default" w:ascii="Times New Roman" w:hAnsi="Times New Roman" w:cs="Times New Roman"/>
                      <w:color w:val="auto"/>
                      <w:spacing w:val="-11"/>
                      <w:sz w:val="21"/>
                      <w:szCs w:val="21"/>
                      <w:highlight w:val="none"/>
                    </w:rPr>
                    <w:t>31962-2015）</w:t>
                  </w:r>
                  <w:r>
                    <w:rPr>
                      <w:rFonts w:hint="eastAsia" w:cs="Times New Roman"/>
                      <w:color w:val="auto"/>
                      <w:spacing w:val="-11"/>
                      <w:sz w:val="21"/>
                      <w:szCs w:val="21"/>
                      <w:highlight w:val="none"/>
                      <w:lang w:val="en-US" w:eastAsia="zh-CN"/>
                    </w:rPr>
                    <w:t>A</w:t>
                  </w:r>
                  <w:r>
                    <w:rPr>
                      <w:rFonts w:hint="default" w:ascii="Times New Roman" w:hAnsi="Times New Roman" w:cs="Times New Roman"/>
                      <w:color w:val="auto"/>
                      <w:spacing w:val="-11"/>
                      <w:sz w:val="21"/>
                      <w:szCs w:val="21"/>
                      <w:highlight w:val="none"/>
                    </w:rPr>
                    <w:t>级标准</w:t>
                  </w:r>
                </w:p>
              </w:tc>
              <w:tc>
                <w:tcPr>
                  <w:tcW w:w="448" w:type="pct"/>
                  <w:tcBorders>
                    <w:tl2br w:val="nil"/>
                    <w:tr2bl w:val="nil"/>
                  </w:tcBorders>
                  <w:vAlign w:val="center"/>
                </w:tcPr>
                <w:p w14:paraId="061C6319">
                  <w:pPr>
                    <w:widowControl/>
                    <w:adjustRightInd w:val="0"/>
                    <w:snapToGrid w:val="0"/>
                    <w:jc w:val="center"/>
                    <w:textAlignment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c>
                <w:tcPr>
                  <w:tcW w:w="522" w:type="pct"/>
                  <w:tcBorders>
                    <w:tl2br w:val="nil"/>
                    <w:tr2bl w:val="nil"/>
                  </w:tcBorders>
                  <w:vAlign w:val="center"/>
                </w:tcPr>
                <w:p w14:paraId="39DBA793">
                  <w:pPr>
                    <w:widowControl/>
                    <w:adjustRightInd w:val="0"/>
                    <w:snapToGrid w:val="0"/>
                    <w:jc w:val="center"/>
                    <w:textAlignment w:val="center"/>
                    <w:rPr>
                      <w:rStyle w:val="58"/>
                      <w:rFonts w:hint="default" w:ascii="Times New Roman" w:hAnsi="Times New Roman" w:eastAsia="宋体" w:cs="Times New Roman"/>
                      <w:color w:val="auto"/>
                      <w:spacing w:val="-11"/>
                      <w:sz w:val="21"/>
                      <w:szCs w:val="21"/>
                      <w:highlight w:val="none"/>
                      <w:lang w:val="en-US" w:eastAsia="zh-CN" w:bidi="ar"/>
                    </w:rPr>
                  </w:pPr>
                  <w:r>
                    <w:rPr>
                      <w:rStyle w:val="58"/>
                      <w:rFonts w:hint="default" w:ascii="Times New Roman" w:hAnsi="Times New Roman" w:cs="Times New Roman"/>
                      <w:color w:val="auto"/>
                      <w:spacing w:val="-11"/>
                      <w:sz w:val="21"/>
                      <w:szCs w:val="21"/>
                      <w:highlight w:val="none"/>
                      <w:lang w:val="en-US" w:eastAsia="zh-CN" w:bidi="ar"/>
                    </w:rPr>
                    <w:t>/</w:t>
                  </w:r>
                </w:p>
              </w:tc>
              <w:tc>
                <w:tcPr>
                  <w:tcW w:w="410" w:type="pct"/>
                  <w:tcBorders>
                    <w:tl2br w:val="nil"/>
                    <w:tr2bl w:val="nil"/>
                  </w:tcBorders>
                  <w:vAlign w:val="center"/>
                </w:tcPr>
                <w:p w14:paraId="2C0F077D">
                  <w:pPr>
                    <w:widowControl/>
                    <w:adjustRightInd w:val="0"/>
                    <w:snapToGrid w:val="0"/>
                    <w:jc w:val="center"/>
                    <w:textAlignment w:val="center"/>
                    <w:rPr>
                      <w:rStyle w:val="58"/>
                      <w:rFonts w:hint="default" w:ascii="Times New Roman" w:hAnsi="Times New Roman" w:eastAsia="宋体" w:cs="Times New Roman"/>
                      <w:color w:val="auto"/>
                      <w:spacing w:val="-11"/>
                      <w:sz w:val="21"/>
                      <w:szCs w:val="21"/>
                      <w:highlight w:val="none"/>
                      <w:lang w:val="en-US" w:eastAsia="zh-CN" w:bidi="ar"/>
                    </w:rPr>
                  </w:pPr>
                  <w:r>
                    <w:rPr>
                      <w:rStyle w:val="58"/>
                      <w:rFonts w:hint="default" w:ascii="Times New Roman" w:hAnsi="Times New Roman" w:cs="Times New Roman"/>
                      <w:color w:val="auto"/>
                      <w:spacing w:val="-11"/>
                      <w:sz w:val="21"/>
                      <w:szCs w:val="21"/>
                      <w:highlight w:val="none"/>
                      <w:lang w:val="en-US" w:eastAsia="zh-CN" w:bidi="ar"/>
                    </w:rPr>
                    <w:t>/</w:t>
                  </w:r>
                </w:p>
              </w:tc>
              <w:tc>
                <w:tcPr>
                  <w:tcW w:w="410" w:type="pct"/>
                  <w:tcBorders>
                    <w:tl2br w:val="nil"/>
                    <w:tr2bl w:val="nil"/>
                  </w:tcBorders>
                  <w:vAlign w:val="center"/>
                </w:tcPr>
                <w:p w14:paraId="2EB9C750">
                  <w:pPr>
                    <w:widowControl/>
                    <w:adjustRightInd w:val="0"/>
                    <w:snapToGrid w:val="0"/>
                    <w:jc w:val="center"/>
                    <w:textAlignment w:val="center"/>
                    <w:rPr>
                      <w:rStyle w:val="58"/>
                      <w:rFonts w:hint="default" w:ascii="Times New Roman" w:hAnsi="Times New Roman" w:eastAsia="宋体" w:cs="Times New Roman"/>
                      <w:color w:val="auto"/>
                      <w:spacing w:val="-11"/>
                      <w:sz w:val="21"/>
                      <w:szCs w:val="21"/>
                      <w:highlight w:val="none"/>
                      <w:lang w:val="en-US" w:eastAsia="zh-CN" w:bidi="ar"/>
                    </w:rPr>
                  </w:pPr>
                  <w:r>
                    <w:rPr>
                      <w:rStyle w:val="58"/>
                      <w:rFonts w:hint="default" w:ascii="Times New Roman" w:hAnsi="Times New Roman" w:cs="Times New Roman"/>
                      <w:color w:val="auto"/>
                      <w:spacing w:val="-11"/>
                      <w:sz w:val="21"/>
                      <w:szCs w:val="21"/>
                      <w:highlight w:val="none"/>
                      <w:lang w:val="en-US" w:eastAsia="zh-CN" w:bidi="ar"/>
                    </w:rPr>
                    <w:t>/</w:t>
                  </w:r>
                </w:p>
              </w:tc>
              <w:tc>
                <w:tcPr>
                  <w:tcW w:w="460" w:type="pct"/>
                  <w:tcBorders>
                    <w:tl2br w:val="nil"/>
                    <w:tr2bl w:val="nil"/>
                  </w:tcBorders>
                  <w:vAlign w:val="center"/>
                </w:tcPr>
                <w:p w14:paraId="71ABA6DF">
                  <w:pPr>
                    <w:widowControl/>
                    <w:adjustRightInd w:val="0"/>
                    <w:snapToGrid w:val="0"/>
                    <w:jc w:val="center"/>
                    <w:textAlignment w:val="center"/>
                    <w:rPr>
                      <w:rStyle w:val="58"/>
                      <w:rFonts w:hint="default" w:ascii="Times New Roman" w:hAnsi="Times New Roman" w:cs="Times New Roman"/>
                      <w:color w:val="auto"/>
                      <w:spacing w:val="-11"/>
                      <w:sz w:val="21"/>
                      <w:szCs w:val="21"/>
                      <w:highlight w:val="none"/>
                      <w:lang w:val="en-US" w:eastAsia="zh-CN" w:bidi="ar"/>
                    </w:rPr>
                  </w:pPr>
                  <w:r>
                    <w:rPr>
                      <w:rStyle w:val="58"/>
                      <w:rFonts w:hint="default" w:ascii="Times New Roman" w:hAnsi="Times New Roman" w:cs="Times New Roman"/>
                      <w:color w:val="auto"/>
                      <w:spacing w:val="-11"/>
                      <w:sz w:val="21"/>
                      <w:szCs w:val="21"/>
                      <w:highlight w:val="none"/>
                      <w:lang w:val="en-US" w:eastAsia="zh-CN" w:bidi="ar"/>
                    </w:rPr>
                    <w:t>/</w:t>
                  </w:r>
                </w:p>
              </w:tc>
              <w:tc>
                <w:tcPr>
                  <w:tcW w:w="460" w:type="pct"/>
                  <w:tcBorders>
                    <w:tl2br w:val="nil"/>
                    <w:tr2bl w:val="nil"/>
                  </w:tcBorders>
                  <w:vAlign w:val="center"/>
                </w:tcPr>
                <w:p w14:paraId="18DD7CD9">
                  <w:pPr>
                    <w:widowControl/>
                    <w:adjustRightInd w:val="0"/>
                    <w:snapToGrid w:val="0"/>
                    <w:jc w:val="center"/>
                    <w:textAlignment w:val="center"/>
                    <w:rPr>
                      <w:rFonts w:hint="default" w:ascii="Times New Roman" w:hAnsi="Times New Roman" w:eastAsia="宋体" w:cs="Times New Roman"/>
                      <w:i w:val="0"/>
                      <w:iCs w:val="0"/>
                      <w:color w:val="auto"/>
                      <w:spacing w:val="-11"/>
                      <w:kern w:val="0"/>
                      <w:sz w:val="21"/>
                      <w:szCs w:val="21"/>
                      <w:highlight w:val="none"/>
                      <w:u w:val="none"/>
                      <w:lang w:val="en-US" w:eastAsia="zh-CN" w:bidi="ar"/>
                    </w:rPr>
                  </w:pPr>
                  <w:r>
                    <w:rPr>
                      <w:rFonts w:hint="default" w:ascii="Times New Roman" w:hAnsi="Times New Roman" w:cs="Times New Roman"/>
                      <w:color w:val="auto"/>
                      <w:spacing w:val="-11"/>
                      <w:sz w:val="21"/>
                      <w:szCs w:val="21"/>
                      <w:highlight w:val="none"/>
                    </w:rPr>
                    <w:t>45</w:t>
                  </w:r>
                </w:p>
              </w:tc>
              <w:tc>
                <w:tcPr>
                  <w:tcW w:w="370" w:type="pct"/>
                  <w:tcBorders>
                    <w:tl2br w:val="nil"/>
                    <w:tr2bl w:val="nil"/>
                  </w:tcBorders>
                  <w:vAlign w:val="center"/>
                </w:tcPr>
                <w:p w14:paraId="42A342DF">
                  <w:pPr>
                    <w:jc w:val="center"/>
                    <w:rPr>
                      <w:rFonts w:hint="default" w:ascii="Times New Roman" w:hAnsi="Times New Roman" w:eastAsia="宋体" w:cs="Times New Roman"/>
                      <w:i w:val="0"/>
                      <w:iCs w:val="0"/>
                      <w:color w:val="auto"/>
                      <w:spacing w:val="-11"/>
                      <w:kern w:val="0"/>
                      <w:sz w:val="21"/>
                      <w:szCs w:val="21"/>
                      <w:highlight w:val="none"/>
                      <w:u w:val="none"/>
                      <w:lang w:val="en-US" w:eastAsia="zh-CN" w:bidi="ar"/>
                    </w:rPr>
                  </w:pPr>
                  <w:r>
                    <w:rPr>
                      <w:rFonts w:hint="default" w:ascii="Times New Roman" w:hAnsi="Times New Roman" w:cs="Times New Roman"/>
                      <w:color w:val="auto"/>
                      <w:spacing w:val="-11"/>
                      <w:sz w:val="21"/>
                      <w:szCs w:val="21"/>
                      <w:highlight w:val="none"/>
                      <w:lang w:val="en-US" w:eastAsia="zh-CN"/>
                    </w:rPr>
                    <w:t>8</w:t>
                  </w:r>
                </w:p>
              </w:tc>
              <w:tc>
                <w:tcPr>
                  <w:tcW w:w="410" w:type="pct"/>
                  <w:tcBorders>
                    <w:tl2br w:val="nil"/>
                    <w:tr2bl w:val="nil"/>
                  </w:tcBorders>
                  <w:vAlign w:val="center"/>
                </w:tcPr>
                <w:p w14:paraId="5D829B69">
                  <w:pPr>
                    <w:jc w:val="center"/>
                    <w:rPr>
                      <w:rFonts w:hint="default" w:ascii="Times New Roman" w:hAnsi="Times New Roman" w:eastAsia="宋体" w:cs="Times New Roman"/>
                      <w:i w:val="0"/>
                      <w:iCs w:val="0"/>
                      <w:color w:val="auto"/>
                      <w:spacing w:val="-11"/>
                      <w:kern w:val="0"/>
                      <w:sz w:val="21"/>
                      <w:szCs w:val="21"/>
                      <w:highlight w:val="none"/>
                      <w:u w:val="none"/>
                      <w:lang w:val="en-US" w:eastAsia="zh-CN" w:bidi="ar"/>
                    </w:rPr>
                  </w:pPr>
                  <w:r>
                    <w:rPr>
                      <w:rFonts w:hint="default" w:ascii="Times New Roman" w:hAnsi="Times New Roman" w:cs="Times New Roman"/>
                      <w:color w:val="auto"/>
                      <w:spacing w:val="-11"/>
                      <w:sz w:val="21"/>
                      <w:szCs w:val="21"/>
                      <w:highlight w:val="none"/>
                    </w:rPr>
                    <w:t>70</w:t>
                  </w:r>
                </w:p>
              </w:tc>
            </w:tr>
            <w:tr w14:paraId="6B102F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9"/>
                  <w:tcBorders>
                    <w:tl2br w:val="nil"/>
                    <w:tr2bl w:val="nil"/>
                  </w:tcBorders>
                  <w:vAlign w:val="center"/>
                </w:tcPr>
                <w:p w14:paraId="320CEBBB">
                  <w:pPr>
                    <w:jc w:val="left"/>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lang w:val="en-US" w:eastAsia="zh-CN"/>
                    </w:rPr>
                    <w:t>注①：动植物油排放量由食堂废水计算而得</w:t>
                  </w:r>
                </w:p>
              </w:tc>
            </w:tr>
          </w:tbl>
          <w:p w14:paraId="7D68CB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lang w:val="en-US" w:eastAsia="zh-CN"/>
              </w:rPr>
            </w:pPr>
            <w:r>
              <w:rPr>
                <w:rFonts w:hint="default" w:ascii="Times New Roman" w:hAnsi="Times New Roman" w:cs="Times New Roman"/>
                <w:color w:val="auto"/>
                <w:sz w:val="24"/>
                <w:szCs w:val="24"/>
                <w:highlight w:val="none"/>
              </w:rPr>
              <w:t>根据表</w:t>
            </w:r>
            <w:r>
              <w:rPr>
                <w:rFonts w:hint="default" w:ascii="Times New Roman" w:hAnsi="Times New Roman" w:cs="Times New Roman"/>
                <w:color w:val="auto"/>
                <w:sz w:val="24"/>
                <w:szCs w:val="24"/>
                <w:highlight w:val="none"/>
                <w:lang w:val="en-US" w:eastAsia="zh-CN"/>
              </w:rPr>
              <w:t>4-6</w:t>
            </w:r>
            <w:r>
              <w:rPr>
                <w:rFonts w:hint="default" w:ascii="Times New Roman" w:hAnsi="Times New Roman" w:cs="Times New Roman"/>
                <w:color w:val="auto"/>
                <w:sz w:val="24"/>
                <w:szCs w:val="24"/>
                <w:highlight w:val="none"/>
              </w:rPr>
              <w:t>可知，废水排放满足《污水综合排放标准》（GB8978-1996）三级标准和</w:t>
            </w:r>
            <w:r>
              <w:rPr>
                <w:rFonts w:hint="default" w:ascii="Times New Roman" w:hAnsi="Times New Roman" w:cs="Times New Roman"/>
                <w:color w:val="auto"/>
                <w:sz w:val="24"/>
                <w:szCs w:val="24"/>
                <w:highlight w:val="none"/>
              </w:rPr>
              <w:t>《污水排入城镇下水道水质标准》（GB/T31962-2015）</w:t>
            </w:r>
            <w:r>
              <w:rPr>
                <w:rFonts w:hint="eastAsia" w:cs="Times New Roman"/>
                <w:color w:val="auto"/>
                <w:sz w:val="24"/>
                <w:szCs w:val="24"/>
                <w:highlight w:val="none"/>
                <w:lang w:val="en-US" w:eastAsia="zh-CN"/>
              </w:rPr>
              <w:t>A</w:t>
            </w:r>
            <w:r>
              <w:rPr>
                <w:rFonts w:hint="default" w:ascii="Times New Roman" w:hAnsi="Times New Roman" w:cs="Times New Roman"/>
                <w:color w:val="auto"/>
                <w:sz w:val="24"/>
                <w:szCs w:val="24"/>
                <w:highlight w:val="none"/>
              </w:rPr>
              <w:t>等级标准</w:t>
            </w:r>
            <w:r>
              <w:rPr>
                <w:rFonts w:hint="default" w:ascii="Times New Roman" w:hAnsi="Times New Roman" w:cs="Times New Roman"/>
                <w:color w:val="auto"/>
                <w:sz w:val="24"/>
                <w:szCs w:val="24"/>
                <w:highlight w:val="none"/>
              </w:rPr>
              <w:t>。</w:t>
            </w:r>
          </w:p>
          <w:p w14:paraId="483E19E7">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zh-CN"/>
              </w:rPr>
            </w:pPr>
            <w:r>
              <w:rPr>
                <w:rFonts w:hint="default" w:ascii="Times New Roman" w:hAnsi="Times New Roman" w:cs="Times New Roman"/>
                <w:bCs/>
                <w:color w:val="auto"/>
                <w:sz w:val="24"/>
                <w:highlight w:val="none"/>
              </w:rPr>
              <w:t>（2）建设项目污染物排放信息</w:t>
            </w:r>
          </w:p>
          <w:p w14:paraId="12DCAEC5">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1 \* GB3 \* MERGEFORMAT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bCs/>
                <w:color w:val="auto"/>
                <w:sz w:val="24"/>
                <w:highlight w:val="none"/>
              </w:rPr>
              <w:t>①</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废水类别、污染物及污染治理设施信息</w:t>
            </w:r>
          </w:p>
          <w:p w14:paraId="5A8A52E6">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表4-7    废水类别、污染物及治理污染设施信息表</w:t>
            </w:r>
          </w:p>
          <w:tbl>
            <w:tblPr>
              <w:tblStyle w:val="28"/>
              <w:tblW w:w="4998" w:type="pct"/>
              <w:tblInd w:w="-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698"/>
              <w:gridCol w:w="986"/>
              <w:gridCol w:w="662"/>
              <w:gridCol w:w="642"/>
              <w:gridCol w:w="826"/>
              <w:gridCol w:w="705"/>
              <w:gridCol w:w="763"/>
              <w:gridCol w:w="850"/>
              <w:gridCol w:w="580"/>
              <w:gridCol w:w="1568"/>
            </w:tblGrid>
            <w:tr w14:paraId="363DD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 w:type="pct"/>
                  <w:vMerge w:val="restart"/>
                  <w:tcBorders>
                    <w:tl2br w:val="nil"/>
                    <w:tr2bl w:val="nil"/>
                  </w:tcBorders>
                  <w:vAlign w:val="center"/>
                </w:tcPr>
                <w:p w14:paraId="1FE64060">
                  <w:pPr>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序号</w:t>
                  </w:r>
                </w:p>
              </w:tc>
              <w:tc>
                <w:tcPr>
                  <w:tcW w:w="400" w:type="pct"/>
                  <w:vMerge w:val="restart"/>
                  <w:tcBorders>
                    <w:tl2br w:val="nil"/>
                    <w:tr2bl w:val="nil"/>
                  </w:tcBorders>
                  <w:vAlign w:val="center"/>
                </w:tcPr>
                <w:p w14:paraId="71B9654B">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废水类别</w:t>
                  </w:r>
                </w:p>
              </w:tc>
              <w:tc>
                <w:tcPr>
                  <w:tcW w:w="565" w:type="pct"/>
                  <w:vMerge w:val="restart"/>
                  <w:tcBorders>
                    <w:tl2br w:val="nil"/>
                    <w:tr2bl w:val="nil"/>
                  </w:tcBorders>
                  <w:vAlign w:val="center"/>
                </w:tcPr>
                <w:p w14:paraId="6A6ADF7A">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污染物种类</w:t>
                  </w:r>
                </w:p>
              </w:tc>
              <w:tc>
                <w:tcPr>
                  <w:tcW w:w="379" w:type="pct"/>
                  <w:vMerge w:val="restart"/>
                  <w:tcBorders>
                    <w:tl2br w:val="nil"/>
                    <w:tr2bl w:val="nil"/>
                  </w:tcBorders>
                  <w:vAlign w:val="center"/>
                </w:tcPr>
                <w:p w14:paraId="65A0ADE3">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排放去向</w:t>
                  </w:r>
                </w:p>
              </w:tc>
              <w:tc>
                <w:tcPr>
                  <w:tcW w:w="368" w:type="pct"/>
                  <w:vMerge w:val="restart"/>
                  <w:tcBorders>
                    <w:tl2br w:val="nil"/>
                    <w:tr2bl w:val="nil"/>
                  </w:tcBorders>
                  <w:vAlign w:val="center"/>
                </w:tcPr>
                <w:p w14:paraId="2670A4DF">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排放规律</w:t>
                  </w:r>
                </w:p>
              </w:tc>
              <w:tc>
                <w:tcPr>
                  <w:tcW w:w="1314" w:type="pct"/>
                  <w:gridSpan w:val="3"/>
                  <w:tcBorders>
                    <w:tl2br w:val="nil"/>
                    <w:tr2bl w:val="nil"/>
                  </w:tcBorders>
                  <w:vAlign w:val="center"/>
                </w:tcPr>
                <w:p w14:paraId="3A38D2AB">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污染治理设施</w:t>
                  </w:r>
                </w:p>
              </w:tc>
              <w:tc>
                <w:tcPr>
                  <w:tcW w:w="487" w:type="pct"/>
                  <w:vMerge w:val="restart"/>
                  <w:tcBorders>
                    <w:tl2br w:val="nil"/>
                    <w:tr2bl w:val="nil"/>
                  </w:tcBorders>
                  <w:vAlign w:val="center"/>
                </w:tcPr>
                <w:p w14:paraId="4C69CB66">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排放口编号</w:t>
                  </w:r>
                </w:p>
              </w:tc>
              <w:tc>
                <w:tcPr>
                  <w:tcW w:w="332" w:type="pct"/>
                  <w:vMerge w:val="restart"/>
                  <w:tcBorders>
                    <w:tl2br w:val="nil"/>
                    <w:tr2bl w:val="nil"/>
                  </w:tcBorders>
                  <w:vAlign w:val="center"/>
                </w:tcPr>
                <w:p w14:paraId="787C3010">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排放口设置</w:t>
                  </w:r>
                </w:p>
              </w:tc>
              <w:tc>
                <w:tcPr>
                  <w:tcW w:w="898" w:type="pct"/>
                  <w:vMerge w:val="restart"/>
                  <w:tcBorders>
                    <w:tl2br w:val="nil"/>
                    <w:tr2bl w:val="nil"/>
                  </w:tcBorders>
                  <w:vAlign w:val="center"/>
                </w:tcPr>
                <w:p w14:paraId="785D9551">
                  <w:pPr>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排放口类型</w:t>
                  </w:r>
                </w:p>
              </w:tc>
            </w:tr>
            <w:tr w14:paraId="14C70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 w:type="pct"/>
                  <w:vMerge w:val="continue"/>
                  <w:tcBorders>
                    <w:tl2br w:val="nil"/>
                    <w:tr2bl w:val="nil"/>
                  </w:tcBorders>
                  <w:vAlign w:val="center"/>
                </w:tcPr>
                <w:p w14:paraId="22A09D03">
                  <w:pPr>
                    <w:jc w:val="center"/>
                    <w:rPr>
                      <w:rFonts w:hint="default" w:ascii="Times New Roman" w:hAnsi="Times New Roman" w:cs="Times New Roman"/>
                      <w:b w:val="0"/>
                      <w:bCs/>
                      <w:color w:val="auto"/>
                      <w:spacing w:val="-11"/>
                      <w:szCs w:val="21"/>
                      <w:highlight w:val="none"/>
                    </w:rPr>
                  </w:pPr>
                </w:p>
              </w:tc>
              <w:tc>
                <w:tcPr>
                  <w:tcW w:w="400" w:type="pct"/>
                  <w:vMerge w:val="continue"/>
                  <w:tcBorders>
                    <w:tl2br w:val="nil"/>
                    <w:tr2bl w:val="nil"/>
                  </w:tcBorders>
                  <w:vAlign w:val="center"/>
                </w:tcPr>
                <w:p w14:paraId="0907F845">
                  <w:pPr>
                    <w:jc w:val="center"/>
                    <w:rPr>
                      <w:rFonts w:hint="default" w:ascii="Times New Roman" w:hAnsi="Times New Roman" w:cs="Times New Roman"/>
                      <w:b w:val="0"/>
                      <w:bCs/>
                      <w:color w:val="auto"/>
                      <w:spacing w:val="-11"/>
                      <w:szCs w:val="21"/>
                      <w:highlight w:val="none"/>
                    </w:rPr>
                  </w:pPr>
                </w:p>
              </w:tc>
              <w:tc>
                <w:tcPr>
                  <w:tcW w:w="565" w:type="pct"/>
                  <w:vMerge w:val="continue"/>
                  <w:tcBorders>
                    <w:tl2br w:val="nil"/>
                    <w:tr2bl w:val="nil"/>
                  </w:tcBorders>
                  <w:vAlign w:val="center"/>
                </w:tcPr>
                <w:p w14:paraId="60213E96">
                  <w:pPr>
                    <w:jc w:val="center"/>
                    <w:rPr>
                      <w:rFonts w:hint="default" w:ascii="Times New Roman" w:hAnsi="Times New Roman" w:cs="Times New Roman"/>
                      <w:b w:val="0"/>
                      <w:bCs/>
                      <w:color w:val="auto"/>
                      <w:spacing w:val="-11"/>
                      <w:szCs w:val="21"/>
                      <w:highlight w:val="none"/>
                    </w:rPr>
                  </w:pPr>
                </w:p>
              </w:tc>
              <w:tc>
                <w:tcPr>
                  <w:tcW w:w="379" w:type="pct"/>
                  <w:vMerge w:val="continue"/>
                  <w:tcBorders>
                    <w:tl2br w:val="nil"/>
                    <w:tr2bl w:val="nil"/>
                  </w:tcBorders>
                  <w:vAlign w:val="center"/>
                </w:tcPr>
                <w:p w14:paraId="66ECECC3">
                  <w:pPr>
                    <w:jc w:val="center"/>
                    <w:rPr>
                      <w:rFonts w:hint="default" w:ascii="Times New Roman" w:hAnsi="Times New Roman" w:cs="Times New Roman"/>
                      <w:b w:val="0"/>
                      <w:bCs/>
                      <w:color w:val="auto"/>
                      <w:spacing w:val="-11"/>
                      <w:szCs w:val="21"/>
                      <w:highlight w:val="none"/>
                    </w:rPr>
                  </w:pPr>
                </w:p>
              </w:tc>
              <w:tc>
                <w:tcPr>
                  <w:tcW w:w="368" w:type="pct"/>
                  <w:vMerge w:val="continue"/>
                  <w:tcBorders>
                    <w:tl2br w:val="nil"/>
                    <w:tr2bl w:val="nil"/>
                  </w:tcBorders>
                  <w:vAlign w:val="center"/>
                </w:tcPr>
                <w:p w14:paraId="50830EBE">
                  <w:pPr>
                    <w:jc w:val="center"/>
                    <w:rPr>
                      <w:rFonts w:hint="default" w:ascii="Times New Roman" w:hAnsi="Times New Roman" w:cs="Times New Roman"/>
                      <w:b w:val="0"/>
                      <w:bCs/>
                      <w:color w:val="auto"/>
                      <w:spacing w:val="-11"/>
                      <w:szCs w:val="21"/>
                      <w:highlight w:val="none"/>
                    </w:rPr>
                  </w:pPr>
                </w:p>
              </w:tc>
              <w:tc>
                <w:tcPr>
                  <w:tcW w:w="473" w:type="pct"/>
                  <w:tcBorders>
                    <w:tl2br w:val="nil"/>
                    <w:tr2bl w:val="nil"/>
                  </w:tcBorders>
                  <w:vAlign w:val="center"/>
                </w:tcPr>
                <w:p w14:paraId="4B9A8B9E">
                  <w:pPr>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污染治理设施编号</w:t>
                  </w:r>
                </w:p>
              </w:tc>
              <w:tc>
                <w:tcPr>
                  <w:tcW w:w="404" w:type="pct"/>
                  <w:tcBorders>
                    <w:tl2br w:val="nil"/>
                    <w:tr2bl w:val="nil"/>
                  </w:tcBorders>
                  <w:vAlign w:val="center"/>
                </w:tcPr>
                <w:p w14:paraId="37BCBB50">
                  <w:pPr>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污染治理设施名称</w:t>
                  </w:r>
                </w:p>
              </w:tc>
              <w:tc>
                <w:tcPr>
                  <w:tcW w:w="437" w:type="pct"/>
                  <w:tcBorders>
                    <w:tl2br w:val="nil"/>
                    <w:tr2bl w:val="nil"/>
                  </w:tcBorders>
                  <w:vAlign w:val="center"/>
                </w:tcPr>
                <w:p w14:paraId="24B8B746">
                  <w:pPr>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污染治理设施工艺</w:t>
                  </w:r>
                </w:p>
              </w:tc>
              <w:tc>
                <w:tcPr>
                  <w:tcW w:w="487" w:type="pct"/>
                  <w:vMerge w:val="continue"/>
                  <w:tcBorders>
                    <w:tl2br w:val="nil"/>
                    <w:tr2bl w:val="nil"/>
                  </w:tcBorders>
                  <w:vAlign w:val="center"/>
                </w:tcPr>
                <w:p w14:paraId="638C1A7A">
                  <w:pPr>
                    <w:jc w:val="center"/>
                    <w:rPr>
                      <w:rFonts w:hint="default" w:ascii="Times New Roman" w:hAnsi="Times New Roman" w:cs="Times New Roman"/>
                      <w:b w:val="0"/>
                      <w:bCs/>
                      <w:color w:val="auto"/>
                      <w:spacing w:val="-11"/>
                      <w:szCs w:val="21"/>
                      <w:highlight w:val="none"/>
                    </w:rPr>
                  </w:pPr>
                </w:p>
              </w:tc>
              <w:tc>
                <w:tcPr>
                  <w:tcW w:w="332" w:type="pct"/>
                  <w:vMerge w:val="continue"/>
                  <w:tcBorders>
                    <w:tl2br w:val="nil"/>
                    <w:tr2bl w:val="nil"/>
                  </w:tcBorders>
                  <w:vAlign w:val="center"/>
                </w:tcPr>
                <w:p w14:paraId="242FA323">
                  <w:pPr>
                    <w:jc w:val="center"/>
                    <w:rPr>
                      <w:rFonts w:hint="default" w:ascii="Times New Roman" w:hAnsi="Times New Roman" w:cs="Times New Roman"/>
                      <w:b w:val="0"/>
                      <w:bCs/>
                      <w:color w:val="auto"/>
                      <w:spacing w:val="-11"/>
                      <w:szCs w:val="21"/>
                      <w:highlight w:val="none"/>
                    </w:rPr>
                  </w:pPr>
                </w:p>
              </w:tc>
              <w:tc>
                <w:tcPr>
                  <w:tcW w:w="898" w:type="pct"/>
                  <w:vMerge w:val="continue"/>
                  <w:tcBorders>
                    <w:tl2br w:val="nil"/>
                    <w:tr2bl w:val="nil"/>
                  </w:tcBorders>
                  <w:vAlign w:val="center"/>
                </w:tcPr>
                <w:p w14:paraId="233A98AD">
                  <w:pPr>
                    <w:jc w:val="center"/>
                    <w:rPr>
                      <w:rFonts w:hint="default" w:ascii="Times New Roman" w:hAnsi="Times New Roman" w:cs="Times New Roman"/>
                      <w:b w:val="0"/>
                      <w:bCs/>
                      <w:color w:val="auto"/>
                      <w:spacing w:val="-11"/>
                      <w:szCs w:val="21"/>
                      <w:highlight w:val="none"/>
                    </w:rPr>
                  </w:pPr>
                </w:p>
              </w:tc>
            </w:tr>
            <w:tr w14:paraId="24D94D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 w:type="pct"/>
                  <w:tcBorders>
                    <w:tl2br w:val="nil"/>
                    <w:tr2bl w:val="nil"/>
                  </w:tcBorders>
                  <w:vAlign w:val="center"/>
                </w:tcPr>
                <w:p w14:paraId="4A98A719">
                  <w:pPr>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1</w:t>
                  </w:r>
                </w:p>
              </w:tc>
              <w:tc>
                <w:tcPr>
                  <w:tcW w:w="400" w:type="pct"/>
                  <w:tcBorders>
                    <w:tl2br w:val="nil"/>
                    <w:tr2bl w:val="nil"/>
                  </w:tcBorders>
                  <w:vAlign w:val="center"/>
                </w:tcPr>
                <w:p w14:paraId="7ACA416A">
                  <w:pPr>
                    <w:widowControl/>
                    <w:adjustRightInd w:val="0"/>
                    <w:snapToGrid w:val="0"/>
                    <w:jc w:val="center"/>
                    <w:textAlignment w:val="center"/>
                    <w:rPr>
                      <w:rFonts w:hint="default" w:ascii="Times New Roman" w:hAnsi="Times New Roman" w:eastAsia="宋体" w:cs="Times New Roman"/>
                      <w:b w:val="0"/>
                      <w:bCs/>
                      <w:color w:val="auto"/>
                      <w:spacing w:val="-11"/>
                      <w:szCs w:val="21"/>
                      <w:highlight w:val="none"/>
                      <w:lang w:val="en-US" w:eastAsia="zh-CN"/>
                    </w:rPr>
                  </w:pPr>
                  <w:r>
                    <w:rPr>
                      <w:rFonts w:hint="default" w:ascii="Times New Roman" w:hAnsi="Times New Roman" w:cs="Times New Roman"/>
                      <w:b w:val="0"/>
                      <w:bCs/>
                      <w:color w:val="auto"/>
                      <w:spacing w:val="-11"/>
                      <w:szCs w:val="21"/>
                      <w:highlight w:val="none"/>
                    </w:rPr>
                    <w:t>生活污水</w:t>
                  </w:r>
                  <w:r>
                    <w:rPr>
                      <w:rFonts w:hint="default" w:ascii="Times New Roman" w:hAnsi="Times New Roman" w:cs="Times New Roman"/>
                      <w:b w:val="0"/>
                      <w:bCs/>
                      <w:color w:val="auto"/>
                      <w:spacing w:val="-11"/>
                      <w:szCs w:val="21"/>
                      <w:highlight w:val="none"/>
                      <w:lang w:eastAsia="zh-CN"/>
                    </w:rPr>
                    <w:t>、</w:t>
                  </w:r>
                  <w:r>
                    <w:rPr>
                      <w:rFonts w:hint="default" w:ascii="Times New Roman" w:hAnsi="Times New Roman" w:cs="Times New Roman"/>
                      <w:b w:val="0"/>
                      <w:bCs/>
                      <w:color w:val="auto"/>
                      <w:spacing w:val="-11"/>
                      <w:szCs w:val="21"/>
                      <w:highlight w:val="none"/>
                      <w:lang w:val="en-US" w:eastAsia="zh-CN"/>
                    </w:rPr>
                    <w:t>食堂废水</w:t>
                  </w:r>
                  <w:r>
                    <w:rPr>
                      <w:rFonts w:hint="eastAsia" w:cs="Times New Roman"/>
                      <w:b w:val="0"/>
                      <w:bCs/>
                      <w:color w:val="auto"/>
                      <w:spacing w:val="-11"/>
                      <w:szCs w:val="21"/>
                      <w:highlight w:val="none"/>
                      <w:lang w:val="en-US" w:eastAsia="zh-CN"/>
                    </w:rPr>
                    <w:t>、纯水机浓水</w:t>
                  </w:r>
                </w:p>
              </w:tc>
              <w:tc>
                <w:tcPr>
                  <w:tcW w:w="565" w:type="pct"/>
                  <w:tcBorders>
                    <w:tl2br w:val="nil"/>
                    <w:tr2bl w:val="nil"/>
                  </w:tcBorders>
                  <w:vAlign w:val="center"/>
                </w:tcPr>
                <w:p w14:paraId="3AE24E42">
                  <w:pPr>
                    <w:widowControl/>
                    <w:adjustRightInd w:val="0"/>
                    <w:snapToGrid w:val="0"/>
                    <w:jc w:val="center"/>
                    <w:textAlignment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16"/>
                      <w:highlight w:val="none"/>
                    </w:rPr>
                    <w:t>COD、BOD</w:t>
                  </w:r>
                  <w:r>
                    <w:rPr>
                      <w:rFonts w:hint="default" w:ascii="Times New Roman" w:hAnsi="Times New Roman" w:cs="Times New Roman"/>
                      <w:b w:val="0"/>
                      <w:bCs/>
                      <w:color w:val="auto"/>
                      <w:spacing w:val="-11"/>
                      <w:szCs w:val="16"/>
                      <w:highlight w:val="none"/>
                      <w:vertAlign w:val="subscript"/>
                    </w:rPr>
                    <w:t>5</w:t>
                  </w:r>
                  <w:r>
                    <w:rPr>
                      <w:rFonts w:hint="default" w:ascii="Times New Roman" w:hAnsi="Times New Roman" w:cs="Times New Roman"/>
                      <w:b w:val="0"/>
                      <w:bCs/>
                      <w:color w:val="auto"/>
                      <w:spacing w:val="-11"/>
                      <w:szCs w:val="16"/>
                      <w:highlight w:val="none"/>
                    </w:rPr>
                    <w:t>、NH</w:t>
                  </w:r>
                  <w:r>
                    <w:rPr>
                      <w:rFonts w:hint="default" w:ascii="Times New Roman" w:hAnsi="Times New Roman" w:cs="Times New Roman"/>
                      <w:b w:val="0"/>
                      <w:bCs/>
                      <w:color w:val="auto"/>
                      <w:spacing w:val="-11"/>
                      <w:szCs w:val="16"/>
                      <w:highlight w:val="none"/>
                      <w:vertAlign w:val="subscript"/>
                    </w:rPr>
                    <w:t>3</w:t>
                  </w:r>
                  <w:r>
                    <w:rPr>
                      <w:rFonts w:hint="default" w:ascii="Times New Roman" w:hAnsi="Times New Roman" w:cs="Times New Roman"/>
                      <w:b w:val="0"/>
                      <w:bCs/>
                      <w:color w:val="auto"/>
                      <w:spacing w:val="-11"/>
                      <w:szCs w:val="16"/>
                      <w:highlight w:val="none"/>
                    </w:rPr>
                    <w:t>-N、SS、</w:t>
                  </w:r>
                  <w:r>
                    <w:rPr>
                      <w:rFonts w:hint="default" w:ascii="Times New Roman" w:hAnsi="Times New Roman" w:cs="Times New Roman"/>
                      <w:b w:val="0"/>
                      <w:bCs/>
                      <w:color w:val="auto"/>
                      <w:spacing w:val="-11"/>
                      <w:szCs w:val="16"/>
                      <w:highlight w:val="none"/>
                      <w:lang w:val="en-US" w:eastAsia="zh-CN"/>
                    </w:rPr>
                    <w:t>动植物油、</w:t>
                  </w:r>
                  <w:r>
                    <w:rPr>
                      <w:rFonts w:hint="default" w:ascii="Times New Roman" w:hAnsi="Times New Roman" w:cs="Times New Roman"/>
                      <w:b w:val="0"/>
                      <w:bCs/>
                      <w:color w:val="auto"/>
                      <w:spacing w:val="-11"/>
                      <w:szCs w:val="16"/>
                      <w:highlight w:val="none"/>
                    </w:rPr>
                    <w:t>总磷、总氮</w:t>
                  </w:r>
                </w:p>
              </w:tc>
              <w:tc>
                <w:tcPr>
                  <w:tcW w:w="379" w:type="pct"/>
                  <w:tcBorders>
                    <w:tl2br w:val="nil"/>
                    <w:tr2bl w:val="nil"/>
                  </w:tcBorders>
                  <w:vAlign w:val="center"/>
                </w:tcPr>
                <w:p w14:paraId="5EFEE5CA">
                  <w:pPr>
                    <w:widowControl/>
                    <w:adjustRightInd w:val="0"/>
                    <w:snapToGrid w:val="0"/>
                    <w:jc w:val="center"/>
                    <w:textAlignment w:val="center"/>
                    <w:rPr>
                      <w:rFonts w:hint="default" w:ascii="Times New Roman" w:hAnsi="Times New Roman" w:eastAsia="宋体" w:cs="Times New Roman"/>
                      <w:b w:val="0"/>
                      <w:bCs/>
                      <w:color w:val="auto"/>
                      <w:spacing w:val="-11"/>
                      <w:szCs w:val="21"/>
                      <w:highlight w:val="none"/>
                      <w:lang w:eastAsia="zh-CN"/>
                    </w:rPr>
                  </w:pPr>
                  <w:r>
                    <w:rPr>
                      <w:rFonts w:hint="default" w:ascii="Times New Roman" w:hAnsi="Times New Roman" w:cs="Times New Roman"/>
                      <w:b w:val="0"/>
                      <w:bCs/>
                      <w:color w:val="auto"/>
                      <w:spacing w:val="-11"/>
                      <w:szCs w:val="21"/>
                      <w:highlight w:val="none"/>
                      <w:lang w:val="en-US" w:eastAsia="zh-CN"/>
                    </w:rPr>
                    <w:t>沣西新城大王</w:t>
                  </w:r>
                  <w:r>
                    <w:rPr>
                      <w:rFonts w:hint="default" w:ascii="Times New Roman" w:hAnsi="Times New Roman" w:cs="Times New Roman"/>
                      <w:b w:val="0"/>
                      <w:bCs/>
                      <w:color w:val="auto"/>
                      <w:spacing w:val="-11"/>
                      <w:szCs w:val="21"/>
                      <w:highlight w:val="none"/>
                      <w:lang w:eastAsia="zh-CN"/>
                    </w:rPr>
                    <w:t>污水处理厂</w:t>
                  </w:r>
                </w:p>
              </w:tc>
              <w:tc>
                <w:tcPr>
                  <w:tcW w:w="368" w:type="pct"/>
                  <w:tcBorders>
                    <w:tl2br w:val="nil"/>
                    <w:tr2bl w:val="nil"/>
                  </w:tcBorders>
                  <w:vAlign w:val="center"/>
                </w:tcPr>
                <w:p w14:paraId="1FEDA442">
                  <w:pPr>
                    <w:widowControl/>
                    <w:adjustRightInd w:val="0"/>
                    <w:snapToGrid w:val="0"/>
                    <w:jc w:val="center"/>
                    <w:textAlignment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间接排放</w:t>
                  </w:r>
                </w:p>
              </w:tc>
              <w:tc>
                <w:tcPr>
                  <w:tcW w:w="473" w:type="pct"/>
                  <w:tcBorders>
                    <w:tl2br w:val="nil"/>
                    <w:tr2bl w:val="nil"/>
                  </w:tcBorders>
                  <w:vAlign w:val="center"/>
                </w:tcPr>
                <w:p w14:paraId="7267EAAE">
                  <w:pPr>
                    <w:widowControl/>
                    <w:adjustRightInd w:val="0"/>
                    <w:snapToGrid w:val="0"/>
                    <w:jc w:val="center"/>
                    <w:textAlignment w:val="center"/>
                    <w:rPr>
                      <w:rFonts w:hint="default" w:ascii="Times New Roman" w:hAnsi="Times New Roman" w:eastAsia="宋体" w:cs="Times New Roman"/>
                      <w:b w:val="0"/>
                      <w:bCs/>
                      <w:color w:val="auto"/>
                      <w:spacing w:val="-11"/>
                      <w:szCs w:val="21"/>
                      <w:highlight w:val="none"/>
                      <w:lang w:eastAsia="zh-CN"/>
                    </w:rPr>
                  </w:pPr>
                  <w:r>
                    <w:rPr>
                      <w:rFonts w:hint="default" w:ascii="Times New Roman" w:hAnsi="Times New Roman" w:cs="Times New Roman"/>
                      <w:b w:val="0"/>
                      <w:bCs/>
                      <w:color w:val="auto"/>
                      <w:spacing w:val="-11"/>
                      <w:szCs w:val="21"/>
                      <w:highlight w:val="none"/>
                      <w:lang w:val="en-US" w:eastAsia="zh-CN"/>
                    </w:rPr>
                    <w:t>/</w:t>
                  </w:r>
                </w:p>
              </w:tc>
              <w:tc>
                <w:tcPr>
                  <w:tcW w:w="404" w:type="pct"/>
                  <w:tcBorders>
                    <w:tl2br w:val="nil"/>
                    <w:tr2bl w:val="nil"/>
                  </w:tcBorders>
                  <w:vAlign w:val="center"/>
                </w:tcPr>
                <w:p w14:paraId="7D0FA41E">
                  <w:pPr>
                    <w:widowControl/>
                    <w:adjustRightInd w:val="0"/>
                    <w:snapToGrid w:val="0"/>
                    <w:jc w:val="center"/>
                    <w:textAlignment w:val="center"/>
                    <w:rPr>
                      <w:rFonts w:hint="default" w:ascii="Times New Roman" w:hAnsi="Times New Roman" w:eastAsia="宋体" w:cs="Times New Roman"/>
                      <w:b w:val="0"/>
                      <w:bCs/>
                      <w:color w:val="auto"/>
                      <w:spacing w:val="-11"/>
                      <w:szCs w:val="21"/>
                      <w:highlight w:val="none"/>
                      <w:lang w:eastAsia="zh-CN"/>
                    </w:rPr>
                  </w:pPr>
                  <w:r>
                    <w:rPr>
                      <w:rFonts w:hint="default" w:ascii="Times New Roman" w:hAnsi="Times New Roman" w:cs="Times New Roman"/>
                      <w:b w:val="0"/>
                      <w:bCs/>
                      <w:color w:val="auto"/>
                      <w:spacing w:val="-11"/>
                      <w:szCs w:val="21"/>
                      <w:highlight w:val="none"/>
                      <w:lang w:val="en-US" w:eastAsia="zh-CN"/>
                    </w:rPr>
                    <w:t>/</w:t>
                  </w:r>
                </w:p>
              </w:tc>
              <w:tc>
                <w:tcPr>
                  <w:tcW w:w="437" w:type="pct"/>
                  <w:tcBorders>
                    <w:tl2br w:val="nil"/>
                    <w:tr2bl w:val="nil"/>
                  </w:tcBorders>
                  <w:vAlign w:val="center"/>
                </w:tcPr>
                <w:p w14:paraId="0926DA7D">
                  <w:pPr>
                    <w:widowControl/>
                    <w:adjustRightInd w:val="0"/>
                    <w:snapToGrid w:val="0"/>
                    <w:jc w:val="center"/>
                    <w:textAlignment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w:t>
                  </w:r>
                </w:p>
              </w:tc>
              <w:tc>
                <w:tcPr>
                  <w:tcW w:w="487" w:type="pct"/>
                  <w:tcBorders>
                    <w:tl2br w:val="nil"/>
                    <w:tr2bl w:val="nil"/>
                  </w:tcBorders>
                  <w:vAlign w:val="center"/>
                </w:tcPr>
                <w:p w14:paraId="05B6AECC">
                  <w:pPr>
                    <w:widowControl/>
                    <w:adjustRightInd w:val="0"/>
                    <w:snapToGrid w:val="0"/>
                    <w:jc w:val="center"/>
                    <w:textAlignment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DW001</w:t>
                  </w:r>
                </w:p>
              </w:tc>
              <w:tc>
                <w:tcPr>
                  <w:tcW w:w="332" w:type="pct"/>
                  <w:tcBorders>
                    <w:tl2br w:val="nil"/>
                    <w:tr2bl w:val="nil"/>
                  </w:tcBorders>
                  <w:vAlign w:val="center"/>
                </w:tcPr>
                <w:p w14:paraId="116F1F3B">
                  <w:pPr>
                    <w:widowControl/>
                    <w:adjustRightInd w:val="0"/>
                    <w:snapToGrid w:val="0"/>
                    <w:jc w:val="center"/>
                    <w:textAlignment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t>符合</w:t>
                  </w:r>
                </w:p>
              </w:tc>
              <w:tc>
                <w:tcPr>
                  <w:tcW w:w="898" w:type="pct"/>
                  <w:tcBorders>
                    <w:tl2br w:val="nil"/>
                    <w:tr2bl w:val="nil"/>
                  </w:tcBorders>
                  <w:vAlign w:val="center"/>
                </w:tcPr>
                <w:p w14:paraId="3E57ADB3">
                  <w:pPr>
                    <w:pStyle w:val="25"/>
                    <w:widowControl w:val="0"/>
                    <w:spacing w:beforeAutospacing="0" w:afterAutospacing="0"/>
                    <w:jc w:val="both"/>
                    <w:rPr>
                      <w:rFonts w:hint="default" w:ascii="Times New Roman" w:hAnsi="Times New Roman" w:cs="Times New Roman"/>
                      <w:b w:val="0"/>
                      <w:bCs/>
                      <w:color w:val="auto"/>
                      <w:spacing w:val="-11"/>
                      <w:sz w:val="21"/>
                      <w:szCs w:val="21"/>
                      <w:highlight w:val="none"/>
                    </w:rPr>
                  </w:pPr>
                  <w:r>
                    <w:rPr>
                      <w:rFonts w:hint="default" w:ascii="Times New Roman" w:hAnsi="Times New Roman" w:cs="Times New Roman"/>
                      <w:b w:val="0"/>
                      <w:bCs/>
                      <w:color w:val="auto"/>
                      <w:spacing w:val="-11"/>
                      <w:kern w:val="2"/>
                      <w:sz w:val="21"/>
                      <w:szCs w:val="21"/>
                      <w:highlight w:val="none"/>
                    </w:rPr>
                    <w:sym w:font="Wingdings" w:char="00FE"/>
                  </w:r>
                  <w:r>
                    <w:rPr>
                      <w:rFonts w:hint="default" w:ascii="Times New Roman" w:hAnsi="Times New Roman" w:cs="Times New Roman"/>
                      <w:b w:val="0"/>
                      <w:bCs/>
                      <w:color w:val="auto"/>
                      <w:spacing w:val="-11"/>
                      <w:kern w:val="2"/>
                      <w:sz w:val="21"/>
                      <w:szCs w:val="21"/>
                      <w:highlight w:val="none"/>
                    </w:rPr>
                    <w:t>企业总排</w:t>
                  </w:r>
                </w:p>
                <w:p w14:paraId="0821549B">
                  <w:pPr>
                    <w:pStyle w:val="25"/>
                    <w:widowControl w:val="0"/>
                    <w:spacing w:beforeAutospacing="0" w:afterAutospacing="0"/>
                    <w:jc w:val="both"/>
                    <w:rPr>
                      <w:rFonts w:hint="default" w:ascii="Times New Roman" w:hAnsi="Times New Roman" w:cs="Times New Roman"/>
                      <w:b w:val="0"/>
                      <w:bCs/>
                      <w:color w:val="auto"/>
                      <w:spacing w:val="-11"/>
                      <w:sz w:val="21"/>
                      <w:szCs w:val="21"/>
                      <w:highlight w:val="none"/>
                    </w:rPr>
                  </w:pPr>
                  <w:r>
                    <w:rPr>
                      <w:rFonts w:hint="default" w:ascii="Times New Roman" w:hAnsi="Times New Roman" w:cs="Times New Roman"/>
                      <w:b w:val="0"/>
                      <w:bCs/>
                      <w:color w:val="auto"/>
                      <w:spacing w:val="-11"/>
                      <w:kern w:val="2"/>
                      <w:sz w:val="21"/>
                      <w:szCs w:val="21"/>
                      <w:highlight w:val="none"/>
                    </w:rPr>
                    <w:sym w:font="Wingdings" w:char="00A8"/>
                  </w:r>
                  <w:r>
                    <w:rPr>
                      <w:rFonts w:hint="default" w:ascii="Times New Roman" w:hAnsi="Times New Roman" w:cs="Times New Roman"/>
                      <w:b w:val="0"/>
                      <w:bCs/>
                      <w:color w:val="auto"/>
                      <w:spacing w:val="-11"/>
                      <w:kern w:val="2"/>
                      <w:sz w:val="21"/>
                      <w:szCs w:val="21"/>
                      <w:highlight w:val="none"/>
                    </w:rPr>
                    <w:t>雨水排放</w:t>
                  </w:r>
                </w:p>
                <w:p w14:paraId="20DC70AA">
                  <w:pPr>
                    <w:pStyle w:val="25"/>
                    <w:widowControl w:val="0"/>
                    <w:spacing w:beforeAutospacing="0" w:afterAutospacing="0"/>
                    <w:jc w:val="both"/>
                    <w:rPr>
                      <w:rFonts w:hint="default" w:ascii="Times New Roman" w:hAnsi="Times New Roman" w:cs="Times New Roman"/>
                      <w:b w:val="0"/>
                      <w:bCs/>
                      <w:color w:val="auto"/>
                      <w:spacing w:val="-11"/>
                      <w:sz w:val="21"/>
                      <w:szCs w:val="21"/>
                      <w:highlight w:val="none"/>
                    </w:rPr>
                  </w:pPr>
                  <w:r>
                    <w:rPr>
                      <w:rFonts w:hint="default" w:ascii="Times New Roman" w:hAnsi="Times New Roman" w:cs="Times New Roman"/>
                      <w:b w:val="0"/>
                      <w:bCs/>
                      <w:color w:val="auto"/>
                      <w:spacing w:val="-11"/>
                      <w:kern w:val="2"/>
                      <w:sz w:val="21"/>
                      <w:szCs w:val="21"/>
                      <w:highlight w:val="none"/>
                    </w:rPr>
                    <w:sym w:font="Wingdings" w:char="00A8"/>
                  </w:r>
                  <w:r>
                    <w:rPr>
                      <w:rFonts w:hint="default" w:ascii="Times New Roman" w:hAnsi="Times New Roman" w:cs="Times New Roman"/>
                      <w:b w:val="0"/>
                      <w:bCs/>
                      <w:color w:val="auto"/>
                      <w:spacing w:val="-11"/>
                      <w:kern w:val="2"/>
                      <w:sz w:val="21"/>
                      <w:szCs w:val="21"/>
                      <w:highlight w:val="none"/>
                    </w:rPr>
                    <w:t>清净下水排放</w:t>
                  </w:r>
                </w:p>
                <w:p w14:paraId="16A5A5A7">
                  <w:pPr>
                    <w:pStyle w:val="25"/>
                    <w:widowControl w:val="0"/>
                    <w:spacing w:beforeAutospacing="0" w:afterAutospacing="0"/>
                    <w:jc w:val="both"/>
                    <w:rPr>
                      <w:rFonts w:hint="default" w:ascii="Times New Roman" w:hAnsi="Times New Roman" w:cs="Times New Roman"/>
                      <w:b w:val="0"/>
                      <w:bCs/>
                      <w:color w:val="auto"/>
                      <w:spacing w:val="-11"/>
                      <w:sz w:val="21"/>
                      <w:szCs w:val="21"/>
                      <w:highlight w:val="none"/>
                    </w:rPr>
                  </w:pPr>
                  <w:r>
                    <w:rPr>
                      <w:rFonts w:hint="default" w:ascii="Times New Roman" w:hAnsi="Times New Roman" w:cs="Times New Roman"/>
                      <w:b w:val="0"/>
                      <w:bCs/>
                      <w:color w:val="auto"/>
                      <w:spacing w:val="-11"/>
                      <w:kern w:val="2"/>
                      <w:sz w:val="21"/>
                      <w:szCs w:val="21"/>
                      <w:highlight w:val="none"/>
                    </w:rPr>
                    <w:sym w:font="Wingdings" w:char="00A8"/>
                  </w:r>
                  <w:r>
                    <w:rPr>
                      <w:rFonts w:hint="default" w:ascii="Times New Roman" w:hAnsi="Times New Roman" w:cs="Times New Roman"/>
                      <w:b w:val="0"/>
                      <w:bCs/>
                      <w:color w:val="auto"/>
                      <w:spacing w:val="-11"/>
                      <w:kern w:val="2"/>
                      <w:sz w:val="21"/>
                      <w:szCs w:val="21"/>
                      <w:highlight w:val="none"/>
                    </w:rPr>
                    <w:t>温排水排放</w:t>
                  </w:r>
                </w:p>
                <w:p w14:paraId="6029AB6E">
                  <w:pPr>
                    <w:widowControl/>
                    <w:adjustRightInd w:val="0"/>
                    <w:snapToGrid w:val="0"/>
                    <w:jc w:val="center"/>
                    <w:textAlignment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rPr>
                    <w:sym w:font="Wingdings" w:char="00A8"/>
                  </w:r>
                  <w:r>
                    <w:rPr>
                      <w:rFonts w:hint="default" w:ascii="Times New Roman" w:hAnsi="Times New Roman" w:cs="Times New Roman"/>
                      <w:b w:val="0"/>
                      <w:bCs/>
                      <w:color w:val="auto"/>
                      <w:spacing w:val="-11"/>
                      <w:szCs w:val="21"/>
                      <w:highlight w:val="none"/>
                    </w:rPr>
                    <w:t>车间或车间处理设施排放</w:t>
                  </w:r>
                </w:p>
              </w:tc>
            </w:tr>
          </w:tbl>
          <w:p w14:paraId="39AA7F79">
            <w:pPr>
              <w:pStyle w:val="50"/>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表4-8  废水间接排放口基本情况表</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315"/>
              <w:gridCol w:w="721"/>
              <w:gridCol w:w="1264"/>
              <w:gridCol w:w="1159"/>
              <w:gridCol w:w="631"/>
              <w:gridCol w:w="543"/>
              <w:gridCol w:w="909"/>
              <w:gridCol w:w="503"/>
              <w:gridCol w:w="503"/>
              <w:gridCol w:w="665"/>
              <w:gridCol w:w="1510"/>
            </w:tblGrid>
            <w:tr w14:paraId="598D83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tblHeader/>
                <w:jc w:val="center"/>
              </w:trPr>
              <w:tc>
                <w:tcPr>
                  <w:tcW w:w="225" w:type="pct"/>
                  <w:vMerge w:val="restart"/>
                  <w:tcBorders>
                    <w:tl2br w:val="nil"/>
                    <w:tr2bl w:val="nil"/>
                  </w:tcBorders>
                  <w:vAlign w:val="center"/>
                </w:tcPr>
                <w:p w14:paraId="1DA45A2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6" w:type="pct"/>
                  <w:vMerge w:val="restart"/>
                  <w:tcBorders>
                    <w:tl2br w:val="nil"/>
                    <w:tr2bl w:val="nil"/>
                  </w:tcBorders>
                  <w:vAlign w:val="center"/>
                </w:tcPr>
                <w:p w14:paraId="1988CFF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排放口编号</w:t>
                  </w:r>
                </w:p>
              </w:tc>
              <w:tc>
                <w:tcPr>
                  <w:tcW w:w="1121" w:type="pct"/>
                  <w:gridSpan w:val="2"/>
                  <w:tcBorders>
                    <w:tl2br w:val="nil"/>
                    <w:tr2bl w:val="nil"/>
                  </w:tcBorders>
                  <w:vAlign w:val="center"/>
                </w:tcPr>
                <w:p w14:paraId="5D0FBEF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排放口地理坐标</w:t>
                  </w:r>
                </w:p>
              </w:tc>
              <w:tc>
                <w:tcPr>
                  <w:tcW w:w="406" w:type="pct"/>
                  <w:vMerge w:val="restart"/>
                  <w:tcBorders>
                    <w:tl2br w:val="nil"/>
                    <w:tr2bl w:val="nil"/>
                  </w:tcBorders>
                  <w:vAlign w:val="center"/>
                </w:tcPr>
                <w:p w14:paraId="2619D92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废水排放量/（万t/a）</w:t>
                  </w:r>
                </w:p>
              </w:tc>
              <w:tc>
                <w:tcPr>
                  <w:tcW w:w="356" w:type="pct"/>
                  <w:vMerge w:val="restart"/>
                  <w:tcBorders>
                    <w:tl2br w:val="nil"/>
                    <w:tr2bl w:val="nil"/>
                  </w:tcBorders>
                  <w:vAlign w:val="center"/>
                </w:tcPr>
                <w:p w14:paraId="3042A7E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排放去向</w:t>
                  </w:r>
                </w:p>
              </w:tc>
              <w:tc>
                <w:tcPr>
                  <w:tcW w:w="565" w:type="pct"/>
                  <w:vMerge w:val="restart"/>
                  <w:tcBorders>
                    <w:tl2br w:val="nil"/>
                    <w:tr2bl w:val="nil"/>
                  </w:tcBorders>
                  <w:vAlign w:val="center"/>
                </w:tcPr>
                <w:p w14:paraId="743269F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排放规律</w:t>
                  </w:r>
                </w:p>
              </w:tc>
              <w:tc>
                <w:tcPr>
                  <w:tcW w:w="332" w:type="pct"/>
                  <w:vMerge w:val="restart"/>
                  <w:tcBorders>
                    <w:tl2br w:val="nil"/>
                    <w:tr2bl w:val="nil"/>
                  </w:tcBorders>
                  <w:vAlign w:val="center"/>
                </w:tcPr>
                <w:p w14:paraId="46E011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间歇排放时段</w:t>
                  </w:r>
                </w:p>
              </w:tc>
              <w:tc>
                <w:tcPr>
                  <w:tcW w:w="1666" w:type="pct"/>
                  <w:gridSpan w:val="3"/>
                  <w:tcBorders>
                    <w:tl2br w:val="nil"/>
                    <w:tr2bl w:val="nil"/>
                  </w:tcBorders>
                  <w:vAlign w:val="center"/>
                </w:tcPr>
                <w:p w14:paraId="7355E33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受纳污水处理厂信息</w:t>
                  </w:r>
                </w:p>
              </w:tc>
            </w:tr>
            <w:tr w14:paraId="57A592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tblHeader/>
                <w:jc w:val="center"/>
              </w:trPr>
              <w:tc>
                <w:tcPr>
                  <w:tcW w:w="225" w:type="pct"/>
                  <w:vMerge w:val="continue"/>
                  <w:tcBorders>
                    <w:tl2br w:val="nil"/>
                    <w:tr2bl w:val="nil"/>
                  </w:tcBorders>
                  <w:vAlign w:val="center"/>
                </w:tcPr>
                <w:p w14:paraId="393C26A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26" w:type="pct"/>
                  <w:vMerge w:val="continue"/>
                  <w:tcBorders>
                    <w:tl2br w:val="nil"/>
                    <w:tr2bl w:val="nil"/>
                  </w:tcBorders>
                  <w:vAlign w:val="center"/>
                </w:tcPr>
                <w:p w14:paraId="7B29E27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tcBorders>
                    <w:tl2br w:val="nil"/>
                    <w:tr2bl w:val="nil"/>
                  </w:tcBorders>
                  <w:vAlign w:val="center"/>
                </w:tcPr>
                <w:p w14:paraId="4724D47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经度</w:t>
                  </w:r>
                </w:p>
              </w:tc>
              <w:tc>
                <w:tcPr>
                  <w:tcW w:w="560" w:type="pct"/>
                  <w:tcBorders>
                    <w:tl2br w:val="nil"/>
                    <w:tr2bl w:val="nil"/>
                  </w:tcBorders>
                  <w:vAlign w:val="center"/>
                </w:tcPr>
                <w:p w14:paraId="6CDDC50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纬度</w:t>
                  </w:r>
                </w:p>
              </w:tc>
              <w:tc>
                <w:tcPr>
                  <w:tcW w:w="406" w:type="pct"/>
                  <w:vMerge w:val="continue"/>
                  <w:tcBorders>
                    <w:tl2br w:val="nil"/>
                    <w:tr2bl w:val="nil"/>
                  </w:tcBorders>
                  <w:vAlign w:val="center"/>
                </w:tcPr>
                <w:p w14:paraId="26ACC5E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6" w:type="pct"/>
                  <w:vMerge w:val="continue"/>
                  <w:tcBorders>
                    <w:tl2br w:val="nil"/>
                    <w:tr2bl w:val="nil"/>
                  </w:tcBorders>
                  <w:vAlign w:val="center"/>
                </w:tcPr>
                <w:p w14:paraId="57EF55B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5" w:type="pct"/>
                  <w:vMerge w:val="continue"/>
                  <w:tcBorders>
                    <w:tl2br w:val="nil"/>
                    <w:tr2bl w:val="nil"/>
                  </w:tcBorders>
                  <w:vAlign w:val="center"/>
                </w:tcPr>
                <w:p w14:paraId="501CEF5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2F75C09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tcBorders>
                    <w:tl2br w:val="nil"/>
                    <w:tr2bl w:val="nil"/>
                  </w:tcBorders>
                  <w:vAlign w:val="center"/>
                </w:tcPr>
                <w:p w14:paraId="5478B9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425" w:type="pct"/>
                  <w:tcBorders>
                    <w:tl2br w:val="nil"/>
                    <w:tr2bl w:val="nil"/>
                  </w:tcBorders>
                  <w:vAlign w:val="center"/>
                </w:tcPr>
                <w:p w14:paraId="5E66A30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污染物种类</w:t>
                  </w:r>
                </w:p>
              </w:tc>
              <w:tc>
                <w:tcPr>
                  <w:tcW w:w="908" w:type="pct"/>
                  <w:tcBorders>
                    <w:tl2br w:val="nil"/>
                    <w:tr2bl w:val="nil"/>
                  </w:tcBorders>
                  <w:vAlign w:val="center"/>
                </w:tcPr>
                <w:p w14:paraId="555FFA6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国家或地方污染物排放标准浓度限值/(mg/L)</w:t>
                  </w:r>
                </w:p>
              </w:tc>
            </w:tr>
            <w:tr w14:paraId="29AD47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225" w:type="pct"/>
                  <w:vMerge w:val="restart"/>
                  <w:tcBorders>
                    <w:tl2br w:val="nil"/>
                    <w:tr2bl w:val="nil"/>
                  </w:tcBorders>
                  <w:vAlign w:val="center"/>
                </w:tcPr>
                <w:p w14:paraId="7335024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6" w:type="pct"/>
                  <w:vMerge w:val="restart"/>
                  <w:tcBorders>
                    <w:tl2br w:val="nil"/>
                    <w:tr2bl w:val="nil"/>
                  </w:tcBorders>
                  <w:vAlign w:val="center"/>
                </w:tcPr>
                <w:p w14:paraId="082072B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DW001</w:t>
                  </w:r>
                </w:p>
              </w:tc>
              <w:tc>
                <w:tcPr>
                  <w:tcW w:w="560" w:type="pct"/>
                  <w:vMerge w:val="restart"/>
                  <w:tcBorders>
                    <w:tl2br w:val="nil"/>
                    <w:tr2bl w:val="nil"/>
                  </w:tcBorders>
                  <w:vAlign w:val="center"/>
                </w:tcPr>
                <w:p w14:paraId="2F85758A">
                  <w:pPr>
                    <w:pStyle w:val="52"/>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108.67983699</w:t>
                  </w:r>
                </w:p>
              </w:tc>
              <w:tc>
                <w:tcPr>
                  <w:tcW w:w="560" w:type="pct"/>
                  <w:vMerge w:val="restart"/>
                  <w:tcBorders>
                    <w:tl2br w:val="nil"/>
                    <w:tr2bl w:val="nil"/>
                  </w:tcBorders>
                  <w:vAlign w:val="center"/>
                </w:tcPr>
                <w:p w14:paraId="26F2F70E">
                  <w:pPr>
                    <w:pStyle w:val="52"/>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34.22498547</w:t>
                  </w:r>
                </w:p>
              </w:tc>
              <w:tc>
                <w:tcPr>
                  <w:tcW w:w="406" w:type="pct"/>
                  <w:vMerge w:val="restart"/>
                  <w:tcBorders>
                    <w:tl2br w:val="nil"/>
                    <w:tr2bl w:val="nil"/>
                  </w:tcBorders>
                  <w:vAlign w:val="center"/>
                </w:tcPr>
                <w:p w14:paraId="4D506B6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eastAsia" w:cs="Times New Roman"/>
                      <w:color w:val="auto"/>
                      <w:highlight w:val="none"/>
                      <w:lang w:val="en-US" w:eastAsia="zh-CN"/>
                    </w:rPr>
                    <w:t>815</w:t>
                  </w:r>
                </w:p>
              </w:tc>
              <w:tc>
                <w:tcPr>
                  <w:tcW w:w="356" w:type="pct"/>
                  <w:vMerge w:val="restart"/>
                  <w:tcBorders>
                    <w:tl2br w:val="nil"/>
                    <w:tr2bl w:val="nil"/>
                  </w:tcBorders>
                  <w:vAlign w:val="center"/>
                </w:tcPr>
                <w:p w14:paraId="2DEC75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沣西新城大王</w:t>
                  </w:r>
                  <w:r>
                    <w:rPr>
                      <w:rFonts w:hint="default" w:ascii="Times New Roman" w:hAnsi="Times New Roman" w:cs="Times New Roman"/>
                      <w:color w:val="auto"/>
                      <w:highlight w:val="none"/>
                      <w:lang w:eastAsia="zh-CN"/>
                    </w:rPr>
                    <w:t>污水处理厂</w:t>
                  </w:r>
                </w:p>
              </w:tc>
              <w:tc>
                <w:tcPr>
                  <w:tcW w:w="565" w:type="pct"/>
                  <w:vMerge w:val="restart"/>
                  <w:tcBorders>
                    <w:tl2br w:val="nil"/>
                    <w:tr2bl w:val="nil"/>
                  </w:tcBorders>
                  <w:vAlign w:val="center"/>
                </w:tcPr>
                <w:p w14:paraId="5974C31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间断排放，排放期间流量不稳定且无规律，但不属于冲击性排放</w:t>
                  </w:r>
                </w:p>
              </w:tc>
              <w:tc>
                <w:tcPr>
                  <w:tcW w:w="332" w:type="pct"/>
                  <w:vMerge w:val="restart"/>
                  <w:tcBorders>
                    <w:tl2br w:val="nil"/>
                    <w:tr2bl w:val="nil"/>
                  </w:tcBorders>
                  <w:vAlign w:val="center"/>
                </w:tcPr>
                <w:p w14:paraId="5A1BED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332" w:type="pct"/>
                  <w:vMerge w:val="restart"/>
                  <w:tcBorders>
                    <w:tl2br w:val="nil"/>
                    <w:tr2bl w:val="nil"/>
                  </w:tcBorders>
                  <w:vAlign w:val="center"/>
                </w:tcPr>
                <w:p w14:paraId="691101C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沣西新城大王</w:t>
                  </w:r>
                  <w:r>
                    <w:rPr>
                      <w:rFonts w:hint="default" w:ascii="Times New Roman" w:hAnsi="Times New Roman" w:cs="Times New Roman"/>
                      <w:color w:val="auto"/>
                      <w:highlight w:val="none"/>
                      <w:lang w:eastAsia="zh-CN"/>
                    </w:rPr>
                    <w:t>污水处理厂</w:t>
                  </w:r>
                </w:p>
              </w:tc>
              <w:tc>
                <w:tcPr>
                  <w:tcW w:w="425" w:type="pct"/>
                  <w:tcBorders>
                    <w:tl2br w:val="nil"/>
                    <w:tr2bl w:val="nil"/>
                  </w:tcBorders>
                  <w:vAlign w:val="center"/>
                </w:tcPr>
                <w:p w14:paraId="11CD36A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COD</w:t>
                  </w:r>
                </w:p>
              </w:tc>
              <w:tc>
                <w:tcPr>
                  <w:tcW w:w="1549" w:type="dxa"/>
                  <w:tcBorders>
                    <w:tl2br w:val="nil"/>
                    <w:tr2bl w:val="nil"/>
                  </w:tcBorders>
                  <w:vAlign w:val="center"/>
                </w:tcPr>
                <w:p w14:paraId="628D30A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30</w:t>
                  </w:r>
                </w:p>
              </w:tc>
            </w:tr>
            <w:tr w14:paraId="63E26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225" w:type="pct"/>
                  <w:vMerge w:val="continue"/>
                  <w:tcBorders>
                    <w:tl2br w:val="nil"/>
                    <w:tr2bl w:val="nil"/>
                  </w:tcBorders>
                  <w:vAlign w:val="center"/>
                </w:tcPr>
                <w:p w14:paraId="5744A0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26" w:type="pct"/>
                  <w:vMerge w:val="continue"/>
                  <w:tcBorders>
                    <w:tl2br w:val="nil"/>
                    <w:tr2bl w:val="nil"/>
                  </w:tcBorders>
                  <w:vAlign w:val="center"/>
                </w:tcPr>
                <w:p w14:paraId="48F36FD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5F7C8D2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59EA3B3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06" w:type="pct"/>
                  <w:vMerge w:val="continue"/>
                  <w:tcBorders>
                    <w:tl2br w:val="nil"/>
                    <w:tr2bl w:val="nil"/>
                  </w:tcBorders>
                  <w:vAlign w:val="center"/>
                </w:tcPr>
                <w:p w14:paraId="256532F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6" w:type="pct"/>
                  <w:vMerge w:val="continue"/>
                  <w:tcBorders>
                    <w:tl2br w:val="nil"/>
                    <w:tr2bl w:val="nil"/>
                  </w:tcBorders>
                  <w:vAlign w:val="center"/>
                </w:tcPr>
                <w:p w14:paraId="0E42E2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5" w:type="pct"/>
                  <w:vMerge w:val="continue"/>
                  <w:tcBorders>
                    <w:tl2br w:val="nil"/>
                    <w:tr2bl w:val="nil"/>
                  </w:tcBorders>
                  <w:vAlign w:val="center"/>
                </w:tcPr>
                <w:p w14:paraId="45D08D4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3729321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60B925C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25" w:type="pct"/>
                  <w:tcBorders>
                    <w:tl2br w:val="nil"/>
                    <w:tr2bl w:val="nil"/>
                  </w:tcBorders>
                  <w:vAlign w:val="center"/>
                </w:tcPr>
                <w:p w14:paraId="4D3AF86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BOD</w:t>
                  </w:r>
                  <w:r>
                    <w:rPr>
                      <w:rFonts w:hint="default" w:ascii="Times New Roman" w:hAnsi="Times New Roman" w:cs="Times New Roman"/>
                      <w:color w:val="auto"/>
                      <w:highlight w:val="none"/>
                      <w:vertAlign w:val="subscript"/>
                    </w:rPr>
                    <w:t>5</w:t>
                  </w:r>
                </w:p>
              </w:tc>
              <w:tc>
                <w:tcPr>
                  <w:tcW w:w="1549" w:type="dxa"/>
                  <w:tcBorders>
                    <w:tl2br w:val="nil"/>
                    <w:tr2bl w:val="nil"/>
                  </w:tcBorders>
                  <w:vAlign w:val="center"/>
                </w:tcPr>
                <w:p w14:paraId="26356B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6</w:t>
                  </w:r>
                </w:p>
              </w:tc>
            </w:tr>
            <w:tr w14:paraId="23428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225" w:type="pct"/>
                  <w:vMerge w:val="continue"/>
                  <w:tcBorders>
                    <w:tl2br w:val="nil"/>
                    <w:tr2bl w:val="nil"/>
                  </w:tcBorders>
                  <w:vAlign w:val="center"/>
                </w:tcPr>
                <w:p w14:paraId="15DA94C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26" w:type="pct"/>
                  <w:vMerge w:val="continue"/>
                  <w:tcBorders>
                    <w:tl2br w:val="nil"/>
                    <w:tr2bl w:val="nil"/>
                  </w:tcBorders>
                  <w:vAlign w:val="center"/>
                </w:tcPr>
                <w:p w14:paraId="256A56A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3AEB2EC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135ED5F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06" w:type="pct"/>
                  <w:vMerge w:val="continue"/>
                  <w:tcBorders>
                    <w:tl2br w:val="nil"/>
                    <w:tr2bl w:val="nil"/>
                  </w:tcBorders>
                  <w:vAlign w:val="center"/>
                </w:tcPr>
                <w:p w14:paraId="42ABF4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6" w:type="pct"/>
                  <w:vMerge w:val="continue"/>
                  <w:tcBorders>
                    <w:tl2br w:val="nil"/>
                    <w:tr2bl w:val="nil"/>
                  </w:tcBorders>
                  <w:vAlign w:val="center"/>
                </w:tcPr>
                <w:p w14:paraId="5751041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5" w:type="pct"/>
                  <w:vMerge w:val="continue"/>
                  <w:tcBorders>
                    <w:tl2br w:val="nil"/>
                    <w:tr2bl w:val="nil"/>
                  </w:tcBorders>
                  <w:vAlign w:val="center"/>
                </w:tcPr>
                <w:p w14:paraId="0F286E8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04F69DA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2818439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25" w:type="pct"/>
                  <w:tcBorders>
                    <w:tl2br w:val="nil"/>
                    <w:tr2bl w:val="nil"/>
                  </w:tcBorders>
                  <w:vAlign w:val="center"/>
                </w:tcPr>
                <w:p w14:paraId="043299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SS</w:t>
                  </w:r>
                </w:p>
              </w:tc>
              <w:tc>
                <w:tcPr>
                  <w:tcW w:w="1549" w:type="dxa"/>
                  <w:tcBorders>
                    <w:tl2br w:val="nil"/>
                    <w:tr2bl w:val="nil"/>
                  </w:tcBorders>
                  <w:vAlign w:val="center"/>
                </w:tcPr>
                <w:p w14:paraId="680FC21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10</w:t>
                  </w:r>
                </w:p>
              </w:tc>
            </w:tr>
            <w:tr w14:paraId="33F87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225" w:type="pct"/>
                  <w:vMerge w:val="continue"/>
                  <w:tcBorders>
                    <w:tl2br w:val="nil"/>
                    <w:tr2bl w:val="nil"/>
                  </w:tcBorders>
                  <w:vAlign w:val="center"/>
                </w:tcPr>
                <w:p w14:paraId="575F593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26" w:type="pct"/>
                  <w:vMerge w:val="continue"/>
                  <w:tcBorders>
                    <w:tl2br w:val="nil"/>
                    <w:tr2bl w:val="nil"/>
                  </w:tcBorders>
                  <w:vAlign w:val="center"/>
                </w:tcPr>
                <w:p w14:paraId="5B73996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487E5AF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433DBC6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06" w:type="pct"/>
                  <w:vMerge w:val="continue"/>
                  <w:tcBorders>
                    <w:tl2br w:val="nil"/>
                    <w:tr2bl w:val="nil"/>
                  </w:tcBorders>
                  <w:vAlign w:val="center"/>
                </w:tcPr>
                <w:p w14:paraId="7BC1163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6" w:type="pct"/>
                  <w:vMerge w:val="continue"/>
                  <w:tcBorders>
                    <w:tl2br w:val="nil"/>
                    <w:tr2bl w:val="nil"/>
                  </w:tcBorders>
                  <w:vAlign w:val="center"/>
                </w:tcPr>
                <w:p w14:paraId="5A1D134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5" w:type="pct"/>
                  <w:vMerge w:val="continue"/>
                  <w:tcBorders>
                    <w:tl2br w:val="nil"/>
                    <w:tr2bl w:val="nil"/>
                  </w:tcBorders>
                  <w:vAlign w:val="center"/>
                </w:tcPr>
                <w:p w14:paraId="5A62CB0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39642EB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3C4F8C4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25" w:type="pct"/>
                  <w:tcBorders>
                    <w:tl2br w:val="nil"/>
                    <w:tr2bl w:val="nil"/>
                  </w:tcBorders>
                  <w:vAlign w:val="center"/>
                </w:tcPr>
                <w:p w14:paraId="27A1F1D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w:t>
                  </w:r>
                </w:p>
              </w:tc>
              <w:tc>
                <w:tcPr>
                  <w:tcW w:w="1549" w:type="dxa"/>
                  <w:tcBorders>
                    <w:tl2br w:val="nil"/>
                    <w:tr2bl w:val="nil"/>
                  </w:tcBorders>
                  <w:vAlign w:val="center"/>
                </w:tcPr>
                <w:p w14:paraId="2041DF3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1.5</w:t>
                  </w:r>
                </w:p>
              </w:tc>
            </w:tr>
            <w:tr w14:paraId="69B00B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225" w:type="pct"/>
                  <w:vMerge w:val="continue"/>
                  <w:tcBorders>
                    <w:tl2br w:val="nil"/>
                    <w:tr2bl w:val="nil"/>
                  </w:tcBorders>
                  <w:vAlign w:val="center"/>
                </w:tcPr>
                <w:p w14:paraId="1ECCFE0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26" w:type="pct"/>
                  <w:vMerge w:val="continue"/>
                  <w:tcBorders>
                    <w:tl2br w:val="nil"/>
                    <w:tr2bl w:val="nil"/>
                  </w:tcBorders>
                  <w:vAlign w:val="center"/>
                </w:tcPr>
                <w:p w14:paraId="0C604AC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4C7D0DC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78F185E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06" w:type="pct"/>
                  <w:vMerge w:val="continue"/>
                  <w:tcBorders>
                    <w:tl2br w:val="nil"/>
                    <w:tr2bl w:val="nil"/>
                  </w:tcBorders>
                  <w:vAlign w:val="center"/>
                </w:tcPr>
                <w:p w14:paraId="4AE0629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6" w:type="pct"/>
                  <w:vMerge w:val="continue"/>
                  <w:tcBorders>
                    <w:tl2br w:val="nil"/>
                    <w:tr2bl w:val="nil"/>
                  </w:tcBorders>
                  <w:vAlign w:val="center"/>
                </w:tcPr>
                <w:p w14:paraId="3A24577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5" w:type="pct"/>
                  <w:vMerge w:val="continue"/>
                  <w:tcBorders>
                    <w:tl2br w:val="nil"/>
                    <w:tr2bl w:val="nil"/>
                  </w:tcBorders>
                  <w:vAlign w:val="center"/>
                </w:tcPr>
                <w:p w14:paraId="0AA91B2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1B246E4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389A954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25" w:type="pct"/>
                  <w:tcBorders>
                    <w:tl2br w:val="nil"/>
                    <w:tr2bl w:val="nil"/>
                  </w:tcBorders>
                  <w:vAlign w:val="center"/>
                </w:tcPr>
                <w:p w14:paraId="3D69FBD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TP</w:t>
                  </w:r>
                </w:p>
              </w:tc>
              <w:tc>
                <w:tcPr>
                  <w:tcW w:w="1549" w:type="dxa"/>
                  <w:tcBorders>
                    <w:tl2br w:val="nil"/>
                    <w:tr2bl w:val="nil"/>
                  </w:tcBorders>
                  <w:vAlign w:val="center"/>
                </w:tcPr>
                <w:p w14:paraId="6FCD5B1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0.3</w:t>
                  </w:r>
                </w:p>
              </w:tc>
            </w:tr>
            <w:tr w14:paraId="200BBE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50" w:hRule="atLeast"/>
                <w:jc w:val="center"/>
              </w:trPr>
              <w:tc>
                <w:tcPr>
                  <w:tcW w:w="225" w:type="pct"/>
                  <w:vMerge w:val="continue"/>
                  <w:tcBorders>
                    <w:tl2br w:val="nil"/>
                    <w:tr2bl w:val="nil"/>
                  </w:tcBorders>
                  <w:vAlign w:val="center"/>
                </w:tcPr>
                <w:p w14:paraId="3A500C3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26" w:type="pct"/>
                  <w:vMerge w:val="continue"/>
                  <w:tcBorders>
                    <w:tl2br w:val="nil"/>
                    <w:tr2bl w:val="nil"/>
                  </w:tcBorders>
                  <w:vAlign w:val="center"/>
                </w:tcPr>
                <w:p w14:paraId="3E0A31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62CB074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0" w:type="pct"/>
                  <w:vMerge w:val="continue"/>
                  <w:tcBorders>
                    <w:tl2br w:val="nil"/>
                    <w:tr2bl w:val="nil"/>
                  </w:tcBorders>
                  <w:vAlign w:val="center"/>
                </w:tcPr>
                <w:p w14:paraId="3CB1D4C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06" w:type="pct"/>
                  <w:vMerge w:val="continue"/>
                  <w:tcBorders>
                    <w:tl2br w:val="nil"/>
                    <w:tr2bl w:val="nil"/>
                  </w:tcBorders>
                  <w:vAlign w:val="center"/>
                </w:tcPr>
                <w:p w14:paraId="62B51C6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6" w:type="pct"/>
                  <w:vMerge w:val="continue"/>
                  <w:tcBorders>
                    <w:tl2br w:val="nil"/>
                    <w:tr2bl w:val="nil"/>
                  </w:tcBorders>
                  <w:vAlign w:val="center"/>
                </w:tcPr>
                <w:p w14:paraId="3B410D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565" w:type="pct"/>
                  <w:vMerge w:val="continue"/>
                  <w:tcBorders>
                    <w:tl2br w:val="nil"/>
                    <w:tr2bl w:val="nil"/>
                  </w:tcBorders>
                  <w:vAlign w:val="center"/>
                </w:tcPr>
                <w:p w14:paraId="44EA3C4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6616CD6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32" w:type="pct"/>
                  <w:vMerge w:val="continue"/>
                  <w:tcBorders>
                    <w:tl2br w:val="nil"/>
                    <w:tr2bl w:val="nil"/>
                  </w:tcBorders>
                  <w:vAlign w:val="center"/>
                </w:tcPr>
                <w:p w14:paraId="58B52C3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25" w:type="pct"/>
                  <w:tcBorders>
                    <w:tl2br w:val="nil"/>
                    <w:tr2bl w:val="nil"/>
                  </w:tcBorders>
                  <w:vAlign w:val="center"/>
                </w:tcPr>
                <w:p w14:paraId="7B897FD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TN</w:t>
                  </w:r>
                </w:p>
              </w:tc>
              <w:tc>
                <w:tcPr>
                  <w:tcW w:w="1549" w:type="dxa"/>
                  <w:tcBorders>
                    <w:tl2br w:val="nil"/>
                    <w:tr2bl w:val="nil"/>
                  </w:tcBorders>
                  <w:vAlign w:val="center"/>
                </w:tcPr>
                <w:p w14:paraId="65A744F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15</w:t>
                  </w:r>
                </w:p>
              </w:tc>
            </w:tr>
          </w:tbl>
          <w:p w14:paraId="25AD79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废水监测计划</w:t>
            </w:r>
          </w:p>
          <w:p w14:paraId="080D1C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本项目废水有食堂废水、生活污水</w:t>
            </w:r>
            <w:r>
              <w:rPr>
                <w:rFonts w:hint="eastAsia" w:cs="Times New Roman"/>
                <w:color w:val="auto"/>
                <w:sz w:val="24"/>
                <w:szCs w:val="24"/>
                <w:highlight w:val="none"/>
                <w:lang w:val="en-US" w:eastAsia="zh-CN"/>
              </w:rPr>
              <w:t>与纯水机浓水</w:t>
            </w:r>
            <w:r>
              <w:rPr>
                <w:rFonts w:hint="default" w:ascii="Times New Roman" w:hAnsi="Times New Roman" w:cs="Times New Roman"/>
                <w:color w:val="auto"/>
                <w:sz w:val="24"/>
                <w:szCs w:val="24"/>
                <w:highlight w:val="none"/>
                <w:lang w:val="en-US" w:eastAsia="zh-CN"/>
              </w:rPr>
              <w:t>，纯水机制备纯水产生的部分浓水回用于道路浇洒用水，多余的浓水经市政污水管网排入沣西新城大王污水处理厂，</w:t>
            </w:r>
            <w:r>
              <w:rPr>
                <w:rFonts w:hint="eastAsia" w:cs="Times New Roman"/>
                <w:color w:val="auto"/>
                <w:sz w:val="24"/>
                <w:szCs w:val="24"/>
                <w:highlight w:val="none"/>
                <w:lang w:val="en-US" w:eastAsia="zh-CN"/>
              </w:rPr>
              <w:t>空调冷水机组</w:t>
            </w:r>
            <w:r>
              <w:rPr>
                <w:rFonts w:hint="default" w:ascii="Times New Roman" w:hAnsi="Times New Roman" w:cs="Times New Roman"/>
                <w:color w:val="auto"/>
                <w:sz w:val="24"/>
                <w:szCs w:val="24"/>
                <w:highlight w:val="none"/>
                <w:lang w:val="en-US" w:eastAsia="zh-CN"/>
              </w:rPr>
              <w:t>冷却循环水不外排，定期补充损耗，食堂废水经油水分离器处理后与生活污水经化粪池预处理后可经市政管网排入沣西新城大王污水处理厂进一步处理，属于间接排放，对地表水无直接影响。</w:t>
            </w:r>
          </w:p>
          <w:p w14:paraId="1DCAD1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根据《环境影响评价技术导则 地表水环境》（HJ 2.3</w:t>
            </w:r>
            <w:r>
              <w:rPr>
                <w:rFonts w:hint="default" w:ascii="Times New Roman" w:hAnsi="Times New Roman" w:cs="Times New Roman"/>
                <w:color w:val="auto"/>
                <w:sz w:val="24"/>
                <w:szCs w:val="24"/>
                <w:highlight w:val="none"/>
                <w:lang w:val="en-US" w:eastAsia="zh-CN"/>
              </w:rPr>
              <w:noBreakHyphen/>
            </w:r>
            <w:r>
              <w:rPr>
                <w:rFonts w:hint="default" w:ascii="Times New Roman" w:hAnsi="Times New Roman" w:cs="Times New Roman"/>
                <w:color w:val="auto"/>
                <w:sz w:val="24"/>
                <w:szCs w:val="24"/>
                <w:highlight w:val="none"/>
                <w:lang w:val="en-US" w:eastAsia="zh-CN"/>
              </w:rPr>
              <w:t>2018），本项目地表水环境影响评价等级为三级 B，可不开展地表水环境质量现状监测，直接引用区域地表水环境质量例行监测数据或说明达标情况即可。</w:t>
            </w:r>
          </w:p>
          <w:p w14:paraId="43BC3D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）废水排放去向及</w:t>
            </w:r>
            <w:r>
              <w:rPr>
                <w:rFonts w:hint="default" w:ascii="Times New Roman" w:hAnsi="Times New Roman" w:cs="Times New Roman"/>
                <w:color w:val="auto"/>
                <w:sz w:val="24"/>
                <w:szCs w:val="24"/>
                <w:highlight w:val="none"/>
                <w:lang w:eastAsia="zh-CN"/>
              </w:rPr>
              <w:t>依托</w:t>
            </w:r>
            <w:r>
              <w:rPr>
                <w:rFonts w:hint="default" w:ascii="Times New Roman" w:hAnsi="Times New Roman" w:cs="Times New Roman"/>
                <w:color w:val="auto"/>
                <w:sz w:val="24"/>
                <w:szCs w:val="24"/>
                <w:highlight w:val="none"/>
              </w:rPr>
              <w:t>可行性分析</w:t>
            </w:r>
          </w:p>
          <w:p w14:paraId="51EDDB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①</w:t>
            </w:r>
            <w:r>
              <w:rPr>
                <w:rFonts w:hint="default" w:ascii="Times New Roman" w:hAnsi="Times New Roman" w:cs="Times New Roman"/>
                <w:color w:val="auto"/>
                <w:sz w:val="24"/>
                <w:szCs w:val="24"/>
                <w:highlight w:val="none"/>
                <w:lang w:val="en-US" w:eastAsia="zh-CN"/>
              </w:rPr>
              <w:t>化粪池容量合理性分析</w:t>
            </w:r>
          </w:p>
          <w:p w14:paraId="5BB439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本项目产生的生活污水利用新建的化粪池进行预处理，容积为100m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，停留时间约12h。经过计算，项目</w:t>
            </w:r>
            <w:r>
              <w:rPr>
                <w:rFonts w:hint="eastAsia" w:cs="Times New Roman"/>
                <w:color w:val="auto"/>
                <w:sz w:val="24"/>
                <w:szCs w:val="24"/>
                <w:highlight w:val="none"/>
                <w:lang w:val="en-US" w:eastAsia="zh-CN"/>
              </w:rPr>
              <w:t>生活污水与食堂废水</w:t>
            </w:r>
            <w:r>
              <w:rPr>
                <w:rFonts w:hint="default" w:ascii="Times New Roman" w:hAnsi="Times New Roman" w:cs="Times New Roman"/>
                <w:color w:val="auto"/>
                <w:sz w:val="24"/>
                <w:szCs w:val="24"/>
                <w:highlight w:val="none"/>
                <w:lang w:val="en-US" w:eastAsia="zh-CN"/>
              </w:rPr>
              <w:t>产生量为95.81m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/d，食堂废水经油水分离器处理后与生活污水经化粪池预处理后通过市政污水管网排入沣西新城大王污水处理厂处理达标后排放，废水排放满足《污水综合排放标准》（GB8978-1996）三级标准与</w:t>
            </w:r>
            <w:r>
              <w:rPr>
                <w:rFonts w:hint="default" w:ascii="Times New Roman" w:hAnsi="Times New Roman" w:cs="Times New Roman"/>
                <w:color w:val="auto"/>
                <w:sz w:val="24"/>
                <w:szCs w:val="24"/>
                <w:highlight w:val="none"/>
                <w:lang w:val="en-US" w:eastAsia="zh-CN"/>
              </w:rPr>
              <w:t>《污水排入城镇下水道水质标准》（GB/T 31962-2015）</w:t>
            </w:r>
            <w:r>
              <w:rPr>
                <w:rFonts w:hint="eastAsia" w:cs="Times New Roman"/>
                <w:color w:val="auto"/>
                <w:sz w:val="24"/>
                <w:szCs w:val="24"/>
                <w:highlight w:val="none"/>
                <w:lang w:val="en-US" w:eastAsia="zh-CN"/>
              </w:rPr>
              <w:t>A</w:t>
            </w:r>
            <w:r>
              <w:rPr>
                <w:rFonts w:hint="default" w:ascii="Times New Roman" w:hAnsi="Times New Roman" w:cs="Times New Roman"/>
                <w:color w:val="auto"/>
                <w:sz w:val="24"/>
                <w:szCs w:val="24"/>
                <w:highlight w:val="none"/>
                <w:lang w:val="en-US" w:eastAsia="zh-CN"/>
              </w:rPr>
              <w:t>等级</w:t>
            </w:r>
            <w:r>
              <w:rPr>
                <w:rFonts w:hint="default" w:ascii="Times New Roman" w:hAnsi="Times New Roman" w:cs="Times New Roman"/>
                <w:color w:val="auto"/>
                <w:sz w:val="24"/>
                <w:szCs w:val="24"/>
                <w:highlight w:val="none"/>
                <w:lang w:val="en-US" w:eastAsia="zh-CN"/>
              </w:rPr>
              <w:t>，厂区新建化粪池容量可满足本项目废水处理要求，因此本项目化粪池容量设置合理。</w:t>
            </w:r>
          </w:p>
          <w:p w14:paraId="6A198E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②</w:t>
            </w:r>
            <w:r>
              <w:rPr>
                <w:rFonts w:hint="default" w:ascii="Times New Roman" w:hAnsi="Times New Roman" w:cs="Times New Roman"/>
                <w:color w:val="auto"/>
                <w:sz w:val="24"/>
                <w:szCs w:val="24"/>
                <w:highlight w:val="none"/>
                <w:lang w:val="en-US" w:eastAsia="zh-CN"/>
              </w:rPr>
              <w:t>依托沣西新城大王</w:t>
            </w:r>
            <w:r>
              <w:rPr>
                <w:rFonts w:hint="default" w:ascii="Times New Roman" w:hAnsi="Times New Roman" w:cs="Times New Roman"/>
                <w:color w:val="auto"/>
                <w:sz w:val="24"/>
                <w:szCs w:val="24"/>
                <w:highlight w:val="none"/>
                <w:lang w:eastAsia="zh-CN"/>
              </w:rPr>
              <w:t>污水处理厂</w:t>
            </w:r>
            <w:r>
              <w:rPr>
                <w:rFonts w:hint="default" w:ascii="Times New Roman" w:hAnsi="Times New Roman" w:cs="Times New Roman"/>
                <w:color w:val="auto"/>
                <w:sz w:val="24"/>
                <w:szCs w:val="24"/>
                <w:highlight w:val="none"/>
                <w:lang w:val="en-US" w:eastAsia="zh-CN"/>
              </w:rPr>
              <w:t>可行性分析</w:t>
            </w:r>
          </w:p>
          <w:p w14:paraId="514674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沣西新城大王</w:t>
            </w:r>
            <w:r>
              <w:rPr>
                <w:rFonts w:hint="default" w:ascii="Times New Roman" w:hAnsi="Times New Roman" w:cs="Times New Roman"/>
                <w:color w:val="auto"/>
                <w:sz w:val="24"/>
                <w:szCs w:val="24"/>
                <w:highlight w:val="none"/>
              </w:rPr>
              <w:t>污水处理厂</w:t>
            </w:r>
            <w:r>
              <w:rPr>
                <w:rFonts w:hint="default" w:ascii="Times New Roman" w:hAnsi="Times New Roman" w:cs="Times New Roman"/>
                <w:color w:val="auto"/>
                <w:sz w:val="24"/>
                <w:szCs w:val="24"/>
                <w:highlight w:val="none"/>
                <w:lang w:val="en-US" w:eastAsia="zh-CN"/>
              </w:rPr>
              <w:t>服务范围</w:t>
            </w:r>
            <w:r>
              <w:rPr>
                <w:rFonts w:hint="default" w:ascii="Times New Roman" w:hAnsi="Times New Roman" w:cs="Times New Roman"/>
                <w:color w:val="auto"/>
                <w:sz w:val="24"/>
                <w:szCs w:val="24"/>
                <w:highlight w:val="none"/>
              </w:rPr>
              <w:t>覆盖沣西新城大王街道、马王街道两大街道片区，是片区镇级集中式污水处理设施，处理规模为</w:t>
            </w:r>
            <w:r>
              <w:rPr>
                <w:rFonts w:hint="default" w:ascii="Times New Roman" w:hAnsi="Times New Roman" w:cs="Times New Roman"/>
                <w:color w:val="auto"/>
                <w:sz w:val="24"/>
                <w:szCs w:val="24"/>
                <w:highlight w:val="none"/>
                <w:lang w:val="en-US" w:eastAsia="zh-CN"/>
              </w:rPr>
              <w:t>10000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/d，分两期建设，其中一期</w:t>
            </w:r>
            <w:r>
              <w:rPr>
                <w:rFonts w:hint="default" w:ascii="Times New Roman" w:hAnsi="Times New Roman" w:cs="Times New Roman"/>
                <w:color w:val="auto"/>
                <w:sz w:val="24"/>
                <w:szCs w:val="24"/>
                <w:highlight w:val="none"/>
                <w:lang w:val="en-US" w:eastAsia="zh-CN"/>
              </w:rPr>
              <w:t>5000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/d，二期</w:t>
            </w:r>
            <w:r>
              <w:rPr>
                <w:rFonts w:hint="default" w:ascii="Times New Roman" w:hAnsi="Times New Roman" w:cs="Times New Roman"/>
                <w:color w:val="auto"/>
                <w:sz w:val="24"/>
                <w:szCs w:val="24"/>
                <w:highlight w:val="none"/>
                <w:lang w:val="en-US" w:eastAsia="zh-CN"/>
              </w:rPr>
              <w:t>5000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目前服务总人口数约3.1万人</w:t>
            </w:r>
            <w:r>
              <w:rPr>
                <w:rFonts w:hint="default" w:ascii="Times New Roman" w:hAnsi="Times New Roman" w:cs="Times New Roman"/>
                <w:color w:val="auto"/>
                <w:sz w:val="24"/>
                <w:szCs w:val="24"/>
                <w:highlight w:val="none"/>
              </w:rPr>
              <w:t>。目前建成一期</w:t>
            </w:r>
            <w:r>
              <w:rPr>
                <w:rFonts w:hint="default" w:ascii="Times New Roman" w:hAnsi="Times New Roman" w:cs="Times New Roman"/>
                <w:color w:val="auto"/>
                <w:sz w:val="24"/>
                <w:szCs w:val="24"/>
                <w:highlight w:val="none"/>
                <w:lang w:val="en-US" w:eastAsia="zh-CN"/>
              </w:rPr>
              <w:t>5000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处理负荷为3100m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/d，仍有1900m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/d剩余处理能力</w:t>
            </w:r>
            <w:r>
              <w:rPr>
                <w:rFonts w:hint="default" w:ascii="Times New Roman" w:hAnsi="Times New Roman" w:cs="Times New Roman"/>
                <w:color w:val="auto"/>
                <w:sz w:val="24"/>
                <w:szCs w:val="24"/>
                <w:highlight w:val="none"/>
              </w:rPr>
              <w:t>。污水经处理后排入</w:t>
            </w:r>
            <w:r>
              <w:rPr>
                <w:rFonts w:hint="default" w:ascii="Times New Roman" w:hAnsi="Times New Roman" w:cs="Times New Roman"/>
                <w:color w:val="auto"/>
                <w:sz w:val="24"/>
                <w:szCs w:val="24"/>
                <w:highlight w:val="none"/>
                <w:lang w:val="en-US" w:eastAsia="zh-CN"/>
              </w:rPr>
              <w:t>新</w:t>
            </w:r>
            <w:r>
              <w:rPr>
                <w:rFonts w:hint="default" w:ascii="Times New Roman" w:hAnsi="Times New Roman" w:cs="Times New Roman"/>
                <w:color w:val="auto"/>
                <w:sz w:val="24"/>
                <w:szCs w:val="24"/>
                <w:highlight w:val="none"/>
              </w:rPr>
              <w:t>河，最终进入渭河。该污水厂一期20</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9年投入运行，采用改良A/O 生物膜 + 立体生态根系净化复合体系，</w:t>
            </w:r>
            <w:r>
              <w:rPr>
                <w:rFonts w:hint="default" w:ascii="Times New Roman" w:hAnsi="Times New Roman" w:cs="Times New Roman"/>
                <w:color w:val="auto"/>
                <w:sz w:val="24"/>
                <w:szCs w:val="24"/>
                <w:highlight w:val="none"/>
                <w:lang w:val="en-US" w:eastAsia="zh-CN"/>
              </w:rPr>
              <w:t>出水</w:t>
            </w:r>
            <w:r>
              <w:rPr>
                <w:rFonts w:hint="default" w:ascii="Times New Roman" w:hAnsi="Times New Roman" w:cs="Times New Roman"/>
                <w:color w:val="auto"/>
                <w:sz w:val="24"/>
                <w:szCs w:val="24"/>
                <w:highlight w:val="none"/>
              </w:rPr>
              <w:t>水质达到城镇污水处理厂污染物排放标准的一级A标准</w:t>
            </w:r>
            <w:r>
              <w:rPr>
                <w:rFonts w:hint="default" w:ascii="Times New Roman" w:hAnsi="Times New Roman" w:cs="Times New Roman"/>
                <w:color w:val="auto"/>
                <w:sz w:val="24"/>
                <w:szCs w:val="24"/>
                <w:highlight w:val="none"/>
                <w:lang w:eastAsia="zh-CN"/>
              </w:rPr>
              <w:t>。</w:t>
            </w:r>
          </w:p>
          <w:p w14:paraId="6DABB4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本项目主要为生活污水</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食堂废水</w:t>
            </w:r>
            <w:r>
              <w:rPr>
                <w:rFonts w:hint="eastAsia" w:cs="Times New Roman"/>
                <w:color w:val="auto"/>
                <w:sz w:val="24"/>
                <w:szCs w:val="24"/>
                <w:highlight w:val="none"/>
                <w:lang w:val="en-US" w:eastAsia="zh-CN"/>
              </w:rPr>
              <w:t>与纯水机浓水</w:t>
            </w:r>
            <w:r>
              <w:rPr>
                <w:rFonts w:hint="default" w:ascii="Times New Roman" w:hAnsi="Times New Roman" w:cs="Times New Roman"/>
                <w:color w:val="auto"/>
                <w:sz w:val="24"/>
                <w:szCs w:val="24"/>
                <w:highlight w:val="none"/>
              </w:rPr>
              <w:t>，排水量</w:t>
            </w:r>
            <w:r>
              <w:rPr>
                <w:rFonts w:hint="default" w:ascii="Times New Roman" w:hAnsi="Times New Roman" w:cs="Times New Roman"/>
                <w:color w:val="auto"/>
                <w:sz w:val="24"/>
                <w:szCs w:val="24"/>
                <w:highlight w:val="none"/>
                <w:lang w:val="en-US" w:eastAsia="zh-CN"/>
              </w:rPr>
              <w:t>为</w:t>
            </w:r>
            <w:r>
              <w:rPr>
                <w:rFonts w:hint="eastAsia" w:cs="Times New Roman"/>
                <w:color w:val="auto"/>
                <w:sz w:val="24"/>
                <w:szCs w:val="24"/>
                <w:highlight w:val="none"/>
                <w:lang w:val="en-US" w:eastAsia="zh-CN"/>
              </w:rPr>
              <w:t>28152</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r>
              <w:rPr>
                <w:rFonts w:hint="eastAsia" w:cs="Times New Roman"/>
                <w:color w:val="auto"/>
                <w:sz w:val="24"/>
                <w:szCs w:val="24"/>
                <w:highlight w:val="none"/>
                <w:lang w:val="en-US" w:eastAsia="zh-CN"/>
              </w:rPr>
              <w:t>112.61</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纯水制备产生的浓水为清净下水，主要含有钙离子、镁离子、氯离子等无机盐，收集后直接进入市政污水管网后排入沣西新城大王污水处理厂进行处理</w:t>
            </w:r>
            <w:r>
              <w:rPr>
                <w:rFonts w:hint="eastAsia" w:cs="Times New Roman"/>
                <w:color w:val="auto"/>
                <w:sz w:val="24"/>
                <w:szCs w:val="24"/>
                <w:highlight w:val="none"/>
                <w:lang w:val="en-US" w:eastAsia="zh-CN"/>
              </w:rPr>
              <w:t>，项目排水</w:t>
            </w:r>
            <w:r>
              <w:rPr>
                <w:rFonts w:hint="default" w:ascii="Times New Roman" w:hAnsi="Times New Roman" w:cs="Times New Roman"/>
                <w:color w:val="auto"/>
                <w:sz w:val="24"/>
                <w:szCs w:val="24"/>
                <w:highlight w:val="none"/>
                <w:lang w:val="en-US" w:eastAsia="zh-CN"/>
              </w:rPr>
              <w:t>满足沣西新城大王污水处理厂收水水质标准</w:t>
            </w:r>
            <w:r>
              <w:rPr>
                <w:rFonts w:hint="default" w:ascii="Times New Roman" w:hAnsi="Times New Roman" w:cs="Times New Roman"/>
                <w:color w:val="auto"/>
                <w:sz w:val="24"/>
                <w:szCs w:val="24"/>
                <w:highlight w:val="none"/>
                <w:lang w:val="en-US" w:eastAsia="zh-CN"/>
              </w:rPr>
              <w:t>《污水排入城镇下水道水质标准》（GB/T 31962</w:t>
            </w:r>
            <w:r>
              <w:rPr>
                <w:rFonts w:hint="default" w:ascii="Times New Roman" w:hAnsi="Times New Roman" w:cs="Times New Roman"/>
                <w:color w:val="auto"/>
                <w:sz w:val="24"/>
                <w:szCs w:val="24"/>
                <w:highlight w:val="none"/>
                <w:lang w:val="en-US" w:eastAsia="zh-CN"/>
              </w:rPr>
              <w:noBreakHyphen/>
            </w:r>
            <w:r>
              <w:rPr>
                <w:rFonts w:hint="default" w:ascii="Times New Roman" w:hAnsi="Times New Roman" w:cs="Times New Roman"/>
                <w:color w:val="auto"/>
                <w:sz w:val="24"/>
                <w:szCs w:val="24"/>
                <w:highlight w:val="none"/>
                <w:lang w:val="en-US" w:eastAsia="zh-CN"/>
              </w:rPr>
              <w:t>2015）</w:t>
            </w:r>
            <w:r>
              <w:rPr>
                <w:rFonts w:hint="eastAsia" w:cs="Times New Roman"/>
                <w:color w:val="auto"/>
                <w:sz w:val="24"/>
                <w:szCs w:val="24"/>
                <w:highlight w:val="none"/>
                <w:lang w:val="en-US" w:eastAsia="zh-CN"/>
              </w:rPr>
              <w:t>A</w:t>
            </w:r>
            <w:r>
              <w:rPr>
                <w:rFonts w:hint="default" w:ascii="Times New Roman" w:hAnsi="Times New Roman" w:cs="Times New Roman"/>
                <w:color w:val="auto"/>
                <w:sz w:val="24"/>
                <w:szCs w:val="24"/>
                <w:highlight w:val="none"/>
                <w:lang w:val="en-US" w:eastAsia="zh-CN"/>
              </w:rPr>
              <w:t>级</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且位于污水处理</w:t>
            </w:r>
            <w:r>
              <w:rPr>
                <w:rFonts w:hint="eastAsia" w:cs="Times New Roman"/>
                <w:color w:val="auto"/>
                <w:sz w:val="24"/>
                <w:szCs w:val="24"/>
                <w:highlight w:val="none"/>
                <w:lang w:val="en-US" w:eastAsia="zh-CN"/>
              </w:rPr>
              <w:t>厂</w:t>
            </w:r>
            <w:r>
              <w:rPr>
                <w:rFonts w:hint="default" w:ascii="Times New Roman" w:hAnsi="Times New Roman" w:cs="Times New Roman"/>
                <w:color w:val="auto"/>
                <w:sz w:val="24"/>
                <w:szCs w:val="24"/>
                <w:highlight w:val="none"/>
              </w:rPr>
              <w:t>纳污范围内，因此，本项目污水处理依托</w:t>
            </w:r>
            <w:r>
              <w:rPr>
                <w:rFonts w:hint="default" w:ascii="Times New Roman" w:hAnsi="Times New Roman" w:cs="Times New Roman"/>
                <w:color w:val="auto"/>
                <w:sz w:val="24"/>
                <w:szCs w:val="24"/>
                <w:highlight w:val="none"/>
                <w:lang w:val="en-US" w:eastAsia="zh-CN"/>
              </w:rPr>
              <w:t>沣西新城大王</w:t>
            </w:r>
            <w:r>
              <w:rPr>
                <w:rFonts w:hint="default" w:ascii="Times New Roman" w:hAnsi="Times New Roman" w:cs="Times New Roman"/>
                <w:color w:val="auto"/>
                <w:sz w:val="24"/>
                <w:szCs w:val="24"/>
                <w:highlight w:val="none"/>
              </w:rPr>
              <w:t>污水处理厂处理可行。</w:t>
            </w:r>
          </w:p>
          <w:p w14:paraId="0BE13F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水环境影响评价结论</w:t>
            </w:r>
          </w:p>
          <w:p w14:paraId="6F7EA7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纯水机制备纯水产生的部分浓水回用于道路浇洒用水，多余的浓水经市政污水管网排入沣西新城大王污水处理厂</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食堂废水经油水分离器处理后与生活污水经厂区化粪池预处理后经市政管网排入沣西新城大王</w:t>
            </w:r>
            <w:r>
              <w:rPr>
                <w:rFonts w:hint="default" w:ascii="Times New Roman" w:hAnsi="Times New Roman" w:cs="Times New Roman"/>
                <w:color w:val="auto"/>
                <w:sz w:val="24"/>
                <w:szCs w:val="24"/>
                <w:highlight w:val="none"/>
                <w:lang w:eastAsia="zh-CN"/>
              </w:rPr>
              <w:t>污水处理厂</w:t>
            </w:r>
            <w:r>
              <w:rPr>
                <w:rFonts w:hint="default" w:ascii="Times New Roman" w:hAnsi="Times New Roman" w:cs="Times New Roman"/>
                <w:color w:val="auto"/>
                <w:sz w:val="24"/>
                <w:szCs w:val="24"/>
                <w:highlight w:val="none"/>
              </w:rPr>
              <w:t>处理</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对</w:t>
            </w:r>
            <w:r>
              <w:rPr>
                <w:rFonts w:hint="default" w:ascii="Times New Roman" w:hAnsi="Times New Roman" w:cs="Times New Roman"/>
                <w:color w:val="auto"/>
                <w:sz w:val="24"/>
                <w:szCs w:val="24"/>
                <w:highlight w:val="none"/>
                <w:lang w:val="en-US" w:eastAsia="zh-CN"/>
              </w:rPr>
              <w:t>沣西新城大王</w:t>
            </w:r>
            <w:r>
              <w:rPr>
                <w:rFonts w:hint="default" w:ascii="Times New Roman" w:hAnsi="Times New Roman" w:cs="Times New Roman"/>
                <w:color w:val="auto"/>
                <w:sz w:val="24"/>
                <w:szCs w:val="24"/>
                <w:highlight w:val="none"/>
                <w:lang w:eastAsia="zh-CN"/>
              </w:rPr>
              <w:t>污水处理厂</w:t>
            </w:r>
            <w:r>
              <w:rPr>
                <w:rFonts w:hint="default" w:ascii="Times New Roman" w:hAnsi="Times New Roman" w:cs="Times New Roman"/>
                <w:color w:val="auto"/>
                <w:sz w:val="24"/>
                <w:szCs w:val="24"/>
                <w:highlight w:val="none"/>
              </w:rPr>
              <w:t>接管可行性分析可知，本项目水量、水质等均符合</w:t>
            </w:r>
            <w:r>
              <w:rPr>
                <w:rFonts w:hint="default" w:ascii="Times New Roman" w:hAnsi="Times New Roman" w:cs="Times New Roman"/>
                <w:color w:val="auto"/>
                <w:sz w:val="24"/>
                <w:szCs w:val="24"/>
                <w:highlight w:val="none"/>
                <w:lang w:val="en-US" w:eastAsia="zh-CN"/>
              </w:rPr>
              <w:t>沣西新城大王</w:t>
            </w:r>
            <w:r>
              <w:rPr>
                <w:rFonts w:hint="default" w:ascii="Times New Roman" w:hAnsi="Times New Roman" w:cs="Times New Roman"/>
                <w:color w:val="auto"/>
                <w:sz w:val="24"/>
                <w:szCs w:val="24"/>
                <w:highlight w:val="none"/>
                <w:lang w:eastAsia="zh-CN"/>
              </w:rPr>
              <w:t>污水处理厂</w:t>
            </w:r>
            <w:r>
              <w:rPr>
                <w:rFonts w:hint="default" w:ascii="Times New Roman" w:hAnsi="Times New Roman" w:cs="Times New Roman"/>
                <w:color w:val="auto"/>
                <w:sz w:val="24"/>
                <w:szCs w:val="24"/>
                <w:highlight w:val="none"/>
              </w:rPr>
              <w:t>接管要求</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因此，本项目污水不直接对外排放，不会对当地地表水环境产生不利影响，地表水影响可接受</w:t>
            </w:r>
            <w:r>
              <w:rPr>
                <w:rFonts w:hint="default" w:ascii="Times New Roman" w:hAnsi="Times New Roman" w:cs="Times New Roman"/>
                <w:color w:val="auto"/>
                <w:sz w:val="24"/>
                <w:szCs w:val="24"/>
                <w:highlight w:val="none"/>
                <w:lang w:eastAsia="zh-CN"/>
              </w:rPr>
              <w:t>。</w:t>
            </w:r>
          </w:p>
          <w:p w14:paraId="1AA050A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三、噪声</w:t>
            </w:r>
          </w:p>
          <w:p w14:paraId="58848C45">
            <w:pPr>
              <w:adjustRightInd w:val="0"/>
              <w:snapToGrid w:val="0"/>
              <w:spacing w:line="360" w:lineRule="auto"/>
              <w:ind w:firstLine="480" w:firstLineChars="200"/>
              <w:jc w:val="left"/>
              <w:rPr>
                <w:rFonts w:hint="default" w:ascii="Times New Roman" w:hAnsi="Times New Roman" w:eastAsia="宋体" w:cs="Times New Roman"/>
                <w:b w:val="0"/>
                <w:bCs/>
                <w:color w:val="auto"/>
                <w:sz w:val="24"/>
                <w:highlight w:val="none"/>
                <w:lang w:eastAsia="zh-CN"/>
              </w:rPr>
            </w:pPr>
            <w:r>
              <w:rPr>
                <w:rFonts w:hint="default" w:ascii="Times New Roman" w:hAnsi="Times New Roman" w:cs="Times New Roman"/>
                <w:b w:val="0"/>
                <w:bCs/>
                <w:color w:val="auto"/>
                <w:sz w:val="24"/>
                <w:highlight w:val="none"/>
              </w:rPr>
              <w:t>（1）设备运行噪声源强分析</w:t>
            </w:r>
          </w:p>
          <w:p w14:paraId="13610A1E">
            <w:pPr>
              <w:pStyle w:val="49"/>
              <w:widowControl/>
              <w:adjustRightInd/>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 xml:space="preserve">9   </w:t>
            </w:r>
            <w:r>
              <w:rPr>
                <w:rFonts w:hint="default" w:ascii="Times New Roman" w:hAnsi="Times New Roman" w:cs="Times New Roman"/>
                <w:b/>
                <w:color w:val="auto"/>
                <w:sz w:val="21"/>
                <w:szCs w:val="21"/>
                <w:highlight w:val="none"/>
              </w:rPr>
              <w:t>企业噪声源调查清单    单位：dB（A）</w:t>
            </w:r>
          </w:p>
          <w:tbl>
            <w:tblPr>
              <w:tblStyle w:val="28"/>
              <w:tblW w:w="4997" w:type="pct"/>
              <w:tblInd w:w="-1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413"/>
              <w:gridCol w:w="1161"/>
              <w:gridCol w:w="1208"/>
              <w:gridCol w:w="625"/>
              <w:gridCol w:w="580"/>
              <w:gridCol w:w="546"/>
              <w:gridCol w:w="433"/>
              <w:gridCol w:w="457"/>
              <w:gridCol w:w="605"/>
              <w:gridCol w:w="323"/>
              <w:gridCol w:w="548"/>
              <w:gridCol w:w="929"/>
              <w:gridCol w:w="890"/>
            </w:tblGrid>
            <w:tr w14:paraId="079466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restart"/>
                  <w:tcBorders>
                    <w:tl2br w:val="nil"/>
                    <w:tr2bl w:val="nil"/>
                  </w:tcBorders>
                  <w:noWrap w:val="0"/>
                  <w:vAlign w:val="center"/>
                </w:tcPr>
                <w:p w14:paraId="04FB45C9">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b w:val="0"/>
                      <w:bCs/>
                      <w:color w:val="auto"/>
                      <w:kern w:val="0"/>
                      <w:sz w:val="21"/>
                      <w:szCs w:val="21"/>
                      <w:highlight w:val="none"/>
                      <w:lang w:val="en-US" w:eastAsia="zh-CN"/>
                    </w:rPr>
                    <w:t>建筑物名称</w:t>
                  </w:r>
                </w:p>
              </w:tc>
              <w:tc>
                <w:tcPr>
                  <w:tcW w:w="665" w:type="pct"/>
                  <w:vMerge w:val="restart"/>
                  <w:tcBorders>
                    <w:tl2br w:val="nil"/>
                    <w:tr2bl w:val="nil"/>
                  </w:tcBorders>
                  <w:noWrap w:val="0"/>
                  <w:vAlign w:val="center"/>
                </w:tcPr>
                <w:p w14:paraId="672C5B4A">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bidi="ar"/>
                    </w:rPr>
                    <w:t>声源名称</w:t>
                  </w:r>
                </w:p>
              </w:tc>
              <w:tc>
                <w:tcPr>
                  <w:tcW w:w="692" w:type="pct"/>
                  <w:vMerge w:val="restart"/>
                  <w:tcBorders>
                    <w:tl2br w:val="nil"/>
                    <w:tr2bl w:val="nil"/>
                  </w:tcBorders>
                  <w:noWrap w:val="0"/>
                  <w:vAlign w:val="center"/>
                </w:tcPr>
                <w:p w14:paraId="54D78BF2">
                  <w:pPr>
                    <w:pStyle w:val="15"/>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（声压级/距声源距离）/（dB(A)/m）</w:t>
                  </w:r>
                </w:p>
              </w:tc>
              <w:tc>
                <w:tcPr>
                  <w:tcW w:w="358" w:type="pct"/>
                  <w:vMerge w:val="restart"/>
                  <w:tcBorders>
                    <w:tl2br w:val="nil"/>
                    <w:tr2bl w:val="nil"/>
                  </w:tcBorders>
                  <w:noWrap w:val="0"/>
                  <w:vAlign w:val="center"/>
                </w:tcPr>
                <w:p w14:paraId="2D69A8DA">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声源控制措施</w:t>
                  </w:r>
                </w:p>
              </w:tc>
              <w:tc>
                <w:tcPr>
                  <w:tcW w:w="893" w:type="pct"/>
                  <w:gridSpan w:val="3"/>
                  <w:tcBorders>
                    <w:tl2br w:val="nil"/>
                    <w:tr2bl w:val="nil"/>
                  </w:tcBorders>
                  <w:noWrap w:val="0"/>
                  <w:vAlign w:val="center"/>
                </w:tcPr>
                <w:p w14:paraId="6BB6DAC0">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空间相对位置/m</w:t>
                  </w:r>
                </w:p>
              </w:tc>
              <w:tc>
                <w:tcPr>
                  <w:tcW w:w="262" w:type="pct"/>
                  <w:vMerge w:val="restart"/>
                  <w:tcBorders>
                    <w:tl2br w:val="nil"/>
                    <w:tr2bl w:val="nil"/>
                  </w:tcBorders>
                  <w:noWrap w:val="0"/>
                  <w:vAlign w:val="center"/>
                </w:tcPr>
                <w:p w14:paraId="04DDDC84">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距室内边界距离/m</w:t>
                  </w:r>
                </w:p>
              </w:tc>
              <w:tc>
                <w:tcPr>
                  <w:tcW w:w="346" w:type="pct"/>
                  <w:vMerge w:val="restart"/>
                  <w:tcBorders>
                    <w:tl2br w:val="nil"/>
                    <w:tr2bl w:val="nil"/>
                  </w:tcBorders>
                  <w:noWrap w:val="0"/>
                  <w:vAlign w:val="center"/>
                </w:tcPr>
                <w:p w14:paraId="521146E4">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color w:val="auto"/>
                      <w:kern w:val="0"/>
                      <w:sz w:val="21"/>
                      <w:szCs w:val="21"/>
                      <w:highlight w:val="none"/>
                      <w:lang w:val="en-US" w:eastAsia="zh-CN" w:bidi="ar"/>
                    </w:rPr>
                    <w:t>室内边界声</w:t>
                  </w:r>
                  <w:r>
                    <w:rPr>
                      <w:rFonts w:hint="default" w:ascii="Times New Roman" w:hAnsi="Times New Roman" w:cs="Times New Roman"/>
                      <w:b w:val="0"/>
                      <w:bCs/>
                      <w:color w:val="auto"/>
                      <w:kern w:val="0"/>
                      <w:sz w:val="21"/>
                      <w:szCs w:val="21"/>
                      <w:highlight w:val="none"/>
                      <w:lang w:val="en-US" w:eastAsia="zh-CN" w:bidi="ar"/>
                    </w:rPr>
                    <w:t>压</w:t>
                  </w:r>
                  <w:r>
                    <w:rPr>
                      <w:rFonts w:hint="default" w:ascii="Times New Roman" w:hAnsi="Times New Roman" w:eastAsia="宋体" w:cs="Times New Roman"/>
                      <w:b w:val="0"/>
                      <w:bCs/>
                      <w:color w:val="auto"/>
                      <w:kern w:val="0"/>
                      <w:sz w:val="21"/>
                      <w:szCs w:val="21"/>
                      <w:highlight w:val="none"/>
                      <w:lang w:val="en-US" w:eastAsia="zh-CN" w:bidi="ar"/>
                    </w:rPr>
                    <w:t>级/dB(A)</w:t>
                  </w:r>
                </w:p>
              </w:tc>
              <w:tc>
                <w:tcPr>
                  <w:tcW w:w="185" w:type="pct"/>
                  <w:vMerge w:val="restart"/>
                  <w:tcBorders>
                    <w:tl2br w:val="nil"/>
                    <w:tr2bl w:val="nil"/>
                  </w:tcBorders>
                  <w:noWrap w:val="0"/>
                  <w:vAlign w:val="center"/>
                </w:tcPr>
                <w:p w14:paraId="2FA78690">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运行时段</w:t>
                  </w:r>
                </w:p>
              </w:tc>
              <w:tc>
                <w:tcPr>
                  <w:tcW w:w="314" w:type="pct"/>
                  <w:vMerge w:val="restart"/>
                  <w:tcBorders>
                    <w:tl2br w:val="nil"/>
                    <w:tr2bl w:val="nil"/>
                  </w:tcBorders>
                  <w:noWrap w:val="0"/>
                  <w:vAlign w:val="center"/>
                </w:tcPr>
                <w:p w14:paraId="168ED946">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建筑物插入损失 / dB(A)</w:t>
                  </w:r>
                </w:p>
              </w:tc>
              <w:tc>
                <w:tcPr>
                  <w:tcW w:w="1042" w:type="pct"/>
                  <w:gridSpan w:val="2"/>
                  <w:tcBorders>
                    <w:tl2br w:val="nil"/>
                    <w:tr2bl w:val="nil"/>
                  </w:tcBorders>
                  <w:noWrap w:val="0"/>
                  <w:vAlign w:val="center"/>
                </w:tcPr>
                <w:p w14:paraId="05BF2772">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建筑物外噪声</w:t>
                  </w:r>
                </w:p>
              </w:tc>
            </w:tr>
            <w:tr w14:paraId="6527B0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E9F0E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rPr>
                  </w:pPr>
                </w:p>
              </w:tc>
              <w:tc>
                <w:tcPr>
                  <w:tcW w:w="665" w:type="pct"/>
                  <w:vMerge w:val="continue"/>
                  <w:tcBorders>
                    <w:tl2br w:val="nil"/>
                    <w:tr2bl w:val="nil"/>
                  </w:tcBorders>
                  <w:noWrap w:val="0"/>
                  <w:vAlign w:val="center"/>
                </w:tcPr>
                <w:p w14:paraId="3F638822">
                  <w:pPr>
                    <w:jc w:val="center"/>
                    <w:rPr>
                      <w:rFonts w:hint="default" w:ascii="Times New Roman" w:hAnsi="Times New Roman" w:eastAsia="宋体" w:cs="Times New Roman"/>
                      <w:bCs/>
                      <w:color w:val="auto"/>
                      <w:kern w:val="2"/>
                      <w:sz w:val="21"/>
                      <w:szCs w:val="21"/>
                      <w:highlight w:val="none"/>
                      <w:lang w:val="en-US" w:eastAsia="zh-CN" w:bidi="ar"/>
                    </w:rPr>
                  </w:pPr>
                </w:p>
              </w:tc>
              <w:tc>
                <w:tcPr>
                  <w:tcW w:w="692" w:type="pct"/>
                  <w:vMerge w:val="continue"/>
                  <w:tcBorders>
                    <w:tl2br w:val="nil"/>
                    <w:tr2bl w:val="nil"/>
                  </w:tcBorders>
                  <w:noWrap w:val="0"/>
                  <w:vAlign w:val="center"/>
                </w:tcPr>
                <w:p w14:paraId="4B84F514">
                  <w:pPr>
                    <w:jc w:val="center"/>
                    <w:rPr>
                      <w:rFonts w:hint="default" w:ascii="Times New Roman" w:hAnsi="Times New Roman" w:eastAsia="宋体" w:cs="Times New Roman"/>
                      <w:bCs/>
                      <w:color w:val="auto"/>
                      <w:kern w:val="2"/>
                      <w:sz w:val="21"/>
                      <w:szCs w:val="21"/>
                      <w:highlight w:val="none"/>
                      <w:lang w:val="en-US" w:eastAsia="zh-CN" w:bidi="ar"/>
                    </w:rPr>
                  </w:pPr>
                </w:p>
              </w:tc>
              <w:tc>
                <w:tcPr>
                  <w:tcW w:w="358" w:type="pct"/>
                  <w:vMerge w:val="continue"/>
                  <w:tcBorders>
                    <w:tl2br w:val="nil"/>
                    <w:tr2bl w:val="nil"/>
                  </w:tcBorders>
                  <w:noWrap w:val="0"/>
                  <w:vAlign w:val="center"/>
                </w:tcPr>
                <w:p w14:paraId="5B6DFD4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rPr>
                  </w:pPr>
                </w:p>
              </w:tc>
              <w:tc>
                <w:tcPr>
                  <w:tcW w:w="332" w:type="pct"/>
                  <w:tcBorders>
                    <w:tl2br w:val="nil"/>
                    <w:tr2bl w:val="nil"/>
                  </w:tcBorders>
                  <w:noWrap w:val="0"/>
                  <w:vAlign w:val="center"/>
                </w:tcPr>
                <w:p w14:paraId="17901521">
                  <w:pPr>
                    <w:pStyle w:val="2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X</w:t>
                  </w:r>
                </w:p>
              </w:tc>
              <w:tc>
                <w:tcPr>
                  <w:tcW w:w="313" w:type="pct"/>
                  <w:tcBorders>
                    <w:tl2br w:val="nil"/>
                    <w:tr2bl w:val="nil"/>
                  </w:tcBorders>
                  <w:noWrap w:val="0"/>
                  <w:vAlign w:val="center"/>
                </w:tcPr>
                <w:p w14:paraId="64581A41">
                  <w:pPr>
                    <w:pStyle w:val="2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Y</w:t>
                  </w:r>
                </w:p>
              </w:tc>
              <w:tc>
                <w:tcPr>
                  <w:tcW w:w="247" w:type="pct"/>
                  <w:tcBorders>
                    <w:tl2br w:val="nil"/>
                    <w:tr2bl w:val="nil"/>
                  </w:tcBorders>
                  <w:noWrap w:val="0"/>
                  <w:vAlign w:val="center"/>
                </w:tcPr>
                <w:p w14:paraId="47BAB5CB">
                  <w:pPr>
                    <w:pStyle w:val="2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Z</w:t>
                  </w:r>
                </w:p>
              </w:tc>
              <w:tc>
                <w:tcPr>
                  <w:tcW w:w="262" w:type="pct"/>
                  <w:vMerge w:val="continue"/>
                  <w:tcBorders>
                    <w:tl2br w:val="nil"/>
                    <w:tr2bl w:val="nil"/>
                  </w:tcBorders>
                  <w:noWrap w:val="0"/>
                  <w:vAlign w:val="center"/>
                </w:tcPr>
                <w:p w14:paraId="08BE6F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rPr>
                  </w:pPr>
                </w:p>
              </w:tc>
              <w:tc>
                <w:tcPr>
                  <w:tcW w:w="346" w:type="pct"/>
                  <w:vMerge w:val="continue"/>
                  <w:tcBorders>
                    <w:tl2br w:val="nil"/>
                    <w:tr2bl w:val="nil"/>
                  </w:tcBorders>
                  <w:noWrap w:val="0"/>
                  <w:vAlign w:val="center"/>
                </w:tcPr>
                <w:p w14:paraId="54B537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rPr>
                  </w:pPr>
                </w:p>
              </w:tc>
              <w:tc>
                <w:tcPr>
                  <w:tcW w:w="185" w:type="pct"/>
                  <w:vMerge w:val="continue"/>
                  <w:tcBorders>
                    <w:tl2br w:val="nil"/>
                    <w:tr2bl w:val="nil"/>
                  </w:tcBorders>
                  <w:noWrap w:val="0"/>
                  <w:vAlign w:val="center"/>
                </w:tcPr>
                <w:p w14:paraId="7023D0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rPr>
                  </w:pPr>
                </w:p>
              </w:tc>
              <w:tc>
                <w:tcPr>
                  <w:tcW w:w="314" w:type="pct"/>
                  <w:vMerge w:val="continue"/>
                  <w:tcBorders>
                    <w:tl2br w:val="nil"/>
                    <w:tr2bl w:val="nil"/>
                  </w:tcBorders>
                  <w:noWrap w:val="0"/>
                  <w:vAlign w:val="center"/>
                </w:tcPr>
                <w:p w14:paraId="26A24E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color w:val="auto"/>
                      <w:sz w:val="21"/>
                      <w:szCs w:val="21"/>
                      <w:highlight w:val="none"/>
                    </w:rPr>
                  </w:pPr>
                </w:p>
              </w:tc>
              <w:tc>
                <w:tcPr>
                  <w:tcW w:w="532" w:type="pct"/>
                  <w:tcBorders>
                    <w:tl2br w:val="nil"/>
                    <w:tr2bl w:val="nil"/>
                  </w:tcBorders>
                  <w:noWrap w:val="0"/>
                  <w:vAlign w:val="center"/>
                </w:tcPr>
                <w:p w14:paraId="72A032F5">
                  <w:pPr>
                    <w:pStyle w:val="2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声压级</w:t>
                  </w:r>
                </w:p>
                <w:p w14:paraId="3042ABC5">
                  <w:pPr>
                    <w:pStyle w:val="2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/dB(A)</w:t>
                  </w:r>
                </w:p>
              </w:tc>
              <w:tc>
                <w:tcPr>
                  <w:tcW w:w="510" w:type="pct"/>
                  <w:tcBorders>
                    <w:tl2br w:val="nil"/>
                    <w:tr2bl w:val="nil"/>
                  </w:tcBorders>
                  <w:noWrap w:val="0"/>
                  <w:vAlign w:val="center"/>
                </w:tcPr>
                <w:p w14:paraId="063459B7">
                  <w:pPr>
                    <w:pStyle w:val="25"/>
                    <w:keepNext w:val="0"/>
                    <w:keepLines w:val="0"/>
                    <w:widowControl/>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lang w:val="en-US" w:eastAsia="zh-CN" w:bidi="ar"/>
                    </w:rPr>
                    <w:t>建筑物外距离/m</w:t>
                  </w:r>
                </w:p>
              </w:tc>
            </w:tr>
            <w:tr w14:paraId="743D77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restart"/>
                  <w:tcBorders>
                    <w:tl2br w:val="nil"/>
                    <w:tr2bl w:val="nil"/>
                  </w:tcBorders>
                  <w:noWrap w:val="0"/>
                  <w:vAlign w:val="center"/>
                </w:tcPr>
                <w:p w14:paraId="4AFA578A">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1#生产厂房</w:t>
                  </w:r>
                </w:p>
              </w:tc>
              <w:tc>
                <w:tcPr>
                  <w:tcW w:w="665" w:type="pct"/>
                  <w:tcBorders>
                    <w:tl2br w:val="nil"/>
                    <w:tr2bl w:val="nil"/>
                  </w:tcBorders>
                  <w:noWrap w:val="0"/>
                  <w:vAlign w:val="center"/>
                </w:tcPr>
                <w:p w14:paraId="49AFD5A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04550BE2">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restart"/>
                  <w:tcBorders>
                    <w:tl2br w:val="nil"/>
                    <w:tr2bl w:val="nil"/>
                  </w:tcBorders>
                  <w:noWrap w:val="0"/>
                  <w:vAlign w:val="center"/>
                </w:tcPr>
                <w:p w14:paraId="72EEA1C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r>
                    <w:rPr>
                      <w:rFonts w:hint="default" w:ascii="Times New Roman" w:hAnsi="Times New Roman" w:eastAsia="宋体" w:cs="Times New Roman"/>
                      <w:color w:val="auto"/>
                      <w:spacing w:val="0"/>
                      <w:position w:val="0"/>
                      <w:sz w:val="21"/>
                      <w:szCs w:val="21"/>
                      <w:highlight w:val="none"/>
                    </w:rPr>
                    <w:t>设备合理布局、主体采用减振基础，墙体隔声</w:t>
                  </w:r>
                </w:p>
              </w:tc>
              <w:tc>
                <w:tcPr>
                  <w:tcW w:w="332" w:type="pct"/>
                  <w:tcBorders>
                    <w:tl2br w:val="nil"/>
                    <w:tr2bl w:val="nil"/>
                  </w:tcBorders>
                  <w:noWrap w:val="0"/>
                  <w:vAlign w:val="center"/>
                </w:tcPr>
                <w:p w14:paraId="7D4B101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28</w:t>
                  </w:r>
                </w:p>
              </w:tc>
              <w:tc>
                <w:tcPr>
                  <w:tcW w:w="313" w:type="pct"/>
                  <w:tcBorders>
                    <w:tl2br w:val="nil"/>
                    <w:tr2bl w:val="nil"/>
                  </w:tcBorders>
                  <w:noWrap w:val="0"/>
                  <w:vAlign w:val="center"/>
                </w:tcPr>
                <w:p w14:paraId="23899036">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2F00AAD7">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006EEBB8">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10</w:t>
                  </w:r>
                </w:p>
              </w:tc>
              <w:tc>
                <w:tcPr>
                  <w:tcW w:w="346" w:type="pct"/>
                  <w:tcBorders>
                    <w:tl2br w:val="nil"/>
                    <w:tr2bl w:val="nil"/>
                  </w:tcBorders>
                  <w:noWrap w:val="0"/>
                  <w:vAlign w:val="center"/>
                </w:tcPr>
                <w:p w14:paraId="44DB98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4ACD7A14">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D02DFCC">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F44228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7A1B365C">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4D164F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CB53133">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05AB064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3BE129C3">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4420C0C5">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38CC3552">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27.47</w:t>
                  </w:r>
                </w:p>
              </w:tc>
              <w:tc>
                <w:tcPr>
                  <w:tcW w:w="313" w:type="pct"/>
                  <w:tcBorders>
                    <w:tl2br w:val="nil"/>
                    <w:tr2bl w:val="nil"/>
                  </w:tcBorders>
                  <w:noWrap w:val="0"/>
                  <w:vAlign w:val="center"/>
                </w:tcPr>
                <w:p w14:paraId="1B39E93D">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95.60</w:t>
                  </w:r>
                </w:p>
              </w:tc>
              <w:tc>
                <w:tcPr>
                  <w:tcW w:w="247" w:type="pct"/>
                  <w:tcBorders>
                    <w:tl2br w:val="nil"/>
                    <w:tr2bl w:val="nil"/>
                  </w:tcBorders>
                  <w:noWrap w:val="0"/>
                  <w:vAlign w:val="center"/>
                </w:tcPr>
                <w:p w14:paraId="14575FE5">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6AA3EA87">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0B78B98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47B8398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96CCB0A">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446B16FC">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52E1A290">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03FD3C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18D37C2A">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2FF5E40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4D720F76">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3086FF97">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75138ED5">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35.34</w:t>
                  </w:r>
                </w:p>
              </w:tc>
              <w:tc>
                <w:tcPr>
                  <w:tcW w:w="313" w:type="pct"/>
                  <w:tcBorders>
                    <w:tl2br w:val="nil"/>
                    <w:tr2bl w:val="nil"/>
                  </w:tcBorders>
                  <w:noWrap w:val="0"/>
                  <w:vAlign w:val="center"/>
                </w:tcPr>
                <w:p w14:paraId="1F7F87D6">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95.71</w:t>
                  </w:r>
                </w:p>
              </w:tc>
              <w:tc>
                <w:tcPr>
                  <w:tcW w:w="247" w:type="pct"/>
                  <w:tcBorders>
                    <w:tl2br w:val="nil"/>
                    <w:tr2bl w:val="nil"/>
                  </w:tcBorders>
                  <w:noWrap w:val="0"/>
                  <w:vAlign w:val="center"/>
                </w:tcPr>
                <w:p w14:paraId="362B79F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09DF4D2">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03134762">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45F13054">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34CCA6E">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1E38790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5B0B2FB0">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69A19C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CA9C36D">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3BF6CBD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017F8A8C">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46AC575D">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33345B9F">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27.91</w:t>
                  </w:r>
                </w:p>
              </w:tc>
              <w:tc>
                <w:tcPr>
                  <w:tcW w:w="313" w:type="pct"/>
                  <w:tcBorders>
                    <w:tl2br w:val="nil"/>
                    <w:tr2bl w:val="nil"/>
                  </w:tcBorders>
                  <w:noWrap w:val="0"/>
                  <w:vAlign w:val="center"/>
                </w:tcPr>
                <w:p w14:paraId="1FB08412">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90.72</w:t>
                  </w:r>
                </w:p>
              </w:tc>
              <w:tc>
                <w:tcPr>
                  <w:tcW w:w="247" w:type="pct"/>
                  <w:tcBorders>
                    <w:tl2br w:val="nil"/>
                    <w:tr2bl w:val="nil"/>
                  </w:tcBorders>
                  <w:noWrap w:val="0"/>
                  <w:vAlign w:val="center"/>
                </w:tcPr>
                <w:p w14:paraId="1925BE4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6F752AEC">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62A7A91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43F6E49A">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8AB3D0B">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7DB9992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5713B415">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79EA80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42044F3">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1DD5054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3F464631">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0CB0CD67">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6B0C05C3">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35.78</w:t>
                  </w:r>
                </w:p>
              </w:tc>
              <w:tc>
                <w:tcPr>
                  <w:tcW w:w="313" w:type="pct"/>
                  <w:tcBorders>
                    <w:tl2br w:val="nil"/>
                    <w:tr2bl w:val="nil"/>
                  </w:tcBorders>
                  <w:noWrap w:val="0"/>
                  <w:vAlign w:val="center"/>
                </w:tcPr>
                <w:p w14:paraId="1D57F02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90.72</w:t>
                  </w:r>
                </w:p>
              </w:tc>
              <w:tc>
                <w:tcPr>
                  <w:tcW w:w="247" w:type="pct"/>
                  <w:tcBorders>
                    <w:tl2br w:val="nil"/>
                    <w:tr2bl w:val="nil"/>
                  </w:tcBorders>
                  <w:noWrap w:val="0"/>
                  <w:vAlign w:val="center"/>
                </w:tcPr>
                <w:p w14:paraId="16EE068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47C37075">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4AB133B2">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5B89C39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12FE139A">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2C7FDAA4">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7EC3F43">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3FD0E8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A29306D">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395168A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29975B75">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012E6AB5">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44398D55">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27.91</w:t>
                  </w:r>
                </w:p>
              </w:tc>
              <w:tc>
                <w:tcPr>
                  <w:tcW w:w="313" w:type="pct"/>
                  <w:tcBorders>
                    <w:tl2br w:val="nil"/>
                    <w:tr2bl w:val="nil"/>
                  </w:tcBorders>
                  <w:noWrap w:val="0"/>
                  <w:vAlign w:val="center"/>
                </w:tcPr>
                <w:p w14:paraId="0A83CF4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80.52</w:t>
                  </w:r>
                </w:p>
              </w:tc>
              <w:tc>
                <w:tcPr>
                  <w:tcW w:w="247" w:type="pct"/>
                  <w:tcBorders>
                    <w:tl2br w:val="nil"/>
                    <w:tr2bl w:val="nil"/>
                  </w:tcBorders>
                  <w:noWrap w:val="0"/>
                  <w:vAlign w:val="center"/>
                </w:tcPr>
                <w:p w14:paraId="69B3D559">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65044FF0">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6EA48BB1">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57F80E0D">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030460E">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0470797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48A3298B">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330FE5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6E9AEEF8">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19C01413">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6CBB7E72">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3538084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5A4D0916">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35.89</w:t>
                  </w:r>
                </w:p>
              </w:tc>
              <w:tc>
                <w:tcPr>
                  <w:tcW w:w="313" w:type="pct"/>
                  <w:tcBorders>
                    <w:tl2br w:val="nil"/>
                    <w:tr2bl w:val="nil"/>
                  </w:tcBorders>
                  <w:noWrap w:val="0"/>
                  <w:vAlign w:val="center"/>
                </w:tcPr>
                <w:p w14:paraId="6E3142FE">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80.19</w:t>
                  </w:r>
                </w:p>
              </w:tc>
              <w:tc>
                <w:tcPr>
                  <w:tcW w:w="247" w:type="pct"/>
                  <w:tcBorders>
                    <w:tl2br w:val="nil"/>
                    <w:tr2bl w:val="nil"/>
                  </w:tcBorders>
                  <w:noWrap w:val="0"/>
                  <w:vAlign w:val="center"/>
                </w:tcPr>
                <w:p w14:paraId="3C39D980">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46F58D23">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4A09437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646F8B5C">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BD5FC58">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0F9C130">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5A64E239">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103810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D5EB0D9">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2D9A5AD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4C678117">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3B0922CA">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42A58F79">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27.80</w:t>
                  </w:r>
                </w:p>
              </w:tc>
              <w:tc>
                <w:tcPr>
                  <w:tcW w:w="313" w:type="pct"/>
                  <w:tcBorders>
                    <w:tl2br w:val="nil"/>
                    <w:tr2bl w:val="nil"/>
                  </w:tcBorders>
                  <w:noWrap w:val="0"/>
                  <w:vAlign w:val="center"/>
                </w:tcPr>
                <w:p w14:paraId="7DAC8257">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74.64</w:t>
                  </w:r>
                </w:p>
              </w:tc>
              <w:tc>
                <w:tcPr>
                  <w:tcW w:w="247" w:type="pct"/>
                  <w:tcBorders>
                    <w:tl2br w:val="nil"/>
                    <w:tr2bl w:val="nil"/>
                  </w:tcBorders>
                  <w:noWrap w:val="0"/>
                  <w:vAlign w:val="center"/>
                </w:tcPr>
                <w:p w14:paraId="349126DB">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20F783FC">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739D45EA">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6903291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2918A7C">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048D581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032D82E">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58DAE4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F974686">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7531574D">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30F6741D">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39A21CA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745DFDBA">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36.67</w:t>
                  </w:r>
                </w:p>
              </w:tc>
              <w:tc>
                <w:tcPr>
                  <w:tcW w:w="313" w:type="pct"/>
                  <w:tcBorders>
                    <w:tl2br w:val="nil"/>
                    <w:tr2bl w:val="nil"/>
                  </w:tcBorders>
                  <w:noWrap w:val="0"/>
                  <w:vAlign w:val="center"/>
                </w:tcPr>
                <w:p w14:paraId="73088214">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74.31</w:t>
                  </w:r>
                </w:p>
              </w:tc>
              <w:tc>
                <w:tcPr>
                  <w:tcW w:w="247" w:type="pct"/>
                  <w:tcBorders>
                    <w:tl2br w:val="nil"/>
                    <w:tr2bl w:val="nil"/>
                  </w:tcBorders>
                  <w:noWrap w:val="0"/>
                  <w:vAlign w:val="center"/>
                </w:tcPr>
                <w:p w14:paraId="4FBFF29C">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D5C67A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166AF396">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7CD6413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092219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4BF484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38440752">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112722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0C0CD16C">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364534A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贴片机</w:t>
                  </w:r>
                </w:p>
              </w:tc>
              <w:tc>
                <w:tcPr>
                  <w:tcW w:w="692" w:type="pct"/>
                  <w:tcBorders>
                    <w:tl2br w:val="nil"/>
                    <w:tr2bl w:val="nil"/>
                  </w:tcBorders>
                  <w:noWrap w:val="0"/>
                  <w:vAlign w:val="center"/>
                </w:tcPr>
                <w:p w14:paraId="75476948">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44AF3DB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25B7111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36</w:t>
                  </w:r>
                </w:p>
              </w:tc>
              <w:tc>
                <w:tcPr>
                  <w:tcW w:w="313" w:type="pct"/>
                  <w:tcBorders>
                    <w:tl2br w:val="nil"/>
                    <w:tr2bl w:val="nil"/>
                  </w:tcBorders>
                  <w:noWrap w:val="0"/>
                  <w:vAlign w:val="center"/>
                </w:tcPr>
                <w:p w14:paraId="35090F91">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639CDDA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14030F8C">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16</w:t>
                  </w:r>
                </w:p>
              </w:tc>
              <w:tc>
                <w:tcPr>
                  <w:tcW w:w="346" w:type="pct"/>
                  <w:tcBorders>
                    <w:tl2br w:val="nil"/>
                    <w:tr2bl w:val="nil"/>
                  </w:tcBorders>
                  <w:noWrap w:val="0"/>
                  <w:vAlign w:val="center"/>
                </w:tcPr>
                <w:p w14:paraId="6A769A0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1AA68E9A">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1C9964E0">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4D9275C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6E1FC7F0">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7302D3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155CC86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3C6F822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送板机</w:t>
                  </w:r>
                </w:p>
              </w:tc>
              <w:tc>
                <w:tcPr>
                  <w:tcW w:w="692" w:type="pct"/>
                  <w:tcBorders>
                    <w:tl2br w:val="nil"/>
                    <w:tr2bl w:val="nil"/>
                  </w:tcBorders>
                  <w:noWrap w:val="0"/>
                  <w:vAlign w:val="center"/>
                </w:tcPr>
                <w:p w14:paraId="3466023F">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630D4DA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02BF08D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w:t>
                  </w:r>
                </w:p>
              </w:tc>
              <w:tc>
                <w:tcPr>
                  <w:tcW w:w="313" w:type="pct"/>
                  <w:tcBorders>
                    <w:tl2br w:val="nil"/>
                    <w:tr2bl w:val="nil"/>
                  </w:tcBorders>
                  <w:noWrap w:val="0"/>
                  <w:vAlign w:val="center"/>
                </w:tcPr>
                <w:p w14:paraId="5A36694C">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7196220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2C82A60E">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16</w:t>
                  </w:r>
                </w:p>
              </w:tc>
              <w:tc>
                <w:tcPr>
                  <w:tcW w:w="346" w:type="pct"/>
                  <w:tcBorders>
                    <w:tl2br w:val="nil"/>
                    <w:tr2bl w:val="nil"/>
                  </w:tcBorders>
                  <w:noWrap w:val="0"/>
                  <w:vAlign w:val="center"/>
                </w:tcPr>
                <w:p w14:paraId="31D16C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73</w:t>
                  </w:r>
                </w:p>
              </w:tc>
              <w:tc>
                <w:tcPr>
                  <w:tcW w:w="185" w:type="pct"/>
                  <w:tcBorders>
                    <w:tl2br w:val="nil"/>
                    <w:tr2bl w:val="nil"/>
                  </w:tcBorders>
                  <w:noWrap w:val="0"/>
                  <w:vAlign w:val="center"/>
                </w:tcPr>
                <w:p w14:paraId="2793E30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662793AB">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166EA9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57</w:t>
                  </w:r>
                </w:p>
              </w:tc>
              <w:tc>
                <w:tcPr>
                  <w:tcW w:w="510" w:type="pct"/>
                  <w:tcBorders>
                    <w:tl2br w:val="nil"/>
                    <w:tr2bl w:val="nil"/>
                  </w:tcBorders>
                  <w:noWrap w:val="0"/>
                  <w:vAlign w:val="center"/>
                </w:tcPr>
                <w:p w14:paraId="15FE1C61">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780658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E34546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6261E99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送板机</w:t>
                  </w:r>
                </w:p>
              </w:tc>
              <w:tc>
                <w:tcPr>
                  <w:tcW w:w="692" w:type="pct"/>
                  <w:tcBorders>
                    <w:tl2br w:val="nil"/>
                    <w:tr2bl w:val="nil"/>
                  </w:tcBorders>
                  <w:noWrap w:val="0"/>
                  <w:vAlign w:val="center"/>
                </w:tcPr>
                <w:p w14:paraId="57C1E25B">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669F7824">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4DB0838B">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43.66</w:t>
                  </w:r>
                </w:p>
              </w:tc>
              <w:tc>
                <w:tcPr>
                  <w:tcW w:w="313" w:type="pct"/>
                  <w:tcBorders>
                    <w:tl2br w:val="nil"/>
                    <w:tr2bl w:val="nil"/>
                  </w:tcBorders>
                  <w:noWrap w:val="0"/>
                  <w:vAlign w:val="center"/>
                </w:tcPr>
                <w:p w14:paraId="1F65869A">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90.72</w:t>
                  </w:r>
                </w:p>
              </w:tc>
              <w:tc>
                <w:tcPr>
                  <w:tcW w:w="247" w:type="pct"/>
                  <w:tcBorders>
                    <w:tl2br w:val="nil"/>
                    <w:tr2bl w:val="nil"/>
                  </w:tcBorders>
                  <w:noWrap w:val="0"/>
                  <w:vAlign w:val="center"/>
                </w:tcPr>
                <w:p w14:paraId="200623FC">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6D7637AA">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120D2A3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73</w:t>
                  </w:r>
                </w:p>
              </w:tc>
              <w:tc>
                <w:tcPr>
                  <w:tcW w:w="185" w:type="pct"/>
                  <w:tcBorders>
                    <w:tl2br w:val="nil"/>
                    <w:tr2bl w:val="nil"/>
                  </w:tcBorders>
                  <w:noWrap w:val="0"/>
                  <w:vAlign w:val="center"/>
                </w:tcPr>
                <w:p w14:paraId="1B578B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7CA024A">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6361507F">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57</w:t>
                  </w:r>
                </w:p>
              </w:tc>
              <w:tc>
                <w:tcPr>
                  <w:tcW w:w="510" w:type="pct"/>
                  <w:tcBorders>
                    <w:tl2br w:val="nil"/>
                    <w:tr2bl w:val="nil"/>
                  </w:tcBorders>
                  <w:noWrap w:val="0"/>
                  <w:vAlign w:val="center"/>
                </w:tcPr>
                <w:p w14:paraId="1D13B945">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51CAE4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B9CD90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47424588">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送板机</w:t>
                  </w:r>
                </w:p>
              </w:tc>
              <w:tc>
                <w:tcPr>
                  <w:tcW w:w="692" w:type="pct"/>
                  <w:tcBorders>
                    <w:tl2br w:val="nil"/>
                    <w:tr2bl w:val="nil"/>
                  </w:tcBorders>
                  <w:noWrap w:val="0"/>
                  <w:vAlign w:val="center"/>
                </w:tcPr>
                <w:p w14:paraId="5A6DEE87">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75E87460">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5DF3DE9F">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44.32</w:t>
                  </w:r>
                </w:p>
              </w:tc>
              <w:tc>
                <w:tcPr>
                  <w:tcW w:w="313" w:type="pct"/>
                  <w:tcBorders>
                    <w:tl2br w:val="nil"/>
                    <w:tr2bl w:val="nil"/>
                  </w:tcBorders>
                  <w:noWrap w:val="0"/>
                  <w:vAlign w:val="center"/>
                </w:tcPr>
                <w:p w14:paraId="5877C42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79.41</w:t>
                  </w:r>
                </w:p>
              </w:tc>
              <w:tc>
                <w:tcPr>
                  <w:tcW w:w="247" w:type="pct"/>
                  <w:tcBorders>
                    <w:tl2br w:val="nil"/>
                    <w:tr2bl w:val="nil"/>
                  </w:tcBorders>
                  <w:noWrap w:val="0"/>
                  <w:vAlign w:val="center"/>
                </w:tcPr>
                <w:p w14:paraId="747C993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433D479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1A68F14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73</w:t>
                  </w:r>
                </w:p>
              </w:tc>
              <w:tc>
                <w:tcPr>
                  <w:tcW w:w="185" w:type="pct"/>
                  <w:tcBorders>
                    <w:tl2br w:val="nil"/>
                    <w:tr2bl w:val="nil"/>
                  </w:tcBorders>
                  <w:noWrap w:val="0"/>
                  <w:vAlign w:val="center"/>
                </w:tcPr>
                <w:p w14:paraId="220353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109AE323">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26AD1EAE">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57</w:t>
                  </w:r>
                </w:p>
              </w:tc>
              <w:tc>
                <w:tcPr>
                  <w:tcW w:w="510" w:type="pct"/>
                  <w:tcBorders>
                    <w:tl2br w:val="nil"/>
                    <w:tr2bl w:val="nil"/>
                  </w:tcBorders>
                  <w:noWrap w:val="0"/>
                  <w:vAlign w:val="center"/>
                </w:tcPr>
                <w:p w14:paraId="501D3D19">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72CA68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8ACC8E6">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1F8C934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接驳台</w:t>
                  </w:r>
                </w:p>
              </w:tc>
              <w:tc>
                <w:tcPr>
                  <w:tcW w:w="692" w:type="pct"/>
                  <w:tcBorders>
                    <w:tl2br w:val="nil"/>
                    <w:tr2bl w:val="nil"/>
                  </w:tcBorders>
                  <w:noWrap w:val="0"/>
                  <w:vAlign w:val="center"/>
                </w:tcPr>
                <w:p w14:paraId="237D8BC9">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0BBF53B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0A1A3E8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51</w:t>
                  </w:r>
                </w:p>
              </w:tc>
              <w:tc>
                <w:tcPr>
                  <w:tcW w:w="313" w:type="pct"/>
                  <w:tcBorders>
                    <w:tl2br w:val="nil"/>
                    <w:tr2bl w:val="nil"/>
                  </w:tcBorders>
                  <w:noWrap w:val="0"/>
                  <w:vAlign w:val="center"/>
                </w:tcPr>
                <w:p w14:paraId="5112E459">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6B60AD16">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45DA8DBD">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16</w:t>
                  </w:r>
                </w:p>
              </w:tc>
              <w:tc>
                <w:tcPr>
                  <w:tcW w:w="346" w:type="pct"/>
                  <w:tcBorders>
                    <w:tl2br w:val="nil"/>
                    <w:tr2bl w:val="nil"/>
                  </w:tcBorders>
                  <w:noWrap w:val="0"/>
                  <w:vAlign w:val="center"/>
                </w:tcPr>
                <w:p w14:paraId="22E30E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73</w:t>
                  </w:r>
                </w:p>
              </w:tc>
              <w:tc>
                <w:tcPr>
                  <w:tcW w:w="185" w:type="pct"/>
                  <w:tcBorders>
                    <w:tl2br w:val="nil"/>
                    <w:tr2bl w:val="nil"/>
                  </w:tcBorders>
                  <w:noWrap w:val="0"/>
                  <w:vAlign w:val="center"/>
                </w:tcPr>
                <w:p w14:paraId="11F12C6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0D9609F">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74A5780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57</w:t>
                  </w:r>
                </w:p>
              </w:tc>
              <w:tc>
                <w:tcPr>
                  <w:tcW w:w="510" w:type="pct"/>
                  <w:tcBorders>
                    <w:tl2br w:val="nil"/>
                    <w:tr2bl w:val="nil"/>
                  </w:tcBorders>
                  <w:noWrap w:val="0"/>
                  <w:vAlign w:val="center"/>
                </w:tcPr>
                <w:p w14:paraId="2EE7AB43">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20F2BC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08C25D4">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3ABA22F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接驳台</w:t>
                  </w:r>
                </w:p>
              </w:tc>
              <w:tc>
                <w:tcPr>
                  <w:tcW w:w="692" w:type="pct"/>
                  <w:tcBorders>
                    <w:tl2br w:val="nil"/>
                    <w:tr2bl w:val="nil"/>
                  </w:tcBorders>
                  <w:noWrap w:val="0"/>
                  <w:vAlign w:val="center"/>
                </w:tcPr>
                <w:p w14:paraId="49CD4562">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092441BB">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42E68B3E">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44.32</w:t>
                  </w:r>
                </w:p>
              </w:tc>
              <w:tc>
                <w:tcPr>
                  <w:tcW w:w="313" w:type="pct"/>
                  <w:tcBorders>
                    <w:tl2br w:val="nil"/>
                    <w:tr2bl w:val="nil"/>
                  </w:tcBorders>
                  <w:noWrap w:val="0"/>
                  <w:vAlign w:val="center"/>
                </w:tcPr>
                <w:p w14:paraId="05C2572E">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79.41</w:t>
                  </w:r>
                </w:p>
              </w:tc>
              <w:tc>
                <w:tcPr>
                  <w:tcW w:w="247" w:type="pct"/>
                  <w:tcBorders>
                    <w:tl2br w:val="nil"/>
                    <w:tr2bl w:val="nil"/>
                  </w:tcBorders>
                  <w:noWrap w:val="0"/>
                  <w:vAlign w:val="center"/>
                </w:tcPr>
                <w:p w14:paraId="764F3A8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75DC143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36B5BA0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73</w:t>
                  </w:r>
                </w:p>
              </w:tc>
              <w:tc>
                <w:tcPr>
                  <w:tcW w:w="185" w:type="pct"/>
                  <w:tcBorders>
                    <w:tl2br w:val="nil"/>
                    <w:tr2bl w:val="nil"/>
                  </w:tcBorders>
                  <w:noWrap w:val="0"/>
                  <w:vAlign w:val="center"/>
                </w:tcPr>
                <w:p w14:paraId="407B5F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0E57CD7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C792D6D">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57</w:t>
                  </w:r>
                </w:p>
              </w:tc>
              <w:tc>
                <w:tcPr>
                  <w:tcW w:w="510" w:type="pct"/>
                  <w:tcBorders>
                    <w:tl2br w:val="nil"/>
                    <w:tr2bl w:val="nil"/>
                  </w:tcBorders>
                  <w:noWrap w:val="0"/>
                  <w:vAlign w:val="center"/>
                </w:tcPr>
                <w:p w14:paraId="567211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r>
            <w:tr w14:paraId="197BE3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4425C95A">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0147F9E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接驳台</w:t>
                  </w:r>
                </w:p>
              </w:tc>
              <w:tc>
                <w:tcPr>
                  <w:tcW w:w="692" w:type="pct"/>
                  <w:tcBorders>
                    <w:tl2br w:val="nil"/>
                    <w:tr2bl w:val="nil"/>
                  </w:tcBorders>
                  <w:noWrap w:val="0"/>
                  <w:vAlign w:val="center"/>
                </w:tcPr>
                <w:p w14:paraId="7D974056">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70</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38D2577C">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668CA239">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50.64</w:t>
                  </w:r>
                </w:p>
              </w:tc>
              <w:tc>
                <w:tcPr>
                  <w:tcW w:w="313" w:type="pct"/>
                  <w:tcBorders>
                    <w:tl2br w:val="nil"/>
                    <w:tr2bl w:val="nil"/>
                  </w:tcBorders>
                  <w:noWrap w:val="0"/>
                  <w:vAlign w:val="center"/>
                </w:tcPr>
                <w:p w14:paraId="7550D99F">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90.72</w:t>
                  </w:r>
                </w:p>
              </w:tc>
              <w:tc>
                <w:tcPr>
                  <w:tcW w:w="247" w:type="pct"/>
                  <w:tcBorders>
                    <w:tl2br w:val="nil"/>
                    <w:tr2bl w:val="nil"/>
                  </w:tcBorders>
                  <w:noWrap w:val="0"/>
                  <w:vAlign w:val="center"/>
                </w:tcPr>
                <w:p w14:paraId="0BEC3A07">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128C159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75E2DAD6">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73</w:t>
                  </w:r>
                </w:p>
              </w:tc>
              <w:tc>
                <w:tcPr>
                  <w:tcW w:w="185" w:type="pct"/>
                  <w:tcBorders>
                    <w:tl2br w:val="nil"/>
                    <w:tr2bl w:val="nil"/>
                  </w:tcBorders>
                  <w:noWrap w:val="0"/>
                  <w:vAlign w:val="center"/>
                </w:tcPr>
                <w:p w14:paraId="3091FF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48D771DA">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276D44FF">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57</w:t>
                  </w:r>
                </w:p>
              </w:tc>
              <w:tc>
                <w:tcPr>
                  <w:tcW w:w="510" w:type="pct"/>
                  <w:tcBorders>
                    <w:tl2br w:val="nil"/>
                    <w:tr2bl w:val="nil"/>
                  </w:tcBorders>
                  <w:noWrap w:val="0"/>
                  <w:vAlign w:val="center"/>
                </w:tcPr>
                <w:p w14:paraId="07C2F649">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220C77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6F0DD48">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57E5903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3A1D0CD1">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 w:val="21"/>
                      <w:szCs w:val="21"/>
                      <w:highlight w:val="none"/>
                      <w:lang w:val="en-US" w:eastAsia="zh-CN" w:bidi="ar"/>
                    </w:rPr>
                    <w:t>75</w:t>
                  </w:r>
                  <w:r>
                    <w:rPr>
                      <w:rFonts w:hint="default" w:ascii="Times New Roman" w:hAnsi="Times New Roman" w:cs="Times New Roman"/>
                      <w:bCs/>
                      <w:color w:val="auto"/>
                      <w:sz w:val="21"/>
                      <w:szCs w:val="21"/>
                      <w:highlight w:val="none"/>
                      <w:lang w:val="en-US" w:eastAsia="zh-CN" w:bidi="ar"/>
                    </w:rPr>
                    <w:t>/1</w:t>
                  </w:r>
                </w:p>
              </w:tc>
              <w:tc>
                <w:tcPr>
                  <w:tcW w:w="358" w:type="pct"/>
                  <w:vMerge w:val="continue"/>
                  <w:tcBorders>
                    <w:tl2br w:val="nil"/>
                    <w:tr2bl w:val="nil"/>
                  </w:tcBorders>
                  <w:noWrap w:val="0"/>
                  <w:vAlign w:val="center"/>
                </w:tcPr>
                <w:p w14:paraId="3D082B4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spacing w:val="0"/>
                      <w:position w:val="0"/>
                      <w:sz w:val="21"/>
                      <w:szCs w:val="21"/>
                      <w:highlight w:val="none"/>
                    </w:rPr>
                  </w:pPr>
                </w:p>
              </w:tc>
              <w:tc>
                <w:tcPr>
                  <w:tcW w:w="332" w:type="pct"/>
                  <w:tcBorders>
                    <w:tl2br w:val="nil"/>
                    <w:tr2bl w:val="nil"/>
                  </w:tcBorders>
                  <w:noWrap w:val="0"/>
                  <w:vAlign w:val="center"/>
                </w:tcPr>
                <w:p w14:paraId="17175D2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58</w:t>
                  </w:r>
                </w:p>
              </w:tc>
              <w:tc>
                <w:tcPr>
                  <w:tcW w:w="313" w:type="pct"/>
                  <w:tcBorders>
                    <w:tl2br w:val="nil"/>
                    <w:tr2bl w:val="nil"/>
                  </w:tcBorders>
                  <w:noWrap w:val="0"/>
                  <w:vAlign w:val="center"/>
                </w:tcPr>
                <w:p w14:paraId="3478C80B">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0170D1AA">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27731EC7">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16</w:t>
                  </w:r>
                </w:p>
              </w:tc>
              <w:tc>
                <w:tcPr>
                  <w:tcW w:w="346" w:type="pct"/>
                  <w:tcBorders>
                    <w:tl2br w:val="nil"/>
                    <w:tr2bl w:val="nil"/>
                  </w:tcBorders>
                  <w:noWrap w:val="0"/>
                  <w:vAlign w:val="center"/>
                </w:tcPr>
                <w:p w14:paraId="39CB1D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6D5E0D30">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4704D8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4CCB9F6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2D663BA3">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328F87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3210DC9F">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4943356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067F1D35">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6914C4C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5098BAA9">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64</w:t>
                  </w:r>
                </w:p>
              </w:tc>
              <w:tc>
                <w:tcPr>
                  <w:tcW w:w="313" w:type="pct"/>
                  <w:tcBorders>
                    <w:tl2br w:val="nil"/>
                    <w:tr2bl w:val="nil"/>
                  </w:tcBorders>
                  <w:noWrap w:val="0"/>
                  <w:vAlign w:val="center"/>
                </w:tcPr>
                <w:p w14:paraId="379D24FF">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6D907D0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7729C25">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16</w:t>
                  </w:r>
                </w:p>
              </w:tc>
              <w:tc>
                <w:tcPr>
                  <w:tcW w:w="346" w:type="pct"/>
                  <w:tcBorders>
                    <w:tl2br w:val="nil"/>
                    <w:tr2bl w:val="nil"/>
                  </w:tcBorders>
                  <w:noWrap w:val="0"/>
                  <w:vAlign w:val="center"/>
                </w:tcPr>
                <w:p w14:paraId="3FC9FF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61BE0B5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25612986">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EE2E0F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4FD4EDA3">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6EF119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18949D2B">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515486F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0BC42150">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61CC3A4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036400DA">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63.95</w:t>
                  </w:r>
                </w:p>
              </w:tc>
              <w:tc>
                <w:tcPr>
                  <w:tcW w:w="313" w:type="pct"/>
                  <w:tcBorders>
                    <w:tl2br w:val="nil"/>
                    <w:tr2bl w:val="nil"/>
                  </w:tcBorders>
                  <w:noWrap w:val="0"/>
                  <w:vAlign w:val="center"/>
                </w:tcPr>
                <w:p w14:paraId="1C5AEED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95.38</w:t>
                  </w:r>
                </w:p>
              </w:tc>
              <w:tc>
                <w:tcPr>
                  <w:tcW w:w="247" w:type="pct"/>
                  <w:tcBorders>
                    <w:tl2br w:val="nil"/>
                    <w:tr2bl w:val="nil"/>
                  </w:tcBorders>
                  <w:noWrap w:val="0"/>
                  <w:vAlign w:val="center"/>
                </w:tcPr>
                <w:p w14:paraId="535F0891">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6F0F693D">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5B6A041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4251761">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D35C1C3">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78A628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2F09678F">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60CF92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DE483D9">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6D6CDAC6">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57734C77">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6ACC7BC5">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7EBE050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57.63</w:t>
                  </w:r>
                </w:p>
              </w:tc>
              <w:tc>
                <w:tcPr>
                  <w:tcW w:w="313" w:type="pct"/>
                  <w:tcBorders>
                    <w:tl2br w:val="nil"/>
                    <w:tr2bl w:val="nil"/>
                  </w:tcBorders>
                  <w:noWrap w:val="0"/>
                  <w:vAlign w:val="center"/>
                </w:tcPr>
                <w:p w14:paraId="1A904D8E">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95.82</w:t>
                  </w:r>
                </w:p>
              </w:tc>
              <w:tc>
                <w:tcPr>
                  <w:tcW w:w="247" w:type="pct"/>
                  <w:tcBorders>
                    <w:tl2br w:val="nil"/>
                    <w:tr2bl w:val="nil"/>
                  </w:tcBorders>
                  <w:noWrap w:val="0"/>
                  <w:vAlign w:val="center"/>
                </w:tcPr>
                <w:p w14:paraId="2B56D9F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775DD47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626ED83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631AD917">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368AE6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72A69F7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5CD184E0">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0D19D3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7A28DFB">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7C6E856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3707F6C3">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2C59C30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72A051D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57.74</w:t>
                  </w:r>
                </w:p>
              </w:tc>
              <w:tc>
                <w:tcPr>
                  <w:tcW w:w="313" w:type="pct"/>
                  <w:tcBorders>
                    <w:tl2br w:val="nil"/>
                    <w:tr2bl w:val="nil"/>
                  </w:tcBorders>
                  <w:noWrap w:val="0"/>
                  <w:vAlign w:val="center"/>
                </w:tcPr>
                <w:p w14:paraId="676F5047">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90.72</w:t>
                  </w:r>
                </w:p>
              </w:tc>
              <w:tc>
                <w:tcPr>
                  <w:tcW w:w="247" w:type="pct"/>
                  <w:tcBorders>
                    <w:tl2br w:val="nil"/>
                    <w:tr2bl w:val="nil"/>
                  </w:tcBorders>
                  <w:noWrap w:val="0"/>
                  <w:vAlign w:val="center"/>
                </w:tcPr>
                <w:p w14:paraId="54D619C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78CB0D4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7A52C5E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CFC215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1D1EAEF4">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2B4C796F">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D370DF8">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241B33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6A80A6E6">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1FC7F2C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451CD986">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3FCA48B0">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279FD8EF">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64.06</w:t>
                  </w:r>
                </w:p>
              </w:tc>
              <w:tc>
                <w:tcPr>
                  <w:tcW w:w="313" w:type="pct"/>
                  <w:tcBorders>
                    <w:tl2br w:val="nil"/>
                    <w:tr2bl w:val="nil"/>
                  </w:tcBorders>
                  <w:noWrap w:val="0"/>
                  <w:vAlign w:val="center"/>
                </w:tcPr>
                <w:p w14:paraId="5BE4EA1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90.28</w:t>
                  </w:r>
                </w:p>
              </w:tc>
              <w:tc>
                <w:tcPr>
                  <w:tcW w:w="247" w:type="pct"/>
                  <w:tcBorders>
                    <w:tl2br w:val="nil"/>
                    <w:tr2bl w:val="nil"/>
                  </w:tcBorders>
                  <w:noWrap w:val="0"/>
                  <w:vAlign w:val="center"/>
                </w:tcPr>
                <w:p w14:paraId="58B6D13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1C44AD3E">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0667F6BF">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57B04AD1">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0453DE1E">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95B493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73146B42">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09C3D8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D219F21">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79E680B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1DE377B1">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7C7474C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3EE6790E">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58.62</w:t>
                  </w:r>
                </w:p>
              </w:tc>
              <w:tc>
                <w:tcPr>
                  <w:tcW w:w="313" w:type="pct"/>
                  <w:tcBorders>
                    <w:tl2br w:val="nil"/>
                    <w:tr2bl w:val="nil"/>
                  </w:tcBorders>
                  <w:noWrap w:val="0"/>
                  <w:vAlign w:val="center"/>
                </w:tcPr>
                <w:p w14:paraId="3010DBCC">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79.19</w:t>
                  </w:r>
                </w:p>
              </w:tc>
              <w:tc>
                <w:tcPr>
                  <w:tcW w:w="247" w:type="pct"/>
                  <w:tcBorders>
                    <w:tl2br w:val="nil"/>
                    <w:tr2bl w:val="nil"/>
                  </w:tcBorders>
                  <w:noWrap w:val="0"/>
                  <w:vAlign w:val="center"/>
                </w:tcPr>
                <w:p w14:paraId="2727296D">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D3E217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104F0EAD">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097B1ED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1B2EA1B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67F9096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0660522C">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14624E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5724BAF">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5060E6DF">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43C19678">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017FCFE4">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00715D2C">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64.06</w:t>
                  </w:r>
                </w:p>
              </w:tc>
              <w:tc>
                <w:tcPr>
                  <w:tcW w:w="313" w:type="pct"/>
                  <w:tcBorders>
                    <w:tl2br w:val="nil"/>
                    <w:tr2bl w:val="nil"/>
                  </w:tcBorders>
                  <w:noWrap w:val="0"/>
                  <w:vAlign w:val="center"/>
                </w:tcPr>
                <w:p w14:paraId="296FA65D">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79.41</w:t>
                  </w:r>
                </w:p>
              </w:tc>
              <w:tc>
                <w:tcPr>
                  <w:tcW w:w="247" w:type="pct"/>
                  <w:tcBorders>
                    <w:tl2br w:val="nil"/>
                    <w:tr2bl w:val="nil"/>
                  </w:tcBorders>
                  <w:noWrap w:val="0"/>
                  <w:vAlign w:val="center"/>
                </w:tcPr>
                <w:p w14:paraId="3CA12A03">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67EE434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202AA3B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59CDAAA">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280AB9F">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11A182D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3D3B770E">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4944AB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645EAE7B">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20EA4CE0">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4B5A7111">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3C3C2558">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19B4071F">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58.74</w:t>
                  </w:r>
                </w:p>
              </w:tc>
              <w:tc>
                <w:tcPr>
                  <w:tcW w:w="313" w:type="pct"/>
                  <w:tcBorders>
                    <w:tl2br w:val="nil"/>
                    <w:tr2bl w:val="nil"/>
                  </w:tcBorders>
                  <w:noWrap w:val="0"/>
                  <w:vAlign w:val="center"/>
                </w:tcPr>
                <w:p w14:paraId="02AD71C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73.53</w:t>
                  </w:r>
                </w:p>
              </w:tc>
              <w:tc>
                <w:tcPr>
                  <w:tcW w:w="247" w:type="pct"/>
                  <w:tcBorders>
                    <w:tl2br w:val="nil"/>
                    <w:tr2bl w:val="nil"/>
                  </w:tcBorders>
                  <w:noWrap w:val="0"/>
                  <w:vAlign w:val="center"/>
                </w:tcPr>
                <w:p w14:paraId="135D17A1">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75D027AB">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696C39FA">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494C2D5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2BB51C7">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47B59DC8">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4E68DE97">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08BD07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47E393D2">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6E8EDE8F">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25885EA4">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57993071">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077138F2">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65.06</w:t>
                  </w:r>
                </w:p>
              </w:tc>
              <w:tc>
                <w:tcPr>
                  <w:tcW w:w="313" w:type="pct"/>
                  <w:tcBorders>
                    <w:tl2br w:val="nil"/>
                    <w:tr2bl w:val="nil"/>
                  </w:tcBorders>
                  <w:noWrap w:val="0"/>
                  <w:vAlign w:val="center"/>
                </w:tcPr>
                <w:p w14:paraId="17CE61CE">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73.09</w:t>
                  </w:r>
                </w:p>
              </w:tc>
              <w:tc>
                <w:tcPr>
                  <w:tcW w:w="247" w:type="pct"/>
                  <w:tcBorders>
                    <w:tl2br w:val="nil"/>
                    <w:tr2bl w:val="nil"/>
                  </w:tcBorders>
                  <w:noWrap w:val="0"/>
                  <w:vAlign w:val="center"/>
                </w:tcPr>
                <w:p w14:paraId="7551F6C4">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886576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6B145A5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6AE52F6">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1DC604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055C0CB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E5E78E0">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37BC8A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0CE5E70C">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3104D229">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超声波清洗机</w:t>
                  </w:r>
                </w:p>
              </w:tc>
              <w:tc>
                <w:tcPr>
                  <w:tcW w:w="692" w:type="pct"/>
                  <w:tcBorders>
                    <w:tl2br w:val="nil"/>
                    <w:tr2bl w:val="nil"/>
                  </w:tcBorders>
                  <w:noWrap w:val="0"/>
                  <w:vAlign w:val="center"/>
                </w:tcPr>
                <w:p w14:paraId="6FF37E0B">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2150A634">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rPr>
                  </w:pPr>
                </w:p>
              </w:tc>
              <w:tc>
                <w:tcPr>
                  <w:tcW w:w="332" w:type="pct"/>
                  <w:tcBorders>
                    <w:tl2br w:val="nil"/>
                    <w:tr2bl w:val="nil"/>
                  </w:tcBorders>
                  <w:noWrap w:val="0"/>
                  <w:vAlign w:val="center"/>
                </w:tcPr>
                <w:p w14:paraId="2A1F110F">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68.83</w:t>
                  </w:r>
                </w:p>
              </w:tc>
              <w:tc>
                <w:tcPr>
                  <w:tcW w:w="313" w:type="pct"/>
                  <w:tcBorders>
                    <w:tl2br w:val="nil"/>
                    <w:tr2bl w:val="nil"/>
                  </w:tcBorders>
                  <w:noWrap w:val="0"/>
                  <w:vAlign w:val="center"/>
                </w:tcPr>
                <w:p w14:paraId="25459CF2">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73.41</w:t>
                  </w:r>
                </w:p>
              </w:tc>
              <w:tc>
                <w:tcPr>
                  <w:tcW w:w="247" w:type="pct"/>
                  <w:tcBorders>
                    <w:tl2br w:val="nil"/>
                    <w:tr2bl w:val="nil"/>
                  </w:tcBorders>
                  <w:noWrap w:val="0"/>
                  <w:vAlign w:val="center"/>
                </w:tcPr>
                <w:p w14:paraId="16E15EF0">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28308B81">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12195D3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724C3593">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2E4EB14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007768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3B1BA25">
                  <w:pPr>
                    <w:keepNext w:val="0"/>
                    <w:keepLines w:val="0"/>
                    <w:widowControl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7DB0EC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069D45A6">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725A6CE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灌封设备</w:t>
                  </w:r>
                </w:p>
              </w:tc>
              <w:tc>
                <w:tcPr>
                  <w:tcW w:w="692" w:type="pct"/>
                  <w:tcBorders>
                    <w:tl2br w:val="nil"/>
                    <w:tr2bl w:val="nil"/>
                  </w:tcBorders>
                  <w:noWrap w:val="0"/>
                  <w:vAlign w:val="center"/>
                </w:tcPr>
                <w:p w14:paraId="4CB294A9">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248DFF2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17CE283C">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72</w:t>
                  </w:r>
                </w:p>
              </w:tc>
              <w:tc>
                <w:tcPr>
                  <w:tcW w:w="313" w:type="pct"/>
                  <w:tcBorders>
                    <w:tl2br w:val="nil"/>
                    <w:tr2bl w:val="nil"/>
                  </w:tcBorders>
                  <w:noWrap w:val="0"/>
                  <w:vAlign w:val="center"/>
                </w:tcPr>
                <w:p w14:paraId="0CDEE754">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86</w:t>
                  </w:r>
                </w:p>
              </w:tc>
              <w:tc>
                <w:tcPr>
                  <w:tcW w:w="247" w:type="pct"/>
                  <w:tcBorders>
                    <w:tl2br w:val="nil"/>
                    <w:tr2bl w:val="nil"/>
                  </w:tcBorders>
                  <w:noWrap w:val="0"/>
                  <w:vAlign w:val="center"/>
                </w:tcPr>
                <w:p w14:paraId="2748951C">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01465F2F">
                  <w:pPr>
                    <w:keepNext w:val="0"/>
                    <w:keepLines w:val="0"/>
                    <w:widowControl/>
                    <w:suppressLineNumbers w:val="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16</w:t>
                  </w:r>
                </w:p>
              </w:tc>
              <w:tc>
                <w:tcPr>
                  <w:tcW w:w="346" w:type="pct"/>
                  <w:tcBorders>
                    <w:tl2br w:val="nil"/>
                    <w:tr2bl w:val="nil"/>
                  </w:tcBorders>
                  <w:noWrap w:val="0"/>
                  <w:vAlign w:val="center"/>
                </w:tcPr>
                <w:p w14:paraId="34740D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FA493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42FA21CB">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147D92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065A0EF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lang w:val="en-US" w:eastAsia="zh-CN"/>
                    </w:rPr>
                    <w:t>1</w:t>
                  </w:r>
                </w:p>
              </w:tc>
            </w:tr>
            <w:tr w14:paraId="44E046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2764D4B">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2E389A61">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灌封设备</w:t>
                  </w:r>
                </w:p>
              </w:tc>
              <w:tc>
                <w:tcPr>
                  <w:tcW w:w="692" w:type="pct"/>
                  <w:tcBorders>
                    <w:tl2br w:val="nil"/>
                    <w:tr2bl w:val="nil"/>
                  </w:tcBorders>
                  <w:noWrap w:val="0"/>
                  <w:vAlign w:val="center"/>
                </w:tcPr>
                <w:p w14:paraId="3959BCD4">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61FCCA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2D4266BF">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71.15</w:t>
                  </w:r>
                </w:p>
              </w:tc>
              <w:tc>
                <w:tcPr>
                  <w:tcW w:w="313" w:type="pct"/>
                  <w:tcBorders>
                    <w:tl2br w:val="nil"/>
                    <w:tr2bl w:val="nil"/>
                  </w:tcBorders>
                  <w:noWrap w:val="0"/>
                  <w:vAlign w:val="center"/>
                </w:tcPr>
                <w:p w14:paraId="16D11C5D">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95.38</w:t>
                  </w:r>
                </w:p>
              </w:tc>
              <w:tc>
                <w:tcPr>
                  <w:tcW w:w="247" w:type="pct"/>
                  <w:tcBorders>
                    <w:tl2br w:val="nil"/>
                    <w:tr2bl w:val="nil"/>
                  </w:tcBorders>
                  <w:noWrap w:val="0"/>
                  <w:vAlign w:val="center"/>
                </w:tcPr>
                <w:p w14:paraId="1807E8AE">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440930ED">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4C31152B">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39C122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14B6B45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7150967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48A8567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47490B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6F94C1E8">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77E4FB6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灌封设备</w:t>
                  </w:r>
                </w:p>
              </w:tc>
              <w:tc>
                <w:tcPr>
                  <w:tcW w:w="692" w:type="pct"/>
                  <w:tcBorders>
                    <w:tl2br w:val="nil"/>
                    <w:tr2bl w:val="nil"/>
                  </w:tcBorders>
                  <w:noWrap w:val="0"/>
                  <w:vAlign w:val="center"/>
                </w:tcPr>
                <w:p w14:paraId="389B84E2">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3C2AC29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6E9B465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71.38</w:t>
                  </w:r>
                </w:p>
              </w:tc>
              <w:tc>
                <w:tcPr>
                  <w:tcW w:w="313" w:type="pct"/>
                  <w:tcBorders>
                    <w:tl2br w:val="nil"/>
                    <w:tr2bl w:val="nil"/>
                  </w:tcBorders>
                  <w:noWrap w:val="0"/>
                  <w:vAlign w:val="center"/>
                </w:tcPr>
                <w:p w14:paraId="223A728A">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90.16</w:t>
                  </w:r>
                </w:p>
              </w:tc>
              <w:tc>
                <w:tcPr>
                  <w:tcW w:w="247" w:type="pct"/>
                  <w:tcBorders>
                    <w:tl2br w:val="nil"/>
                    <w:tr2bl w:val="nil"/>
                  </w:tcBorders>
                  <w:noWrap w:val="0"/>
                  <w:vAlign w:val="center"/>
                </w:tcPr>
                <w:p w14:paraId="266BF84F">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480BA53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51CC67EA">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DBEF08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3CC8BE34">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2457EF9">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740B8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2E49D0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FFB2DE6">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7F1C9852">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灌封设备</w:t>
                  </w:r>
                </w:p>
              </w:tc>
              <w:tc>
                <w:tcPr>
                  <w:tcW w:w="692" w:type="pct"/>
                  <w:tcBorders>
                    <w:tl2br w:val="nil"/>
                    <w:tr2bl w:val="nil"/>
                  </w:tcBorders>
                  <w:noWrap w:val="0"/>
                  <w:vAlign w:val="center"/>
                </w:tcPr>
                <w:p w14:paraId="6A7562DD">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65FE04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033BB2C5">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72.26</w:t>
                  </w:r>
                </w:p>
              </w:tc>
              <w:tc>
                <w:tcPr>
                  <w:tcW w:w="313" w:type="pct"/>
                  <w:tcBorders>
                    <w:tl2br w:val="nil"/>
                    <w:tr2bl w:val="nil"/>
                  </w:tcBorders>
                  <w:noWrap w:val="0"/>
                  <w:vAlign w:val="center"/>
                </w:tcPr>
                <w:p w14:paraId="402FF773">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79.41</w:t>
                  </w:r>
                </w:p>
              </w:tc>
              <w:tc>
                <w:tcPr>
                  <w:tcW w:w="247" w:type="pct"/>
                  <w:tcBorders>
                    <w:tl2br w:val="nil"/>
                    <w:tr2bl w:val="nil"/>
                  </w:tcBorders>
                  <w:noWrap w:val="0"/>
                  <w:vAlign w:val="center"/>
                </w:tcPr>
                <w:p w14:paraId="4469B1B6">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7468028">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11.4</w:t>
                  </w:r>
                </w:p>
              </w:tc>
              <w:tc>
                <w:tcPr>
                  <w:tcW w:w="346" w:type="pct"/>
                  <w:tcBorders>
                    <w:tl2br w:val="nil"/>
                    <w:tr2bl w:val="nil"/>
                  </w:tcBorders>
                  <w:noWrap w:val="0"/>
                  <w:vAlign w:val="center"/>
                </w:tcPr>
                <w:p w14:paraId="64C3F1BA">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694EDEC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4C36E0F">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F3744F4">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50039A1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426C62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287D30F3">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493A233B">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灌封设备</w:t>
                  </w:r>
                </w:p>
              </w:tc>
              <w:tc>
                <w:tcPr>
                  <w:tcW w:w="692" w:type="pct"/>
                  <w:tcBorders>
                    <w:tl2br w:val="nil"/>
                    <w:tr2bl w:val="nil"/>
                  </w:tcBorders>
                  <w:noWrap w:val="0"/>
                  <w:vAlign w:val="center"/>
                </w:tcPr>
                <w:p w14:paraId="7782C5B7">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75/1</w:t>
                  </w:r>
                </w:p>
              </w:tc>
              <w:tc>
                <w:tcPr>
                  <w:tcW w:w="358" w:type="pct"/>
                  <w:vMerge w:val="continue"/>
                  <w:tcBorders>
                    <w:tl2br w:val="nil"/>
                    <w:tr2bl w:val="nil"/>
                  </w:tcBorders>
                  <w:noWrap w:val="0"/>
                  <w:vAlign w:val="center"/>
                </w:tcPr>
                <w:p w14:paraId="5EF8FE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302DFEC6">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72.60</w:t>
                  </w:r>
                </w:p>
              </w:tc>
              <w:tc>
                <w:tcPr>
                  <w:tcW w:w="313" w:type="pct"/>
                  <w:tcBorders>
                    <w:tl2br w:val="nil"/>
                    <w:tr2bl w:val="nil"/>
                  </w:tcBorders>
                  <w:noWrap w:val="0"/>
                  <w:vAlign w:val="center"/>
                </w:tcPr>
                <w:p w14:paraId="28FB2FC4">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73.31</w:t>
                  </w:r>
                </w:p>
              </w:tc>
              <w:tc>
                <w:tcPr>
                  <w:tcW w:w="247" w:type="pct"/>
                  <w:tcBorders>
                    <w:tl2br w:val="nil"/>
                    <w:tr2bl w:val="nil"/>
                  </w:tcBorders>
                  <w:noWrap w:val="0"/>
                  <w:vAlign w:val="center"/>
                </w:tcPr>
                <w:p w14:paraId="76C82E2B">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70363819">
                  <w:pPr>
                    <w:keepNext w:val="0"/>
                    <w:keepLines w:val="0"/>
                    <w:widowControl/>
                    <w:suppressLineNumbers w:val="0"/>
                    <w:jc w:val="center"/>
                    <w:textAlignment w:val="center"/>
                    <w:rPr>
                      <w:rFonts w:hint="default" w:ascii="Times New Roman" w:hAnsi="Times New Roman" w:cs="Times New Roman"/>
                      <w:b w:val="0"/>
                      <w:bCs/>
                      <w:color w:val="auto"/>
                      <w:kern w:val="0"/>
                      <w:sz w:val="21"/>
                      <w:szCs w:val="21"/>
                      <w:highlight w:val="none"/>
                      <w:lang w:val="en-US" w:eastAsia="zh-CN" w:bidi="ar-SA"/>
                    </w:rPr>
                  </w:pPr>
                  <w:r>
                    <w:rPr>
                      <w:rFonts w:hint="default" w:ascii="Times New Roman" w:hAnsi="Times New Roman" w:cs="Times New Roman"/>
                      <w:b w:val="0"/>
                      <w:bCs/>
                      <w:color w:val="auto"/>
                      <w:kern w:val="0"/>
                      <w:sz w:val="21"/>
                      <w:szCs w:val="21"/>
                      <w:highlight w:val="none"/>
                      <w:lang w:val="en-US" w:eastAsia="zh-CN" w:bidi="ar-SA"/>
                    </w:rPr>
                    <w:t>6.6</w:t>
                  </w:r>
                </w:p>
              </w:tc>
              <w:tc>
                <w:tcPr>
                  <w:tcW w:w="346" w:type="pct"/>
                  <w:tcBorders>
                    <w:tl2br w:val="nil"/>
                    <w:tr2bl w:val="nil"/>
                  </w:tcBorders>
                  <w:noWrap w:val="0"/>
                  <w:vAlign w:val="center"/>
                </w:tcPr>
                <w:p w14:paraId="1CAD216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4386D1E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26DA3BAC">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A948DC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21BB7C9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11A9A8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090F9C3">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524B5964">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烘箱</w:t>
                  </w:r>
                </w:p>
              </w:tc>
              <w:tc>
                <w:tcPr>
                  <w:tcW w:w="692" w:type="pct"/>
                  <w:tcBorders>
                    <w:tl2br w:val="nil"/>
                    <w:tr2bl w:val="nil"/>
                  </w:tcBorders>
                  <w:noWrap w:val="0"/>
                  <w:vAlign w:val="center"/>
                </w:tcPr>
                <w:p w14:paraId="18C2B26F">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60/1</w:t>
                  </w:r>
                </w:p>
              </w:tc>
              <w:tc>
                <w:tcPr>
                  <w:tcW w:w="358" w:type="pct"/>
                  <w:vMerge w:val="continue"/>
                  <w:tcBorders>
                    <w:tl2br w:val="nil"/>
                    <w:tr2bl w:val="nil"/>
                  </w:tcBorders>
                  <w:noWrap w:val="0"/>
                  <w:vAlign w:val="center"/>
                </w:tcPr>
                <w:p w14:paraId="628661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020E2140">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79.58</w:t>
                  </w:r>
                </w:p>
              </w:tc>
              <w:tc>
                <w:tcPr>
                  <w:tcW w:w="313" w:type="pct"/>
                  <w:tcBorders>
                    <w:tl2br w:val="nil"/>
                    <w:tr2bl w:val="nil"/>
                  </w:tcBorders>
                  <w:noWrap w:val="0"/>
                  <w:vAlign w:val="center"/>
                </w:tcPr>
                <w:p w14:paraId="5FC0927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94.93</w:t>
                  </w:r>
                </w:p>
              </w:tc>
              <w:tc>
                <w:tcPr>
                  <w:tcW w:w="247" w:type="pct"/>
                  <w:tcBorders>
                    <w:tl2br w:val="nil"/>
                    <w:tr2bl w:val="nil"/>
                  </w:tcBorders>
                  <w:noWrap w:val="0"/>
                  <w:vAlign w:val="center"/>
                </w:tcPr>
                <w:p w14:paraId="760E2DE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08C06D7D">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6.6</w:t>
                  </w:r>
                </w:p>
              </w:tc>
              <w:tc>
                <w:tcPr>
                  <w:tcW w:w="346" w:type="pct"/>
                  <w:tcBorders>
                    <w:tl2br w:val="nil"/>
                    <w:tr2bl w:val="nil"/>
                  </w:tcBorders>
                  <w:noWrap w:val="0"/>
                  <w:vAlign w:val="center"/>
                </w:tcPr>
                <w:p w14:paraId="6F81CD2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54D4922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68282C31">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0FF758BC">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6EBA71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4F875D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58740600">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45D78B3C">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烘箱</w:t>
                  </w:r>
                </w:p>
              </w:tc>
              <w:tc>
                <w:tcPr>
                  <w:tcW w:w="692" w:type="pct"/>
                  <w:tcBorders>
                    <w:tl2br w:val="nil"/>
                    <w:tr2bl w:val="nil"/>
                  </w:tcBorders>
                  <w:noWrap w:val="0"/>
                  <w:vAlign w:val="center"/>
                </w:tcPr>
                <w:p w14:paraId="3FE2186B">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60/1</w:t>
                  </w:r>
                </w:p>
              </w:tc>
              <w:tc>
                <w:tcPr>
                  <w:tcW w:w="358" w:type="pct"/>
                  <w:vMerge w:val="continue"/>
                  <w:tcBorders>
                    <w:tl2br w:val="nil"/>
                    <w:tr2bl w:val="nil"/>
                  </w:tcBorders>
                  <w:noWrap w:val="0"/>
                  <w:vAlign w:val="center"/>
                </w:tcPr>
                <w:p w14:paraId="6E27B5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6905966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79.80</w:t>
                  </w:r>
                </w:p>
              </w:tc>
              <w:tc>
                <w:tcPr>
                  <w:tcW w:w="313" w:type="pct"/>
                  <w:tcBorders>
                    <w:tl2br w:val="nil"/>
                    <w:tr2bl w:val="nil"/>
                  </w:tcBorders>
                  <w:noWrap w:val="0"/>
                  <w:vAlign w:val="center"/>
                </w:tcPr>
                <w:p w14:paraId="015785B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89.83</w:t>
                  </w:r>
                </w:p>
              </w:tc>
              <w:tc>
                <w:tcPr>
                  <w:tcW w:w="247" w:type="pct"/>
                  <w:tcBorders>
                    <w:tl2br w:val="nil"/>
                    <w:tr2bl w:val="nil"/>
                  </w:tcBorders>
                  <w:noWrap w:val="0"/>
                  <w:vAlign w:val="center"/>
                </w:tcPr>
                <w:p w14:paraId="694ECED9">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4D8E1E6">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11.4</w:t>
                  </w:r>
                </w:p>
              </w:tc>
              <w:tc>
                <w:tcPr>
                  <w:tcW w:w="346" w:type="pct"/>
                  <w:tcBorders>
                    <w:tl2br w:val="nil"/>
                    <w:tr2bl w:val="nil"/>
                  </w:tcBorders>
                  <w:noWrap w:val="0"/>
                  <w:vAlign w:val="center"/>
                </w:tcPr>
                <w:p w14:paraId="16B3A28F">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004356F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452E0D4">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45C24E4B">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63376FB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238E4E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3FA3258B">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21DA6C6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烘箱</w:t>
                  </w:r>
                </w:p>
              </w:tc>
              <w:tc>
                <w:tcPr>
                  <w:tcW w:w="692" w:type="pct"/>
                  <w:tcBorders>
                    <w:tl2br w:val="nil"/>
                    <w:tr2bl w:val="nil"/>
                  </w:tcBorders>
                  <w:noWrap w:val="0"/>
                  <w:vAlign w:val="center"/>
                </w:tcPr>
                <w:p w14:paraId="100E9E9F">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60/1</w:t>
                  </w:r>
                </w:p>
              </w:tc>
              <w:tc>
                <w:tcPr>
                  <w:tcW w:w="358" w:type="pct"/>
                  <w:vMerge w:val="continue"/>
                  <w:tcBorders>
                    <w:tl2br w:val="nil"/>
                    <w:tr2bl w:val="nil"/>
                  </w:tcBorders>
                  <w:noWrap w:val="0"/>
                  <w:vAlign w:val="center"/>
                </w:tcPr>
                <w:p w14:paraId="2033417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7693D2E0">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80.36</w:t>
                  </w:r>
                </w:p>
              </w:tc>
              <w:tc>
                <w:tcPr>
                  <w:tcW w:w="313" w:type="pct"/>
                  <w:tcBorders>
                    <w:tl2br w:val="nil"/>
                    <w:tr2bl w:val="nil"/>
                  </w:tcBorders>
                  <w:noWrap w:val="0"/>
                  <w:vAlign w:val="center"/>
                </w:tcPr>
                <w:p w14:paraId="0CA6A021">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79.41</w:t>
                  </w:r>
                </w:p>
              </w:tc>
              <w:tc>
                <w:tcPr>
                  <w:tcW w:w="247" w:type="pct"/>
                  <w:tcBorders>
                    <w:tl2br w:val="nil"/>
                    <w:tr2bl w:val="nil"/>
                  </w:tcBorders>
                  <w:noWrap w:val="0"/>
                  <w:vAlign w:val="center"/>
                </w:tcPr>
                <w:p w14:paraId="1C1C6CC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0CBC75F6">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11.4</w:t>
                  </w:r>
                </w:p>
              </w:tc>
              <w:tc>
                <w:tcPr>
                  <w:tcW w:w="346" w:type="pct"/>
                  <w:tcBorders>
                    <w:tl2br w:val="nil"/>
                    <w:tr2bl w:val="nil"/>
                  </w:tcBorders>
                  <w:noWrap w:val="0"/>
                  <w:vAlign w:val="center"/>
                </w:tcPr>
                <w:p w14:paraId="6F737F6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347FB8C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45E34BDB">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34539C97">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15220DF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51EE20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044E8FB">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59A62C7A">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烘箱</w:t>
                  </w:r>
                </w:p>
              </w:tc>
              <w:tc>
                <w:tcPr>
                  <w:tcW w:w="692" w:type="pct"/>
                  <w:tcBorders>
                    <w:tl2br w:val="nil"/>
                    <w:tr2bl w:val="nil"/>
                  </w:tcBorders>
                  <w:noWrap w:val="0"/>
                  <w:vAlign w:val="center"/>
                </w:tcPr>
                <w:p w14:paraId="3E954A7A">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60/1</w:t>
                  </w:r>
                </w:p>
              </w:tc>
              <w:tc>
                <w:tcPr>
                  <w:tcW w:w="358" w:type="pct"/>
                  <w:vMerge w:val="continue"/>
                  <w:tcBorders>
                    <w:tl2br w:val="nil"/>
                    <w:tr2bl w:val="nil"/>
                  </w:tcBorders>
                  <w:noWrap w:val="0"/>
                  <w:vAlign w:val="center"/>
                </w:tcPr>
                <w:p w14:paraId="08813A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42303F49">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80.69</w:t>
                  </w:r>
                </w:p>
              </w:tc>
              <w:tc>
                <w:tcPr>
                  <w:tcW w:w="313" w:type="pct"/>
                  <w:tcBorders>
                    <w:tl2br w:val="nil"/>
                    <w:tr2bl w:val="nil"/>
                  </w:tcBorders>
                  <w:noWrap w:val="0"/>
                  <w:vAlign w:val="center"/>
                </w:tcPr>
                <w:p w14:paraId="11F7F5E9">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73.53</w:t>
                  </w:r>
                </w:p>
              </w:tc>
              <w:tc>
                <w:tcPr>
                  <w:tcW w:w="247" w:type="pct"/>
                  <w:tcBorders>
                    <w:tl2br w:val="nil"/>
                    <w:tr2bl w:val="nil"/>
                  </w:tcBorders>
                  <w:noWrap w:val="0"/>
                  <w:vAlign w:val="center"/>
                </w:tcPr>
                <w:p w14:paraId="7E3DB88D">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3883788C">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6.6</w:t>
                  </w:r>
                </w:p>
              </w:tc>
              <w:tc>
                <w:tcPr>
                  <w:tcW w:w="346" w:type="pct"/>
                  <w:tcBorders>
                    <w:tl2br w:val="nil"/>
                    <w:tr2bl w:val="nil"/>
                  </w:tcBorders>
                  <w:noWrap w:val="0"/>
                  <w:vAlign w:val="center"/>
                </w:tcPr>
                <w:p w14:paraId="7AC99A1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2D0C46B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FF9C022">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0E8F97BD">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4F3551E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163D62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7FB16407">
                  <w:pPr>
                    <w:autoSpaceDE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noWrap w:val="0"/>
                  <w:vAlign w:val="center"/>
                </w:tcPr>
                <w:p w14:paraId="4440AE9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烘箱</w:t>
                  </w:r>
                </w:p>
              </w:tc>
              <w:tc>
                <w:tcPr>
                  <w:tcW w:w="692" w:type="pct"/>
                  <w:tcBorders>
                    <w:tl2br w:val="nil"/>
                    <w:tr2bl w:val="nil"/>
                  </w:tcBorders>
                  <w:noWrap w:val="0"/>
                  <w:vAlign w:val="center"/>
                </w:tcPr>
                <w:p w14:paraId="7C97B666">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60/1</w:t>
                  </w:r>
                </w:p>
              </w:tc>
              <w:tc>
                <w:tcPr>
                  <w:tcW w:w="358" w:type="pct"/>
                  <w:vMerge w:val="continue"/>
                  <w:tcBorders>
                    <w:tl2br w:val="nil"/>
                    <w:tr2bl w:val="nil"/>
                  </w:tcBorders>
                  <w:noWrap w:val="0"/>
                  <w:vAlign w:val="center"/>
                </w:tcPr>
                <w:p w14:paraId="45E1D4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5559469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80</w:t>
                  </w:r>
                </w:p>
              </w:tc>
              <w:tc>
                <w:tcPr>
                  <w:tcW w:w="313" w:type="pct"/>
                  <w:tcBorders>
                    <w:tl2br w:val="nil"/>
                    <w:tr2bl w:val="nil"/>
                  </w:tcBorders>
                  <w:noWrap w:val="0"/>
                  <w:vAlign w:val="center"/>
                </w:tcPr>
                <w:p w14:paraId="39226FA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86</w:t>
                  </w:r>
                </w:p>
              </w:tc>
              <w:tc>
                <w:tcPr>
                  <w:tcW w:w="247" w:type="pct"/>
                  <w:tcBorders>
                    <w:tl2br w:val="nil"/>
                    <w:tr2bl w:val="nil"/>
                  </w:tcBorders>
                  <w:noWrap w:val="0"/>
                  <w:vAlign w:val="center"/>
                </w:tcPr>
                <w:p w14:paraId="37974A92">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5928116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16</w:t>
                  </w:r>
                </w:p>
              </w:tc>
              <w:tc>
                <w:tcPr>
                  <w:tcW w:w="346" w:type="pct"/>
                  <w:tcBorders>
                    <w:tl2br w:val="nil"/>
                    <w:tr2bl w:val="nil"/>
                  </w:tcBorders>
                  <w:noWrap w:val="0"/>
                  <w:vAlign w:val="center"/>
                </w:tcPr>
                <w:p w14:paraId="79ED30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76</w:t>
                  </w:r>
                </w:p>
              </w:tc>
              <w:tc>
                <w:tcPr>
                  <w:tcW w:w="185" w:type="pct"/>
                  <w:tcBorders>
                    <w:tl2br w:val="nil"/>
                    <w:tr2bl w:val="nil"/>
                  </w:tcBorders>
                  <w:noWrap w:val="0"/>
                  <w:vAlign w:val="center"/>
                </w:tcPr>
                <w:p w14:paraId="2192C04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84D86FA">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2E7B312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2C6942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lang w:val="en-US" w:eastAsia="zh-CN"/>
                    </w:rPr>
                    <w:t>1</w:t>
                  </w:r>
                </w:p>
              </w:tc>
            </w:tr>
            <w:tr w14:paraId="11381A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35F77A2B">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65" w:type="pct"/>
                  <w:tcBorders>
                    <w:tl2br w:val="nil"/>
                    <w:tr2bl w:val="nil"/>
                  </w:tcBorders>
                  <w:noWrap w:val="0"/>
                  <w:vAlign w:val="center"/>
                </w:tcPr>
                <w:p w14:paraId="2784F5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空气压缩机</w:t>
                  </w:r>
                </w:p>
              </w:tc>
              <w:tc>
                <w:tcPr>
                  <w:tcW w:w="692" w:type="pct"/>
                  <w:tcBorders>
                    <w:tl2br w:val="nil"/>
                    <w:tr2bl w:val="nil"/>
                  </w:tcBorders>
                  <w:noWrap w:val="0"/>
                  <w:vAlign w:val="center"/>
                </w:tcPr>
                <w:p w14:paraId="34B8545C">
                  <w:pPr>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85/1</w:t>
                  </w:r>
                </w:p>
              </w:tc>
              <w:tc>
                <w:tcPr>
                  <w:tcW w:w="358" w:type="pct"/>
                  <w:vMerge w:val="continue"/>
                  <w:tcBorders>
                    <w:tl2br w:val="nil"/>
                    <w:tr2bl w:val="nil"/>
                  </w:tcBorders>
                  <w:noWrap w:val="0"/>
                  <w:vAlign w:val="center"/>
                </w:tcPr>
                <w:p w14:paraId="6EDBD1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744271C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96</w:t>
                  </w:r>
                </w:p>
              </w:tc>
              <w:tc>
                <w:tcPr>
                  <w:tcW w:w="313" w:type="pct"/>
                  <w:tcBorders>
                    <w:tl2br w:val="nil"/>
                    <w:tr2bl w:val="nil"/>
                  </w:tcBorders>
                  <w:noWrap w:val="0"/>
                  <w:vAlign w:val="center"/>
                </w:tcPr>
                <w:p w14:paraId="04E7D9D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86</w:t>
                  </w:r>
                </w:p>
              </w:tc>
              <w:tc>
                <w:tcPr>
                  <w:tcW w:w="247" w:type="pct"/>
                  <w:tcBorders>
                    <w:tl2br w:val="nil"/>
                    <w:tr2bl w:val="nil"/>
                  </w:tcBorders>
                  <w:noWrap w:val="0"/>
                  <w:vAlign w:val="center"/>
                </w:tcPr>
                <w:p w14:paraId="03E3DDF0">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17D3951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16</w:t>
                  </w:r>
                </w:p>
              </w:tc>
              <w:tc>
                <w:tcPr>
                  <w:tcW w:w="346" w:type="pct"/>
                  <w:tcBorders>
                    <w:tl2br w:val="nil"/>
                    <w:tr2bl w:val="nil"/>
                  </w:tcBorders>
                  <w:noWrap w:val="0"/>
                  <w:vAlign w:val="center"/>
                </w:tcPr>
                <w:p w14:paraId="36610D9B">
                  <w:pPr>
                    <w:keepNext w:val="0"/>
                    <w:keepLines w:val="0"/>
                    <w:widowControl/>
                    <w:suppressLineNumbers w:val="0"/>
                    <w:jc w:val="center"/>
                    <w:textAlignment w:val="center"/>
                    <w:rPr>
                      <w:rFonts w:hint="default" w:ascii="Times New Roman" w:hAnsi="Times New Roman" w:cs="Times New Roman"/>
                      <w:color w:val="auto"/>
                      <w:highlight w:val="none"/>
                      <w:lang w:val="en-US" w:eastAsia="zh-CN"/>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noWrap w:val="0"/>
                  <w:vAlign w:val="center"/>
                </w:tcPr>
                <w:p w14:paraId="4661E2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5DB2EC43">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5D97FA3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34CDABA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lang w:val="en-US" w:eastAsia="zh-CN"/>
                    </w:rPr>
                    <w:t>1</w:t>
                  </w:r>
                </w:p>
              </w:tc>
            </w:tr>
            <w:tr w14:paraId="0B540F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noWrap w:val="0"/>
                  <w:vAlign w:val="center"/>
                </w:tcPr>
                <w:p w14:paraId="08EA6CF0">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65" w:type="pct"/>
                  <w:tcBorders>
                    <w:tl2br w:val="nil"/>
                    <w:tr2bl w:val="nil"/>
                  </w:tcBorders>
                  <w:noWrap w:val="0"/>
                  <w:vAlign w:val="center"/>
                </w:tcPr>
                <w:p w14:paraId="54270797">
                  <w:pPr>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空气压缩机</w:t>
                  </w:r>
                </w:p>
              </w:tc>
              <w:tc>
                <w:tcPr>
                  <w:tcW w:w="692" w:type="pct"/>
                  <w:tcBorders>
                    <w:tl2br w:val="nil"/>
                    <w:tr2bl w:val="nil"/>
                  </w:tcBorders>
                  <w:noWrap w:val="0"/>
                  <w:vAlign w:val="center"/>
                </w:tcPr>
                <w:p w14:paraId="76C72A85">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85/1</w:t>
                  </w:r>
                </w:p>
              </w:tc>
              <w:tc>
                <w:tcPr>
                  <w:tcW w:w="358" w:type="pct"/>
                  <w:vMerge w:val="continue"/>
                  <w:tcBorders>
                    <w:tl2br w:val="nil"/>
                    <w:tr2bl w:val="nil"/>
                  </w:tcBorders>
                  <w:noWrap w:val="0"/>
                  <w:vAlign w:val="center"/>
                </w:tcPr>
                <w:p w14:paraId="480FA7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noWrap w:val="0"/>
                  <w:vAlign w:val="center"/>
                </w:tcPr>
                <w:p w14:paraId="1557FE1F">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95.99</w:t>
                  </w:r>
                </w:p>
              </w:tc>
              <w:tc>
                <w:tcPr>
                  <w:tcW w:w="313" w:type="pct"/>
                  <w:tcBorders>
                    <w:tl2br w:val="nil"/>
                    <w:tr2bl w:val="nil"/>
                  </w:tcBorders>
                  <w:noWrap w:val="0"/>
                  <w:vAlign w:val="center"/>
                </w:tcPr>
                <w:p w14:paraId="4FFAD2C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89.83</w:t>
                  </w:r>
                </w:p>
              </w:tc>
              <w:tc>
                <w:tcPr>
                  <w:tcW w:w="247" w:type="pct"/>
                  <w:tcBorders>
                    <w:tl2br w:val="nil"/>
                    <w:tr2bl w:val="nil"/>
                  </w:tcBorders>
                  <w:noWrap w:val="0"/>
                  <w:vAlign w:val="center"/>
                </w:tcPr>
                <w:p w14:paraId="074CD06C">
                  <w:pPr>
                    <w:keepNext w:val="0"/>
                    <w:keepLines w:val="0"/>
                    <w:widowControl/>
                    <w:suppressLineNumbers w:val="0"/>
                    <w:spacing w:before="0" w:beforeAutospacing="0" w:after="0" w:afterAutospacing="0"/>
                    <w:ind w:left="0" w:leftChars="0" w:right="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noWrap w:val="0"/>
                  <w:vAlign w:val="center"/>
                </w:tcPr>
                <w:p w14:paraId="3FB0A854">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11.4</w:t>
                  </w:r>
                </w:p>
              </w:tc>
              <w:tc>
                <w:tcPr>
                  <w:tcW w:w="346" w:type="pct"/>
                  <w:tcBorders>
                    <w:tl2br w:val="nil"/>
                    <w:tr2bl w:val="nil"/>
                  </w:tcBorders>
                  <w:noWrap w:val="0"/>
                  <w:vAlign w:val="center"/>
                </w:tcPr>
                <w:p w14:paraId="3AA6A92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noWrap w:val="0"/>
                  <w:vAlign w:val="center"/>
                </w:tcPr>
                <w:p w14:paraId="498379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noWrap w:val="0"/>
                  <w:vAlign w:val="center"/>
                </w:tcPr>
                <w:p w14:paraId="7B4ECE7E">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noWrap w:val="0"/>
                  <w:vAlign w:val="center"/>
                </w:tcPr>
                <w:p w14:paraId="6758BD6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noWrap w:val="0"/>
                  <w:vAlign w:val="center"/>
                </w:tcPr>
                <w:p w14:paraId="3C999D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lang w:val="en-US" w:eastAsia="zh-CN"/>
                    </w:rPr>
                    <w:t>1</w:t>
                  </w:r>
                </w:p>
              </w:tc>
            </w:tr>
            <w:tr w14:paraId="1618C6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vAlign w:val="center"/>
                </w:tcPr>
                <w:p w14:paraId="637E9346">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vAlign w:val="center"/>
                </w:tcPr>
                <w:p w14:paraId="64DFFB7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2"/>
                      <w:szCs w:val="22"/>
                      <w:highlight w:val="none"/>
                      <w:u w:val="none"/>
                      <w:lang w:val="en-US" w:eastAsia="zh-CN" w:bidi="ar"/>
                    </w:rPr>
                    <w:t>BGA返修设备</w:t>
                  </w:r>
                </w:p>
              </w:tc>
              <w:tc>
                <w:tcPr>
                  <w:tcW w:w="692" w:type="pct"/>
                  <w:tcBorders>
                    <w:tl2br w:val="nil"/>
                    <w:tr2bl w:val="nil"/>
                  </w:tcBorders>
                  <w:vAlign w:val="center"/>
                </w:tcPr>
                <w:p w14:paraId="4ACDDBE7">
                  <w:pPr>
                    <w:jc w:val="center"/>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70/1</w:t>
                  </w:r>
                </w:p>
              </w:tc>
              <w:tc>
                <w:tcPr>
                  <w:tcW w:w="358" w:type="pct"/>
                  <w:vMerge w:val="continue"/>
                  <w:tcBorders>
                    <w:tl2br w:val="nil"/>
                    <w:tr2bl w:val="nil"/>
                  </w:tcBorders>
                  <w:vAlign w:val="center"/>
                </w:tcPr>
                <w:p w14:paraId="2850D3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vAlign w:val="center"/>
                </w:tcPr>
                <w:p w14:paraId="6BB9024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112</w:t>
                  </w:r>
                </w:p>
              </w:tc>
              <w:tc>
                <w:tcPr>
                  <w:tcW w:w="313" w:type="pct"/>
                  <w:tcBorders>
                    <w:tl2br w:val="nil"/>
                    <w:tr2bl w:val="nil"/>
                  </w:tcBorders>
                  <w:vAlign w:val="center"/>
                </w:tcPr>
                <w:p w14:paraId="6744EBC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86</w:t>
                  </w:r>
                </w:p>
              </w:tc>
              <w:tc>
                <w:tcPr>
                  <w:tcW w:w="247" w:type="pct"/>
                  <w:tcBorders>
                    <w:tl2br w:val="nil"/>
                    <w:tr2bl w:val="nil"/>
                  </w:tcBorders>
                  <w:vAlign w:val="center"/>
                </w:tcPr>
                <w:p w14:paraId="3C695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vAlign w:val="center"/>
                </w:tcPr>
                <w:p w14:paraId="66B25F8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16</w:t>
                  </w:r>
                </w:p>
              </w:tc>
              <w:tc>
                <w:tcPr>
                  <w:tcW w:w="346" w:type="pct"/>
                  <w:tcBorders>
                    <w:tl2br w:val="nil"/>
                    <w:tr2bl w:val="nil"/>
                  </w:tcBorders>
                  <w:vAlign w:val="center"/>
                </w:tcPr>
                <w:p w14:paraId="10E4D0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vAlign w:val="center"/>
                </w:tcPr>
                <w:p w14:paraId="4A77BA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vAlign w:val="center"/>
                </w:tcPr>
                <w:p w14:paraId="64CE76EB">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vAlign w:val="center"/>
                </w:tcPr>
                <w:p w14:paraId="159032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vAlign w:val="center"/>
                </w:tcPr>
                <w:p w14:paraId="3A09C57D">
                  <w:pPr>
                    <w:keepNext w:val="0"/>
                    <w:keepLines w:val="0"/>
                    <w:suppressLineNumbers w:val="0"/>
                    <w:spacing w:before="0" w:beforeAutospacing="0" w:after="0" w:afterAutospacing="0"/>
                    <w:ind w:left="0" w:right="0"/>
                    <w:jc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r>
            <w:tr w14:paraId="1F292A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vAlign w:val="center"/>
                </w:tcPr>
                <w:p w14:paraId="6172939E">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vAlign w:val="center"/>
                </w:tcPr>
                <w:p w14:paraId="16AE40AF">
                  <w:pPr>
                    <w:keepNext w:val="0"/>
                    <w:keepLines w:val="0"/>
                    <w:widowControl/>
                    <w:suppressLineNumbers w:val="0"/>
                    <w:spacing w:line="240" w:lineRule="auto"/>
                    <w:ind w:firstLine="0" w:firstLineChars="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2"/>
                      <w:szCs w:val="22"/>
                      <w:highlight w:val="none"/>
                      <w:u w:val="none"/>
                      <w:lang w:val="en-US" w:eastAsia="zh-CN" w:bidi="ar"/>
                    </w:rPr>
                    <w:t>BGA返修设备</w:t>
                  </w:r>
                </w:p>
              </w:tc>
              <w:tc>
                <w:tcPr>
                  <w:tcW w:w="692" w:type="pct"/>
                  <w:tcBorders>
                    <w:tl2br w:val="nil"/>
                    <w:tr2bl w:val="nil"/>
                  </w:tcBorders>
                  <w:vAlign w:val="center"/>
                </w:tcPr>
                <w:p w14:paraId="703C4BC8">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70/1</w:t>
                  </w:r>
                </w:p>
              </w:tc>
              <w:tc>
                <w:tcPr>
                  <w:tcW w:w="358" w:type="pct"/>
                  <w:vMerge w:val="continue"/>
                  <w:tcBorders>
                    <w:tl2br w:val="nil"/>
                    <w:tr2bl w:val="nil"/>
                  </w:tcBorders>
                  <w:vAlign w:val="center"/>
                </w:tcPr>
                <w:p w14:paraId="70339EC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vAlign w:val="center"/>
                </w:tcPr>
                <w:p w14:paraId="6150D011">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111.96</w:t>
                  </w:r>
                </w:p>
              </w:tc>
              <w:tc>
                <w:tcPr>
                  <w:tcW w:w="313" w:type="pct"/>
                  <w:tcBorders>
                    <w:tl2br w:val="nil"/>
                    <w:tr2bl w:val="nil"/>
                  </w:tcBorders>
                  <w:vAlign w:val="center"/>
                </w:tcPr>
                <w:p w14:paraId="58E3A743">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95.38</w:t>
                  </w:r>
                </w:p>
              </w:tc>
              <w:tc>
                <w:tcPr>
                  <w:tcW w:w="247" w:type="pct"/>
                  <w:tcBorders>
                    <w:tl2br w:val="nil"/>
                    <w:tr2bl w:val="nil"/>
                  </w:tcBorders>
                  <w:vAlign w:val="center"/>
                </w:tcPr>
                <w:p w14:paraId="5532E2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vAlign w:val="center"/>
                </w:tcPr>
                <w:p w14:paraId="118596F4">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6.6</w:t>
                  </w:r>
                </w:p>
              </w:tc>
              <w:tc>
                <w:tcPr>
                  <w:tcW w:w="346" w:type="pct"/>
                  <w:tcBorders>
                    <w:tl2br w:val="nil"/>
                    <w:tr2bl w:val="nil"/>
                  </w:tcBorders>
                  <w:vAlign w:val="center"/>
                </w:tcPr>
                <w:p w14:paraId="22BB7D21">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vAlign w:val="center"/>
                </w:tcPr>
                <w:p w14:paraId="5A3E66E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vAlign w:val="center"/>
                </w:tcPr>
                <w:p w14:paraId="3420F1E6">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vAlign w:val="center"/>
                </w:tcPr>
                <w:p w14:paraId="148DDA4D">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vAlign w:val="center"/>
                </w:tcPr>
                <w:p w14:paraId="0B41F8B9">
                  <w:pPr>
                    <w:keepNext w:val="0"/>
                    <w:keepLines w:val="0"/>
                    <w:suppressLineNumbers w:val="0"/>
                    <w:spacing w:before="0" w:beforeAutospacing="0" w:after="0" w:afterAutospacing="0"/>
                    <w:ind w:left="0" w:right="0"/>
                    <w:jc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r>
            <w:tr w14:paraId="5E3875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vAlign w:val="center"/>
                </w:tcPr>
                <w:p w14:paraId="03B26760">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vAlign w:val="center"/>
                </w:tcPr>
                <w:p w14:paraId="155F46E9">
                  <w:pPr>
                    <w:keepNext w:val="0"/>
                    <w:keepLines w:val="0"/>
                    <w:widowControl/>
                    <w:suppressLineNumbers w:val="0"/>
                    <w:spacing w:line="240" w:lineRule="auto"/>
                    <w:ind w:firstLine="0" w:firstLineChars="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2"/>
                      <w:szCs w:val="22"/>
                      <w:highlight w:val="none"/>
                      <w:u w:val="none"/>
                      <w:lang w:val="en-US" w:eastAsia="zh-CN" w:bidi="ar"/>
                    </w:rPr>
                    <w:t>BGA返修设备</w:t>
                  </w:r>
                </w:p>
              </w:tc>
              <w:tc>
                <w:tcPr>
                  <w:tcW w:w="692" w:type="pct"/>
                  <w:tcBorders>
                    <w:tl2br w:val="nil"/>
                    <w:tr2bl w:val="nil"/>
                  </w:tcBorders>
                  <w:vAlign w:val="center"/>
                </w:tcPr>
                <w:p w14:paraId="7FBB92B4">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70/1</w:t>
                  </w:r>
                </w:p>
              </w:tc>
              <w:tc>
                <w:tcPr>
                  <w:tcW w:w="358" w:type="pct"/>
                  <w:vMerge w:val="continue"/>
                  <w:tcBorders>
                    <w:tl2br w:val="nil"/>
                    <w:tr2bl w:val="nil"/>
                  </w:tcBorders>
                  <w:vAlign w:val="center"/>
                </w:tcPr>
                <w:p w14:paraId="1E7C33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vAlign w:val="center"/>
                </w:tcPr>
                <w:p w14:paraId="6E824303">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111.85</w:t>
                  </w:r>
                </w:p>
              </w:tc>
              <w:tc>
                <w:tcPr>
                  <w:tcW w:w="313" w:type="pct"/>
                  <w:tcBorders>
                    <w:tl2br w:val="nil"/>
                    <w:tr2bl w:val="nil"/>
                  </w:tcBorders>
                  <w:vAlign w:val="center"/>
                </w:tcPr>
                <w:p w14:paraId="5E5F98D0">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90.05</w:t>
                  </w:r>
                </w:p>
              </w:tc>
              <w:tc>
                <w:tcPr>
                  <w:tcW w:w="247" w:type="pct"/>
                  <w:tcBorders>
                    <w:tl2br w:val="nil"/>
                    <w:tr2bl w:val="nil"/>
                  </w:tcBorders>
                  <w:vAlign w:val="center"/>
                </w:tcPr>
                <w:p w14:paraId="093FB9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vAlign w:val="center"/>
                </w:tcPr>
                <w:p w14:paraId="0373F0AF">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11.4</w:t>
                  </w:r>
                </w:p>
              </w:tc>
              <w:tc>
                <w:tcPr>
                  <w:tcW w:w="346" w:type="pct"/>
                  <w:tcBorders>
                    <w:tl2br w:val="nil"/>
                    <w:tr2bl w:val="nil"/>
                  </w:tcBorders>
                  <w:vAlign w:val="center"/>
                </w:tcPr>
                <w:p w14:paraId="790CC57E">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vAlign w:val="center"/>
                </w:tcPr>
                <w:p w14:paraId="0360C84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vAlign w:val="center"/>
                </w:tcPr>
                <w:p w14:paraId="79F7AAC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vAlign w:val="center"/>
                </w:tcPr>
                <w:p w14:paraId="20EBBF64">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vAlign w:val="center"/>
                </w:tcPr>
                <w:p w14:paraId="445C3C33">
                  <w:pPr>
                    <w:keepNext w:val="0"/>
                    <w:keepLines w:val="0"/>
                    <w:suppressLineNumbers w:val="0"/>
                    <w:spacing w:before="0" w:beforeAutospacing="0" w:after="0" w:afterAutospacing="0"/>
                    <w:ind w:left="0" w:right="0"/>
                    <w:jc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r>
            <w:tr w14:paraId="450177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vAlign w:val="center"/>
                </w:tcPr>
                <w:p w14:paraId="1EDE355A">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vAlign w:val="center"/>
                </w:tcPr>
                <w:p w14:paraId="7C2739AB">
                  <w:pPr>
                    <w:keepNext w:val="0"/>
                    <w:keepLines w:val="0"/>
                    <w:widowControl/>
                    <w:suppressLineNumbers w:val="0"/>
                    <w:spacing w:line="240" w:lineRule="auto"/>
                    <w:ind w:firstLine="0" w:firstLineChars="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2"/>
                      <w:szCs w:val="22"/>
                      <w:highlight w:val="none"/>
                      <w:u w:val="none"/>
                      <w:lang w:val="en-US" w:eastAsia="zh-CN" w:bidi="ar"/>
                    </w:rPr>
                    <w:t>BGA返修设备</w:t>
                  </w:r>
                </w:p>
              </w:tc>
              <w:tc>
                <w:tcPr>
                  <w:tcW w:w="692" w:type="pct"/>
                  <w:tcBorders>
                    <w:tl2br w:val="nil"/>
                    <w:tr2bl w:val="nil"/>
                  </w:tcBorders>
                  <w:vAlign w:val="center"/>
                </w:tcPr>
                <w:p w14:paraId="5E15BD9F">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70/1</w:t>
                  </w:r>
                </w:p>
              </w:tc>
              <w:tc>
                <w:tcPr>
                  <w:tcW w:w="358" w:type="pct"/>
                  <w:vMerge w:val="continue"/>
                  <w:tcBorders>
                    <w:tl2br w:val="nil"/>
                    <w:tr2bl w:val="nil"/>
                  </w:tcBorders>
                  <w:vAlign w:val="center"/>
                </w:tcPr>
                <w:p w14:paraId="3C2F89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vAlign w:val="center"/>
                </w:tcPr>
                <w:p w14:paraId="57AEF912">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112.40</w:t>
                  </w:r>
                </w:p>
              </w:tc>
              <w:tc>
                <w:tcPr>
                  <w:tcW w:w="313" w:type="pct"/>
                  <w:tcBorders>
                    <w:tl2br w:val="nil"/>
                    <w:tr2bl w:val="nil"/>
                  </w:tcBorders>
                  <w:vAlign w:val="center"/>
                </w:tcPr>
                <w:p w14:paraId="45C825B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79.96</w:t>
                  </w:r>
                </w:p>
              </w:tc>
              <w:tc>
                <w:tcPr>
                  <w:tcW w:w="247" w:type="pct"/>
                  <w:tcBorders>
                    <w:tl2br w:val="nil"/>
                    <w:tr2bl w:val="nil"/>
                  </w:tcBorders>
                  <w:vAlign w:val="center"/>
                </w:tcPr>
                <w:p w14:paraId="660F71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vAlign w:val="center"/>
                </w:tcPr>
                <w:p w14:paraId="2E8F2A62">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11.4</w:t>
                  </w:r>
                </w:p>
              </w:tc>
              <w:tc>
                <w:tcPr>
                  <w:tcW w:w="346" w:type="pct"/>
                  <w:tcBorders>
                    <w:tl2br w:val="nil"/>
                    <w:tr2bl w:val="nil"/>
                  </w:tcBorders>
                  <w:vAlign w:val="center"/>
                </w:tcPr>
                <w:p w14:paraId="44443C93">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vAlign w:val="center"/>
                </w:tcPr>
                <w:p w14:paraId="72910FA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vAlign w:val="center"/>
                </w:tcPr>
                <w:p w14:paraId="30A99B1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vAlign w:val="center"/>
                </w:tcPr>
                <w:p w14:paraId="3BDF3D60">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vAlign w:val="center"/>
                </w:tcPr>
                <w:p w14:paraId="0DADF6F9">
                  <w:pPr>
                    <w:keepNext w:val="0"/>
                    <w:keepLines w:val="0"/>
                    <w:suppressLineNumbers w:val="0"/>
                    <w:spacing w:before="0" w:beforeAutospacing="0" w:after="0" w:afterAutospacing="0"/>
                    <w:ind w:left="0" w:right="0"/>
                    <w:jc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r>
            <w:tr w14:paraId="25D06E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37" w:type="pct"/>
                  <w:vMerge w:val="continue"/>
                  <w:tcBorders>
                    <w:tl2br w:val="nil"/>
                    <w:tr2bl w:val="nil"/>
                  </w:tcBorders>
                  <w:vAlign w:val="center"/>
                </w:tcPr>
                <w:p w14:paraId="40DF1C46">
                  <w:pPr>
                    <w:widowControl/>
                    <w:jc w:val="center"/>
                    <w:textAlignment w:val="center"/>
                    <w:rPr>
                      <w:rFonts w:hint="default" w:ascii="Times New Roman" w:hAnsi="Times New Roman" w:eastAsia="宋体" w:cs="Times New Roman"/>
                      <w:color w:val="auto"/>
                      <w:kern w:val="2"/>
                      <w:sz w:val="21"/>
                      <w:szCs w:val="21"/>
                      <w:highlight w:val="none"/>
                      <w:lang w:val="en-US" w:eastAsia="zh-CN" w:bidi="ar-SA"/>
                    </w:rPr>
                  </w:pPr>
                </w:p>
              </w:tc>
              <w:tc>
                <w:tcPr>
                  <w:tcW w:w="665" w:type="pct"/>
                  <w:tcBorders>
                    <w:tl2br w:val="nil"/>
                    <w:tr2bl w:val="nil"/>
                  </w:tcBorders>
                  <w:vAlign w:val="center"/>
                </w:tcPr>
                <w:p w14:paraId="7D1140E2">
                  <w:pPr>
                    <w:keepNext w:val="0"/>
                    <w:keepLines w:val="0"/>
                    <w:widowControl/>
                    <w:suppressLineNumbers w:val="0"/>
                    <w:spacing w:line="240" w:lineRule="auto"/>
                    <w:ind w:firstLine="0" w:firstLineChars="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2"/>
                      <w:szCs w:val="22"/>
                      <w:highlight w:val="none"/>
                      <w:u w:val="none"/>
                      <w:lang w:val="en-US" w:eastAsia="zh-CN" w:bidi="ar"/>
                    </w:rPr>
                    <w:t>BGA返修设备</w:t>
                  </w:r>
                </w:p>
              </w:tc>
              <w:tc>
                <w:tcPr>
                  <w:tcW w:w="692" w:type="pct"/>
                  <w:tcBorders>
                    <w:tl2br w:val="nil"/>
                    <w:tr2bl w:val="nil"/>
                  </w:tcBorders>
                  <w:vAlign w:val="center"/>
                </w:tcPr>
                <w:p w14:paraId="7DA6F954">
                  <w:pPr>
                    <w:jc w:val="center"/>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70/1</w:t>
                  </w:r>
                </w:p>
              </w:tc>
              <w:tc>
                <w:tcPr>
                  <w:tcW w:w="358" w:type="pct"/>
                  <w:vMerge w:val="continue"/>
                  <w:tcBorders>
                    <w:tl2br w:val="nil"/>
                    <w:tr2bl w:val="nil"/>
                  </w:tcBorders>
                  <w:vAlign w:val="center"/>
                </w:tcPr>
                <w:p w14:paraId="5589B8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32" w:type="pct"/>
                  <w:tcBorders>
                    <w:tl2br w:val="nil"/>
                    <w:tr2bl w:val="nil"/>
                  </w:tcBorders>
                  <w:vAlign w:val="center"/>
                </w:tcPr>
                <w:p w14:paraId="38E39912">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112.62</w:t>
                  </w:r>
                </w:p>
              </w:tc>
              <w:tc>
                <w:tcPr>
                  <w:tcW w:w="313" w:type="pct"/>
                  <w:tcBorders>
                    <w:tl2br w:val="nil"/>
                    <w:tr2bl w:val="nil"/>
                  </w:tcBorders>
                  <w:vAlign w:val="center"/>
                </w:tcPr>
                <w:p w14:paraId="71692FBE">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73.87</w:t>
                  </w:r>
                </w:p>
              </w:tc>
              <w:tc>
                <w:tcPr>
                  <w:tcW w:w="247" w:type="pct"/>
                  <w:tcBorders>
                    <w:tl2br w:val="nil"/>
                    <w:tr2bl w:val="nil"/>
                  </w:tcBorders>
                  <w:vAlign w:val="center"/>
                </w:tcPr>
                <w:p w14:paraId="684596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c>
                <w:tcPr>
                  <w:tcW w:w="262" w:type="pct"/>
                  <w:tcBorders>
                    <w:tl2br w:val="nil"/>
                    <w:tr2bl w:val="nil"/>
                  </w:tcBorders>
                  <w:vAlign w:val="center"/>
                </w:tcPr>
                <w:p w14:paraId="257130D5">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6.6</w:t>
                  </w:r>
                </w:p>
              </w:tc>
              <w:tc>
                <w:tcPr>
                  <w:tcW w:w="346" w:type="pct"/>
                  <w:tcBorders>
                    <w:tl2br w:val="nil"/>
                    <w:tr2bl w:val="nil"/>
                  </w:tcBorders>
                  <w:vAlign w:val="center"/>
                </w:tcPr>
                <w:p w14:paraId="7C9A2F24">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bidi="ar-SA"/>
                    </w:rPr>
                    <w:t>76</w:t>
                  </w:r>
                </w:p>
              </w:tc>
              <w:tc>
                <w:tcPr>
                  <w:tcW w:w="185" w:type="pct"/>
                  <w:tcBorders>
                    <w:tl2br w:val="nil"/>
                    <w:tr2bl w:val="nil"/>
                  </w:tcBorders>
                  <w:vAlign w:val="center"/>
                </w:tcPr>
                <w:p w14:paraId="1F5A9F4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2"/>
                      <w:sz w:val="21"/>
                      <w:szCs w:val="21"/>
                      <w:highlight w:val="none"/>
                      <w:lang w:val="en-US" w:eastAsia="zh-CN" w:bidi="zh-CN"/>
                    </w:rPr>
                    <w:t>昼间</w:t>
                  </w:r>
                </w:p>
              </w:tc>
              <w:tc>
                <w:tcPr>
                  <w:tcW w:w="314" w:type="pct"/>
                  <w:tcBorders>
                    <w:tl2br w:val="nil"/>
                    <w:tr2bl w:val="nil"/>
                  </w:tcBorders>
                  <w:vAlign w:val="center"/>
                </w:tcPr>
                <w:p w14:paraId="20C852F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r>
                    <w:rPr>
                      <w:rFonts w:hint="default" w:ascii="Times New Roman" w:hAnsi="Times New Roman" w:cs="Times New Roman"/>
                      <w:color w:val="auto"/>
                      <w:kern w:val="2"/>
                      <w:sz w:val="21"/>
                      <w:szCs w:val="21"/>
                      <w:highlight w:val="none"/>
                      <w:lang w:val="en-US" w:eastAsia="zh-CN" w:bidi="ar-SA"/>
                    </w:rPr>
                    <w:t>6</w:t>
                  </w:r>
                </w:p>
              </w:tc>
              <w:tc>
                <w:tcPr>
                  <w:tcW w:w="532" w:type="pct"/>
                  <w:tcBorders>
                    <w:tl2br w:val="nil"/>
                    <w:tr2bl w:val="nil"/>
                  </w:tcBorders>
                  <w:vAlign w:val="center"/>
                </w:tcPr>
                <w:p w14:paraId="0029CDF6">
                  <w:pPr>
                    <w:keepNext w:val="0"/>
                    <w:keepLines w:val="0"/>
                    <w:widowControl/>
                    <w:suppressLineNumbers w:val="0"/>
                    <w:jc w:val="center"/>
                    <w:textAlignment w:val="center"/>
                    <w:rPr>
                      <w:rFonts w:hint="default" w:ascii="Times New Roman" w:hAnsi="Times New Roman" w:cs="Times New Roman"/>
                      <w:i w:val="0"/>
                      <w:iCs w:val="0"/>
                      <w:color w:val="auto"/>
                      <w:kern w:val="0"/>
                      <w:sz w:val="22"/>
                      <w:szCs w:val="22"/>
                      <w:highlight w:val="none"/>
                      <w:u w:val="none"/>
                      <w:lang w:val="en-US" w:eastAsia="zh-CN" w:bidi="ar"/>
                    </w:rPr>
                  </w:pPr>
                  <w:r>
                    <w:rPr>
                      <w:rFonts w:hint="default" w:ascii="Times New Roman" w:hAnsi="Times New Roman" w:cs="Times New Roman"/>
                      <w:i w:val="0"/>
                      <w:iCs w:val="0"/>
                      <w:color w:val="auto"/>
                      <w:kern w:val="0"/>
                      <w:sz w:val="21"/>
                      <w:szCs w:val="21"/>
                      <w:highlight w:val="none"/>
                      <w:lang w:val="en-US" w:eastAsia="zh-CN"/>
                    </w:rPr>
                    <w:t>60</w:t>
                  </w:r>
                </w:p>
              </w:tc>
              <w:tc>
                <w:tcPr>
                  <w:tcW w:w="510" w:type="pct"/>
                  <w:tcBorders>
                    <w:tl2br w:val="nil"/>
                    <w:tr2bl w:val="nil"/>
                  </w:tcBorders>
                  <w:vAlign w:val="center"/>
                </w:tcPr>
                <w:p w14:paraId="1617AB9D">
                  <w:pPr>
                    <w:keepNext w:val="0"/>
                    <w:keepLines w:val="0"/>
                    <w:suppressLineNumbers w:val="0"/>
                    <w:spacing w:before="0" w:beforeAutospacing="0" w:after="0" w:afterAutospacing="0"/>
                    <w:ind w:left="0" w:right="0"/>
                    <w:jc w:val="center"/>
                    <w:rPr>
                      <w:rFonts w:hint="default" w:ascii="Times New Roman" w:hAnsi="Times New Roman" w:cs="Times New Roman"/>
                      <w:i w:val="0"/>
                      <w:iCs w:val="0"/>
                      <w:color w:val="auto"/>
                      <w:kern w:val="0"/>
                      <w:sz w:val="21"/>
                      <w:szCs w:val="21"/>
                      <w:highlight w:val="none"/>
                      <w:lang w:val="en-US" w:eastAsia="zh-CN"/>
                    </w:rPr>
                  </w:pPr>
                  <w:r>
                    <w:rPr>
                      <w:rFonts w:hint="default" w:ascii="Times New Roman" w:hAnsi="Times New Roman" w:cs="Times New Roman"/>
                      <w:i w:val="0"/>
                      <w:iCs w:val="0"/>
                      <w:color w:val="auto"/>
                      <w:kern w:val="0"/>
                      <w:sz w:val="21"/>
                      <w:szCs w:val="21"/>
                      <w:highlight w:val="none"/>
                      <w:lang w:val="en-US" w:eastAsia="zh-CN"/>
                    </w:rPr>
                    <w:t>1</w:t>
                  </w:r>
                </w:p>
              </w:tc>
            </w:tr>
          </w:tbl>
          <w:p w14:paraId="742D6259">
            <w:pPr>
              <w:spacing w:line="480" w:lineRule="exact"/>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cs="Times New Roman"/>
                <w:b w:val="0"/>
                <w:bCs w:val="0"/>
                <w:color w:val="auto"/>
                <w:sz w:val="24"/>
                <w:highlight w:val="none"/>
              </w:rPr>
              <w:t>（2）噪声预测</w:t>
            </w:r>
            <w:r>
              <w:rPr>
                <w:rFonts w:hint="default" w:ascii="Times New Roman" w:hAnsi="Times New Roman" w:cs="Times New Roman"/>
                <w:b w:val="0"/>
                <w:bCs w:val="0"/>
                <w:color w:val="auto"/>
                <w:sz w:val="24"/>
                <w:highlight w:val="none"/>
                <w:lang w:val="en-US" w:eastAsia="zh-CN"/>
              </w:rPr>
              <w:t>模式</w:t>
            </w:r>
          </w:p>
          <w:p w14:paraId="3C87FAC8">
            <w:pPr>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根据项目建设内容及《环境影响评价技术导则声环境》（HJ2.4-2021）的要求，项目环评噪声预测采用的模型为《环境影响评价技术导则声环境》（HJ2.4-2021）附录A（规范性附录）户外声传播的衰减和附录B（规范性附录）中</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B.1工业噪声预测计算模型</w:t>
            </w:r>
            <w:r>
              <w:rPr>
                <w:rFonts w:hint="default" w:ascii="Times New Roman" w:hAnsi="Times New Roman" w:cs="Times New Roman"/>
                <w:color w:val="auto"/>
                <w:sz w:val="24"/>
                <w:highlight w:val="none"/>
                <w:lang w:eastAsia="zh-CN"/>
              </w:rPr>
              <w:t>”。</w:t>
            </w:r>
          </w:p>
          <w:p w14:paraId="5537B755">
            <w:pPr>
              <w:spacing w:line="48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①室外声源</w:t>
            </w:r>
          </w:p>
          <w:p w14:paraId="1F6F471C">
            <w:pPr>
              <w:spacing w:line="480" w:lineRule="exact"/>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无指向性点声源的几何发散衰减公式：</w:t>
            </w:r>
          </w:p>
          <w:p w14:paraId="4346EAB4">
            <w:pPr>
              <w:adjustRightInd w:val="0"/>
              <w:snapToGrid w:val="0"/>
              <w:spacing w:line="360" w:lineRule="auto"/>
              <w:ind w:firstLine="560" w:firstLineChars="200"/>
              <w:rPr>
                <w:rFonts w:hint="default" w:ascii="Times New Roman" w:hAnsi="Times New Roman" w:eastAsia="宋体" w:cs="Times New Roman"/>
                <w:bCs/>
                <w:color w:val="auto"/>
                <w:sz w:val="28"/>
                <w:highlight w:val="none"/>
              </w:rPr>
            </w:pPr>
            <w:r>
              <w:rPr>
                <w:rFonts w:hint="default" w:ascii="Times New Roman" w:hAnsi="Times New Roman" w:eastAsia="宋体" w:cs="Times New Roman"/>
                <w:bCs/>
                <w:color w:val="auto"/>
                <w:sz w:val="28"/>
                <w:highlight w:val="none"/>
              </w:rPr>
              <w:pict>
                <v:shape id="对象 1551" o:spid="_x0000_s2050" o:spt="75" type="#_x0000_t75" style="position:absolute;left:0pt;margin-left:157.15pt;margin-top:0.75pt;height:16.8pt;width:124.6pt;z-index:-251653120;mso-width-relative:page;mso-height-relative:page;" o:ole="t" filled="f" o:preferrelative="t" stroked="f" coordsize="21600,21600">
                  <v:path/>
                  <v:fill on="f" focussize="0,0"/>
                  <v:stroke on="f" joinstyle="miter"/>
                  <v:imagedata r:id="rId17" o:title=""/>
                  <o:lock v:ext="edit" aspectratio="t"/>
                </v:shape>
                <o:OLEObject Type="Embed" ProgID="Equation.3" ShapeID="对象 1551" DrawAspect="Content" ObjectID="_1468075727" r:id="rId16">
                  <o:LockedField>false</o:LockedField>
                </o:OLEObject>
              </w:pict>
            </w:r>
          </w:p>
          <w:p w14:paraId="3B515C3C">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式中：</w:t>
            </w:r>
            <w:r>
              <w:rPr>
                <w:rFonts w:hint="default" w:ascii="Times New Roman" w:hAnsi="Times New Roman" w:eastAsia="宋体" w:cs="Times New Roman"/>
                <w:bCs/>
                <w:i/>
                <w:color w:val="auto"/>
                <w:sz w:val="24"/>
                <w:highlight w:val="none"/>
              </w:rPr>
              <w:t>L</w:t>
            </w:r>
            <w:r>
              <w:rPr>
                <w:rFonts w:hint="default" w:ascii="Times New Roman" w:hAnsi="Times New Roman" w:eastAsia="宋体" w:cs="Times New Roman"/>
                <w:bCs/>
                <w:i/>
                <w:color w:val="auto"/>
                <w:sz w:val="24"/>
                <w:highlight w:val="none"/>
                <w:vertAlign w:val="subscript"/>
              </w:rPr>
              <w:t>P</w:t>
            </w:r>
            <w:r>
              <w:rPr>
                <w:rFonts w:hint="default" w:ascii="Times New Roman" w:hAnsi="Times New Roman" w:eastAsia="宋体" w:cs="Times New Roman"/>
                <w:bCs/>
                <w:i/>
                <w:color w:val="auto"/>
                <w:sz w:val="24"/>
                <w:highlight w:val="none"/>
              </w:rPr>
              <w:t>（r）</w:t>
            </w:r>
            <w:r>
              <w:rPr>
                <w:rFonts w:hint="default" w:ascii="Times New Roman" w:hAnsi="Times New Roman" w:eastAsia="宋体" w:cs="Times New Roman"/>
                <w:bCs/>
                <w:color w:val="auto"/>
                <w:sz w:val="24"/>
                <w:highlight w:val="none"/>
              </w:rPr>
              <w:t>—预测点处声压级，dB；</w:t>
            </w:r>
          </w:p>
          <w:p w14:paraId="728D5A21">
            <w:pPr>
              <w:adjustRightInd w:val="0"/>
              <w:snapToGrid w:val="0"/>
              <w:spacing w:line="360" w:lineRule="auto"/>
              <w:ind w:firstLine="1200" w:firstLineChars="5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i/>
                <w:color w:val="auto"/>
                <w:sz w:val="24"/>
                <w:highlight w:val="none"/>
              </w:rPr>
              <w:t>L</w:t>
            </w:r>
            <w:r>
              <w:rPr>
                <w:rFonts w:hint="default" w:ascii="Times New Roman" w:hAnsi="Times New Roman" w:eastAsia="宋体" w:cs="Times New Roman"/>
                <w:bCs/>
                <w:i/>
                <w:color w:val="auto"/>
                <w:sz w:val="24"/>
                <w:highlight w:val="none"/>
                <w:vertAlign w:val="subscript"/>
              </w:rPr>
              <w:t>P</w:t>
            </w:r>
            <w:r>
              <w:rPr>
                <w:rFonts w:hint="default" w:ascii="Times New Roman" w:hAnsi="Times New Roman" w:eastAsia="宋体" w:cs="Times New Roman"/>
                <w:bCs/>
                <w:i/>
                <w:color w:val="auto"/>
                <w:sz w:val="24"/>
                <w:highlight w:val="none"/>
              </w:rPr>
              <w:t>（r</w:t>
            </w:r>
            <w:r>
              <w:rPr>
                <w:rFonts w:hint="default" w:ascii="Times New Roman" w:hAnsi="Times New Roman" w:eastAsia="宋体" w:cs="Times New Roman"/>
                <w:bCs/>
                <w:i/>
                <w:color w:val="auto"/>
                <w:sz w:val="24"/>
                <w:highlight w:val="none"/>
                <w:vertAlign w:val="subscript"/>
              </w:rPr>
              <w:t>0</w:t>
            </w:r>
            <w:r>
              <w:rPr>
                <w:rFonts w:hint="default" w:ascii="Times New Roman" w:hAnsi="Times New Roman" w:eastAsia="宋体" w:cs="Times New Roman"/>
                <w:bCs/>
                <w:i/>
                <w:color w:val="auto"/>
                <w:sz w:val="24"/>
                <w:highlight w:val="none"/>
              </w:rPr>
              <w:t>）</w:t>
            </w:r>
            <w:r>
              <w:rPr>
                <w:rFonts w:hint="default" w:ascii="Times New Roman" w:hAnsi="Times New Roman" w:eastAsia="宋体" w:cs="Times New Roman"/>
                <w:bCs/>
                <w:color w:val="auto"/>
                <w:sz w:val="24"/>
                <w:highlight w:val="none"/>
              </w:rPr>
              <w:t>—参考位置r</w:t>
            </w:r>
            <w:r>
              <w:rPr>
                <w:rFonts w:hint="default" w:ascii="Times New Roman" w:hAnsi="Times New Roman" w:eastAsia="宋体" w:cs="Times New Roman"/>
                <w:bCs/>
                <w:color w:val="auto"/>
                <w:sz w:val="24"/>
                <w:highlight w:val="none"/>
                <w:vertAlign w:val="subscript"/>
              </w:rPr>
              <w:t>0</w:t>
            </w:r>
            <w:r>
              <w:rPr>
                <w:rFonts w:hint="default" w:ascii="Times New Roman" w:hAnsi="Times New Roman" w:eastAsia="宋体" w:cs="Times New Roman"/>
                <w:bCs/>
                <w:color w:val="auto"/>
                <w:sz w:val="24"/>
                <w:highlight w:val="none"/>
              </w:rPr>
              <w:t>处的声压级，dB；</w:t>
            </w:r>
          </w:p>
          <w:p w14:paraId="0BBC1AE8">
            <w:pPr>
              <w:tabs>
                <w:tab w:val="left" w:pos="0"/>
              </w:tabs>
              <w:adjustRightInd w:val="0"/>
              <w:snapToGrid w:val="0"/>
              <w:spacing w:line="360" w:lineRule="auto"/>
              <w:ind w:firstLine="1200" w:firstLineChars="5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i/>
                <w:color w:val="auto"/>
                <w:sz w:val="24"/>
                <w:highlight w:val="none"/>
              </w:rPr>
              <w:t>r</w:t>
            </w:r>
            <w:r>
              <w:rPr>
                <w:rFonts w:hint="default" w:ascii="Times New Roman" w:hAnsi="Times New Roman" w:eastAsia="宋体" w:cs="Times New Roman"/>
                <w:bCs/>
                <w:color w:val="auto"/>
                <w:sz w:val="24"/>
                <w:highlight w:val="none"/>
              </w:rPr>
              <w:t>—预测点距声源的距离；</w:t>
            </w:r>
          </w:p>
          <w:p w14:paraId="63926ED0">
            <w:pPr>
              <w:adjustRightInd w:val="0"/>
              <w:snapToGrid w:val="0"/>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bCs/>
                <w:i/>
                <w:color w:val="auto"/>
                <w:sz w:val="24"/>
                <w:highlight w:val="none"/>
              </w:rPr>
              <w:t>r</w:t>
            </w:r>
            <w:r>
              <w:rPr>
                <w:rFonts w:hint="default" w:ascii="Times New Roman" w:hAnsi="Times New Roman" w:eastAsia="宋体" w:cs="Times New Roman"/>
                <w:bCs/>
                <w:i/>
                <w:color w:val="auto"/>
                <w:sz w:val="24"/>
                <w:highlight w:val="none"/>
                <w:vertAlign w:val="subscript"/>
              </w:rPr>
              <w:t>0</w:t>
            </w:r>
            <w:r>
              <w:rPr>
                <w:rFonts w:hint="default" w:ascii="Times New Roman" w:hAnsi="Times New Roman" w:eastAsia="宋体" w:cs="Times New Roman"/>
                <w:bCs/>
                <w:color w:val="auto"/>
                <w:sz w:val="24"/>
                <w:highlight w:val="none"/>
              </w:rPr>
              <w:t>—参考位置距声源的距离。</w:t>
            </w:r>
          </w:p>
          <w:p w14:paraId="709E47FC">
            <w:pPr>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②室内声源</w:t>
            </w:r>
          </w:p>
          <w:p w14:paraId="2FFD6932">
            <w:pPr>
              <w:widowControl/>
              <w:spacing w:line="480" w:lineRule="exact"/>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如图所示，声源位于室内，室内声源可采用等效室外声源声功率级法进行计算。设靠近开口处（或窗户）室内、室外某倍频带的声压级或A声级分别为L</w:t>
            </w:r>
            <w:r>
              <w:rPr>
                <w:rFonts w:hint="default" w:ascii="Times New Roman" w:hAnsi="Times New Roman" w:eastAsia="宋体" w:cs="Times New Roman"/>
                <w:color w:val="auto"/>
                <w:sz w:val="24"/>
                <w:highlight w:val="none"/>
                <w:vertAlign w:val="subscript"/>
              </w:rPr>
              <w:t>p1</w:t>
            </w:r>
            <w:r>
              <w:rPr>
                <w:rFonts w:hint="default" w:ascii="Times New Roman" w:hAnsi="Times New Roman" w:eastAsia="宋体" w:cs="Times New Roman"/>
                <w:color w:val="auto"/>
                <w:sz w:val="24"/>
                <w:highlight w:val="none"/>
              </w:rPr>
              <w:t>和L</w:t>
            </w:r>
            <w:r>
              <w:rPr>
                <w:rFonts w:hint="default" w:ascii="Times New Roman" w:hAnsi="Times New Roman" w:eastAsia="宋体" w:cs="Times New Roman"/>
                <w:color w:val="auto"/>
                <w:sz w:val="24"/>
                <w:highlight w:val="none"/>
                <w:vertAlign w:val="subscript"/>
              </w:rPr>
              <w:t>p2</w:t>
            </w:r>
            <w:r>
              <w:rPr>
                <w:rFonts w:hint="default" w:ascii="Times New Roman" w:hAnsi="Times New Roman" w:eastAsia="宋体" w:cs="Times New Roman"/>
                <w:color w:val="auto"/>
                <w:sz w:val="24"/>
                <w:highlight w:val="none"/>
              </w:rPr>
              <w:t>。若声源所在室内声场为近似扩散声场，则室外的倍频带声压级可以下按式1近似求出：</w:t>
            </w:r>
          </w:p>
          <w:p w14:paraId="5874B213">
            <w:pPr>
              <w:widowControl/>
              <w:spacing w:line="480" w:lineRule="exact"/>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i/>
                <w:iCs/>
                <w:color w:val="auto"/>
                <w:kern w:val="0"/>
                <w:sz w:val="24"/>
                <w:highlight w:val="none"/>
                <w:lang w:bidi="ar"/>
              </w:rPr>
              <w:t>L</w:t>
            </w:r>
            <w:r>
              <w:rPr>
                <w:rFonts w:hint="default" w:ascii="Times New Roman" w:hAnsi="Times New Roman" w:eastAsia="宋体" w:cs="Times New Roman"/>
                <w:i/>
                <w:iCs/>
                <w:color w:val="auto"/>
                <w:kern w:val="0"/>
                <w:sz w:val="24"/>
                <w:highlight w:val="none"/>
                <w:vertAlign w:val="subscript"/>
                <w:lang w:bidi="ar"/>
              </w:rPr>
              <w:t>p</w:t>
            </w:r>
            <w:r>
              <w:rPr>
                <w:rFonts w:hint="default" w:ascii="Times New Roman" w:hAnsi="Times New Roman" w:eastAsia="宋体" w:cs="Times New Roman"/>
                <w:color w:val="auto"/>
                <w:kern w:val="0"/>
                <w:sz w:val="24"/>
                <w:highlight w:val="none"/>
                <w:vertAlign w:val="subscript"/>
                <w:lang w:bidi="ar"/>
              </w:rPr>
              <w:t>2</w:t>
            </w:r>
            <w:r>
              <w:rPr>
                <w:rFonts w:hint="default" w:ascii="Times New Roman" w:hAnsi="Times New Roman" w:cs="Times New Roman"/>
                <w:color w:val="auto"/>
                <w:kern w:val="0"/>
                <w:sz w:val="24"/>
                <w:highlight w:val="none"/>
                <w:vertAlign w:val="subscript"/>
                <w:lang w:val="en-US" w:eastAsia="zh-CN" w:bidi="ar"/>
              </w:rPr>
              <w:t xml:space="preserve"> </w:t>
            </w:r>
            <w:r>
              <w:rPr>
                <w:rFonts w:hint="default" w:ascii="Times New Roman" w:hAnsi="Times New Roman" w:cs="Times New Roman"/>
                <w:color w:val="auto"/>
                <w:kern w:val="0"/>
                <w:sz w:val="24"/>
                <w:highlight w:val="none"/>
                <w:vertAlign w:val="baseline"/>
                <w:lang w:val="en-US" w:eastAsia="zh-CN" w:bidi="ar"/>
              </w:rPr>
              <w:t xml:space="preserve">= </w:t>
            </w:r>
            <w:r>
              <w:rPr>
                <w:rFonts w:hint="default" w:ascii="Times New Roman" w:hAnsi="Times New Roman" w:eastAsia="宋体" w:cs="Times New Roman"/>
                <w:i/>
                <w:iCs/>
                <w:color w:val="auto"/>
                <w:kern w:val="0"/>
                <w:sz w:val="24"/>
                <w:highlight w:val="none"/>
                <w:lang w:bidi="ar"/>
              </w:rPr>
              <w:t>L</w:t>
            </w:r>
            <w:r>
              <w:rPr>
                <w:rFonts w:hint="default" w:ascii="Times New Roman" w:hAnsi="Times New Roman" w:eastAsia="宋体" w:cs="Times New Roman"/>
                <w:i/>
                <w:iCs/>
                <w:color w:val="auto"/>
                <w:kern w:val="0"/>
                <w:sz w:val="24"/>
                <w:highlight w:val="none"/>
                <w:vertAlign w:val="subscript"/>
                <w:lang w:bidi="ar"/>
              </w:rPr>
              <w:t>p</w:t>
            </w:r>
            <w:r>
              <w:rPr>
                <w:rFonts w:hint="default" w:ascii="Times New Roman" w:hAnsi="Times New Roman" w:eastAsia="宋体" w:cs="Times New Roman"/>
                <w:color w:val="auto"/>
                <w:kern w:val="0"/>
                <w:sz w:val="24"/>
                <w:highlight w:val="none"/>
                <w:vertAlign w:val="subscript"/>
                <w:lang w:bidi="ar"/>
              </w:rPr>
              <w:t>1</w:t>
            </w:r>
            <w:r>
              <w:rPr>
                <w:rFonts w:hint="default" w:ascii="Times New Roman" w:hAnsi="Times New Roman" w:cs="Times New Roman"/>
                <w:color w:val="auto"/>
                <w:kern w:val="0"/>
                <w:sz w:val="24"/>
                <w:highlight w:val="none"/>
                <w:vertAlign w:val="baseline"/>
                <w:lang w:val="en-US" w:eastAsia="zh-CN" w:bidi="ar"/>
              </w:rPr>
              <w:t>-</w:t>
            </w:r>
            <w:r>
              <w:rPr>
                <w:rFonts w:hint="default" w:ascii="Times New Roman" w:hAnsi="Times New Roman" w:eastAsia="宋体" w:cs="Times New Roman"/>
                <w:color w:val="auto"/>
                <w:kern w:val="0"/>
                <w:sz w:val="24"/>
                <w:highlight w:val="none"/>
                <w:lang w:bidi="ar"/>
              </w:rPr>
              <w:t xml:space="preserve"> (</w:t>
            </w:r>
            <w:r>
              <w:rPr>
                <w:rFonts w:hint="default" w:ascii="Times New Roman" w:hAnsi="Times New Roman" w:eastAsia="宋体" w:cs="Times New Roman"/>
                <w:i/>
                <w:iCs/>
                <w:color w:val="auto"/>
                <w:kern w:val="0"/>
                <w:sz w:val="24"/>
                <w:highlight w:val="none"/>
                <w:lang w:bidi="ar"/>
              </w:rPr>
              <w:t>TL</w:t>
            </w:r>
            <w:r>
              <w:rPr>
                <w:rFonts w:hint="default" w:ascii="Times New Roman" w:hAnsi="Times New Roman" w:cs="Times New Roman"/>
                <w:i/>
                <w:iCs/>
                <w:color w:val="auto"/>
                <w:kern w:val="0"/>
                <w:sz w:val="24"/>
                <w:highlight w:val="none"/>
                <w:lang w:val="en-US" w:eastAsia="zh-CN" w:bidi="ar"/>
              </w:rPr>
              <w:t>+</w:t>
            </w:r>
            <w:r>
              <w:rPr>
                <w:rFonts w:hint="default" w:ascii="Times New Roman" w:hAnsi="Times New Roman" w:eastAsia="宋体" w:cs="Times New Roman"/>
                <w:color w:val="auto"/>
                <w:kern w:val="0"/>
                <w:sz w:val="24"/>
                <w:highlight w:val="none"/>
                <w:lang w:bidi="ar"/>
              </w:rPr>
              <w:t>6)         （式1）</w:t>
            </w:r>
          </w:p>
          <w:p w14:paraId="56091F58">
            <w:pPr>
              <w:widowControl/>
              <w:spacing w:line="480" w:lineRule="exact"/>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式中：L</w:t>
            </w:r>
            <w:r>
              <w:rPr>
                <w:rFonts w:hint="default" w:ascii="Times New Roman" w:hAnsi="Times New Roman" w:eastAsia="宋体" w:cs="Times New Roman"/>
                <w:color w:val="auto"/>
                <w:kern w:val="0"/>
                <w:sz w:val="24"/>
                <w:highlight w:val="none"/>
                <w:vertAlign w:val="subscript"/>
                <w:lang w:bidi="ar"/>
              </w:rPr>
              <w:t>p1</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靠近开口处（或窗户）室内某倍频带的声压级或A声级，dB；</w:t>
            </w:r>
          </w:p>
          <w:p w14:paraId="3E35B604">
            <w:pPr>
              <w:widowControl/>
              <w:spacing w:line="480" w:lineRule="exact"/>
              <w:ind w:firstLine="1200" w:firstLineChars="5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L</w:t>
            </w:r>
            <w:r>
              <w:rPr>
                <w:rFonts w:hint="default" w:ascii="Times New Roman" w:hAnsi="Times New Roman" w:eastAsia="宋体" w:cs="Times New Roman"/>
                <w:color w:val="auto"/>
                <w:kern w:val="0"/>
                <w:sz w:val="24"/>
                <w:highlight w:val="none"/>
                <w:vertAlign w:val="subscript"/>
                <w:lang w:bidi="ar"/>
              </w:rPr>
              <w:t>p2</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靠近开口处（或窗户）室外某倍频带的声压级或A声级，dB；</w:t>
            </w:r>
          </w:p>
          <w:p w14:paraId="56C9A2CF">
            <w:pPr>
              <w:spacing w:line="480" w:lineRule="exact"/>
              <w:ind w:firstLine="1200" w:firstLineChars="5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TL</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隔墙（或窗户）倍频带或A声级的隔声量，dB。</w:t>
            </w:r>
          </w:p>
          <w:p w14:paraId="620917F5">
            <w:pPr>
              <w:widowControl/>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szCs w:val="20"/>
                <w:highlight w:val="none"/>
              </w:rPr>
              <w:drawing>
                <wp:inline distT="0" distB="0" distL="114300" distR="114300">
                  <wp:extent cx="2533650" cy="1190625"/>
                  <wp:effectExtent l="0" t="0" r="0" b="9525"/>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8"/>
                          <a:stretch>
                            <a:fillRect/>
                          </a:stretch>
                        </pic:blipFill>
                        <pic:spPr>
                          <a:xfrm>
                            <a:off x="0" y="0"/>
                            <a:ext cx="2533650" cy="1190625"/>
                          </a:xfrm>
                          <a:prstGeom prst="rect">
                            <a:avLst/>
                          </a:prstGeom>
                          <a:noFill/>
                          <a:ln>
                            <a:noFill/>
                          </a:ln>
                        </pic:spPr>
                      </pic:pic>
                    </a:graphicData>
                  </a:graphic>
                </wp:inline>
              </w:drawing>
            </w:r>
          </w:p>
          <w:p w14:paraId="5FDFC922">
            <w:pPr>
              <w:widowControl/>
              <w:spacing w:line="480" w:lineRule="exact"/>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也可按式2计算某一室内声源靠近围护结构处产生的倍频带声压级或A声级：</w:t>
            </w:r>
          </w:p>
          <w:p w14:paraId="781C863C">
            <w:pPr>
              <w:spacing w:line="360" w:lineRule="auto"/>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szCs w:val="20"/>
                <w:highlight w:val="none"/>
              </w:rPr>
              <w:drawing>
                <wp:inline distT="0" distB="0" distL="114300" distR="114300">
                  <wp:extent cx="1544320" cy="396240"/>
                  <wp:effectExtent l="0" t="0" r="17780" b="381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9"/>
                          <a:stretch>
                            <a:fillRect/>
                          </a:stretch>
                        </pic:blipFill>
                        <pic:spPr>
                          <a:xfrm>
                            <a:off x="0" y="0"/>
                            <a:ext cx="1544320" cy="396240"/>
                          </a:xfrm>
                          <a:prstGeom prst="rect">
                            <a:avLst/>
                          </a:prstGeom>
                          <a:noFill/>
                          <a:ln>
                            <a:noFill/>
                          </a:ln>
                        </pic:spPr>
                      </pic:pic>
                    </a:graphicData>
                  </a:graphic>
                </wp:inline>
              </w:drawing>
            </w:r>
            <w:r>
              <w:rPr>
                <w:rFonts w:hint="default" w:ascii="Times New Roman" w:hAnsi="Times New Roman" w:eastAsia="宋体" w:cs="Times New Roman"/>
                <w:color w:val="auto"/>
                <w:kern w:val="0"/>
                <w:sz w:val="24"/>
                <w:szCs w:val="20"/>
                <w:highlight w:val="none"/>
              </w:rPr>
              <w:t xml:space="preserve">        （</w:t>
            </w:r>
            <w:r>
              <w:rPr>
                <w:rFonts w:hint="default" w:ascii="Times New Roman" w:hAnsi="Times New Roman" w:eastAsia="宋体" w:cs="Times New Roman"/>
                <w:color w:val="auto"/>
                <w:sz w:val="24"/>
                <w:highlight w:val="none"/>
              </w:rPr>
              <w:t>式2</w:t>
            </w:r>
            <w:r>
              <w:rPr>
                <w:rFonts w:hint="default" w:ascii="Times New Roman" w:hAnsi="Times New Roman" w:eastAsia="宋体" w:cs="Times New Roman"/>
                <w:color w:val="auto"/>
                <w:kern w:val="0"/>
                <w:sz w:val="24"/>
                <w:szCs w:val="20"/>
                <w:highlight w:val="none"/>
              </w:rPr>
              <w:t>）</w:t>
            </w:r>
          </w:p>
          <w:p w14:paraId="126263DD">
            <w:pPr>
              <w:widowControl/>
              <w:spacing w:line="480" w:lineRule="exact"/>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式中：</w:t>
            </w:r>
          </w:p>
          <w:p w14:paraId="063D441E">
            <w:pPr>
              <w:widowControl/>
              <w:spacing w:line="480" w:lineRule="exact"/>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L</w:t>
            </w:r>
            <w:r>
              <w:rPr>
                <w:rFonts w:hint="default" w:ascii="Times New Roman" w:hAnsi="Times New Roman" w:eastAsia="宋体" w:cs="Times New Roman"/>
                <w:color w:val="auto"/>
                <w:kern w:val="0"/>
                <w:sz w:val="24"/>
                <w:highlight w:val="none"/>
                <w:vertAlign w:val="subscript"/>
                <w:lang w:bidi="ar"/>
              </w:rPr>
              <w:t>p1</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靠近开口处（或窗户）室内某倍频带的声压级或A声级，dB；</w:t>
            </w:r>
          </w:p>
          <w:p w14:paraId="0E46CD37">
            <w:pPr>
              <w:widowControl/>
              <w:spacing w:line="480" w:lineRule="exact"/>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Lw</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点声源声功率级（A 计权或倍频带），dB；</w:t>
            </w:r>
          </w:p>
          <w:p w14:paraId="18849C0D">
            <w:pPr>
              <w:widowControl/>
              <w:spacing w:line="480" w:lineRule="exact"/>
              <w:ind w:firstLine="480" w:firstLineChars="200"/>
              <w:jc w:val="left"/>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bidi="ar"/>
              </w:rPr>
              <w:t>Q</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 xml:space="preserve">指向性因数；通常对无指向性声源，当声源放在房间中心时，Q=1；当放在一面墙的中心时，Q=2；当放在两面墙夹角处时，Q=4；当放在三面墙夹角处时，Q=8； </w:t>
            </w:r>
          </w:p>
          <w:p w14:paraId="2173A4D9">
            <w:pPr>
              <w:widowControl/>
              <w:spacing w:line="480" w:lineRule="exact"/>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R</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房间常数；R=S</w:t>
            </w:r>
            <w:r>
              <w:rPr>
                <w:rFonts w:hint="default" w:ascii="Times New Roman" w:hAnsi="Times New Roman" w:eastAsia="宋体" w:cs="Times New Roman"/>
                <w:i/>
                <w:iCs/>
                <w:color w:val="auto"/>
                <w:kern w:val="0"/>
                <w:sz w:val="22"/>
                <w:szCs w:val="22"/>
                <w:highlight w:val="none"/>
              </w:rPr>
              <w:t>α</w:t>
            </w:r>
            <w:r>
              <w:rPr>
                <w:rFonts w:hint="default" w:ascii="Times New Roman" w:hAnsi="Times New Roman" w:eastAsia="宋体" w:cs="Times New Roman"/>
                <w:color w:val="auto"/>
                <w:kern w:val="0"/>
                <w:sz w:val="24"/>
                <w:highlight w:val="none"/>
              </w:rPr>
              <w:t xml:space="preserve"> </w:t>
            </w:r>
            <w:r>
              <w:rPr>
                <w:rFonts w:hint="default" w:ascii="Times New Roman" w:hAnsi="Times New Roman" w:eastAsia="宋体" w:cs="Times New Roman"/>
                <w:color w:val="auto"/>
                <w:kern w:val="0"/>
                <w:sz w:val="24"/>
                <w:highlight w:val="none"/>
                <w:lang w:bidi="ar"/>
              </w:rPr>
              <w:t>/(1-α)，S为房间内表面面积，m</w:t>
            </w:r>
            <w:r>
              <w:rPr>
                <w:rFonts w:hint="default" w:ascii="Times New Roman" w:hAnsi="Times New Roman" w:eastAsia="宋体" w:cs="Times New Roman"/>
                <w:color w:val="auto"/>
                <w:kern w:val="0"/>
                <w:sz w:val="24"/>
                <w:highlight w:val="none"/>
                <w:vertAlign w:val="superscript"/>
                <w:lang w:bidi="ar"/>
              </w:rPr>
              <w:t>2</w:t>
            </w:r>
            <w:r>
              <w:rPr>
                <w:rFonts w:hint="default" w:ascii="Times New Roman" w:hAnsi="Times New Roman" w:eastAsia="宋体" w:cs="Times New Roman"/>
                <w:color w:val="auto"/>
                <w:kern w:val="0"/>
                <w:sz w:val="24"/>
                <w:highlight w:val="none"/>
                <w:lang w:bidi="ar"/>
              </w:rPr>
              <w:t>；α为平均吸声系数，本评价α取0.15；</w:t>
            </w:r>
          </w:p>
          <w:p w14:paraId="4D55BFD7">
            <w:pPr>
              <w:widowControl/>
              <w:spacing w:line="480" w:lineRule="exact"/>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r</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声源到靠近围护结构某点处的距离，m。</w:t>
            </w:r>
          </w:p>
          <w:p w14:paraId="7F3B1DE9">
            <w:pPr>
              <w:widowControl/>
              <w:spacing w:before="156" w:beforeLines="50" w:line="360" w:lineRule="auto"/>
              <w:ind w:firstLine="482"/>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然后按式3计算出所有室内声源在靠近围护结构处产生的</w:t>
            </w:r>
            <w:r>
              <w:rPr>
                <w:rFonts w:hint="default" w:ascii="Times New Roman" w:hAnsi="Times New Roman" w:eastAsia="宋体" w:cs="Times New Roman"/>
                <w:i/>
                <w:iCs/>
                <w:color w:val="auto"/>
                <w:kern w:val="0"/>
                <w:sz w:val="24"/>
                <w:highlight w:val="none"/>
              </w:rPr>
              <w:t>i</w:t>
            </w:r>
            <w:r>
              <w:rPr>
                <w:rFonts w:hint="default" w:ascii="Times New Roman" w:hAnsi="Times New Roman" w:eastAsia="宋体" w:cs="Times New Roman"/>
                <w:color w:val="auto"/>
                <w:kern w:val="0"/>
                <w:sz w:val="24"/>
                <w:highlight w:val="none"/>
              </w:rPr>
              <w:t>倍频带叠加声压级：</w:t>
            </w:r>
          </w:p>
          <w:p w14:paraId="6B1B71B9">
            <w:pPr>
              <w:widowControl/>
              <w:spacing w:line="360" w:lineRule="auto"/>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szCs w:val="20"/>
                <w:highlight w:val="none"/>
              </w:rPr>
              <w:drawing>
                <wp:inline distT="0" distB="0" distL="114300" distR="114300">
                  <wp:extent cx="1401445" cy="396240"/>
                  <wp:effectExtent l="0" t="0" r="8255" b="381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0"/>
                          <a:stretch>
                            <a:fillRect/>
                          </a:stretch>
                        </pic:blipFill>
                        <pic:spPr>
                          <a:xfrm>
                            <a:off x="0" y="0"/>
                            <a:ext cx="1401445" cy="396240"/>
                          </a:xfrm>
                          <a:prstGeom prst="rect">
                            <a:avLst/>
                          </a:prstGeom>
                          <a:noFill/>
                          <a:ln>
                            <a:noFill/>
                          </a:ln>
                        </pic:spPr>
                      </pic:pic>
                    </a:graphicData>
                  </a:graphic>
                </wp:inline>
              </w:drawing>
            </w:r>
            <w:r>
              <w:rPr>
                <w:rFonts w:hint="default" w:ascii="Times New Roman" w:hAnsi="Times New Roman" w:eastAsia="宋体" w:cs="Times New Roman"/>
                <w:color w:val="auto"/>
                <w:kern w:val="0"/>
                <w:sz w:val="24"/>
                <w:szCs w:val="20"/>
                <w:highlight w:val="none"/>
              </w:rPr>
              <w:t xml:space="preserve">       （式3）</w:t>
            </w:r>
          </w:p>
          <w:p w14:paraId="169C6235">
            <w:pPr>
              <w:widowControl/>
              <w:spacing w:line="360" w:lineRule="auto"/>
              <w:ind w:firstLine="48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式中：L</w:t>
            </w:r>
            <w:r>
              <w:rPr>
                <w:rFonts w:hint="default" w:ascii="Times New Roman" w:hAnsi="Times New Roman" w:eastAsia="宋体" w:cs="Times New Roman"/>
                <w:i/>
                <w:iCs/>
                <w:color w:val="auto"/>
                <w:kern w:val="0"/>
                <w:sz w:val="24"/>
                <w:highlight w:val="none"/>
                <w:vertAlign w:val="subscript"/>
              </w:rPr>
              <w:t>p1i</w:t>
            </w:r>
            <w:r>
              <w:rPr>
                <w:rFonts w:hint="default" w:ascii="Times New Roman" w:hAnsi="Times New Roman" w:eastAsia="宋体" w:cs="Times New Roman"/>
                <w:i/>
                <w:iCs/>
                <w:color w:val="auto"/>
                <w:kern w:val="0"/>
                <w:sz w:val="24"/>
                <w:highlight w:val="none"/>
              </w:rPr>
              <w:t>(T)</w:t>
            </w:r>
            <w:r>
              <w:rPr>
                <w:rFonts w:hint="default" w:ascii="Times New Roman" w:hAnsi="Times New Roman" w:eastAsia="宋体" w:cs="Times New Roman"/>
                <w:bCs/>
                <w:color w:val="auto"/>
                <w:sz w:val="24"/>
                <w:highlight w:val="none"/>
              </w:rPr>
              <w:t>—</w:t>
            </w:r>
            <w:r>
              <w:rPr>
                <w:rFonts w:hint="default" w:ascii="Times New Roman" w:hAnsi="Times New Roman" w:eastAsia="宋体" w:cs="Times New Roman"/>
                <w:color w:val="auto"/>
                <w:kern w:val="0"/>
                <w:sz w:val="24"/>
                <w:highlight w:val="none"/>
                <w:lang w:bidi="ar"/>
              </w:rPr>
              <w:t>靠近围护结构处室内N个声源</w:t>
            </w:r>
            <w:r>
              <w:rPr>
                <w:rFonts w:hint="default" w:ascii="Times New Roman" w:hAnsi="Times New Roman" w:eastAsia="宋体" w:cs="Times New Roman"/>
                <w:i/>
                <w:iCs/>
                <w:color w:val="auto"/>
                <w:kern w:val="0"/>
                <w:sz w:val="24"/>
                <w:highlight w:val="none"/>
                <w:lang w:bidi="ar"/>
              </w:rPr>
              <w:t>i</w:t>
            </w:r>
            <w:r>
              <w:rPr>
                <w:rFonts w:hint="default" w:ascii="Times New Roman" w:hAnsi="Times New Roman" w:eastAsia="宋体" w:cs="Times New Roman"/>
                <w:color w:val="auto"/>
                <w:kern w:val="0"/>
                <w:sz w:val="24"/>
                <w:highlight w:val="none"/>
                <w:lang w:bidi="ar"/>
              </w:rPr>
              <w:t>倍频带叠加声压级</w:t>
            </w:r>
            <w:r>
              <w:rPr>
                <w:rFonts w:hint="default" w:ascii="Times New Roman" w:hAnsi="Times New Roman" w:eastAsia="宋体" w:cs="Times New Roman"/>
                <w:color w:val="auto"/>
                <w:kern w:val="0"/>
                <w:sz w:val="24"/>
                <w:highlight w:val="none"/>
              </w:rPr>
              <w:t>，dB；</w:t>
            </w:r>
          </w:p>
          <w:p w14:paraId="1E20A063">
            <w:pPr>
              <w:widowControl/>
              <w:spacing w:line="360" w:lineRule="auto"/>
              <w:ind w:firstLine="1200" w:firstLineChars="5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L</w:t>
            </w:r>
            <w:r>
              <w:rPr>
                <w:rFonts w:hint="default" w:ascii="Times New Roman" w:hAnsi="Times New Roman" w:eastAsia="宋体" w:cs="Times New Roman"/>
                <w:i/>
                <w:iCs/>
                <w:color w:val="auto"/>
                <w:kern w:val="0"/>
                <w:sz w:val="24"/>
                <w:highlight w:val="none"/>
                <w:vertAlign w:val="subscript"/>
              </w:rPr>
              <w:t>p1ij</w:t>
            </w:r>
            <w:r>
              <w:rPr>
                <w:rFonts w:hint="default" w:ascii="Times New Roman" w:hAnsi="Times New Roman" w:eastAsia="宋体" w:cs="Times New Roman"/>
                <w:bCs/>
                <w:color w:val="auto"/>
                <w:sz w:val="24"/>
                <w:highlight w:val="none"/>
              </w:rPr>
              <w:t>—室内</w:t>
            </w:r>
            <w:r>
              <w:rPr>
                <w:rFonts w:hint="default" w:ascii="Times New Roman" w:hAnsi="Times New Roman" w:eastAsia="宋体" w:cs="Times New Roman"/>
                <w:i/>
                <w:iCs/>
                <w:color w:val="auto"/>
                <w:kern w:val="0"/>
                <w:sz w:val="24"/>
                <w:highlight w:val="none"/>
              </w:rPr>
              <w:t>j</w:t>
            </w:r>
            <w:r>
              <w:rPr>
                <w:rFonts w:hint="default" w:ascii="Times New Roman" w:hAnsi="Times New Roman" w:eastAsia="宋体" w:cs="Times New Roman"/>
                <w:color w:val="auto"/>
                <w:kern w:val="0"/>
                <w:sz w:val="24"/>
                <w:highlight w:val="none"/>
              </w:rPr>
              <w:t>声源</w:t>
            </w:r>
            <w:r>
              <w:rPr>
                <w:rFonts w:hint="default" w:ascii="Times New Roman" w:hAnsi="Times New Roman" w:eastAsia="宋体" w:cs="Times New Roman"/>
                <w:i/>
                <w:iCs/>
                <w:color w:val="auto"/>
                <w:kern w:val="0"/>
                <w:sz w:val="24"/>
                <w:highlight w:val="none"/>
              </w:rPr>
              <w:t>i</w:t>
            </w:r>
            <w:r>
              <w:rPr>
                <w:rFonts w:hint="default" w:ascii="Times New Roman" w:hAnsi="Times New Roman" w:eastAsia="宋体" w:cs="Times New Roman"/>
                <w:color w:val="auto"/>
                <w:kern w:val="0"/>
                <w:sz w:val="24"/>
                <w:highlight w:val="none"/>
              </w:rPr>
              <w:t>倍频带的声压级，dB；</w:t>
            </w:r>
          </w:p>
          <w:p w14:paraId="6DAAAD19">
            <w:pPr>
              <w:widowControl/>
              <w:spacing w:line="360" w:lineRule="auto"/>
              <w:ind w:firstLine="1200" w:firstLineChars="50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N—室内声源总数。</w:t>
            </w:r>
          </w:p>
          <w:p w14:paraId="5861AA10">
            <w:pPr>
              <w:widowControl/>
              <w:spacing w:line="360" w:lineRule="auto"/>
              <w:ind w:firstLine="480"/>
              <w:jc w:val="left"/>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在室内近似为扩散声场时，按式4计算出靠近室外围护结构处的声压级：</w:t>
            </w:r>
          </w:p>
          <w:p w14:paraId="7F99B065">
            <w:pPr>
              <w:spacing w:line="360" w:lineRule="auto"/>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i/>
                <w:color w:val="auto"/>
                <w:sz w:val="24"/>
                <w:highlight w:val="none"/>
              </w:rPr>
              <w:t>L</w:t>
            </w:r>
            <w:r>
              <w:rPr>
                <w:rFonts w:hint="default" w:ascii="Times New Roman" w:hAnsi="Times New Roman" w:eastAsia="宋体" w:cs="Times New Roman"/>
                <w:i/>
                <w:color w:val="auto"/>
                <w:position w:val="-5"/>
                <w:sz w:val="24"/>
                <w:highlight w:val="none"/>
                <w:vertAlign w:val="subscript"/>
              </w:rPr>
              <w:t>p</w:t>
            </w:r>
            <w:r>
              <w:rPr>
                <w:rFonts w:hint="default" w:ascii="Times New Roman" w:hAnsi="Times New Roman" w:eastAsia="宋体" w:cs="Times New Roman"/>
                <w:color w:val="auto"/>
                <w:position w:val="-5"/>
                <w:sz w:val="24"/>
                <w:highlight w:val="none"/>
                <w:vertAlign w:val="subscript"/>
              </w:rPr>
              <w:t>2</w:t>
            </w:r>
            <w:r>
              <w:rPr>
                <w:rFonts w:hint="default" w:ascii="Times New Roman" w:hAnsi="Times New Roman" w:eastAsia="宋体" w:cs="Times New Roman"/>
                <w:i/>
                <w:color w:val="auto"/>
                <w:position w:val="-5"/>
                <w:sz w:val="24"/>
                <w:highlight w:val="none"/>
                <w:vertAlign w:val="subscript"/>
              </w:rPr>
              <w:t>i</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i/>
                <w:color w:val="auto"/>
                <w:sz w:val="24"/>
                <w:highlight w:val="none"/>
              </w:rPr>
              <w:t>T</w:t>
            </w:r>
            <w:r>
              <w:rPr>
                <w:rFonts w:hint="default" w:ascii="Times New Roman" w:hAnsi="Times New Roman" w:eastAsia="宋体" w:cs="Times New Roman"/>
                <w:color w:val="auto"/>
                <w:sz w:val="24"/>
                <w:highlight w:val="none"/>
              </w:rPr>
              <w:t xml:space="preserve">) </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i/>
                <w:color w:val="auto"/>
                <w:sz w:val="24"/>
                <w:highlight w:val="none"/>
              </w:rPr>
              <w:t>L</w:t>
            </w:r>
            <w:r>
              <w:rPr>
                <w:rFonts w:hint="default" w:ascii="Times New Roman" w:hAnsi="Times New Roman" w:eastAsia="宋体" w:cs="Times New Roman"/>
                <w:i/>
                <w:color w:val="auto"/>
                <w:position w:val="-5"/>
                <w:sz w:val="24"/>
                <w:highlight w:val="none"/>
                <w:vertAlign w:val="subscript"/>
              </w:rPr>
              <w:t>p</w:t>
            </w:r>
            <w:r>
              <w:rPr>
                <w:rFonts w:hint="default" w:ascii="Times New Roman" w:hAnsi="Times New Roman" w:eastAsia="宋体" w:cs="Times New Roman"/>
                <w:color w:val="auto"/>
                <w:position w:val="-5"/>
                <w:sz w:val="24"/>
                <w:highlight w:val="none"/>
                <w:vertAlign w:val="subscript"/>
              </w:rPr>
              <w:t>1</w:t>
            </w:r>
            <w:r>
              <w:rPr>
                <w:rFonts w:hint="default" w:ascii="Times New Roman" w:hAnsi="Times New Roman" w:eastAsia="宋体" w:cs="Times New Roman"/>
                <w:i/>
                <w:color w:val="auto"/>
                <w:position w:val="-5"/>
                <w:sz w:val="24"/>
                <w:highlight w:val="none"/>
                <w:vertAlign w:val="subscript"/>
              </w:rPr>
              <w:t>i</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i/>
                <w:color w:val="auto"/>
                <w:sz w:val="24"/>
                <w:highlight w:val="none"/>
              </w:rPr>
              <w:t>T</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val="en-US"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i/>
                <w:color w:val="auto"/>
                <w:sz w:val="24"/>
                <w:highlight w:val="none"/>
              </w:rPr>
              <w:t>TL</w:t>
            </w:r>
            <w:r>
              <w:rPr>
                <w:rFonts w:hint="default" w:ascii="Times New Roman" w:hAnsi="Times New Roman" w:eastAsia="宋体" w:cs="Times New Roman"/>
                <w:i/>
                <w:color w:val="auto"/>
                <w:position w:val="-5"/>
                <w:sz w:val="24"/>
                <w:highlight w:val="none"/>
                <w:vertAlign w:val="subscript"/>
              </w:rPr>
              <w:t>i</w:t>
            </w:r>
            <w:r>
              <w:rPr>
                <w:rFonts w:hint="default" w:ascii="Times New Roman" w:hAnsi="Times New Roman" w:cs="Times New Roman"/>
                <w:i/>
                <w:color w:val="auto"/>
                <w:position w:val="-5"/>
                <w:sz w:val="24"/>
                <w:highlight w:val="none"/>
                <w:vertAlign w:val="baseline"/>
                <w:lang w:val="en-US" w:eastAsia="zh-CN"/>
              </w:rPr>
              <w:t>+</w:t>
            </w:r>
            <w:r>
              <w:rPr>
                <w:rFonts w:hint="default" w:ascii="Times New Roman" w:hAnsi="Times New Roman" w:eastAsia="宋体" w:cs="Times New Roman"/>
                <w:color w:val="auto"/>
                <w:sz w:val="24"/>
                <w:highlight w:val="none"/>
              </w:rPr>
              <w:t>6)       （式4）</w:t>
            </w:r>
          </w:p>
          <w:p w14:paraId="5C5D8D12">
            <w:pPr>
              <w:spacing w:line="360" w:lineRule="auto"/>
              <w:ind w:firstLine="424" w:firstLineChars="200"/>
              <w:rPr>
                <w:rFonts w:hint="default" w:ascii="Times New Roman" w:hAnsi="Times New Roman" w:eastAsia="宋体" w:cs="Times New Roman"/>
                <w:color w:val="auto"/>
                <w:position w:val="1"/>
                <w:sz w:val="24"/>
                <w:highlight w:val="none"/>
              </w:rPr>
            </w:pPr>
            <w:r>
              <w:rPr>
                <w:rFonts w:hint="default" w:ascii="Times New Roman" w:hAnsi="Times New Roman" w:eastAsia="宋体" w:cs="Times New Roman"/>
                <w:color w:val="auto"/>
                <w:spacing w:val="-14"/>
                <w:position w:val="1"/>
                <w:sz w:val="24"/>
                <w:highlight w:val="none"/>
              </w:rPr>
              <w:t>式中：</w:t>
            </w:r>
            <w:r>
              <w:rPr>
                <w:rFonts w:hint="default" w:ascii="Times New Roman" w:hAnsi="Times New Roman" w:eastAsia="宋体" w:cs="Times New Roman"/>
                <w:i/>
                <w:color w:val="auto"/>
                <w:spacing w:val="3"/>
                <w:sz w:val="24"/>
                <w:highlight w:val="none"/>
              </w:rPr>
              <w:t>L</w:t>
            </w:r>
            <w:r>
              <w:rPr>
                <w:rFonts w:hint="default" w:ascii="Times New Roman" w:hAnsi="Times New Roman" w:eastAsia="宋体" w:cs="Times New Roman"/>
                <w:i/>
                <w:color w:val="auto"/>
                <w:spacing w:val="3"/>
                <w:position w:val="-4"/>
                <w:sz w:val="24"/>
                <w:highlight w:val="none"/>
                <w:vertAlign w:val="subscript"/>
              </w:rPr>
              <w:t>p</w:t>
            </w:r>
            <w:r>
              <w:rPr>
                <w:rFonts w:hint="default" w:ascii="Times New Roman" w:hAnsi="Times New Roman" w:eastAsia="宋体" w:cs="Times New Roman"/>
                <w:color w:val="auto"/>
                <w:spacing w:val="3"/>
                <w:position w:val="-4"/>
                <w:sz w:val="24"/>
                <w:highlight w:val="none"/>
                <w:vertAlign w:val="subscript"/>
              </w:rPr>
              <w:t>2</w:t>
            </w:r>
            <w:r>
              <w:rPr>
                <w:rFonts w:hint="default" w:ascii="Times New Roman" w:hAnsi="Times New Roman" w:eastAsia="宋体" w:cs="Times New Roman"/>
                <w:i/>
                <w:color w:val="auto"/>
                <w:spacing w:val="3"/>
                <w:position w:val="-4"/>
                <w:sz w:val="24"/>
                <w:highlight w:val="none"/>
                <w:vertAlign w:val="subscript"/>
              </w:rPr>
              <w:t>i</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i/>
                <w:color w:val="auto"/>
                <w:sz w:val="24"/>
                <w:highlight w:val="none"/>
              </w:rPr>
              <w:t>T</w:t>
            </w:r>
            <w:r>
              <w:rPr>
                <w:rFonts w:hint="default" w:ascii="Times New Roman" w:hAnsi="Times New Roman" w:eastAsia="宋体" w:cs="Times New Roman"/>
                <w:color w:val="auto"/>
                <w:spacing w:val="7"/>
                <w:sz w:val="24"/>
                <w:highlight w:val="none"/>
              </w:rPr>
              <w:t>)</w:t>
            </w:r>
            <w:r>
              <w:rPr>
                <w:rFonts w:hint="default" w:ascii="Times New Roman" w:hAnsi="Times New Roman" w:eastAsia="宋体" w:cs="Times New Roman"/>
                <w:color w:val="auto"/>
                <w:position w:val="1"/>
                <w:sz w:val="24"/>
                <w:highlight w:val="none"/>
              </w:rPr>
              <w:t>——</w:t>
            </w:r>
            <w:r>
              <w:rPr>
                <w:rFonts w:hint="default" w:ascii="Times New Roman" w:hAnsi="Times New Roman" w:eastAsia="宋体" w:cs="Times New Roman"/>
                <w:color w:val="auto"/>
                <w:kern w:val="0"/>
                <w:sz w:val="24"/>
                <w:highlight w:val="none"/>
                <w:lang w:bidi="ar"/>
              </w:rPr>
              <w:t>靠近围护结构处室外N个声源</w:t>
            </w:r>
            <w:r>
              <w:rPr>
                <w:rFonts w:hint="default" w:ascii="Times New Roman" w:hAnsi="Times New Roman" w:eastAsia="宋体" w:cs="Times New Roman"/>
                <w:i/>
                <w:iCs/>
                <w:color w:val="auto"/>
                <w:kern w:val="0"/>
                <w:sz w:val="24"/>
                <w:highlight w:val="none"/>
                <w:lang w:bidi="ar"/>
              </w:rPr>
              <w:t>i</w:t>
            </w:r>
            <w:r>
              <w:rPr>
                <w:rFonts w:hint="default" w:ascii="Times New Roman" w:hAnsi="Times New Roman" w:eastAsia="宋体" w:cs="Times New Roman"/>
                <w:color w:val="auto"/>
                <w:kern w:val="0"/>
                <w:sz w:val="24"/>
                <w:highlight w:val="none"/>
                <w:lang w:bidi="ar"/>
              </w:rPr>
              <w:t>倍频带的叠加声压级</w:t>
            </w:r>
            <w:r>
              <w:rPr>
                <w:rFonts w:hint="default" w:ascii="Times New Roman" w:hAnsi="Times New Roman" w:eastAsia="宋体" w:cs="Times New Roman"/>
                <w:color w:val="auto"/>
                <w:spacing w:val="-3"/>
                <w:position w:val="1"/>
                <w:sz w:val="24"/>
                <w:highlight w:val="none"/>
              </w:rPr>
              <w:t>，</w:t>
            </w:r>
            <w:r>
              <w:rPr>
                <w:rFonts w:hint="default" w:ascii="Times New Roman" w:hAnsi="Times New Roman" w:eastAsia="宋体" w:cs="Times New Roman"/>
                <w:color w:val="auto"/>
                <w:position w:val="1"/>
                <w:sz w:val="24"/>
                <w:highlight w:val="none"/>
              </w:rPr>
              <w:t>dB；</w:t>
            </w:r>
          </w:p>
          <w:p w14:paraId="32DB0EE0">
            <w:pPr>
              <w:spacing w:line="360" w:lineRule="auto"/>
              <w:ind w:firstLine="960" w:firstLineChars="400"/>
              <w:rPr>
                <w:rFonts w:hint="default" w:ascii="Times New Roman" w:hAnsi="Times New Roman" w:eastAsia="宋体" w:cs="Times New Roman"/>
                <w:color w:val="auto"/>
                <w:position w:val="1"/>
                <w:sz w:val="24"/>
                <w:highlight w:val="none"/>
              </w:rPr>
            </w:pPr>
            <w:r>
              <w:rPr>
                <w:rFonts w:hint="default" w:ascii="Times New Roman" w:hAnsi="Times New Roman" w:eastAsia="宋体" w:cs="Times New Roman"/>
                <w:i/>
                <w:color w:val="auto"/>
                <w:position w:val="2"/>
                <w:sz w:val="24"/>
                <w:highlight w:val="none"/>
              </w:rPr>
              <w:t>L</w:t>
            </w:r>
            <w:r>
              <w:rPr>
                <w:rFonts w:hint="default" w:ascii="Times New Roman" w:hAnsi="Times New Roman" w:eastAsia="宋体" w:cs="Times New Roman"/>
                <w:i/>
                <w:color w:val="auto"/>
                <w:position w:val="-3"/>
                <w:sz w:val="24"/>
                <w:highlight w:val="none"/>
                <w:vertAlign w:val="subscript"/>
              </w:rPr>
              <w:t>p</w:t>
            </w:r>
            <w:r>
              <w:rPr>
                <w:rFonts w:hint="default" w:ascii="Times New Roman" w:hAnsi="Times New Roman" w:eastAsia="宋体" w:cs="Times New Roman"/>
                <w:color w:val="auto"/>
                <w:position w:val="-3"/>
                <w:sz w:val="24"/>
                <w:highlight w:val="none"/>
                <w:vertAlign w:val="subscript"/>
              </w:rPr>
              <w:t>1</w:t>
            </w:r>
            <w:r>
              <w:rPr>
                <w:rFonts w:hint="default" w:ascii="Times New Roman" w:hAnsi="Times New Roman" w:eastAsia="宋体" w:cs="Times New Roman"/>
                <w:i/>
                <w:color w:val="auto"/>
                <w:position w:val="-3"/>
                <w:sz w:val="24"/>
                <w:highlight w:val="none"/>
                <w:vertAlign w:val="subscript"/>
              </w:rPr>
              <w:t>i</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i/>
                <w:color w:val="auto"/>
                <w:position w:val="2"/>
                <w:sz w:val="24"/>
                <w:highlight w:val="none"/>
              </w:rPr>
              <w:t>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position w:val="1"/>
                <w:sz w:val="24"/>
                <w:highlight w:val="none"/>
              </w:rPr>
              <w:t>——</w:t>
            </w:r>
            <w:r>
              <w:rPr>
                <w:rFonts w:hint="default" w:ascii="Times New Roman" w:hAnsi="Times New Roman" w:eastAsia="宋体" w:cs="Times New Roman"/>
                <w:color w:val="auto"/>
                <w:kern w:val="0"/>
                <w:sz w:val="24"/>
                <w:highlight w:val="none"/>
                <w:lang w:bidi="ar"/>
              </w:rPr>
              <w:t>靠近围护结构处室内N个声源</w:t>
            </w:r>
            <w:r>
              <w:rPr>
                <w:rFonts w:hint="default" w:ascii="Times New Roman" w:hAnsi="Times New Roman" w:eastAsia="宋体" w:cs="Times New Roman"/>
                <w:i/>
                <w:iCs/>
                <w:color w:val="auto"/>
                <w:kern w:val="0"/>
                <w:sz w:val="24"/>
                <w:highlight w:val="none"/>
                <w:lang w:bidi="ar"/>
              </w:rPr>
              <w:t>i</w:t>
            </w:r>
            <w:r>
              <w:rPr>
                <w:rFonts w:hint="default" w:ascii="Times New Roman" w:hAnsi="Times New Roman" w:eastAsia="宋体" w:cs="Times New Roman"/>
                <w:color w:val="auto"/>
                <w:kern w:val="0"/>
                <w:sz w:val="24"/>
                <w:highlight w:val="none"/>
                <w:lang w:bidi="ar"/>
              </w:rPr>
              <w:t>倍频带的叠加声压级</w:t>
            </w:r>
            <w:r>
              <w:rPr>
                <w:rFonts w:hint="default" w:ascii="Times New Roman" w:hAnsi="Times New Roman" w:eastAsia="宋体" w:cs="Times New Roman"/>
                <w:color w:val="auto"/>
                <w:spacing w:val="-3"/>
                <w:position w:val="1"/>
                <w:sz w:val="24"/>
                <w:highlight w:val="none"/>
              </w:rPr>
              <w:t>，</w:t>
            </w:r>
            <w:r>
              <w:rPr>
                <w:rFonts w:hint="default" w:ascii="Times New Roman" w:hAnsi="Times New Roman" w:eastAsia="宋体" w:cs="Times New Roman"/>
                <w:color w:val="auto"/>
                <w:position w:val="1"/>
                <w:sz w:val="24"/>
                <w:highlight w:val="none"/>
              </w:rPr>
              <w:t>dB；</w:t>
            </w:r>
          </w:p>
          <w:p w14:paraId="7444F612">
            <w:pPr>
              <w:spacing w:line="360" w:lineRule="auto"/>
              <w:ind w:firstLine="912" w:firstLineChars="4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i/>
                <w:color w:val="auto"/>
                <w:spacing w:val="-6"/>
                <w:position w:val="3"/>
                <w:sz w:val="24"/>
                <w:highlight w:val="none"/>
              </w:rPr>
              <w:t>TL</w:t>
            </w:r>
            <w:r>
              <w:rPr>
                <w:rFonts w:hint="default" w:ascii="Times New Roman" w:hAnsi="Times New Roman" w:eastAsia="宋体" w:cs="Times New Roman"/>
                <w:i/>
                <w:color w:val="auto"/>
                <w:spacing w:val="-6"/>
                <w:position w:val="-2"/>
                <w:sz w:val="24"/>
                <w:highlight w:val="none"/>
                <w:vertAlign w:val="subscript"/>
              </w:rPr>
              <w:t>i</w:t>
            </w:r>
            <w:r>
              <w:rPr>
                <w:rFonts w:hint="default" w:ascii="Times New Roman" w:hAnsi="Times New Roman" w:eastAsia="宋体" w:cs="Times New Roman"/>
                <w:color w:val="auto"/>
                <w:position w:val="1"/>
                <w:sz w:val="24"/>
                <w:highlight w:val="none"/>
              </w:rPr>
              <w:t>——</w:t>
            </w:r>
            <w:r>
              <w:rPr>
                <w:rFonts w:hint="default" w:ascii="Times New Roman" w:hAnsi="Times New Roman" w:eastAsia="宋体" w:cs="Times New Roman"/>
                <w:color w:val="auto"/>
                <w:spacing w:val="-13"/>
                <w:sz w:val="24"/>
                <w:highlight w:val="none"/>
              </w:rPr>
              <w:t>围护结构</w:t>
            </w:r>
            <w:r>
              <w:rPr>
                <w:rFonts w:hint="default" w:ascii="Times New Roman" w:hAnsi="Times New Roman" w:eastAsia="宋体" w:cs="Times New Roman"/>
                <w:i/>
                <w:color w:val="auto"/>
                <w:position w:val="1"/>
                <w:sz w:val="24"/>
                <w:highlight w:val="none"/>
              </w:rPr>
              <w:t>i</w:t>
            </w:r>
            <w:r>
              <w:rPr>
                <w:rFonts w:hint="default" w:ascii="Times New Roman" w:hAnsi="Times New Roman" w:eastAsia="宋体" w:cs="Times New Roman"/>
                <w:color w:val="auto"/>
                <w:spacing w:val="-3"/>
                <w:sz w:val="24"/>
                <w:highlight w:val="none"/>
              </w:rPr>
              <w:t>倍频带的隔声量，</w:t>
            </w:r>
            <w:r>
              <w:rPr>
                <w:rFonts w:hint="default" w:ascii="Times New Roman" w:hAnsi="Times New Roman" w:eastAsia="宋体" w:cs="Times New Roman"/>
                <w:color w:val="auto"/>
                <w:position w:val="1"/>
                <w:sz w:val="24"/>
                <w:highlight w:val="none"/>
              </w:rPr>
              <w:t>dB</w:t>
            </w:r>
            <w:r>
              <w:rPr>
                <w:rFonts w:hint="default" w:ascii="Times New Roman" w:hAnsi="Times New Roman" w:eastAsia="宋体" w:cs="Times New Roman"/>
                <w:color w:val="auto"/>
                <w:sz w:val="24"/>
                <w:highlight w:val="none"/>
              </w:rPr>
              <w:t>。</w:t>
            </w:r>
          </w:p>
          <w:p w14:paraId="0EF4FD8C">
            <w:pPr>
              <w:adjustRightInd w:val="0"/>
              <w:snapToGrid w:val="0"/>
              <w:spacing w:line="360" w:lineRule="auto"/>
              <w:ind w:firstLine="448"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pacing w:val="-8"/>
                <w:sz w:val="24"/>
                <w:highlight w:val="none"/>
              </w:rPr>
              <w:t>然后按式5</w:t>
            </w:r>
            <w:r>
              <w:rPr>
                <w:rFonts w:hint="default" w:ascii="Times New Roman" w:hAnsi="Times New Roman" w:eastAsia="宋体" w:cs="Times New Roman"/>
                <w:color w:val="auto"/>
                <w:spacing w:val="-5"/>
                <w:sz w:val="24"/>
                <w:highlight w:val="none"/>
              </w:rPr>
              <w:t>将室外声源的声压级和透过面积换算成等效的室外声源，计算出中心位置位于透声面积</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i/>
                <w:color w:val="auto"/>
                <w:sz w:val="24"/>
                <w:highlight w:val="none"/>
              </w:rPr>
              <w:t>S</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pacing w:val="-3"/>
                <w:sz w:val="24"/>
                <w:highlight w:val="none"/>
              </w:rPr>
              <w:t>处的等效声源的倍频带声功率级。</w:t>
            </w:r>
          </w:p>
          <w:p w14:paraId="1B07C702">
            <w:pPr>
              <w:spacing w:line="360" w:lineRule="auto"/>
              <w:ind w:firstLine="576" w:firstLineChars="200"/>
              <w:jc w:val="center"/>
              <w:rPr>
                <w:rFonts w:hint="default" w:ascii="Times New Roman" w:hAnsi="Times New Roman" w:eastAsia="宋体" w:cs="Times New Roman"/>
                <w:i/>
                <w:color w:val="auto"/>
                <w:sz w:val="24"/>
                <w:highlight w:val="none"/>
              </w:rPr>
            </w:pPr>
            <w:r>
              <w:rPr>
                <w:rFonts w:hint="default" w:ascii="Times New Roman" w:hAnsi="Times New Roman" w:eastAsia="宋体" w:cs="Times New Roman"/>
                <w:i/>
                <w:color w:val="auto"/>
                <w:w w:val="120"/>
                <w:sz w:val="24"/>
                <w:highlight w:val="none"/>
              </w:rPr>
              <w:t>L</w:t>
            </w:r>
            <w:r>
              <w:rPr>
                <w:rFonts w:hint="default" w:ascii="Times New Roman" w:hAnsi="Times New Roman" w:eastAsia="宋体" w:cs="Times New Roman"/>
                <w:i/>
                <w:color w:val="auto"/>
                <w:w w:val="120"/>
                <w:position w:val="-4"/>
                <w:sz w:val="24"/>
                <w:highlight w:val="none"/>
                <w:vertAlign w:val="subscript"/>
              </w:rPr>
              <w:t>w</w:t>
            </w:r>
            <w:r>
              <w:rPr>
                <w:rFonts w:hint="default" w:ascii="Times New Roman" w:hAnsi="Times New Roman" w:cs="Times New Roman"/>
                <w:i/>
                <w:color w:val="auto"/>
                <w:w w:val="120"/>
                <w:position w:val="-4"/>
                <w:sz w:val="24"/>
                <w:highlight w:val="none"/>
                <w:vertAlign w:val="baseline"/>
                <w:lang w:val="en-US" w:eastAsia="zh-CN"/>
              </w:rPr>
              <w:t>=</w:t>
            </w:r>
            <w:r>
              <w:rPr>
                <w:rFonts w:hint="default" w:ascii="Times New Roman" w:hAnsi="Times New Roman" w:eastAsia="宋体" w:cs="Times New Roman"/>
                <w:i/>
                <w:color w:val="auto"/>
                <w:w w:val="120"/>
                <w:sz w:val="24"/>
                <w:highlight w:val="none"/>
              </w:rPr>
              <w:t>L</w:t>
            </w:r>
            <w:r>
              <w:rPr>
                <w:rFonts w:hint="default" w:ascii="Times New Roman" w:hAnsi="Times New Roman" w:eastAsia="宋体" w:cs="Times New Roman"/>
                <w:i/>
                <w:color w:val="auto"/>
                <w:w w:val="120"/>
                <w:position w:val="-4"/>
                <w:sz w:val="24"/>
                <w:highlight w:val="none"/>
                <w:vertAlign w:val="subscript"/>
              </w:rPr>
              <w:t>p</w:t>
            </w:r>
            <w:r>
              <w:rPr>
                <w:rFonts w:hint="default" w:ascii="Times New Roman" w:hAnsi="Times New Roman" w:eastAsia="宋体" w:cs="Times New Roman"/>
                <w:color w:val="auto"/>
                <w:w w:val="120"/>
                <w:position w:val="-4"/>
                <w:sz w:val="24"/>
                <w:highlight w:val="none"/>
                <w:vertAlign w:val="subscript"/>
              </w:rPr>
              <w:t>2</w:t>
            </w:r>
            <w:r>
              <w:rPr>
                <w:rFonts w:hint="default" w:ascii="Times New Roman" w:hAnsi="Times New Roman" w:eastAsia="宋体" w:cs="Times New Roman"/>
                <w:color w:val="auto"/>
                <w:w w:val="120"/>
                <w:sz w:val="24"/>
                <w:highlight w:val="none"/>
              </w:rPr>
              <w:t>(</w:t>
            </w:r>
            <w:r>
              <w:rPr>
                <w:rFonts w:hint="default" w:ascii="Times New Roman" w:hAnsi="Times New Roman" w:eastAsia="宋体" w:cs="Times New Roman"/>
                <w:i/>
                <w:color w:val="auto"/>
                <w:w w:val="120"/>
                <w:sz w:val="24"/>
                <w:highlight w:val="none"/>
              </w:rPr>
              <w:t>T</w:t>
            </w:r>
            <w:r>
              <w:rPr>
                <w:rFonts w:hint="default" w:ascii="Times New Roman" w:hAnsi="Times New Roman" w:eastAsia="宋体" w:cs="Times New Roman"/>
                <w:color w:val="auto"/>
                <w:w w:val="120"/>
                <w:sz w:val="24"/>
                <w:highlight w:val="none"/>
              </w:rPr>
              <w:t>)</w:t>
            </w:r>
            <w:r>
              <w:rPr>
                <w:rFonts w:hint="default" w:ascii="Times New Roman" w:hAnsi="Times New Roman" w:cs="Times New Roman"/>
                <w:color w:val="auto"/>
                <w:w w:val="120"/>
                <w:sz w:val="24"/>
                <w:highlight w:val="none"/>
                <w:lang w:val="en-US" w:eastAsia="zh-CN"/>
              </w:rPr>
              <w:t>-1</w:t>
            </w:r>
            <w:r>
              <w:rPr>
                <w:rFonts w:hint="default" w:ascii="Times New Roman" w:hAnsi="Times New Roman" w:eastAsia="宋体" w:cs="Times New Roman"/>
                <w:color w:val="auto"/>
                <w:w w:val="120"/>
                <w:sz w:val="24"/>
                <w:highlight w:val="none"/>
              </w:rPr>
              <w:t>0lg</w:t>
            </w:r>
            <w:r>
              <w:rPr>
                <w:rFonts w:hint="default" w:ascii="Times New Roman" w:hAnsi="Times New Roman" w:eastAsia="宋体" w:cs="Times New Roman"/>
                <w:i/>
                <w:color w:val="auto"/>
                <w:w w:val="120"/>
                <w:sz w:val="24"/>
                <w:highlight w:val="none"/>
              </w:rPr>
              <w:t xml:space="preserve">S     </w:t>
            </w:r>
            <w:r>
              <w:rPr>
                <w:rFonts w:hint="default" w:ascii="Times New Roman" w:hAnsi="Times New Roman" w:eastAsia="宋体" w:cs="Times New Roman"/>
                <w:iCs/>
                <w:color w:val="auto"/>
                <w:w w:val="120"/>
                <w:sz w:val="24"/>
                <w:highlight w:val="none"/>
              </w:rPr>
              <w:t>（式5）</w:t>
            </w:r>
          </w:p>
          <w:p w14:paraId="4186144D">
            <w:pPr>
              <w:autoSpaceDE w:val="0"/>
              <w:autoSpaceDN w:val="0"/>
              <w:spacing w:line="360" w:lineRule="auto"/>
              <w:ind w:firstLine="482"/>
              <w:jc w:val="left"/>
              <w:rPr>
                <w:rFonts w:hint="default" w:ascii="Times New Roman" w:hAnsi="Times New Roman" w:eastAsia="宋体" w:cs="Times New Roman"/>
                <w:color w:val="auto"/>
                <w:kern w:val="0"/>
                <w:position w:val="2"/>
                <w:sz w:val="24"/>
                <w:highlight w:val="none"/>
                <w:lang w:val="en-US" w:bidi="zh-CN"/>
              </w:rPr>
            </w:pPr>
            <w:r>
              <w:rPr>
                <w:rFonts w:hint="default" w:ascii="Times New Roman" w:hAnsi="Times New Roman" w:eastAsia="宋体" w:cs="Times New Roman"/>
                <w:color w:val="auto"/>
                <w:kern w:val="0"/>
                <w:position w:val="2"/>
                <w:sz w:val="24"/>
                <w:highlight w:val="none"/>
                <w:lang w:val="zh-CN" w:bidi="zh-CN"/>
              </w:rPr>
              <w:t>式中</w:t>
            </w:r>
            <w:r>
              <w:rPr>
                <w:rFonts w:hint="default" w:ascii="Times New Roman" w:hAnsi="Times New Roman" w:eastAsia="宋体" w:cs="Times New Roman"/>
                <w:color w:val="auto"/>
                <w:kern w:val="0"/>
                <w:position w:val="2"/>
                <w:sz w:val="24"/>
                <w:highlight w:val="none"/>
                <w:lang w:bidi="zh-CN"/>
              </w:rPr>
              <w:t>：</w:t>
            </w:r>
          </w:p>
          <w:p w14:paraId="6ECB8FA8">
            <w:pPr>
              <w:autoSpaceDE w:val="0"/>
              <w:autoSpaceDN w:val="0"/>
              <w:spacing w:line="360" w:lineRule="auto"/>
              <w:ind w:firstLine="482"/>
              <w:jc w:val="left"/>
              <w:rPr>
                <w:rFonts w:hint="default" w:ascii="Times New Roman" w:hAnsi="Times New Roman" w:eastAsia="宋体" w:cs="Times New Roman"/>
                <w:color w:val="auto"/>
                <w:kern w:val="0"/>
                <w:sz w:val="24"/>
                <w:highlight w:val="none"/>
                <w:lang w:bidi="zh-CN"/>
              </w:rPr>
            </w:pPr>
            <w:r>
              <w:rPr>
                <w:rFonts w:hint="default" w:ascii="Times New Roman" w:hAnsi="Times New Roman" w:eastAsia="宋体" w:cs="Times New Roman"/>
                <w:i/>
                <w:color w:val="auto"/>
                <w:kern w:val="0"/>
                <w:position w:val="3"/>
                <w:sz w:val="24"/>
                <w:highlight w:val="none"/>
                <w:lang w:bidi="zh-CN"/>
              </w:rPr>
              <w:t>L</w:t>
            </w:r>
            <w:r>
              <w:rPr>
                <w:rFonts w:hint="default" w:ascii="Times New Roman" w:hAnsi="Times New Roman" w:eastAsia="宋体" w:cs="Times New Roman"/>
                <w:i/>
                <w:color w:val="auto"/>
                <w:kern w:val="0"/>
                <w:sz w:val="24"/>
                <w:highlight w:val="none"/>
                <w:lang w:bidi="zh-CN"/>
              </w:rPr>
              <w:t>w</w:t>
            </w:r>
            <w:r>
              <w:rPr>
                <w:rFonts w:hint="default" w:ascii="Times New Roman" w:hAnsi="Times New Roman" w:eastAsia="宋体" w:cs="Times New Roman"/>
                <w:color w:val="auto"/>
                <w:kern w:val="0"/>
                <w:position w:val="3"/>
                <w:sz w:val="24"/>
                <w:highlight w:val="none"/>
                <w:lang w:bidi="zh-CN"/>
              </w:rPr>
              <w:t>——</w:t>
            </w:r>
            <w:r>
              <w:rPr>
                <w:rFonts w:hint="default" w:ascii="Times New Roman" w:hAnsi="Times New Roman" w:eastAsia="宋体" w:cs="Times New Roman"/>
                <w:color w:val="auto"/>
                <w:kern w:val="0"/>
                <w:position w:val="2"/>
                <w:sz w:val="24"/>
                <w:highlight w:val="none"/>
                <w:lang w:val="zh-CN" w:bidi="zh-CN"/>
              </w:rPr>
              <w:t>中心位置位于透声面积</w:t>
            </w:r>
            <w:r>
              <w:rPr>
                <w:rFonts w:hint="default" w:ascii="Times New Roman" w:hAnsi="Times New Roman" w:eastAsia="宋体" w:cs="Times New Roman"/>
                <w:color w:val="auto"/>
                <w:kern w:val="0"/>
                <w:position w:val="2"/>
                <w:sz w:val="24"/>
                <w:highlight w:val="none"/>
                <w:lang w:bidi="zh-CN"/>
              </w:rPr>
              <w:t>（</w:t>
            </w:r>
            <w:r>
              <w:rPr>
                <w:rFonts w:hint="default" w:ascii="Times New Roman" w:hAnsi="Times New Roman" w:eastAsia="宋体" w:cs="Times New Roman"/>
                <w:i/>
                <w:color w:val="auto"/>
                <w:kern w:val="0"/>
                <w:position w:val="3"/>
                <w:sz w:val="24"/>
                <w:highlight w:val="none"/>
                <w:lang w:bidi="zh-CN"/>
              </w:rPr>
              <w:t>S</w:t>
            </w:r>
            <w:r>
              <w:rPr>
                <w:rFonts w:hint="default" w:ascii="Times New Roman" w:hAnsi="Times New Roman" w:eastAsia="宋体" w:cs="Times New Roman"/>
                <w:color w:val="auto"/>
                <w:kern w:val="0"/>
                <w:position w:val="2"/>
                <w:sz w:val="24"/>
                <w:highlight w:val="none"/>
                <w:lang w:bidi="zh-CN"/>
              </w:rPr>
              <w:t>）</w:t>
            </w:r>
            <w:r>
              <w:rPr>
                <w:rFonts w:hint="default" w:ascii="Times New Roman" w:hAnsi="Times New Roman" w:eastAsia="宋体" w:cs="Times New Roman"/>
                <w:color w:val="auto"/>
                <w:kern w:val="0"/>
                <w:position w:val="2"/>
                <w:sz w:val="24"/>
                <w:highlight w:val="none"/>
                <w:lang w:val="zh-CN" w:bidi="zh-CN"/>
              </w:rPr>
              <w:t>处的等效声源的倍频带声功率级</w:t>
            </w:r>
            <w:r>
              <w:rPr>
                <w:rFonts w:hint="default" w:ascii="Times New Roman" w:hAnsi="Times New Roman" w:eastAsia="宋体" w:cs="Times New Roman"/>
                <w:color w:val="auto"/>
                <w:kern w:val="0"/>
                <w:position w:val="2"/>
                <w:sz w:val="24"/>
                <w:highlight w:val="none"/>
                <w:lang w:bidi="zh-CN"/>
              </w:rPr>
              <w:t>，</w:t>
            </w:r>
            <w:r>
              <w:rPr>
                <w:rFonts w:hint="default" w:ascii="Times New Roman" w:hAnsi="Times New Roman" w:eastAsia="宋体" w:cs="Times New Roman"/>
                <w:color w:val="auto"/>
                <w:kern w:val="0"/>
                <w:position w:val="3"/>
                <w:sz w:val="24"/>
                <w:highlight w:val="none"/>
                <w:lang w:bidi="zh-CN"/>
              </w:rPr>
              <w:t>dB</w:t>
            </w:r>
            <w:r>
              <w:rPr>
                <w:rFonts w:hint="default" w:ascii="Times New Roman" w:hAnsi="Times New Roman" w:eastAsia="宋体" w:cs="Times New Roman"/>
                <w:color w:val="auto"/>
                <w:kern w:val="0"/>
                <w:position w:val="2"/>
                <w:sz w:val="24"/>
                <w:highlight w:val="none"/>
                <w:lang w:bidi="zh-CN"/>
              </w:rPr>
              <w:t>；</w:t>
            </w:r>
          </w:p>
          <w:p w14:paraId="6760AC66">
            <w:pPr>
              <w:autoSpaceDE w:val="0"/>
              <w:autoSpaceDN w:val="0"/>
              <w:spacing w:line="360" w:lineRule="auto"/>
              <w:ind w:firstLine="482"/>
              <w:jc w:val="left"/>
              <w:rPr>
                <w:rFonts w:hint="default" w:ascii="Times New Roman" w:hAnsi="Times New Roman" w:eastAsia="宋体" w:cs="Times New Roman"/>
                <w:color w:val="auto"/>
                <w:kern w:val="0"/>
                <w:sz w:val="24"/>
                <w:highlight w:val="none"/>
                <w:lang w:val="zh-CN" w:bidi="zh-CN"/>
              </w:rPr>
            </w:pPr>
            <w:r>
              <w:rPr>
                <w:rFonts w:hint="default" w:ascii="Times New Roman" w:hAnsi="Times New Roman" w:eastAsia="宋体" w:cs="Times New Roman"/>
                <w:i/>
                <w:color w:val="auto"/>
                <w:kern w:val="0"/>
                <w:position w:val="1"/>
                <w:sz w:val="24"/>
                <w:highlight w:val="none"/>
                <w:lang w:val="zh-CN" w:bidi="zh-CN"/>
              </w:rPr>
              <w:t>L</w:t>
            </w:r>
            <w:r>
              <w:rPr>
                <w:rFonts w:hint="default" w:ascii="Times New Roman" w:hAnsi="Times New Roman" w:eastAsia="宋体" w:cs="Times New Roman"/>
                <w:i/>
                <w:color w:val="auto"/>
                <w:kern w:val="0"/>
                <w:position w:val="1"/>
                <w:sz w:val="24"/>
                <w:highlight w:val="none"/>
                <w:vertAlign w:val="subscript"/>
                <w:lang w:val="zh-CN" w:bidi="zh-CN"/>
              </w:rPr>
              <w:t>p</w:t>
            </w:r>
            <w:r>
              <w:rPr>
                <w:rFonts w:hint="default" w:ascii="Times New Roman" w:hAnsi="Times New Roman" w:eastAsia="宋体" w:cs="Times New Roman"/>
                <w:color w:val="auto"/>
                <w:kern w:val="0"/>
                <w:position w:val="1"/>
                <w:sz w:val="24"/>
                <w:highlight w:val="none"/>
                <w:vertAlign w:val="subscript"/>
                <w:lang w:val="zh-CN" w:bidi="zh-CN"/>
              </w:rPr>
              <w:t>2</w:t>
            </w:r>
            <w:r>
              <w:rPr>
                <w:rFonts w:hint="default" w:ascii="Times New Roman" w:hAnsi="Times New Roman" w:eastAsia="宋体" w:cs="Times New Roman"/>
                <w:color w:val="auto"/>
                <w:kern w:val="0"/>
                <w:position w:val="1"/>
                <w:sz w:val="24"/>
                <w:highlight w:val="none"/>
                <w:lang w:val="zh-CN" w:bidi="zh-CN"/>
              </w:rPr>
              <w:t>(</w:t>
            </w:r>
            <w:r>
              <w:rPr>
                <w:rFonts w:hint="default" w:ascii="Times New Roman" w:hAnsi="Times New Roman" w:eastAsia="宋体" w:cs="Times New Roman"/>
                <w:i/>
                <w:color w:val="auto"/>
                <w:kern w:val="0"/>
                <w:position w:val="1"/>
                <w:sz w:val="24"/>
                <w:highlight w:val="none"/>
                <w:lang w:val="zh-CN" w:bidi="zh-CN"/>
              </w:rPr>
              <w:t>T</w:t>
            </w:r>
            <w:r>
              <w:rPr>
                <w:rFonts w:hint="default" w:ascii="Times New Roman" w:hAnsi="Times New Roman" w:eastAsia="宋体" w:cs="Times New Roman"/>
                <w:color w:val="auto"/>
                <w:kern w:val="0"/>
                <w:position w:val="1"/>
                <w:sz w:val="24"/>
                <w:highlight w:val="none"/>
                <w:lang w:val="zh-CN" w:bidi="zh-CN"/>
              </w:rPr>
              <w:t>)——</w:t>
            </w:r>
            <w:r>
              <w:rPr>
                <w:rFonts w:hint="default" w:ascii="Times New Roman" w:hAnsi="Times New Roman" w:eastAsia="宋体" w:cs="Times New Roman"/>
                <w:color w:val="auto"/>
                <w:kern w:val="0"/>
                <w:sz w:val="24"/>
                <w:highlight w:val="none"/>
                <w:lang w:val="zh-CN" w:bidi="zh-CN"/>
              </w:rPr>
              <w:t>靠近围护结构处室外声源的声压级，</w:t>
            </w:r>
            <w:r>
              <w:rPr>
                <w:rFonts w:hint="default" w:ascii="Times New Roman" w:hAnsi="Times New Roman" w:eastAsia="宋体" w:cs="Times New Roman"/>
                <w:color w:val="auto"/>
                <w:kern w:val="0"/>
                <w:position w:val="1"/>
                <w:sz w:val="24"/>
                <w:highlight w:val="none"/>
                <w:lang w:val="zh-CN" w:bidi="zh-CN"/>
              </w:rPr>
              <w:t>dB</w:t>
            </w:r>
            <w:r>
              <w:rPr>
                <w:rFonts w:hint="default" w:ascii="Times New Roman" w:hAnsi="Times New Roman" w:eastAsia="宋体" w:cs="Times New Roman"/>
                <w:color w:val="auto"/>
                <w:kern w:val="0"/>
                <w:sz w:val="24"/>
                <w:highlight w:val="none"/>
                <w:lang w:val="zh-CN" w:bidi="zh-CN"/>
              </w:rPr>
              <w:t>；</w:t>
            </w:r>
          </w:p>
          <w:p w14:paraId="40713B8E">
            <w:pPr>
              <w:autoSpaceDE w:val="0"/>
              <w:autoSpaceDN w:val="0"/>
              <w:spacing w:line="360" w:lineRule="auto"/>
              <w:ind w:firstLine="482"/>
              <w:jc w:val="left"/>
              <w:rPr>
                <w:rFonts w:hint="default" w:ascii="Times New Roman" w:hAnsi="Times New Roman" w:eastAsia="宋体" w:cs="Times New Roman"/>
                <w:color w:val="auto"/>
                <w:kern w:val="0"/>
                <w:sz w:val="24"/>
                <w:highlight w:val="none"/>
                <w:lang w:val="zh-CN" w:bidi="zh-CN"/>
              </w:rPr>
            </w:pPr>
            <w:r>
              <w:rPr>
                <w:rFonts w:hint="default" w:ascii="Times New Roman" w:hAnsi="Times New Roman" w:eastAsia="宋体" w:cs="Times New Roman"/>
                <w:i/>
                <w:color w:val="auto"/>
                <w:kern w:val="0"/>
                <w:position w:val="1"/>
                <w:sz w:val="24"/>
                <w:highlight w:val="none"/>
                <w:lang w:val="zh-CN" w:bidi="zh-CN"/>
              </w:rPr>
              <w:t>S</w:t>
            </w:r>
            <w:r>
              <w:rPr>
                <w:rFonts w:hint="default" w:ascii="Times New Roman" w:hAnsi="Times New Roman" w:eastAsia="宋体" w:cs="Times New Roman"/>
                <w:color w:val="auto"/>
                <w:kern w:val="0"/>
                <w:position w:val="1"/>
                <w:sz w:val="24"/>
                <w:highlight w:val="none"/>
                <w:lang w:val="zh-CN" w:bidi="zh-CN"/>
              </w:rPr>
              <w:t>——</w:t>
            </w:r>
            <w:r>
              <w:rPr>
                <w:rFonts w:hint="default" w:ascii="Times New Roman" w:hAnsi="Times New Roman" w:eastAsia="宋体" w:cs="Times New Roman"/>
                <w:color w:val="auto"/>
                <w:kern w:val="0"/>
                <w:sz w:val="24"/>
                <w:highlight w:val="none"/>
                <w:lang w:val="zh-CN" w:bidi="zh-CN"/>
              </w:rPr>
              <w:t>透声面积，</w:t>
            </w:r>
            <w:r>
              <w:rPr>
                <w:rFonts w:hint="default" w:ascii="Times New Roman" w:hAnsi="Times New Roman" w:eastAsia="宋体" w:cs="Times New Roman"/>
                <w:color w:val="auto"/>
                <w:kern w:val="0"/>
                <w:position w:val="1"/>
                <w:sz w:val="24"/>
                <w:highlight w:val="none"/>
                <w:lang w:val="zh-CN" w:bidi="zh-CN"/>
              </w:rPr>
              <w:t>m</w:t>
            </w:r>
            <w:r>
              <w:rPr>
                <w:rFonts w:hint="default" w:ascii="Times New Roman" w:hAnsi="Times New Roman" w:cs="Times New Roman"/>
                <w:color w:val="auto"/>
                <w:kern w:val="0"/>
                <w:position w:val="1"/>
                <w:sz w:val="24"/>
                <w:highlight w:val="none"/>
                <w:vertAlign w:val="superscript"/>
                <w:lang w:val="en-US" w:bidi="zh-CN"/>
              </w:rPr>
              <w:t>2</w:t>
            </w:r>
            <w:r>
              <w:rPr>
                <w:rFonts w:hint="default" w:ascii="Times New Roman" w:hAnsi="Times New Roman" w:eastAsia="宋体" w:cs="Times New Roman"/>
                <w:color w:val="auto"/>
                <w:kern w:val="0"/>
                <w:sz w:val="24"/>
                <w:highlight w:val="none"/>
                <w:lang w:val="zh-CN" w:bidi="zh-CN"/>
              </w:rPr>
              <w:t>。</w:t>
            </w:r>
          </w:p>
          <w:p w14:paraId="25349981">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③对预测点多源声影响及背景噪声的</w:t>
            </w:r>
            <w:r>
              <w:rPr>
                <w:rFonts w:hint="default" w:ascii="Times New Roman" w:hAnsi="Times New Roman" w:eastAsia="宋体" w:cs="Times New Roman"/>
                <w:color w:val="auto"/>
                <w:sz w:val="24"/>
                <w:highlight w:val="none"/>
                <w:lang w:val="en-US" w:eastAsia="zh-CN"/>
              </w:rPr>
              <w:t>叠加</w:t>
            </w:r>
            <w:r>
              <w:rPr>
                <w:rFonts w:hint="default" w:ascii="Times New Roman" w:hAnsi="Times New Roman" w:eastAsia="宋体" w:cs="Times New Roman"/>
                <w:color w:val="auto"/>
                <w:sz w:val="24"/>
                <w:highlight w:val="none"/>
              </w:rPr>
              <w:t>：</w:t>
            </w:r>
          </w:p>
          <w:p w14:paraId="60D0CF0D">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工业企业噪声计算：设第i个室外声源在预测点产生的A声级为L</w:t>
            </w:r>
            <w:r>
              <w:rPr>
                <w:rFonts w:hint="default" w:ascii="Times New Roman" w:hAnsi="Times New Roman" w:eastAsia="宋体" w:cs="Times New Roman"/>
                <w:color w:val="auto"/>
                <w:sz w:val="24"/>
                <w:highlight w:val="none"/>
                <w:vertAlign w:val="subscript"/>
              </w:rPr>
              <w:t>Ai</w:t>
            </w:r>
            <w:r>
              <w:rPr>
                <w:rFonts w:hint="default" w:ascii="Times New Roman" w:hAnsi="Times New Roman" w:eastAsia="宋体" w:cs="Times New Roman"/>
                <w:color w:val="auto"/>
                <w:sz w:val="24"/>
                <w:highlight w:val="none"/>
              </w:rPr>
              <w:t>，在T时间内该声源工作时间为t</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；第j个等效室外声源在预测点产生的A声级为L</w:t>
            </w:r>
            <w:r>
              <w:rPr>
                <w:rFonts w:hint="default" w:ascii="Times New Roman" w:hAnsi="Times New Roman" w:eastAsia="宋体" w:cs="Times New Roman"/>
                <w:color w:val="auto"/>
                <w:sz w:val="24"/>
                <w:highlight w:val="none"/>
                <w:vertAlign w:val="subscript"/>
              </w:rPr>
              <w:t>Aj</w:t>
            </w:r>
            <w:r>
              <w:rPr>
                <w:rFonts w:hint="default" w:ascii="Times New Roman" w:hAnsi="Times New Roman" w:eastAsia="宋体" w:cs="Times New Roman"/>
                <w:color w:val="auto"/>
                <w:sz w:val="24"/>
                <w:highlight w:val="none"/>
              </w:rPr>
              <w:t>，在T时间内该声源工作时间为t</w:t>
            </w:r>
            <w:r>
              <w:rPr>
                <w:rFonts w:hint="default" w:ascii="Times New Roman" w:hAnsi="Times New Roman" w:eastAsia="宋体" w:cs="Times New Roman"/>
                <w:color w:val="auto"/>
                <w:sz w:val="24"/>
                <w:highlight w:val="none"/>
                <w:vertAlign w:val="subscript"/>
              </w:rPr>
              <w:t>j</w:t>
            </w:r>
            <w:r>
              <w:rPr>
                <w:rFonts w:hint="default" w:ascii="Times New Roman" w:hAnsi="Times New Roman" w:eastAsia="宋体" w:cs="Times New Roman"/>
                <w:color w:val="auto"/>
                <w:sz w:val="24"/>
                <w:highlight w:val="none"/>
              </w:rPr>
              <w:t>，则拟建工程声源对预测点产生的贡献值（L</w:t>
            </w:r>
            <w:r>
              <w:rPr>
                <w:rFonts w:hint="default" w:ascii="Times New Roman" w:hAnsi="Times New Roman" w:eastAsia="宋体" w:cs="Times New Roman"/>
                <w:color w:val="auto"/>
                <w:sz w:val="24"/>
                <w:highlight w:val="none"/>
                <w:vertAlign w:val="subscript"/>
              </w:rPr>
              <w:t>eqg</w:t>
            </w:r>
            <w:r>
              <w:rPr>
                <w:rFonts w:hint="default" w:ascii="Times New Roman" w:hAnsi="Times New Roman" w:eastAsia="宋体" w:cs="Times New Roman"/>
                <w:color w:val="auto"/>
                <w:sz w:val="24"/>
                <w:highlight w:val="none"/>
              </w:rPr>
              <w:t>）为：</w:t>
            </w:r>
          </w:p>
          <w:p w14:paraId="1379A7F0">
            <w:pPr>
              <w:adjustRightInd w:val="0"/>
              <w:snapToGrid w:val="0"/>
              <w:spacing w:line="360" w:lineRule="auto"/>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position w:val="-32"/>
                <w:sz w:val="24"/>
                <w:szCs w:val="20"/>
                <w:highlight w:val="none"/>
              </w:rPr>
              <w:object>
                <v:shape id="_x0000_i1027" o:spt="75" type="#_x0000_t75" style="height:39.35pt;width:210pt;" o:ole="t" fillcolor="#6D6D6D" filled="f" o:preferrelative="t" stroked="f" coordsize="21600,21600">
                  <v:path/>
                  <v:fill on="f" focussize="0,0"/>
                  <v:stroke on="f" joinstyle="miter"/>
                  <v:imagedata r:id="rId22" o:title=""/>
                  <o:lock v:ext="edit" aspectratio="t"/>
                  <w10:wrap type="none"/>
                  <w10:anchorlock/>
                </v:shape>
                <o:OLEObject Type="Embed" ProgID="Equation.3" ShapeID="_x0000_i1027" DrawAspect="Content" ObjectID="_1468075728" r:id="rId21">
                  <o:LockedField>false</o:LockedField>
                </o:OLEObject>
              </w:object>
            </w:r>
            <w:r>
              <w:rPr>
                <w:rFonts w:hint="default" w:ascii="Times New Roman" w:hAnsi="Times New Roman" w:eastAsia="宋体" w:cs="Times New Roman"/>
                <w:color w:val="auto"/>
                <w:sz w:val="24"/>
                <w:highlight w:val="none"/>
              </w:rPr>
              <w:t xml:space="preserve">        （式6）</w:t>
            </w:r>
          </w:p>
          <w:p w14:paraId="08EA00F8">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式中：L</w:t>
            </w:r>
            <w:r>
              <w:rPr>
                <w:rFonts w:hint="default" w:ascii="Times New Roman" w:hAnsi="Times New Roman" w:eastAsia="宋体" w:cs="Times New Roman"/>
                <w:color w:val="auto"/>
                <w:sz w:val="24"/>
                <w:highlight w:val="none"/>
                <w:vertAlign w:val="subscript"/>
              </w:rPr>
              <w:t>eqg</w:t>
            </w:r>
            <w:r>
              <w:rPr>
                <w:rFonts w:hint="default" w:ascii="Times New Roman" w:hAnsi="Times New Roman" w:eastAsia="宋体" w:cs="Times New Roman"/>
                <w:color w:val="auto"/>
                <w:sz w:val="24"/>
                <w:highlight w:val="none"/>
              </w:rPr>
              <w:t>—建设项目声源在预测点产生的噪声贡献值，dB；</w:t>
            </w:r>
          </w:p>
          <w:p w14:paraId="08C5DDC7">
            <w:pPr>
              <w:adjustRightInd w:val="0"/>
              <w:snapToGrid w:val="0"/>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T—用于计算等效声级的时间，s；</w:t>
            </w:r>
          </w:p>
          <w:p w14:paraId="4B1B5DC8">
            <w:pPr>
              <w:adjustRightInd w:val="0"/>
              <w:snapToGrid w:val="0"/>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N—室外声源个数；</w:t>
            </w:r>
          </w:p>
          <w:p w14:paraId="64DDE22B">
            <w:pPr>
              <w:adjustRightInd w:val="0"/>
              <w:snapToGrid w:val="0"/>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t</w:t>
            </w:r>
            <w:r>
              <w:rPr>
                <w:rFonts w:hint="default" w:ascii="Times New Roman" w:hAnsi="Times New Roman" w:eastAsia="宋体" w:cs="Times New Roman"/>
                <w:color w:val="auto"/>
                <w:sz w:val="24"/>
                <w:highlight w:val="none"/>
                <w:vertAlign w:val="subscript"/>
              </w:rPr>
              <w:t>i</w:t>
            </w:r>
            <w:r>
              <w:rPr>
                <w:rFonts w:hint="default" w:ascii="Times New Roman" w:hAnsi="Times New Roman" w:eastAsia="宋体" w:cs="Times New Roman"/>
                <w:color w:val="auto"/>
                <w:sz w:val="24"/>
                <w:highlight w:val="none"/>
              </w:rPr>
              <w:t>—在T时间内i声源工作时间，s；</w:t>
            </w:r>
          </w:p>
          <w:p w14:paraId="6CBE1627">
            <w:pPr>
              <w:adjustRightInd w:val="0"/>
              <w:snapToGrid w:val="0"/>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M—等效室外声源个数；</w:t>
            </w:r>
          </w:p>
          <w:p w14:paraId="41B4B628">
            <w:pPr>
              <w:adjustRightInd w:val="0"/>
              <w:snapToGrid w:val="0"/>
              <w:spacing w:line="360" w:lineRule="auto"/>
              <w:ind w:firstLine="1200" w:firstLineChars="500"/>
              <w:jc w:val="left"/>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t</w:t>
            </w:r>
            <w:r>
              <w:rPr>
                <w:rFonts w:hint="default" w:ascii="Times New Roman" w:hAnsi="Times New Roman" w:eastAsia="宋体" w:cs="Times New Roman"/>
                <w:color w:val="auto"/>
                <w:sz w:val="24"/>
                <w:highlight w:val="none"/>
                <w:vertAlign w:val="subscript"/>
              </w:rPr>
              <w:t>j</w:t>
            </w:r>
            <w:r>
              <w:rPr>
                <w:rFonts w:hint="default" w:ascii="Times New Roman" w:hAnsi="Times New Roman" w:eastAsia="宋体" w:cs="Times New Roman"/>
                <w:color w:val="auto"/>
                <w:sz w:val="24"/>
                <w:highlight w:val="none"/>
              </w:rPr>
              <w:t>—在T时间内j声源工作时间，s。</w:t>
            </w:r>
          </w:p>
          <w:p w14:paraId="262C254C">
            <w:pPr>
              <w:spacing w:line="480" w:lineRule="exact"/>
              <w:ind w:firstLine="480" w:firstLineChars="200"/>
              <w:rPr>
                <w:rFonts w:hint="default" w:ascii="Times New Roman" w:hAnsi="Times New Roman" w:cs="Times New Roman"/>
                <w:b w:val="0"/>
                <w:bCs w:val="0"/>
                <w:color w:val="auto"/>
                <w:sz w:val="24"/>
                <w:highlight w:val="none"/>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3</w:t>
            </w: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rPr>
              <w:t>预测因子、时段和方案</w:t>
            </w:r>
          </w:p>
          <w:p w14:paraId="3EE436AA">
            <w:pPr>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a.预测因子：等效连续A声级Leq（A）。</w:t>
            </w:r>
          </w:p>
          <w:p w14:paraId="1ABE712C">
            <w:pPr>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b.预测时段：固定声源投产运营期。</w:t>
            </w:r>
          </w:p>
          <w:p w14:paraId="40798779">
            <w:pPr>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c.预测方案：预测本项目投产后，厂界噪声达标情况。</w:t>
            </w:r>
          </w:p>
          <w:p w14:paraId="00C0CA6C">
            <w:pPr>
              <w:spacing w:line="480" w:lineRule="exact"/>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建设单位拟采取的环保措施：</w:t>
            </w:r>
          </w:p>
          <w:p w14:paraId="370FAACB">
            <w:pPr>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a.企业应尽可能的选用低噪声设备，安装减振基础，采用隔声降噪措施，将主要噪声设备安装在封闭厂房内，以减少噪声影响；</w:t>
            </w:r>
          </w:p>
          <w:p w14:paraId="5CD2E71C">
            <w:pPr>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b.车间合理布局，重视总平面布置，以降低噪声的传播对周围的影响；</w:t>
            </w:r>
          </w:p>
          <w:p w14:paraId="5FDF85E0">
            <w:pPr>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c.夜间禁止生产作业，以减轻噪声对周围环境的影响；</w:t>
            </w:r>
          </w:p>
          <w:p w14:paraId="46A8F4CF">
            <w:pPr>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d.加强设备的维护，确保设备处于良好的运转状态，杜绝因设备不正常运转时产生的高噪声现象；同时，规范生产过程中设备操作，避免操作设备不当产生的高噪声现象</w:t>
            </w:r>
            <w:r>
              <w:rPr>
                <w:rFonts w:hint="default" w:ascii="Times New Roman" w:hAnsi="Times New Roman" w:cs="Times New Roman"/>
                <w:color w:val="auto"/>
                <w:sz w:val="24"/>
                <w:highlight w:val="none"/>
                <w:lang w:eastAsia="zh-CN"/>
              </w:rPr>
              <w:t>；</w:t>
            </w:r>
          </w:p>
          <w:p w14:paraId="20F732B3">
            <w:pPr>
              <w:spacing w:line="480" w:lineRule="exact"/>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e.厂区门窗破碎应及时修补、减少噪声透射，生产作业时尽量避免开窗，以增强隔声效果。</w:t>
            </w:r>
            <w:r>
              <w:rPr>
                <w:rFonts w:hint="default" w:ascii="Times New Roman" w:hAnsi="Times New Roman" w:cs="Times New Roman"/>
                <w:color w:val="auto"/>
                <w:sz w:val="24"/>
                <w:highlight w:val="none"/>
                <w:lang w:val="en-US" w:eastAsia="zh-CN"/>
              </w:rPr>
              <w:t>厂区门窗破碎及时修补、减少噪声透射，生产作业时尽量避免开窗，以增强隔声效果。</w:t>
            </w:r>
          </w:p>
          <w:p w14:paraId="6A5A640D">
            <w:pPr>
              <w:spacing w:line="480" w:lineRule="exact"/>
              <w:ind w:firstLine="480"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val="0"/>
                <w:bCs w:val="0"/>
                <w:color w:val="auto"/>
                <w:sz w:val="24"/>
                <w:highlight w:val="none"/>
              </w:rPr>
              <w:t>（</w:t>
            </w:r>
            <w:r>
              <w:rPr>
                <w:rFonts w:hint="default" w:ascii="Times New Roman" w:hAnsi="Times New Roman" w:cs="Times New Roman"/>
                <w:b w:val="0"/>
                <w:bCs w:val="0"/>
                <w:color w:val="auto"/>
                <w:sz w:val="24"/>
                <w:highlight w:val="none"/>
                <w:lang w:val="en-US" w:eastAsia="zh-CN"/>
              </w:rPr>
              <w:t>4</w:t>
            </w:r>
            <w:r>
              <w:rPr>
                <w:rFonts w:hint="default" w:ascii="Times New Roman" w:hAnsi="Times New Roman" w:cs="Times New Roman"/>
                <w:b w:val="0"/>
                <w:bCs w:val="0"/>
                <w:color w:val="auto"/>
                <w:sz w:val="24"/>
                <w:highlight w:val="none"/>
              </w:rPr>
              <w:t>）预测结果</w:t>
            </w:r>
          </w:p>
          <w:p w14:paraId="2B3C803B">
            <w:pPr>
              <w:adjustRightInd w:val="0"/>
              <w:spacing w:line="500" w:lineRule="exact"/>
              <w:ind w:firstLine="211" w:firstLineChars="10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4-11</w:t>
            </w:r>
            <w:r>
              <w:rPr>
                <w:rFonts w:hint="default" w:ascii="Times New Roman" w:hAnsi="Times New Roman" w:cs="Times New Roman"/>
                <w:b/>
                <w:bCs/>
                <w:color w:val="auto"/>
                <w:sz w:val="21"/>
                <w:szCs w:val="21"/>
                <w:highlight w:val="none"/>
              </w:rPr>
              <w:t xml:space="preserve">   本项目厂界噪声预测结果    单位：dB(A)</w:t>
            </w:r>
          </w:p>
          <w:tbl>
            <w:tblPr>
              <w:tblStyle w:val="28"/>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1" w:type="dxa"/>
                <w:bottom w:w="0" w:type="dxa"/>
                <w:right w:w="11" w:type="dxa"/>
              </w:tblCellMar>
            </w:tblPr>
            <w:tblGrid>
              <w:gridCol w:w="1118"/>
              <w:gridCol w:w="1177"/>
              <w:gridCol w:w="1158"/>
              <w:gridCol w:w="1069"/>
              <w:gridCol w:w="1036"/>
              <w:gridCol w:w="1060"/>
              <w:gridCol w:w="1050"/>
              <w:gridCol w:w="1050"/>
            </w:tblGrid>
            <w:tr w14:paraId="5CC29A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vMerge w:val="restart"/>
                  <w:tcBorders>
                    <w:tl2br w:val="nil"/>
                    <w:tr2bl w:val="nil"/>
                  </w:tcBorders>
                  <w:vAlign w:val="center"/>
                </w:tcPr>
                <w:p w14:paraId="4BE8B827">
                  <w:pPr>
                    <w:wordWrap w:val="0"/>
                    <w:jc w:val="center"/>
                    <w:rPr>
                      <w:rFonts w:hint="eastAsia" w:ascii="Times New Roman" w:hAnsi="Times New Roman" w:eastAsia="宋体" w:cs="Times New Roman"/>
                      <w:b w:val="0"/>
                      <w:bCs/>
                      <w:color w:val="auto"/>
                      <w:szCs w:val="21"/>
                      <w:highlight w:val="none"/>
                      <w:lang w:eastAsia="zh-CN"/>
                    </w:rPr>
                  </w:pPr>
                  <w:r>
                    <w:rPr>
                      <w:rFonts w:hint="eastAsia" w:cs="Times New Roman"/>
                      <w:b w:val="0"/>
                      <w:bCs/>
                      <w:color w:val="auto"/>
                      <w:szCs w:val="21"/>
                      <w:highlight w:val="none"/>
                      <w:lang w:val="en-US" w:eastAsia="zh-CN" w:bidi="ar"/>
                    </w:rPr>
                    <w:t>序号</w:t>
                  </w:r>
                </w:p>
              </w:tc>
              <w:tc>
                <w:tcPr>
                  <w:tcW w:w="675" w:type="pct"/>
                  <w:vMerge w:val="restart"/>
                  <w:tcBorders>
                    <w:tl2br w:val="nil"/>
                    <w:tr2bl w:val="nil"/>
                  </w:tcBorders>
                  <w:vAlign w:val="center"/>
                </w:tcPr>
                <w:p w14:paraId="387222C7">
                  <w:pPr>
                    <w:wordWrap w:val="0"/>
                    <w:jc w:val="center"/>
                    <w:rPr>
                      <w:rFonts w:hint="eastAsia"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位置</w:t>
                  </w:r>
                </w:p>
              </w:tc>
              <w:tc>
                <w:tcPr>
                  <w:tcW w:w="1277" w:type="pct"/>
                  <w:gridSpan w:val="2"/>
                  <w:tcBorders>
                    <w:tl2br w:val="nil"/>
                    <w:tr2bl w:val="nil"/>
                  </w:tcBorders>
                  <w:vAlign w:val="center"/>
                </w:tcPr>
                <w:p w14:paraId="72750732">
                  <w:pPr>
                    <w:wordWrap w:val="0"/>
                    <w:jc w:val="center"/>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本项目贡献值</w:t>
                  </w:r>
                </w:p>
              </w:tc>
              <w:tc>
                <w:tcPr>
                  <w:tcW w:w="1202" w:type="pct"/>
                  <w:gridSpan w:val="2"/>
                  <w:tcBorders>
                    <w:tl2br w:val="nil"/>
                    <w:tr2bl w:val="nil"/>
                  </w:tcBorders>
                  <w:vAlign w:val="center"/>
                </w:tcPr>
                <w:p w14:paraId="67BDC0DA">
                  <w:pPr>
                    <w:wordWrap w:val="0"/>
                    <w:jc w:val="center"/>
                    <w:rPr>
                      <w:rFonts w:hint="eastAsia"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背景值</w:t>
                  </w:r>
                </w:p>
              </w:tc>
              <w:tc>
                <w:tcPr>
                  <w:tcW w:w="1203" w:type="pct"/>
                  <w:gridSpan w:val="2"/>
                  <w:tcBorders>
                    <w:tl2br w:val="nil"/>
                    <w:tr2bl w:val="nil"/>
                  </w:tcBorders>
                  <w:vAlign w:val="center"/>
                </w:tcPr>
                <w:p w14:paraId="588F1100">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预测值</w:t>
                  </w:r>
                </w:p>
              </w:tc>
            </w:tr>
            <w:tr w14:paraId="2AAB9F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vMerge w:val="continue"/>
                  <w:tcBorders>
                    <w:tl2br w:val="nil"/>
                    <w:tr2bl w:val="nil"/>
                  </w:tcBorders>
                  <w:vAlign w:val="center"/>
                </w:tcPr>
                <w:p w14:paraId="1E91BF4B">
                  <w:pPr>
                    <w:wordWrap w:val="0"/>
                    <w:jc w:val="center"/>
                    <w:rPr>
                      <w:rFonts w:hint="eastAsia" w:cs="Times New Roman"/>
                      <w:b w:val="0"/>
                      <w:bCs/>
                      <w:color w:val="auto"/>
                      <w:szCs w:val="21"/>
                      <w:highlight w:val="none"/>
                      <w:lang w:val="en-US" w:eastAsia="zh-CN" w:bidi="ar"/>
                    </w:rPr>
                  </w:pPr>
                </w:p>
              </w:tc>
              <w:tc>
                <w:tcPr>
                  <w:tcW w:w="675" w:type="pct"/>
                  <w:vMerge w:val="continue"/>
                  <w:tcBorders>
                    <w:tl2br w:val="nil"/>
                    <w:tr2bl w:val="nil"/>
                  </w:tcBorders>
                  <w:vAlign w:val="center"/>
                </w:tcPr>
                <w:p w14:paraId="3D33B7A1">
                  <w:pPr>
                    <w:wordWrap w:val="0"/>
                    <w:jc w:val="center"/>
                    <w:rPr>
                      <w:rFonts w:hint="eastAsia" w:cs="Times New Roman"/>
                      <w:b w:val="0"/>
                      <w:bCs/>
                      <w:color w:val="auto"/>
                      <w:szCs w:val="21"/>
                      <w:highlight w:val="none"/>
                      <w:lang w:val="en-US" w:eastAsia="zh-CN"/>
                    </w:rPr>
                  </w:pPr>
                </w:p>
              </w:tc>
              <w:tc>
                <w:tcPr>
                  <w:tcW w:w="664" w:type="pct"/>
                  <w:tcBorders>
                    <w:tl2br w:val="nil"/>
                    <w:tr2bl w:val="nil"/>
                  </w:tcBorders>
                  <w:vAlign w:val="center"/>
                </w:tcPr>
                <w:p w14:paraId="066616D1">
                  <w:pPr>
                    <w:wordWrap w:val="0"/>
                    <w:jc w:val="center"/>
                    <w:rPr>
                      <w:rFonts w:hint="eastAsia"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昼间</w:t>
                  </w:r>
                </w:p>
              </w:tc>
              <w:tc>
                <w:tcPr>
                  <w:tcW w:w="613" w:type="pct"/>
                  <w:tcBorders>
                    <w:tl2br w:val="nil"/>
                    <w:tr2bl w:val="nil"/>
                  </w:tcBorders>
                  <w:vAlign w:val="center"/>
                </w:tcPr>
                <w:p w14:paraId="1C0C1E0D">
                  <w:pPr>
                    <w:wordWrap w:val="0"/>
                    <w:jc w:val="center"/>
                    <w:rPr>
                      <w:rFonts w:hint="eastAsia"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夜间</w:t>
                  </w:r>
                </w:p>
              </w:tc>
              <w:tc>
                <w:tcPr>
                  <w:tcW w:w="594" w:type="pct"/>
                  <w:tcBorders>
                    <w:tl2br w:val="nil"/>
                    <w:tr2bl w:val="nil"/>
                  </w:tcBorders>
                  <w:vAlign w:val="center"/>
                </w:tcPr>
                <w:p w14:paraId="6C0EA900">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Cs w:val="21"/>
                      <w:highlight w:val="none"/>
                      <w:lang w:val="en-US" w:eastAsia="zh-CN"/>
                    </w:rPr>
                    <w:t>昼间</w:t>
                  </w:r>
                </w:p>
              </w:tc>
              <w:tc>
                <w:tcPr>
                  <w:tcW w:w="607" w:type="pct"/>
                  <w:tcBorders>
                    <w:tl2br w:val="nil"/>
                    <w:tr2bl w:val="nil"/>
                  </w:tcBorders>
                  <w:vAlign w:val="center"/>
                </w:tcPr>
                <w:p w14:paraId="40FE8A5B">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Cs w:val="21"/>
                      <w:highlight w:val="none"/>
                      <w:lang w:val="en-US" w:eastAsia="zh-CN"/>
                    </w:rPr>
                    <w:t>夜间</w:t>
                  </w:r>
                </w:p>
              </w:tc>
              <w:tc>
                <w:tcPr>
                  <w:tcW w:w="602" w:type="pct"/>
                  <w:tcBorders>
                    <w:tl2br w:val="nil"/>
                    <w:tr2bl w:val="nil"/>
                  </w:tcBorders>
                  <w:vAlign w:val="center"/>
                </w:tcPr>
                <w:p w14:paraId="471FD0FF">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Cs w:val="21"/>
                      <w:highlight w:val="none"/>
                      <w:lang w:val="en-US" w:eastAsia="zh-CN"/>
                    </w:rPr>
                    <w:t>昼间</w:t>
                  </w:r>
                </w:p>
              </w:tc>
              <w:tc>
                <w:tcPr>
                  <w:tcW w:w="601" w:type="pct"/>
                  <w:tcBorders>
                    <w:tl2br w:val="nil"/>
                    <w:tr2bl w:val="nil"/>
                  </w:tcBorders>
                  <w:vAlign w:val="center"/>
                </w:tcPr>
                <w:p w14:paraId="3FE3DE24">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rPr>
                    <w:t>夜间</w:t>
                  </w:r>
                </w:p>
              </w:tc>
            </w:tr>
            <w:tr w14:paraId="0806A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tcBorders>
                    <w:tl2br w:val="nil"/>
                    <w:tr2bl w:val="nil"/>
                  </w:tcBorders>
                  <w:vAlign w:val="center"/>
                </w:tcPr>
                <w:p w14:paraId="204BB642">
                  <w:pPr>
                    <w:wordWrap w:val="0"/>
                    <w:jc w:val="center"/>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1</w:t>
                  </w:r>
                </w:p>
              </w:tc>
              <w:tc>
                <w:tcPr>
                  <w:tcW w:w="675" w:type="pct"/>
                  <w:tcBorders>
                    <w:tl2br w:val="nil"/>
                    <w:tr2bl w:val="nil"/>
                  </w:tcBorders>
                  <w:vAlign w:val="center"/>
                </w:tcPr>
                <w:p w14:paraId="5E234B89">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东厂界</w:t>
                  </w:r>
                </w:p>
              </w:tc>
              <w:tc>
                <w:tcPr>
                  <w:tcW w:w="664" w:type="pct"/>
                  <w:tcBorders>
                    <w:tl2br w:val="nil"/>
                    <w:tr2bl w:val="nil"/>
                  </w:tcBorders>
                  <w:vAlign w:val="center"/>
                </w:tcPr>
                <w:p w14:paraId="0B7C1FF2">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53.0</w:t>
                  </w:r>
                </w:p>
              </w:tc>
              <w:tc>
                <w:tcPr>
                  <w:tcW w:w="613" w:type="pct"/>
                  <w:tcBorders>
                    <w:tl2br w:val="nil"/>
                    <w:tr2bl w:val="nil"/>
                  </w:tcBorders>
                  <w:vAlign w:val="center"/>
                </w:tcPr>
                <w:p w14:paraId="34598641">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594" w:type="pct"/>
                  <w:tcBorders>
                    <w:tl2br w:val="nil"/>
                    <w:tr2bl w:val="nil"/>
                  </w:tcBorders>
                  <w:vAlign w:val="center"/>
                </w:tcPr>
                <w:p w14:paraId="44697DB5">
                  <w:pPr>
                    <w:keepNext w:val="0"/>
                    <w:keepLines w:val="0"/>
                    <w:widowControl/>
                    <w:suppressLineNumbers w:val="0"/>
                    <w:jc w:val="center"/>
                    <w:textAlignment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07" w:type="pct"/>
                  <w:tcBorders>
                    <w:tl2br w:val="nil"/>
                    <w:tr2bl w:val="nil"/>
                  </w:tcBorders>
                  <w:vAlign w:val="center"/>
                </w:tcPr>
                <w:p w14:paraId="7C87AC1E">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02" w:type="pct"/>
                  <w:tcBorders>
                    <w:tl2br w:val="nil"/>
                    <w:tr2bl w:val="nil"/>
                  </w:tcBorders>
                  <w:vAlign w:val="center"/>
                </w:tcPr>
                <w:p w14:paraId="6809825F">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01" w:type="pct"/>
                  <w:tcBorders>
                    <w:tl2br w:val="nil"/>
                    <w:tr2bl w:val="nil"/>
                  </w:tcBorders>
                  <w:vAlign w:val="center"/>
                </w:tcPr>
                <w:p w14:paraId="018146C7">
                  <w:pPr>
                    <w:keepNext w:val="0"/>
                    <w:keepLines w:val="0"/>
                    <w:widowControl/>
                    <w:suppressLineNumbers w:val="0"/>
                    <w:jc w:val="center"/>
                    <w:textAlignment w:val="center"/>
                    <w:rPr>
                      <w:rFonts w:hint="default" w:ascii="Times New Roman" w:hAnsi="Times New Roman"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r>
            <w:tr w14:paraId="299BB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tcBorders>
                    <w:tl2br w:val="nil"/>
                    <w:tr2bl w:val="nil"/>
                  </w:tcBorders>
                  <w:vAlign w:val="center"/>
                </w:tcPr>
                <w:p w14:paraId="671B9E68">
                  <w:pPr>
                    <w:wordWrap w:val="0"/>
                    <w:jc w:val="center"/>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2</w:t>
                  </w:r>
                </w:p>
              </w:tc>
              <w:tc>
                <w:tcPr>
                  <w:tcW w:w="675" w:type="pct"/>
                  <w:tcBorders>
                    <w:tl2br w:val="nil"/>
                    <w:tr2bl w:val="nil"/>
                  </w:tcBorders>
                  <w:vAlign w:val="center"/>
                </w:tcPr>
                <w:p w14:paraId="78086CC3">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西厂界</w:t>
                  </w:r>
                </w:p>
              </w:tc>
              <w:tc>
                <w:tcPr>
                  <w:tcW w:w="664" w:type="pct"/>
                  <w:tcBorders>
                    <w:tl2br w:val="nil"/>
                    <w:tr2bl w:val="nil"/>
                  </w:tcBorders>
                  <w:vAlign w:val="center"/>
                </w:tcPr>
                <w:p w14:paraId="0928CD66">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53.9</w:t>
                  </w:r>
                </w:p>
              </w:tc>
              <w:tc>
                <w:tcPr>
                  <w:tcW w:w="613" w:type="pct"/>
                  <w:tcBorders>
                    <w:tl2br w:val="nil"/>
                    <w:tr2bl w:val="nil"/>
                  </w:tcBorders>
                  <w:vAlign w:val="center"/>
                </w:tcPr>
                <w:p w14:paraId="50B3E647">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 w:val="21"/>
                      <w:szCs w:val="21"/>
                      <w:highlight w:val="none"/>
                      <w:lang w:val="en-US" w:eastAsia="zh-CN"/>
                    </w:rPr>
                    <w:t>/</w:t>
                  </w:r>
                </w:p>
              </w:tc>
              <w:tc>
                <w:tcPr>
                  <w:tcW w:w="594" w:type="pct"/>
                  <w:tcBorders>
                    <w:tl2br w:val="nil"/>
                    <w:tr2bl w:val="nil"/>
                  </w:tcBorders>
                  <w:vAlign w:val="center"/>
                </w:tcPr>
                <w:p w14:paraId="63EA76B8">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 w:val="21"/>
                      <w:szCs w:val="21"/>
                      <w:highlight w:val="none"/>
                      <w:lang w:val="en-US" w:eastAsia="zh-CN"/>
                    </w:rPr>
                    <w:t>/</w:t>
                  </w:r>
                </w:p>
              </w:tc>
              <w:tc>
                <w:tcPr>
                  <w:tcW w:w="607" w:type="pct"/>
                  <w:tcBorders>
                    <w:tl2br w:val="nil"/>
                    <w:tr2bl w:val="nil"/>
                  </w:tcBorders>
                  <w:vAlign w:val="center"/>
                </w:tcPr>
                <w:p w14:paraId="671C84F6">
                  <w:pPr>
                    <w:wordWrap w:val="0"/>
                    <w:jc w:val="center"/>
                    <w:rPr>
                      <w:rFonts w:hint="default" w:ascii="Times New Roman" w:hAnsi="Times New Roman" w:cs="Times New Roman"/>
                      <w:b w:val="0"/>
                      <w:bCs/>
                      <w:color w:val="auto"/>
                      <w:szCs w:val="21"/>
                      <w:highlight w:val="none"/>
                      <w:lang w:val="en-US" w:eastAsia="zh-CN" w:bidi="ar"/>
                    </w:rPr>
                  </w:pPr>
                  <w:r>
                    <w:rPr>
                      <w:rFonts w:hint="eastAsia" w:cs="Times New Roman"/>
                      <w:b w:val="0"/>
                      <w:bCs/>
                      <w:color w:val="auto"/>
                      <w:sz w:val="21"/>
                      <w:szCs w:val="21"/>
                      <w:highlight w:val="none"/>
                      <w:lang w:val="en-US" w:eastAsia="zh-CN"/>
                    </w:rPr>
                    <w:t>/</w:t>
                  </w:r>
                </w:p>
              </w:tc>
              <w:tc>
                <w:tcPr>
                  <w:tcW w:w="602" w:type="pct"/>
                  <w:tcBorders>
                    <w:tl2br w:val="nil"/>
                    <w:tr2bl w:val="nil"/>
                  </w:tcBorders>
                  <w:vAlign w:val="center"/>
                </w:tcPr>
                <w:p w14:paraId="116CA665">
                  <w:pPr>
                    <w:wordWrap w:val="0"/>
                    <w:jc w:val="center"/>
                    <w:rPr>
                      <w:rFonts w:hint="default" w:ascii="Times New Roman" w:hAnsi="Times New Roman" w:cs="Times New Roman"/>
                      <w:b w:val="0"/>
                      <w:bCs/>
                      <w:color w:val="auto"/>
                      <w:szCs w:val="21"/>
                      <w:highlight w:val="none"/>
                      <w:lang w:val="en-US" w:eastAsia="zh-CN" w:bidi="ar"/>
                    </w:rPr>
                  </w:pPr>
                  <w:r>
                    <w:rPr>
                      <w:rFonts w:hint="eastAsia" w:cs="Times New Roman"/>
                      <w:b w:val="0"/>
                      <w:bCs/>
                      <w:color w:val="auto"/>
                      <w:sz w:val="21"/>
                      <w:szCs w:val="21"/>
                      <w:highlight w:val="none"/>
                      <w:lang w:val="en-US" w:eastAsia="zh-CN"/>
                    </w:rPr>
                    <w:t>/</w:t>
                  </w:r>
                </w:p>
              </w:tc>
              <w:tc>
                <w:tcPr>
                  <w:tcW w:w="601" w:type="pct"/>
                  <w:tcBorders>
                    <w:tl2br w:val="nil"/>
                    <w:tr2bl w:val="nil"/>
                  </w:tcBorders>
                  <w:vAlign w:val="center"/>
                </w:tcPr>
                <w:p w14:paraId="454A92B6">
                  <w:pPr>
                    <w:wordWrap w:val="0"/>
                    <w:jc w:val="center"/>
                    <w:rPr>
                      <w:rFonts w:hint="default" w:ascii="Times New Roman" w:hAnsi="Times New Roman" w:cs="Times New Roman"/>
                      <w:b w:val="0"/>
                      <w:bCs/>
                      <w:color w:val="auto"/>
                      <w:szCs w:val="21"/>
                      <w:highlight w:val="none"/>
                      <w:lang w:val="en-US" w:eastAsia="zh-CN" w:bidi="ar"/>
                    </w:rPr>
                  </w:pPr>
                  <w:r>
                    <w:rPr>
                      <w:rFonts w:hint="eastAsia" w:cs="Times New Roman"/>
                      <w:b w:val="0"/>
                      <w:bCs/>
                      <w:color w:val="auto"/>
                      <w:sz w:val="21"/>
                      <w:szCs w:val="21"/>
                      <w:highlight w:val="none"/>
                      <w:lang w:val="en-US" w:eastAsia="zh-CN"/>
                    </w:rPr>
                    <w:t>/</w:t>
                  </w:r>
                </w:p>
              </w:tc>
            </w:tr>
            <w:tr w14:paraId="022A48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tcBorders>
                    <w:tl2br w:val="nil"/>
                    <w:tr2bl w:val="nil"/>
                  </w:tcBorders>
                  <w:vAlign w:val="center"/>
                </w:tcPr>
                <w:p w14:paraId="4218968D">
                  <w:pPr>
                    <w:wordWrap w:val="0"/>
                    <w:jc w:val="center"/>
                    <w:rPr>
                      <w:rFonts w:hint="eastAsia"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3</w:t>
                  </w:r>
                </w:p>
              </w:tc>
              <w:tc>
                <w:tcPr>
                  <w:tcW w:w="675" w:type="pct"/>
                  <w:tcBorders>
                    <w:tl2br w:val="nil"/>
                    <w:tr2bl w:val="nil"/>
                  </w:tcBorders>
                  <w:vAlign w:val="center"/>
                </w:tcPr>
                <w:p w14:paraId="554CF98C">
                  <w:pPr>
                    <w:wordWrap w:val="0"/>
                    <w:jc w:val="center"/>
                    <w:rPr>
                      <w:rFonts w:hint="eastAsia"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南厂界</w:t>
                  </w:r>
                </w:p>
              </w:tc>
              <w:tc>
                <w:tcPr>
                  <w:tcW w:w="664" w:type="pct"/>
                  <w:tcBorders>
                    <w:tl2br w:val="nil"/>
                    <w:tr2bl w:val="nil"/>
                  </w:tcBorders>
                  <w:vAlign w:val="center"/>
                </w:tcPr>
                <w:p w14:paraId="75E71B85">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39.2</w:t>
                  </w:r>
                </w:p>
              </w:tc>
              <w:tc>
                <w:tcPr>
                  <w:tcW w:w="613" w:type="pct"/>
                  <w:tcBorders>
                    <w:tl2br w:val="nil"/>
                    <w:tr2bl w:val="nil"/>
                  </w:tcBorders>
                  <w:vAlign w:val="center"/>
                </w:tcPr>
                <w:p w14:paraId="2BDC79FC">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594" w:type="pct"/>
                  <w:tcBorders>
                    <w:tl2br w:val="nil"/>
                    <w:tr2bl w:val="nil"/>
                  </w:tcBorders>
                  <w:vAlign w:val="center"/>
                </w:tcPr>
                <w:p w14:paraId="24521595">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7" w:type="pct"/>
                  <w:tcBorders>
                    <w:tl2br w:val="nil"/>
                    <w:tr2bl w:val="nil"/>
                  </w:tcBorders>
                  <w:vAlign w:val="center"/>
                </w:tcPr>
                <w:p w14:paraId="4E7EE7FC">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2" w:type="pct"/>
                  <w:tcBorders>
                    <w:tl2br w:val="nil"/>
                    <w:tr2bl w:val="nil"/>
                  </w:tcBorders>
                  <w:vAlign w:val="center"/>
                </w:tcPr>
                <w:p w14:paraId="6ED35F1D">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1" w:type="pct"/>
                  <w:tcBorders>
                    <w:tl2br w:val="nil"/>
                    <w:tr2bl w:val="nil"/>
                  </w:tcBorders>
                  <w:vAlign w:val="center"/>
                </w:tcPr>
                <w:p w14:paraId="58B13340">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r>
            <w:tr w14:paraId="72CAF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tcBorders>
                    <w:tl2br w:val="nil"/>
                    <w:tr2bl w:val="nil"/>
                  </w:tcBorders>
                  <w:vAlign w:val="center"/>
                </w:tcPr>
                <w:p w14:paraId="6FC8E372">
                  <w:pPr>
                    <w:wordWrap w:val="0"/>
                    <w:jc w:val="center"/>
                    <w:rPr>
                      <w:rFonts w:hint="default"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4</w:t>
                  </w:r>
                </w:p>
              </w:tc>
              <w:tc>
                <w:tcPr>
                  <w:tcW w:w="675" w:type="pct"/>
                  <w:tcBorders>
                    <w:tl2br w:val="nil"/>
                    <w:tr2bl w:val="nil"/>
                  </w:tcBorders>
                  <w:vAlign w:val="center"/>
                </w:tcPr>
                <w:p w14:paraId="7758B9E9">
                  <w:pPr>
                    <w:wordWrap w:val="0"/>
                    <w:jc w:val="center"/>
                    <w:rPr>
                      <w:rFonts w:hint="eastAsia"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北厂界</w:t>
                  </w:r>
                </w:p>
              </w:tc>
              <w:tc>
                <w:tcPr>
                  <w:tcW w:w="664" w:type="pct"/>
                  <w:tcBorders>
                    <w:tl2br w:val="nil"/>
                    <w:tr2bl w:val="nil"/>
                  </w:tcBorders>
                  <w:vAlign w:val="center"/>
                </w:tcPr>
                <w:p w14:paraId="099ADE15">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56.1</w:t>
                  </w:r>
                </w:p>
              </w:tc>
              <w:tc>
                <w:tcPr>
                  <w:tcW w:w="613" w:type="pct"/>
                  <w:tcBorders>
                    <w:tl2br w:val="nil"/>
                    <w:tr2bl w:val="nil"/>
                  </w:tcBorders>
                  <w:vAlign w:val="center"/>
                </w:tcPr>
                <w:p w14:paraId="03B09B54">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594" w:type="pct"/>
                  <w:tcBorders>
                    <w:tl2br w:val="nil"/>
                    <w:tr2bl w:val="nil"/>
                  </w:tcBorders>
                  <w:vAlign w:val="center"/>
                </w:tcPr>
                <w:p w14:paraId="02F6FE00">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7" w:type="pct"/>
                  <w:tcBorders>
                    <w:tl2br w:val="nil"/>
                    <w:tr2bl w:val="nil"/>
                  </w:tcBorders>
                  <w:vAlign w:val="center"/>
                </w:tcPr>
                <w:p w14:paraId="352C63D3">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2" w:type="pct"/>
                  <w:tcBorders>
                    <w:tl2br w:val="nil"/>
                    <w:tr2bl w:val="nil"/>
                  </w:tcBorders>
                  <w:vAlign w:val="center"/>
                </w:tcPr>
                <w:p w14:paraId="4FD2B31A">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1" w:type="pct"/>
                  <w:tcBorders>
                    <w:tl2br w:val="nil"/>
                    <w:tr2bl w:val="nil"/>
                  </w:tcBorders>
                  <w:vAlign w:val="center"/>
                </w:tcPr>
                <w:p w14:paraId="1B0491C5">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r>
            <w:tr w14:paraId="65B341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642" w:type="pct"/>
                  <w:tcBorders>
                    <w:tl2br w:val="nil"/>
                    <w:tr2bl w:val="nil"/>
                  </w:tcBorders>
                  <w:vAlign w:val="center"/>
                </w:tcPr>
                <w:p w14:paraId="6EA0A9E6">
                  <w:pPr>
                    <w:wordWrap w:val="0"/>
                    <w:jc w:val="center"/>
                    <w:rPr>
                      <w:rFonts w:hint="default"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5</w:t>
                  </w:r>
                </w:p>
              </w:tc>
              <w:tc>
                <w:tcPr>
                  <w:tcW w:w="675" w:type="pct"/>
                  <w:tcBorders>
                    <w:tl2br w:val="nil"/>
                    <w:tr2bl w:val="nil"/>
                  </w:tcBorders>
                  <w:vAlign w:val="center"/>
                </w:tcPr>
                <w:p w14:paraId="35B3D020">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敏感点</w:t>
                  </w:r>
                  <w:r>
                    <w:rPr>
                      <w:rFonts w:hint="eastAsia" w:cs="Times New Roman"/>
                      <w:b w:val="0"/>
                      <w:bCs/>
                      <w:color w:val="auto"/>
                      <w:szCs w:val="21"/>
                      <w:highlight w:val="none"/>
                      <w:vertAlign w:val="superscript"/>
                      <w:lang w:val="en-US" w:eastAsia="zh-CN" w:bidi="ar"/>
                    </w:rPr>
                    <w:t>①</w:t>
                  </w:r>
                </w:p>
              </w:tc>
              <w:tc>
                <w:tcPr>
                  <w:tcW w:w="664" w:type="pct"/>
                  <w:tcBorders>
                    <w:tl2br w:val="nil"/>
                    <w:tr2bl w:val="nil"/>
                  </w:tcBorders>
                  <w:vAlign w:val="center"/>
                </w:tcPr>
                <w:p w14:paraId="371409B8">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38.1</w:t>
                  </w:r>
                </w:p>
              </w:tc>
              <w:tc>
                <w:tcPr>
                  <w:tcW w:w="613" w:type="pct"/>
                  <w:tcBorders>
                    <w:tl2br w:val="nil"/>
                    <w:tr2bl w:val="nil"/>
                  </w:tcBorders>
                  <w:vAlign w:val="center"/>
                </w:tcPr>
                <w:p w14:paraId="122F9C88">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594" w:type="pct"/>
                  <w:tcBorders>
                    <w:tl2br w:val="nil"/>
                    <w:tr2bl w:val="nil"/>
                  </w:tcBorders>
                  <w:vAlign w:val="center"/>
                </w:tcPr>
                <w:p w14:paraId="70DD23CE">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57</w:t>
                  </w:r>
                </w:p>
              </w:tc>
              <w:tc>
                <w:tcPr>
                  <w:tcW w:w="607" w:type="pct"/>
                  <w:tcBorders>
                    <w:tl2br w:val="nil"/>
                    <w:tr2bl w:val="nil"/>
                  </w:tcBorders>
                  <w:vAlign w:val="center"/>
                </w:tcPr>
                <w:p w14:paraId="6DA10E45">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c>
                <w:tcPr>
                  <w:tcW w:w="602" w:type="pct"/>
                  <w:tcBorders>
                    <w:tl2br w:val="nil"/>
                    <w:tr2bl w:val="nil"/>
                  </w:tcBorders>
                  <w:vAlign w:val="center"/>
                </w:tcPr>
                <w:p w14:paraId="3C8E23B6">
                  <w:pPr>
                    <w:wordWrap w:val="0"/>
                    <w:jc w:val="center"/>
                    <w:rPr>
                      <w:rFonts w:hint="default" w:ascii="Times New Roman" w:hAnsi="Times New Roman" w:eastAsia="宋体" w:cs="Times New Roman"/>
                      <w:b w:val="0"/>
                      <w:bCs/>
                      <w:color w:val="auto"/>
                      <w:szCs w:val="21"/>
                      <w:highlight w:val="none"/>
                      <w:lang w:val="en-US" w:eastAsia="zh-CN" w:bidi="ar"/>
                    </w:rPr>
                  </w:pPr>
                  <w:r>
                    <w:rPr>
                      <w:rFonts w:hint="eastAsia" w:cs="Times New Roman"/>
                      <w:b w:val="0"/>
                      <w:bCs/>
                      <w:color w:val="auto"/>
                      <w:szCs w:val="21"/>
                      <w:highlight w:val="none"/>
                      <w:lang w:val="en-US" w:eastAsia="zh-CN" w:bidi="ar"/>
                    </w:rPr>
                    <w:t>57.1</w:t>
                  </w:r>
                </w:p>
              </w:tc>
              <w:tc>
                <w:tcPr>
                  <w:tcW w:w="601" w:type="pct"/>
                  <w:tcBorders>
                    <w:tl2br w:val="nil"/>
                    <w:tr2bl w:val="nil"/>
                  </w:tcBorders>
                  <w:vAlign w:val="center"/>
                </w:tcPr>
                <w:p w14:paraId="2F571F09">
                  <w:pPr>
                    <w:wordWrap w:val="0"/>
                    <w:jc w:val="center"/>
                    <w:rPr>
                      <w:rFonts w:hint="default" w:ascii="Times New Roman" w:hAnsi="Times New Roman" w:cs="Times New Roman"/>
                      <w:b w:val="0"/>
                      <w:bCs/>
                      <w:color w:val="auto"/>
                      <w:szCs w:val="21"/>
                      <w:highlight w:val="none"/>
                      <w:lang w:bidi="ar"/>
                    </w:rPr>
                  </w:pPr>
                  <w:r>
                    <w:rPr>
                      <w:rFonts w:hint="eastAsia" w:cs="Times New Roman"/>
                      <w:b w:val="0"/>
                      <w:bCs/>
                      <w:color w:val="auto"/>
                      <w:sz w:val="21"/>
                      <w:szCs w:val="21"/>
                      <w:highlight w:val="none"/>
                      <w:lang w:val="en-US" w:eastAsia="zh-CN"/>
                    </w:rPr>
                    <w:t>/</w:t>
                  </w:r>
                </w:p>
              </w:tc>
            </w:tr>
            <w:tr w14:paraId="0F271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40" w:hRule="atLeast"/>
                <w:jc w:val="center"/>
              </w:trPr>
              <w:tc>
                <w:tcPr>
                  <w:tcW w:w="5000" w:type="pct"/>
                  <w:gridSpan w:val="8"/>
                  <w:tcBorders>
                    <w:tl2br w:val="nil"/>
                    <w:tr2bl w:val="nil"/>
                  </w:tcBorders>
                  <w:vAlign w:val="center"/>
                </w:tcPr>
                <w:p w14:paraId="346496E0">
                  <w:pPr>
                    <w:wordWrap w:val="0"/>
                    <w:jc w:val="center"/>
                    <w:rPr>
                      <w:rFonts w:hint="default" w:ascii="Times New Roman" w:hAnsi="Times New Roman" w:cs="Times New Roman"/>
                      <w:b w:val="0"/>
                      <w:bCs/>
                      <w:color w:val="auto"/>
                      <w:szCs w:val="21"/>
                      <w:highlight w:val="none"/>
                      <w:lang w:val="en-US" w:eastAsia="zh-CN" w:bidi="ar"/>
                    </w:rPr>
                  </w:pPr>
                  <w:r>
                    <w:rPr>
                      <w:rFonts w:hint="default" w:ascii="Times New Roman" w:hAnsi="Times New Roman" w:cs="Times New Roman"/>
                      <w:b w:val="0"/>
                      <w:bCs/>
                      <w:color w:val="auto"/>
                      <w:szCs w:val="21"/>
                      <w:highlight w:val="none"/>
                      <w:lang w:val="en-US" w:eastAsia="zh-CN" w:bidi="ar"/>
                    </w:rPr>
                    <w:t>注①：敏感点为厂界外南侧13m处联庄村住宅</w:t>
                  </w:r>
                </w:p>
              </w:tc>
            </w:tr>
          </w:tbl>
          <w:p w14:paraId="56D1CC13">
            <w:pPr>
              <w:adjustRightInd w:val="0"/>
              <w:snapToGrid w:val="0"/>
              <w:spacing w:line="360" w:lineRule="auto"/>
              <w:ind w:firstLine="422" w:firstLineChars="200"/>
              <w:jc w:val="left"/>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Cs w:val="21"/>
                <w:highlight w:val="none"/>
                <w:lang w:val="en-US" w:eastAsia="zh-CN"/>
              </w:rPr>
              <w:t>备注：项目仅在昼间生产8h，夜间不生产。</w:t>
            </w:r>
          </w:p>
          <w:p w14:paraId="15BC8E5A">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根据表4-1</w:t>
            </w:r>
            <w:r>
              <w:rPr>
                <w:rFonts w:hint="default"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rPr>
              <w:t>可知，经预测项目东、南、西、北厂界噪声贡献值满足《工业企业厂界环境噪声排放标准》（GB12348-2008）中</w:t>
            </w:r>
            <w:r>
              <w:rPr>
                <w:rFonts w:hint="default"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rPr>
              <w:t>类标准，</w:t>
            </w:r>
            <w:r>
              <w:rPr>
                <w:rFonts w:hint="eastAsia" w:cs="Times New Roman"/>
                <w:bCs/>
                <w:color w:val="auto"/>
                <w:sz w:val="24"/>
                <w:highlight w:val="none"/>
                <w:lang w:val="en-US" w:eastAsia="zh-CN"/>
              </w:rPr>
              <w:t>敏感点处预测值满足《工业企业厂界环境噪声排放标准》（GB12348-2008）中2类标准，</w:t>
            </w:r>
            <w:r>
              <w:rPr>
                <w:rFonts w:hint="default" w:ascii="Times New Roman" w:hAnsi="Times New Roman" w:cs="Times New Roman"/>
                <w:bCs/>
                <w:color w:val="auto"/>
                <w:sz w:val="24"/>
                <w:highlight w:val="none"/>
              </w:rPr>
              <w:t>因此噪声对周边环境影响较小。</w:t>
            </w:r>
          </w:p>
          <w:p w14:paraId="4F2EDA63">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w:t>
            </w:r>
            <w:r>
              <w:rPr>
                <w:rFonts w:hint="default" w:ascii="Times New Roman" w:hAnsi="Times New Roman" w:cs="Times New Roman"/>
                <w:bCs/>
                <w:color w:val="auto"/>
                <w:sz w:val="24"/>
                <w:highlight w:val="none"/>
                <w:lang w:val="en-US" w:eastAsia="zh-CN"/>
              </w:rPr>
              <w:t>5</w:t>
            </w:r>
            <w:r>
              <w:rPr>
                <w:rFonts w:hint="default" w:ascii="Times New Roman" w:hAnsi="Times New Roman" w:cs="Times New Roman"/>
                <w:bCs/>
                <w:color w:val="auto"/>
                <w:sz w:val="24"/>
                <w:highlight w:val="none"/>
              </w:rPr>
              <w:t>）监测计</w:t>
            </w:r>
            <w:r>
              <w:rPr>
                <w:rFonts w:hint="default" w:ascii="Times New Roman" w:hAnsi="Times New Roman" w:cs="Times New Roman"/>
                <w:bCs/>
                <w:color w:val="auto"/>
                <w:sz w:val="24"/>
                <w:highlight w:val="none"/>
                <w:lang w:val="en-US" w:eastAsia="zh-CN"/>
              </w:rPr>
              <w:t>划</w:t>
            </w:r>
          </w:p>
          <w:p w14:paraId="466AD712">
            <w:pPr>
              <w:widowControl/>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表4-1</w:t>
            </w:r>
            <w:r>
              <w:rPr>
                <w:rFonts w:hint="default" w:ascii="Times New Roman" w:hAnsi="Times New Roman" w:cs="Times New Roman"/>
                <w:b/>
                <w:color w:val="auto"/>
                <w:szCs w:val="21"/>
                <w:highlight w:val="none"/>
                <w:lang w:val="en-US" w:eastAsia="zh-CN"/>
              </w:rPr>
              <w:t>2</w:t>
            </w:r>
            <w:r>
              <w:rPr>
                <w:rFonts w:hint="default" w:ascii="Times New Roman" w:hAnsi="Times New Roman" w:cs="Times New Roman"/>
                <w:b/>
                <w:color w:val="auto"/>
                <w:szCs w:val="21"/>
                <w:highlight w:val="none"/>
              </w:rPr>
              <w:t xml:space="preserve">   噪声监测计划一览表</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1" w:type="dxa"/>
                <w:bottom w:w="0" w:type="dxa"/>
                <w:right w:w="11" w:type="dxa"/>
              </w:tblCellMar>
            </w:tblPr>
            <w:tblGrid>
              <w:gridCol w:w="1378"/>
              <w:gridCol w:w="1119"/>
              <w:gridCol w:w="1225"/>
              <w:gridCol w:w="1344"/>
              <w:gridCol w:w="3654"/>
            </w:tblGrid>
            <w:tr w14:paraId="768B3E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790" w:type="pct"/>
                  <w:tcBorders>
                    <w:tl2br w:val="nil"/>
                    <w:tr2bl w:val="nil"/>
                  </w:tcBorders>
                  <w:vAlign w:val="center"/>
                </w:tcPr>
                <w:p w14:paraId="5A3E1A3D">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污染源名称</w:t>
                  </w:r>
                </w:p>
              </w:tc>
              <w:tc>
                <w:tcPr>
                  <w:tcW w:w="641" w:type="pct"/>
                  <w:tcBorders>
                    <w:tl2br w:val="nil"/>
                    <w:tr2bl w:val="nil"/>
                  </w:tcBorders>
                  <w:vAlign w:val="center"/>
                </w:tcPr>
                <w:p w14:paraId="0B66513C">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监测项目</w:t>
                  </w:r>
                </w:p>
              </w:tc>
              <w:tc>
                <w:tcPr>
                  <w:tcW w:w="702" w:type="pct"/>
                  <w:tcBorders>
                    <w:tl2br w:val="nil"/>
                    <w:tr2bl w:val="nil"/>
                  </w:tcBorders>
                  <w:vAlign w:val="center"/>
                </w:tcPr>
                <w:p w14:paraId="6A01649E">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监测点位</w:t>
                  </w:r>
                </w:p>
              </w:tc>
              <w:tc>
                <w:tcPr>
                  <w:tcW w:w="770" w:type="pct"/>
                  <w:tcBorders>
                    <w:tl2br w:val="nil"/>
                    <w:tr2bl w:val="nil"/>
                  </w:tcBorders>
                  <w:vAlign w:val="center"/>
                </w:tcPr>
                <w:p w14:paraId="77AEA476">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监测频次</w:t>
                  </w:r>
                </w:p>
              </w:tc>
              <w:tc>
                <w:tcPr>
                  <w:tcW w:w="2094" w:type="pct"/>
                  <w:tcBorders>
                    <w:tl2br w:val="nil"/>
                    <w:tr2bl w:val="nil"/>
                  </w:tcBorders>
                  <w:vAlign w:val="center"/>
                </w:tcPr>
                <w:p w14:paraId="63C98919">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执行标准</w:t>
                  </w:r>
                </w:p>
              </w:tc>
            </w:tr>
            <w:tr w14:paraId="7B2AA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790" w:type="pct"/>
                  <w:tcBorders>
                    <w:tl2br w:val="nil"/>
                    <w:tr2bl w:val="nil"/>
                  </w:tcBorders>
                  <w:vAlign w:val="center"/>
                </w:tcPr>
                <w:p w14:paraId="4BE2DD18">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噪声</w:t>
                  </w:r>
                </w:p>
              </w:tc>
              <w:tc>
                <w:tcPr>
                  <w:tcW w:w="641" w:type="pct"/>
                  <w:tcBorders>
                    <w:tl2br w:val="nil"/>
                    <w:tr2bl w:val="nil"/>
                  </w:tcBorders>
                  <w:vAlign w:val="center"/>
                </w:tcPr>
                <w:p w14:paraId="6978732B">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Leq（A）</w:t>
                  </w:r>
                </w:p>
              </w:tc>
              <w:tc>
                <w:tcPr>
                  <w:tcW w:w="702" w:type="pct"/>
                  <w:tcBorders>
                    <w:tl2br w:val="nil"/>
                    <w:tr2bl w:val="nil"/>
                  </w:tcBorders>
                  <w:vAlign w:val="center"/>
                </w:tcPr>
                <w:p w14:paraId="78D4C998">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厂界四周</w:t>
                  </w:r>
                </w:p>
              </w:tc>
              <w:tc>
                <w:tcPr>
                  <w:tcW w:w="770" w:type="pct"/>
                  <w:tcBorders>
                    <w:tl2br w:val="nil"/>
                    <w:tr2bl w:val="nil"/>
                  </w:tcBorders>
                  <w:vAlign w:val="center"/>
                </w:tcPr>
                <w:p w14:paraId="5ABD2F98">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每季度一次</w:t>
                  </w:r>
                </w:p>
              </w:tc>
              <w:tc>
                <w:tcPr>
                  <w:tcW w:w="2094" w:type="pct"/>
                  <w:tcBorders>
                    <w:tl2br w:val="nil"/>
                    <w:tr2bl w:val="nil"/>
                  </w:tcBorders>
                  <w:vAlign w:val="center"/>
                </w:tcPr>
                <w:p w14:paraId="51259A0B">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《工业企业厂界环境噪声排放标准》（GB12348-2008）中</w:t>
                  </w:r>
                  <w:r>
                    <w:rPr>
                      <w:rFonts w:hint="default" w:ascii="Times New Roman" w:hAnsi="Times New Roman" w:cs="Times New Roman"/>
                      <w:b w:val="0"/>
                      <w:bCs/>
                      <w:color w:val="auto"/>
                      <w:szCs w:val="21"/>
                      <w:highlight w:val="none"/>
                      <w:lang w:val="en-US" w:eastAsia="zh-CN"/>
                    </w:rPr>
                    <w:t>2</w:t>
                  </w:r>
                  <w:r>
                    <w:rPr>
                      <w:rFonts w:hint="default" w:ascii="Times New Roman" w:hAnsi="Times New Roman" w:cs="Times New Roman"/>
                      <w:b w:val="0"/>
                      <w:bCs/>
                      <w:color w:val="auto"/>
                      <w:szCs w:val="21"/>
                      <w:highlight w:val="none"/>
                    </w:rPr>
                    <w:t>类限值</w:t>
                  </w:r>
                </w:p>
              </w:tc>
            </w:tr>
          </w:tbl>
          <w:p w14:paraId="179E259B">
            <w:pPr>
              <w:adjustRightInd w:val="0"/>
              <w:snapToGrid w:val="0"/>
              <w:spacing w:line="360" w:lineRule="auto"/>
              <w:ind w:firstLine="482" w:firstLineChars="20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四</w:t>
            </w:r>
            <w:r>
              <w:rPr>
                <w:rFonts w:hint="default" w:ascii="Times New Roman" w:hAnsi="Times New Roman" w:cs="Times New Roman"/>
                <w:b/>
                <w:color w:val="auto"/>
                <w:sz w:val="24"/>
                <w:highlight w:val="none"/>
              </w:rPr>
              <w:t>、固废</w:t>
            </w:r>
          </w:p>
          <w:p w14:paraId="1CDD3EED">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（1）固体废物产生及处置情况</w:t>
            </w:r>
          </w:p>
          <w:p w14:paraId="411A85CF">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1 \* GB3 \* MERGEFORMAT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color w:val="auto"/>
                <w:highlight w:val="none"/>
              </w:rPr>
              <w:t>①</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生活垃圾</w:t>
            </w:r>
          </w:p>
          <w:p w14:paraId="6A1FF1C4">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运营期劳动定员</w:t>
            </w:r>
            <w:r>
              <w:rPr>
                <w:rFonts w:hint="default" w:ascii="Times New Roman" w:hAnsi="Times New Roman" w:cs="Times New Roman"/>
                <w:bCs/>
                <w:color w:val="auto"/>
                <w:sz w:val="24"/>
                <w:highlight w:val="none"/>
                <w:lang w:val="en-US" w:eastAsia="zh-CN"/>
              </w:rPr>
              <w:t>1200</w:t>
            </w:r>
            <w:r>
              <w:rPr>
                <w:rFonts w:hint="default" w:ascii="Times New Roman" w:hAnsi="Times New Roman" w:cs="Times New Roman"/>
                <w:bCs/>
                <w:color w:val="auto"/>
                <w:sz w:val="24"/>
                <w:highlight w:val="none"/>
              </w:rPr>
              <w:t>人，生活垃圾排放系数以0.5kg/人•d计，</w:t>
            </w:r>
            <w:r>
              <w:rPr>
                <w:rFonts w:hint="default" w:ascii="Times New Roman" w:hAnsi="Times New Roman" w:cs="Times New Roman"/>
                <w:bCs/>
                <w:color w:val="auto"/>
                <w:sz w:val="24"/>
                <w:highlight w:val="none"/>
                <w:lang w:val="en-US" w:eastAsia="zh-CN"/>
              </w:rPr>
              <w:t>年生产天数为250d，因此</w:t>
            </w:r>
            <w:r>
              <w:rPr>
                <w:rFonts w:hint="default" w:ascii="Times New Roman" w:hAnsi="Times New Roman" w:cs="Times New Roman"/>
                <w:bCs/>
                <w:color w:val="auto"/>
                <w:sz w:val="24"/>
                <w:highlight w:val="none"/>
              </w:rPr>
              <w:t>运营期共产生生活垃圾</w:t>
            </w:r>
            <w:r>
              <w:rPr>
                <w:rFonts w:hint="default" w:ascii="Times New Roman" w:hAnsi="Times New Roman" w:cs="Times New Roman"/>
                <w:bCs/>
                <w:color w:val="auto"/>
                <w:sz w:val="24"/>
                <w:highlight w:val="none"/>
                <w:lang w:val="en-US" w:eastAsia="zh-CN"/>
              </w:rPr>
              <w:t>150</w:t>
            </w:r>
            <w:r>
              <w:rPr>
                <w:rFonts w:hint="default" w:ascii="Times New Roman" w:hAnsi="Times New Roman" w:cs="Times New Roman"/>
                <w:bCs/>
                <w:color w:val="auto"/>
                <w:sz w:val="24"/>
                <w:highlight w:val="none"/>
              </w:rPr>
              <w:t>t/a，垃圾桶分类收集，环卫部门统一清运。</w:t>
            </w:r>
            <w:r>
              <w:rPr>
                <w:rFonts w:hint="default" w:ascii="Times New Roman" w:hAnsi="Times New Roman" w:cs="Times New Roman"/>
                <w:bCs/>
                <w:color w:val="auto"/>
                <w:sz w:val="24"/>
                <w:highlight w:val="none"/>
                <w:lang w:val="en-US" w:eastAsia="zh-CN"/>
              </w:rPr>
              <w:t>废油脂产生量为</w:t>
            </w:r>
            <w:r>
              <w:rPr>
                <w:rFonts w:hint="eastAsia" w:cs="Times New Roman"/>
                <w:bCs/>
                <w:color w:val="auto"/>
                <w:sz w:val="24"/>
                <w:highlight w:val="none"/>
                <w:lang w:val="en-US" w:eastAsia="zh-CN"/>
              </w:rPr>
              <w:t>6</w:t>
            </w:r>
            <w:r>
              <w:rPr>
                <w:rFonts w:hint="default" w:ascii="Times New Roman" w:hAnsi="Times New Roman" w:cs="Times New Roman"/>
                <w:bCs/>
                <w:color w:val="auto"/>
                <w:sz w:val="24"/>
                <w:highlight w:val="none"/>
                <w:lang w:val="en-US" w:eastAsia="zh-CN"/>
              </w:rPr>
              <w:t>t/a，交由有资质单位处理。</w:t>
            </w:r>
          </w:p>
          <w:p w14:paraId="1D99F2A9">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rPr>
              <w:t>②</w:t>
            </w:r>
            <w:r>
              <w:rPr>
                <w:rFonts w:hint="default" w:ascii="Times New Roman" w:hAnsi="Times New Roman" w:eastAsia="宋体" w:cs="Times New Roman"/>
                <w:bCs/>
                <w:color w:val="auto"/>
                <w:sz w:val="24"/>
                <w:highlight w:val="none"/>
                <w:lang w:val="en-US" w:eastAsia="zh-CN"/>
              </w:rPr>
              <w:t>废</w:t>
            </w:r>
            <w:r>
              <w:rPr>
                <w:rFonts w:hint="default" w:ascii="Times New Roman" w:hAnsi="Times New Roman" w:cs="Times New Roman"/>
                <w:bCs/>
                <w:color w:val="auto"/>
                <w:sz w:val="24"/>
                <w:highlight w:val="none"/>
                <w:lang w:val="en-US" w:eastAsia="zh-CN"/>
              </w:rPr>
              <w:t>包装</w:t>
            </w:r>
          </w:p>
          <w:p w14:paraId="6FE29376">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项目生产过程使用的</w:t>
            </w:r>
            <w:r>
              <w:rPr>
                <w:rFonts w:hint="default" w:ascii="Times New Roman" w:hAnsi="Times New Roman" w:cs="Times New Roman"/>
                <w:bCs/>
                <w:color w:val="auto"/>
                <w:sz w:val="24"/>
                <w:highlight w:val="none"/>
                <w:lang w:val="en-US" w:eastAsia="zh-CN"/>
              </w:rPr>
              <w:t>清洗剂、灌封胶</w:t>
            </w:r>
            <w:r>
              <w:rPr>
                <w:rFonts w:hint="default" w:ascii="Times New Roman" w:hAnsi="Times New Roman" w:eastAsia="宋体" w:cs="Times New Roman"/>
                <w:bCs/>
                <w:color w:val="auto"/>
                <w:sz w:val="24"/>
                <w:highlight w:val="none"/>
                <w:lang w:val="en-US" w:eastAsia="zh-CN"/>
              </w:rPr>
              <w:t>包装为危险废物（HW49：900-041-49：含有或者沾染毒性、感染性危险废物的废弃物），产生量约为0.2t/a，分类收集后暂存于危废贮存库，委托</w:t>
            </w:r>
            <w:r>
              <w:rPr>
                <w:rFonts w:hint="default" w:ascii="Times New Roman" w:hAnsi="Times New Roman" w:cs="Times New Roman"/>
                <w:bCs/>
                <w:color w:val="auto"/>
                <w:sz w:val="24"/>
                <w:highlight w:val="none"/>
                <w:lang w:val="en-US" w:eastAsia="zh-CN"/>
              </w:rPr>
              <w:t>有资质的公司</w:t>
            </w:r>
            <w:r>
              <w:rPr>
                <w:rFonts w:hint="default" w:ascii="Times New Roman" w:hAnsi="Times New Roman" w:eastAsia="宋体" w:cs="Times New Roman"/>
                <w:bCs/>
                <w:color w:val="auto"/>
                <w:sz w:val="24"/>
                <w:highlight w:val="none"/>
                <w:lang w:val="en-US" w:eastAsia="zh-CN"/>
              </w:rPr>
              <w:t>处理。</w:t>
            </w:r>
          </w:p>
          <w:p w14:paraId="77BC3915">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其他普通原辅材料包装物为一般固废，产生量约为0.</w:t>
            </w:r>
            <w:r>
              <w:rPr>
                <w:rFonts w:hint="default" w:ascii="Times New Roman" w:hAnsi="Times New Roman" w:cs="Times New Roman"/>
                <w:bCs/>
                <w:color w:val="auto"/>
                <w:sz w:val="24"/>
                <w:highlight w:val="none"/>
                <w:lang w:val="en-US" w:eastAsia="zh-CN"/>
              </w:rPr>
              <w:t>1</w:t>
            </w:r>
            <w:r>
              <w:rPr>
                <w:rFonts w:hint="default" w:ascii="Times New Roman" w:hAnsi="Times New Roman" w:eastAsia="宋体" w:cs="Times New Roman"/>
                <w:bCs/>
                <w:color w:val="auto"/>
                <w:sz w:val="24"/>
                <w:highlight w:val="none"/>
                <w:lang w:val="en-US" w:eastAsia="zh-CN"/>
              </w:rPr>
              <w:t>t/a。分类收集后暂存于一般固废暂存处，委托一般固废回收单位回收综合利用。</w:t>
            </w:r>
          </w:p>
          <w:p w14:paraId="1BE27F21">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③</w:t>
            </w:r>
            <w:r>
              <w:rPr>
                <w:rFonts w:hint="default" w:ascii="Times New Roman" w:hAnsi="Times New Roman" w:eastAsia="宋体" w:cs="Times New Roman"/>
                <w:bCs/>
                <w:color w:val="auto"/>
                <w:sz w:val="24"/>
                <w:szCs w:val="24"/>
                <w:highlight w:val="none"/>
                <w:lang w:val="en-US" w:eastAsia="zh-CN"/>
              </w:rPr>
              <w:t>废</w:t>
            </w:r>
            <w:r>
              <w:rPr>
                <w:rFonts w:hint="default" w:ascii="Times New Roman" w:hAnsi="Times New Roman" w:cs="Times New Roman"/>
                <w:bCs/>
                <w:color w:val="auto"/>
                <w:sz w:val="24"/>
                <w:szCs w:val="24"/>
                <w:highlight w:val="none"/>
                <w:lang w:val="en-US" w:eastAsia="zh-CN"/>
              </w:rPr>
              <w:t>零件</w:t>
            </w:r>
          </w:p>
          <w:p w14:paraId="574FFEC8">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高压电源组装过程中产生的废零件，产生量约为0.2t/a，分类收集后暂存于一般固废暂存处，委托一般固废回收单位回收综合利用</w:t>
            </w:r>
            <w:r>
              <w:rPr>
                <w:rFonts w:hint="default" w:ascii="Times New Roman" w:hAnsi="Times New Roman" w:eastAsia="宋体" w:cs="Times New Roman"/>
                <w:bCs/>
                <w:color w:val="auto"/>
                <w:sz w:val="24"/>
                <w:szCs w:val="24"/>
                <w:highlight w:val="none"/>
                <w:lang w:val="en-US" w:eastAsia="zh-CN"/>
              </w:rPr>
              <w:t>。</w:t>
            </w:r>
          </w:p>
          <w:p w14:paraId="47ED265C">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④</w:t>
            </w:r>
            <w:r>
              <w:rPr>
                <w:rFonts w:hint="default" w:ascii="Times New Roman" w:hAnsi="Times New Roman" w:eastAsia="宋体" w:cs="Times New Roman"/>
                <w:bCs/>
                <w:color w:val="auto"/>
                <w:sz w:val="24"/>
                <w:highlight w:val="none"/>
                <w:lang w:val="en-US" w:eastAsia="zh-CN"/>
              </w:rPr>
              <w:t>废</w:t>
            </w:r>
            <w:r>
              <w:rPr>
                <w:rFonts w:hint="default" w:ascii="Times New Roman" w:hAnsi="Times New Roman" w:cs="Times New Roman"/>
                <w:bCs/>
                <w:color w:val="auto"/>
                <w:sz w:val="24"/>
                <w:highlight w:val="none"/>
                <w:lang w:val="en-US" w:eastAsia="zh-CN"/>
              </w:rPr>
              <w:t>灌封胶渣</w:t>
            </w:r>
          </w:p>
          <w:p w14:paraId="0CACC332">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灌封环节产生的多余灌封胶渣，产生量约为0.2t/a，分类收集后暂存于危废贮存库，交由有资质单位处置。</w:t>
            </w:r>
          </w:p>
          <w:p w14:paraId="22FE6F68">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⑤废清洗剂</w:t>
            </w:r>
          </w:p>
          <w:p w14:paraId="6EFA34E7">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清洗环节产生的废清洗剂，根据清洗剂挥发量计算分析，废清洗剂产生量为49.88t/a，分类收集后暂存于危废贮存库，交由有资质单位处置。</w:t>
            </w:r>
          </w:p>
          <w:p w14:paraId="14698D1D">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⑥不合格电路板</w:t>
            </w:r>
          </w:p>
          <w:p w14:paraId="5D8AE107">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测试环节产生的少量不合格电路板，产生量约为0.1t/a，分类收集后暂存于危废贮存库，交由有资质单位处置。</w:t>
            </w:r>
          </w:p>
          <w:p w14:paraId="1FA99706">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⑦不合格电源模块</w:t>
            </w:r>
          </w:p>
          <w:p w14:paraId="25ADD9D3">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老化测试环节产生的不合格电源模块，根据企业提供资料，老化测试环节合格率为98%，故不合格电源模块产生量约为5.0t/a，分类收集后暂存于危废贮存库，交由有资质单位处置。</w:t>
            </w:r>
          </w:p>
          <w:p w14:paraId="0AE2EBBC">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⑧废活性炭滤芯</w:t>
            </w:r>
          </w:p>
          <w:p w14:paraId="1035E318">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根据设备厂家提供资料，活性炭滤芯约4~6个月更换一次，估算本项目废活性炭滤芯产生量约为0.05t/a。更换后分类收集，暂存于一般固废暂存处，交由纯水设备厂家回收处理。</w:t>
            </w:r>
          </w:p>
          <w:p w14:paraId="6473A2A2">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⑨废反渗透膜</w:t>
            </w:r>
          </w:p>
          <w:p w14:paraId="67B9299F">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根据设备厂家提供资料，废反渗透膜约1~2年更换一次，估算本项目废反渗透膜产生量约为0.01t/a。更换后分类收集，暂存于一般固废暂存处，交由纯水设备厂家回收处理。</w:t>
            </w:r>
          </w:p>
          <w:p w14:paraId="33A996B2">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⑩废活性炭</w:t>
            </w:r>
          </w:p>
          <w:p w14:paraId="78ACAAEC">
            <w:pPr>
              <w:adjustRightInd w:val="0"/>
              <w:snapToGrid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bCs/>
                <w:color w:val="auto"/>
                <w:sz w:val="24"/>
                <w:highlight w:val="none"/>
                <w:lang w:val="en-US" w:eastAsia="zh-CN"/>
              </w:rPr>
              <w:t>活性炭对本项目有机废气的吸附量为0.4t/a，平均每吨活性炭可吸附0.25t有机废气，项目废活性炭产生量约2.0t/a。为保证处理效率，企业应每半年更换一次活性炭。废活性炭设专用密闭容器收集，暂存于危废贮存库，交由有资质单位处置。</w:t>
            </w:r>
          </w:p>
          <w:p w14:paraId="56694FCB">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⑪废过滤棉</w:t>
            </w:r>
          </w:p>
          <w:p w14:paraId="1F7F9CC3">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二级活性炭吸附装置之前加装的过滤棉可去除大部分颗粒物，以降低颗粒物对活性炭吸附效率的影响。根据工程分析，颗粒物去除量为0.0036t/a，同时沾染少量有机废气，估算废过滤棉（HW49:900-039-49）产生量约为0.01t/a。</w:t>
            </w:r>
          </w:p>
          <w:p w14:paraId="5DDBF905">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各类固废产生及处置情况见下表。</w:t>
            </w:r>
          </w:p>
          <w:p w14:paraId="2372A03B">
            <w:pPr>
              <w:widowControl/>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表4-1</w:t>
            </w:r>
            <w:r>
              <w:rPr>
                <w:rFonts w:hint="default" w:ascii="Times New Roman" w:hAnsi="Times New Roman" w:cs="Times New Roman"/>
                <w:b/>
                <w:color w:val="auto"/>
                <w:szCs w:val="21"/>
                <w:highlight w:val="none"/>
                <w:lang w:val="en-US" w:eastAsia="zh-CN"/>
              </w:rPr>
              <w:t>3</w:t>
            </w:r>
            <w:r>
              <w:rPr>
                <w:rFonts w:hint="default" w:ascii="Times New Roman" w:hAnsi="Times New Roman" w:cs="Times New Roman"/>
                <w:b/>
                <w:color w:val="auto"/>
                <w:szCs w:val="21"/>
                <w:highlight w:val="none"/>
              </w:rPr>
              <w:t xml:space="preserve">   固废产生及处置情况一览表</w:t>
            </w:r>
          </w:p>
          <w:tbl>
            <w:tblPr>
              <w:tblStyle w:val="2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1" w:type="dxa"/>
                <w:bottom w:w="0" w:type="dxa"/>
                <w:right w:w="11" w:type="dxa"/>
              </w:tblCellMar>
            </w:tblPr>
            <w:tblGrid>
              <w:gridCol w:w="571"/>
              <w:gridCol w:w="1101"/>
              <w:gridCol w:w="1363"/>
              <w:gridCol w:w="1039"/>
              <w:gridCol w:w="1924"/>
              <w:gridCol w:w="838"/>
              <w:gridCol w:w="1887"/>
            </w:tblGrid>
            <w:tr w14:paraId="7C161E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97" w:hRule="atLeast"/>
                <w:jc w:val="center"/>
              </w:trPr>
              <w:tc>
                <w:tcPr>
                  <w:tcW w:w="327" w:type="pct"/>
                  <w:tcBorders>
                    <w:tl2br w:val="nil"/>
                    <w:tr2bl w:val="nil"/>
                  </w:tcBorders>
                  <w:vAlign w:val="center"/>
                </w:tcPr>
                <w:p w14:paraId="2A46FF0A">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序号</w:t>
                  </w:r>
                </w:p>
              </w:tc>
              <w:tc>
                <w:tcPr>
                  <w:tcW w:w="631" w:type="pct"/>
                  <w:tcBorders>
                    <w:tl2br w:val="nil"/>
                    <w:tr2bl w:val="nil"/>
                  </w:tcBorders>
                  <w:vAlign w:val="center"/>
                </w:tcPr>
                <w:p w14:paraId="01C66B5D">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产生环节</w:t>
                  </w:r>
                </w:p>
              </w:tc>
              <w:tc>
                <w:tcPr>
                  <w:tcW w:w="781" w:type="pct"/>
                  <w:tcBorders>
                    <w:tl2br w:val="nil"/>
                    <w:tr2bl w:val="nil"/>
                  </w:tcBorders>
                  <w:vAlign w:val="center"/>
                </w:tcPr>
                <w:p w14:paraId="7BEB3C72">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名称</w:t>
                  </w:r>
                </w:p>
              </w:tc>
              <w:tc>
                <w:tcPr>
                  <w:tcW w:w="595" w:type="pct"/>
                  <w:tcBorders>
                    <w:tl2br w:val="nil"/>
                    <w:tr2bl w:val="nil"/>
                  </w:tcBorders>
                  <w:vAlign w:val="center"/>
                </w:tcPr>
                <w:p w14:paraId="37A93875">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属性</w:t>
                  </w:r>
                </w:p>
              </w:tc>
              <w:tc>
                <w:tcPr>
                  <w:tcW w:w="1102" w:type="pct"/>
                  <w:tcBorders>
                    <w:tl2br w:val="nil"/>
                    <w:tr2bl w:val="nil"/>
                  </w:tcBorders>
                  <w:vAlign w:val="center"/>
                </w:tcPr>
                <w:p w14:paraId="3A4125BF">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代码</w:t>
                  </w:r>
                </w:p>
              </w:tc>
              <w:tc>
                <w:tcPr>
                  <w:tcW w:w="480" w:type="pct"/>
                  <w:tcBorders>
                    <w:tl2br w:val="nil"/>
                    <w:tr2bl w:val="nil"/>
                  </w:tcBorders>
                  <w:vAlign w:val="center"/>
                </w:tcPr>
                <w:p w14:paraId="6F840C86">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产生量</w:t>
                  </w:r>
                </w:p>
              </w:tc>
              <w:tc>
                <w:tcPr>
                  <w:tcW w:w="1081" w:type="pct"/>
                  <w:tcBorders>
                    <w:tl2br w:val="nil"/>
                    <w:tr2bl w:val="nil"/>
                  </w:tcBorders>
                  <w:vAlign w:val="center"/>
                </w:tcPr>
                <w:p w14:paraId="26C36EF9">
                  <w:pPr>
                    <w:wordWrap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处置措施</w:t>
                  </w:r>
                </w:p>
              </w:tc>
            </w:tr>
            <w:tr w14:paraId="5D430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5AA737BE">
                  <w:pPr>
                    <w:wordWrap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1</w:t>
                  </w:r>
                </w:p>
              </w:tc>
              <w:tc>
                <w:tcPr>
                  <w:tcW w:w="631" w:type="pct"/>
                  <w:vMerge w:val="restart"/>
                  <w:tcBorders>
                    <w:tl2br w:val="nil"/>
                    <w:tr2bl w:val="nil"/>
                  </w:tcBorders>
                  <w:vAlign w:val="center"/>
                </w:tcPr>
                <w:p w14:paraId="00A32866">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办公生活</w:t>
                  </w:r>
                </w:p>
              </w:tc>
              <w:tc>
                <w:tcPr>
                  <w:tcW w:w="781" w:type="pct"/>
                  <w:tcBorders>
                    <w:tl2br w:val="nil"/>
                    <w:tr2bl w:val="nil"/>
                  </w:tcBorders>
                  <w:vAlign w:val="center"/>
                </w:tcPr>
                <w:p w14:paraId="1289E9FD">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生活垃圾</w:t>
                  </w:r>
                </w:p>
              </w:tc>
              <w:tc>
                <w:tcPr>
                  <w:tcW w:w="595" w:type="pct"/>
                  <w:tcBorders>
                    <w:tl2br w:val="nil"/>
                    <w:tr2bl w:val="nil"/>
                  </w:tcBorders>
                  <w:vAlign w:val="center"/>
                </w:tcPr>
                <w:p w14:paraId="2A87D036">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w:t>
                  </w:r>
                </w:p>
              </w:tc>
              <w:tc>
                <w:tcPr>
                  <w:tcW w:w="1102" w:type="pct"/>
                  <w:tcBorders>
                    <w:tl2br w:val="nil"/>
                    <w:tr2bl w:val="nil"/>
                  </w:tcBorders>
                  <w:vAlign w:val="center"/>
                </w:tcPr>
                <w:p w14:paraId="7F831302">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w:t>
                  </w:r>
                </w:p>
              </w:tc>
              <w:tc>
                <w:tcPr>
                  <w:tcW w:w="480" w:type="pct"/>
                  <w:tcBorders>
                    <w:tl2br w:val="nil"/>
                    <w:tr2bl w:val="nil"/>
                  </w:tcBorders>
                  <w:vAlign w:val="center"/>
                </w:tcPr>
                <w:p w14:paraId="62153663">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150</w:t>
                  </w:r>
                  <w:r>
                    <w:rPr>
                      <w:rFonts w:hint="default" w:ascii="Times New Roman" w:hAnsi="Times New Roman" w:cs="Times New Roman"/>
                      <w:b w:val="0"/>
                      <w:bCs/>
                      <w:color w:val="auto"/>
                      <w:szCs w:val="21"/>
                      <w:highlight w:val="none"/>
                    </w:rPr>
                    <w:t>t/a</w:t>
                  </w:r>
                </w:p>
              </w:tc>
              <w:tc>
                <w:tcPr>
                  <w:tcW w:w="1081" w:type="pct"/>
                  <w:tcBorders>
                    <w:tl2br w:val="nil"/>
                    <w:tr2bl w:val="nil"/>
                  </w:tcBorders>
                  <w:vAlign w:val="center"/>
                </w:tcPr>
                <w:p w14:paraId="1D456955">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设垃圾桶分类收集，环卫部门统一清运</w:t>
                  </w:r>
                </w:p>
              </w:tc>
            </w:tr>
            <w:tr w14:paraId="39E446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0C3E6A8C">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2</w:t>
                  </w:r>
                </w:p>
              </w:tc>
              <w:tc>
                <w:tcPr>
                  <w:tcW w:w="631" w:type="pct"/>
                  <w:vMerge w:val="continue"/>
                  <w:tcBorders>
                    <w:tl2br w:val="nil"/>
                    <w:tr2bl w:val="nil"/>
                  </w:tcBorders>
                  <w:vAlign w:val="center"/>
                </w:tcPr>
                <w:p w14:paraId="0DF22A87">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c>
                <w:tcPr>
                  <w:tcW w:w="781" w:type="pct"/>
                  <w:tcBorders>
                    <w:tl2br w:val="nil"/>
                    <w:tr2bl w:val="nil"/>
                  </w:tcBorders>
                  <w:vAlign w:val="center"/>
                </w:tcPr>
                <w:p w14:paraId="5D0FE7AA">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废油脂</w:t>
                  </w:r>
                </w:p>
              </w:tc>
              <w:tc>
                <w:tcPr>
                  <w:tcW w:w="595" w:type="pct"/>
                  <w:tcBorders>
                    <w:tl2br w:val="nil"/>
                    <w:tr2bl w:val="nil"/>
                  </w:tcBorders>
                  <w:vAlign w:val="center"/>
                </w:tcPr>
                <w:p w14:paraId="4A1A1753">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w:t>
                  </w:r>
                </w:p>
              </w:tc>
              <w:tc>
                <w:tcPr>
                  <w:tcW w:w="1102" w:type="pct"/>
                  <w:tcBorders>
                    <w:tl2br w:val="nil"/>
                    <w:tr2bl w:val="nil"/>
                  </w:tcBorders>
                  <w:vAlign w:val="center"/>
                </w:tcPr>
                <w:p w14:paraId="27601EC4">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w:t>
                  </w:r>
                </w:p>
              </w:tc>
              <w:tc>
                <w:tcPr>
                  <w:tcW w:w="480" w:type="pct"/>
                  <w:tcBorders>
                    <w:tl2br w:val="nil"/>
                    <w:tr2bl w:val="nil"/>
                  </w:tcBorders>
                  <w:vAlign w:val="center"/>
                </w:tcPr>
                <w:p w14:paraId="76CE904C">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eastAsia" w:cs="Times New Roman"/>
                      <w:b w:val="0"/>
                      <w:bCs/>
                      <w:color w:val="auto"/>
                      <w:szCs w:val="21"/>
                      <w:highlight w:val="none"/>
                      <w:lang w:val="en-US" w:eastAsia="zh-CN"/>
                    </w:rPr>
                    <w:t>6</w:t>
                  </w:r>
                  <w:r>
                    <w:rPr>
                      <w:rFonts w:hint="default" w:ascii="Times New Roman" w:hAnsi="Times New Roman" w:cs="Times New Roman"/>
                      <w:b w:val="0"/>
                      <w:bCs/>
                      <w:color w:val="auto"/>
                      <w:szCs w:val="21"/>
                      <w:highlight w:val="none"/>
                      <w:lang w:val="en-US" w:eastAsia="zh-CN"/>
                    </w:rPr>
                    <w:t>t/a</w:t>
                  </w:r>
                </w:p>
              </w:tc>
              <w:tc>
                <w:tcPr>
                  <w:tcW w:w="1081" w:type="pct"/>
                  <w:tcBorders>
                    <w:tl2br w:val="nil"/>
                    <w:tr2bl w:val="nil"/>
                  </w:tcBorders>
                  <w:vAlign w:val="center"/>
                </w:tcPr>
                <w:p w14:paraId="70E25028">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交由有资质单位处置</w:t>
                  </w:r>
                </w:p>
              </w:tc>
            </w:tr>
            <w:tr w14:paraId="2149F1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3D5D9E53">
                  <w:pPr>
                    <w:wordWrap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3</w:t>
                  </w:r>
                </w:p>
              </w:tc>
              <w:tc>
                <w:tcPr>
                  <w:tcW w:w="631" w:type="pct"/>
                  <w:vMerge w:val="restart"/>
                  <w:tcBorders>
                    <w:tl2br w:val="nil"/>
                    <w:tr2bl w:val="nil"/>
                  </w:tcBorders>
                  <w:vAlign w:val="center"/>
                </w:tcPr>
                <w:p w14:paraId="7327AB1D">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生产过程</w:t>
                  </w:r>
                </w:p>
              </w:tc>
              <w:tc>
                <w:tcPr>
                  <w:tcW w:w="781" w:type="pct"/>
                  <w:tcBorders>
                    <w:tl2br w:val="nil"/>
                    <w:tr2bl w:val="nil"/>
                  </w:tcBorders>
                  <w:vAlign w:val="center"/>
                </w:tcPr>
                <w:p w14:paraId="298A8DAC">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废包装</w:t>
                  </w:r>
                </w:p>
              </w:tc>
              <w:tc>
                <w:tcPr>
                  <w:tcW w:w="595" w:type="pct"/>
                  <w:tcBorders>
                    <w:tl2br w:val="nil"/>
                    <w:tr2bl w:val="nil"/>
                  </w:tcBorders>
                  <w:vAlign w:val="center"/>
                </w:tcPr>
                <w:p w14:paraId="15554E9E">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一般固废</w:t>
                  </w:r>
                </w:p>
              </w:tc>
              <w:tc>
                <w:tcPr>
                  <w:tcW w:w="1102" w:type="pct"/>
                  <w:tcBorders>
                    <w:tl2br w:val="nil"/>
                    <w:tr2bl w:val="nil"/>
                  </w:tcBorders>
                  <w:vAlign w:val="center"/>
                </w:tcPr>
                <w:p w14:paraId="58A629F8">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SW59：</w:t>
                  </w:r>
                  <w:r>
                    <w:rPr>
                      <w:rFonts w:hint="default" w:ascii="Times New Roman" w:hAnsi="Times New Roman" w:eastAsia="宋体" w:cs="Times New Roman"/>
                      <w:b w:val="0"/>
                      <w:bCs/>
                      <w:color w:val="auto"/>
                      <w:szCs w:val="21"/>
                      <w:highlight w:val="none"/>
                      <w:lang w:val="en-US" w:eastAsia="zh-CN"/>
                    </w:rPr>
                    <w:t>900-099-S59</w:t>
                  </w:r>
                </w:p>
              </w:tc>
              <w:tc>
                <w:tcPr>
                  <w:tcW w:w="480" w:type="pct"/>
                  <w:tcBorders>
                    <w:tl2br w:val="nil"/>
                    <w:tr2bl w:val="nil"/>
                  </w:tcBorders>
                  <w:vAlign w:val="center"/>
                </w:tcPr>
                <w:p w14:paraId="0610E0D5">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0.1t/a</w:t>
                  </w:r>
                </w:p>
              </w:tc>
              <w:tc>
                <w:tcPr>
                  <w:tcW w:w="1081" w:type="pct"/>
                  <w:vMerge w:val="restart"/>
                  <w:tcBorders>
                    <w:tl2br w:val="nil"/>
                    <w:tr2bl w:val="nil"/>
                  </w:tcBorders>
                  <w:vAlign w:val="center"/>
                </w:tcPr>
                <w:p w14:paraId="76286F42">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分类收集后暂存于一般固废暂存处，委托一般固废回收单位回收综合利用</w:t>
                  </w:r>
                </w:p>
              </w:tc>
            </w:tr>
            <w:tr w14:paraId="5DFA9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0573BCA5">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4</w:t>
                  </w:r>
                </w:p>
              </w:tc>
              <w:tc>
                <w:tcPr>
                  <w:tcW w:w="631" w:type="pct"/>
                  <w:vMerge w:val="continue"/>
                  <w:tcBorders>
                    <w:tl2br w:val="nil"/>
                    <w:tr2bl w:val="nil"/>
                  </w:tcBorders>
                  <w:vAlign w:val="center"/>
                </w:tcPr>
                <w:p w14:paraId="5686F39D">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c>
                <w:tcPr>
                  <w:tcW w:w="781" w:type="pct"/>
                  <w:tcBorders>
                    <w:tl2br w:val="nil"/>
                    <w:tr2bl w:val="nil"/>
                  </w:tcBorders>
                  <w:vAlign w:val="center"/>
                </w:tcPr>
                <w:p w14:paraId="328F3038">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废零件</w:t>
                  </w:r>
                </w:p>
              </w:tc>
              <w:tc>
                <w:tcPr>
                  <w:tcW w:w="595" w:type="pct"/>
                  <w:tcBorders>
                    <w:tl2br w:val="nil"/>
                    <w:tr2bl w:val="nil"/>
                  </w:tcBorders>
                  <w:vAlign w:val="center"/>
                </w:tcPr>
                <w:p w14:paraId="41E44391">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一般固废</w:t>
                  </w:r>
                </w:p>
              </w:tc>
              <w:tc>
                <w:tcPr>
                  <w:tcW w:w="1102" w:type="pct"/>
                  <w:tcBorders>
                    <w:tl2br w:val="nil"/>
                    <w:tr2bl w:val="nil"/>
                  </w:tcBorders>
                  <w:vAlign w:val="center"/>
                </w:tcPr>
                <w:p w14:paraId="4EA51A9E">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SW17：900-013-S17</w:t>
                  </w:r>
                </w:p>
              </w:tc>
              <w:tc>
                <w:tcPr>
                  <w:tcW w:w="480" w:type="pct"/>
                  <w:tcBorders>
                    <w:tl2br w:val="nil"/>
                    <w:tr2bl w:val="nil"/>
                  </w:tcBorders>
                  <w:vAlign w:val="center"/>
                </w:tcPr>
                <w:p w14:paraId="06E1D27E">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0.2t/a</w:t>
                  </w:r>
                </w:p>
              </w:tc>
              <w:tc>
                <w:tcPr>
                  <w:tcW w:w="1081" w:type="pct"/>
                  <w:vMerge w:val="continue"/>
                  <w:tcBorders>
                    <w:tl2br w:val="nil"/>
                    <w:tr2bl w:val="nil"/>
                  </w:tcBorders>
                  <w:vAlign w:val="center"/>
                </w:tcPr>
                <w:p w14:paraId="46D41D3D">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r>
            <w:tr w14:paraId="6F731B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7B08E6DC">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5</w:t>
                  </w:r>
                </w:p>
              </w:tc>
              <w:tc>
                <w:tcPr>
                  <w:tcW w:w="631" w:type="pct"/>
                  <w:vMerge w:val="continue"/>
                  <w:tcBorders>
                    <w:tl2br w:val="nil"/>
                    <w:tr2bl w:val="nil"/>
                  </w:tcBorders>
                  <w:vAlign w:val="center"/>
                </w:tcPr>
                <w:p w14:paraId="44AB50A0">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c>
                <w:tcPr>
                  <w:tcW w:w="781" w:type="pct"/>
                  <w:tcBorders>
                    <w:tl2br w:val="nil"/>
                    <w:tr2bl w:val="nil"/>
                  </w:tcBorders>
                  <w:vAlign w:val="center"/>
                </w:tcPr>
                <w:p w14:paraId="27111ABF">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废清洗剂</w:t>
                  </w:r>
                </w:p>
              </w:tc>
              <w:tc>
                <w:tcPr>
                  <w:tcW w:w="595" w:type="pct"/>
                  <w:tcBorders>
                    <w:tl2br w:val="nil"/>
                    <w:tr2bl w:val="nil"/>
                  </w:tcBorders>
                  <w:vAlign w:val="center"/>
                </w:tcPr>
                <w:p w14:paraId="0585973B">
                  <w:pPr>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rPr>
                    <w:t>危险废物</w:t>
                  </w:r>
                </w:p>
              </w:tc>
              <w:tc>
                <w:tcPr>
                  <w:tcW w:w="1102" w:type="pct"/>
                  <w:tcBorders>
                    <w:tl2br w:val="nil"/>
                    <w:tr2bl w:val="nil"/>
                  </w:tcBorders>
                  <w:vAlign w:val="center"/>
                </w:tcPr>
                <w:p w14:paraId="16E2C291">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HW06：900-402-06</w:t>
                  </w:r>
                </w:p>
              </w:tc>
              <w:tc>
                <w:tcPr>
                  <w:tcW w:w="480" w:type="pct"/>
                  <w:tcBorders>
                    <w:tl2br w:val="nil"/>
                    <w:tr2bl w:val="nil"/>
                  </w:tcBorders>
                  <w:vAlign w:val="center"/>
                </w:tcPr>
                <w:p w14:paraId="08EBAEB9">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49.88t/a</w:t>
                  </w:r>
                </w:p>
              </w:tc>
              <w:tc>
                <w:tcPr>
                  <w:tcW w:w="1081" w:type="pct"/>
                  <w:vMerge w:val="restart"/>
                  <w:tcBorders>
                    <w:tl2br w:val="nil"/>
                    <w:tr2bl w:val="nil"/>
                  </w:tcBorders>
                  <w:vAlign w:val="center"/>
                </w:tcPr>
                <w:p w14:paraId="2E71018C">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分类收集后暂存于危废贮存库，交由有资质单位处置</w:t>
                  </w:r>
                </w:p>
              </w:tc>
            </w:tr>
            <w:tr w14:paraId="7E059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7C7D3F05">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6</w:t>
                  </w:r>
                </w:p>
              </w:tc>
              <w:tc>
                <w:tcPr>
                  <w:tcW w:w="631" w:type="pct"/>
                  <w:vMerge w:val="continue"/>
                  <w:tcBorders>
                    <w:tl2br w:val="nil"/>
                    <w:tr2bl w:val="nil"/>
                  </w:tcBorders>
                  <w:vAlign w:val="center"/>
                </w:tcPr>
                <w:p w14:paraId="2F7EC73E">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c>
                <w:tcPr>
                  <w:tcW w:w="781" w:type="pct"/>
                  <w:tcBorders>
                    <w:tl2br w:val="nil"/>
                    <w:tr2bl w:val="nil"/>
                  </w:tcBorders>
                  <w:vAlign w:val="center"/>
                </w:tcPr>
                <w:p w14:paraId="26A8B37B">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废灌封胶渣</w:t>
                  </w:r>
                </w:p>
              </w:tc>
              <w:tc>
                <w:tcPr>
                  <w:tcW w:w="595" w:type="pct"/>
                  <w:tcBorders>
                    <w:tl2br w:val="nil"/>
                    <w:tr2bl w:val="nil"/>
                  </w:tcBorders>
                  <w:vAlign w:val="center"/>
                </w:tcPr>
                <w:p w14:paraId="2DBF60D3">
                  <w:pPr>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危险废物</w:t>
                  </w:r>
                </w:p>
              </w:tc>
              <w:tc>
                <w:tcPr>
                  <w:tcW w:w="1102" w:type="pct"/>
                  <w:tcBorders>
                    <w:tl2br w:val="nil"/>
                    <w:tr2bl w:val="nil"/>
                  </w:tcBorders>
                  <w:vAlign w:val="center"/>
                </w:tcPr>
                <w:p w14:paraId="5E22B044">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HW13：900-014-13</w:t>
                  </w:r>
                </w:p>
              </w:tc>
              <w:tc>
                <w:tcPr>
                  <w:tcW w:w="480" w:type="pct"/>
                  <w:tcBorders>
                    <w:tl2br w:val="nil"/>
                    <w:tr2bl w:val="nil"/>
                  </w:tcBorders>
                  <w:vAlign w:val="center"/>
                </w:tcPr>
                <w:p w14:paraId="2517AE18">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0.2t/a</w:t>
                  </w:r>
                </w:p>
              </w:tc>
              <w:tc>
                <w:tcPr>
                  <w:tcW w:w="1081" w:type="pct"/>
                  <w:vMerge w:val="continue"/>
                  <w:tcBorders>
                    <w:tl2br w:val="nil"/>
                    <w:tr2bl w:val="nil"/>
                  </w:tcBorders>
                  <w:vAlign w:val="center"/>
                </w:tcPr>
                <w:p w14:paraId="4E34C310">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r>
            <w:tr w14:paraId="5F9FA0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4E196120">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7</w:t>
                  </w:r>
                </w:p>
              </w:tc>
              <w:tc>
                <w:tcPr>
                  <w:tcW w:w="631" w:type="pct"/>
                  <w:vMerge w:val="continue"/>
                  <w:tcBorders>
                    <w:tl2br w:val="nil"/>
                    <w:tr2bl w:val="nil"/>
                  </w:tcBorders>
                  <w:vAlign w:val="center"/>
                </w:tcPr>
                <w:p w14:paraId="11DC8854">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c>
                <w:tcPr>
                  <w:tcW w:w="781" w:type="pct"/>
                  <w:tcBorders>
                    <w:tl2br w:val="nil"/>
                    <w:tr2bl w:val="nil"/>
                  </w:tcBorders>
                  <w:vAlign w:val="center"/>
                </w:tcPr>
                <w:p w14:paraId="423E10F1">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不合格电路板</w:t>
                  </w:r>
                </w:p>
              </w:tc>
              <w:tc>
                <w:tcPr>
                  <w:tcW w:w="595" w:type="pct"/>
                  <w:tcBorders>
                    <w:tl2br w:val="nil"/>
                    <w:tr2bl w:val="nil"/>
                  </w:tcBorders>
                  <w:vAlign w:val="center"/>
                </w:tcPr>
                <w:p w14:paraId="35B21D9E">
                  <w:pPr>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rPr>
                    <w:t>危险废物</w:t>
                  </w:r>
                </w:p>
              </w:tc>
              <w:tc>
                <w:tcPr>
                  <w:tcW w:w="1102" w:type="pct"/>
                  <w:tcBorders>
                    <w:tl2br w:val="nil"/>
                    <w:tr2bl w:val="nil"/>
                  </w:tcBorders>
                  <w:vAlign w:val="center"/>
                </w:tcPr>
                <w:p w14:paraId="79C89A5A">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HW49：900-045-49</w:t>
                  </w:r>
                </w:p>
              </w:tc>
              <w:tc>
                <w:tcPr>
                  <w:tcW w:w="480" w:type="pct"/>
                  <w:tcBorders>
                    <w:tl2br w:val="nil"/>
                    <w:tr2bl w:val="nil"/>
                  </w:tcBorders>
                  <w:vAlign w:val="center"/>
                </w:tcPr>
                <w:p w14:paraId="7A0C842F">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0.1t/a</w:t>
                  </w:r>
                </w:p>
              </w:tc>
              <w:tc>
                <w:tcPr>
                  <w:tcW w:w="1081" w:type="pct"/>
                  <w:vMerge w:val="continue"/>
                  <w:tcBorders>
                    <w:tl2br w:val="nil"/>
                    <w:tr2bl w:val="nil"/>
                  </w:tcBorders>
                  <w:vAlign w:val="center"/>
                </w:tcPr>
                <w:p w14:paraId="4C664AC7">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r>
            <w:tr w14:paraId="45FDC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5C429965">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8</w:t>
                  </w:r>
                </w:p>
              </w:tc>
              <w:tc>
                <w:tcPr>
                  <w:tcW w:w="631" w:type="pct"/>
                  <w:vMerge w:val="continue"/>
                  <w:tcBorders>
                    <w:tl2br w:val="nil"/>
                    <w:tr2bl w:val="nil"/>
                  </w:tcBorders>
                  <w:vAlign w:val="center"/>
                </w:tcPr>
                <w:p w14:paraId="3E0B98E1">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c>
                <w:tcPr>
                  <w:tcW w:w="781" w:type="pct"/>
                  <w:tcBorders>
                    <w:tl2br w:val="nil"/>
                    <w:tr2bl w:val="nil"/>
                  </w:tcBorders>
                  <w:vAlign w:val="center"/>
                </w:tcPr>
                <w:p w14:paraId="02D7B104">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不合格电源模块</w:t>
                  </w:r>
                </w:p>
              </w:tc>
              <w:tc>
                <w:tcPr>
                  <w:tcW w:w="595" w:type="pct"/>
                  <w:tcBorders>
                    <w:tl2br w:val="nil"/>
                    <w:tr2bl w:val="nil"/>
                  </w:tcBorders>
                  <w:vAlign w:val="center"/>
                </w:tcPr>
                <w:p w14:paraId="4D5C8458">
                  <w:pPr>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危险废物</w:t>
                  </w:r>
                </w:p>
              </w:tc>
              <w:tc>
                <w:tcPr>
                  <w:tcW w:w="1102" w:type="pct"/>
                  <w:tcBorders>
                    <w:tl2br w:val="nil"/>
                    <w:tr2bl w:val="nil"/>
                  </w:tcBorders>
                  <w:vAlign w:val="center"/>
                </w:tcPr>
                <w:p w14:paraId="07D49151">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HW49：900-045-49</w:t>
                  </w:r>
                </w:p>
              </w:tc>
              <w:tc>
                <w:tcPr>
                  <w:tcW w:w="480" w:type="pct"/>
                  <w:tcBorders>
                    <w:tl2br w:val="nil"/>
                    <w:tr2bl w:val="nil"/>
                  </w:tcBorders>
                  <w:vAlign w:val="center"/>
                </w:tcPr>
                <w:p w14:paraId="22496CE9">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5.0t/a</w:t>
                  </w:r>
                </w:p>
              </w:tc>
              <w:tc>
                <w:tcPr>
                  <w:tcW w:w="1081" w:type="pct"/>
                  <w:vMerge w:val="continue"/>
                  <w:tcBorders>
                    <w:tl2br w:val="nil"/>
                    <w:tr2bl w:val="nil"/>
                  </w:tcBorders>
                  <w:vAlign w:val="center"/>
                </w:tcPr>
                <w:p w14:paraId="668A3350">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r>
            <w:tr w14:paraId="4EDCF3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542F3467">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9</w:t>
                  </w:r>
                </w:p>
              </w:tc>
              <w:tc>
                <w:tcPr>
                  <w:tcW w:w="631" w:type="pct"/>
                  <w:vMerge w:val="continue"/>
                  <w:tcBorders>
                    <w:tl2br w:val="nil"/>
                    <w:tr2bl w:val="nil"/>
                  </w:tcBorders>
                  <w:vAlign w:val="center"/>
                </w:tcPr>
                <w:p w14:paraId="6BE0BD07">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c>
                <w:tcPr>
                  <w:tcW w:w="781" w:type="pct"/>
                  <w:tcBorders>
                    <w:tl2br w:val="nil"/>
                    <w:tr2bl w:val="nil"/>
                  </w:tcBorders>
                  <w:vAlign w:val="center"/>
                </w:tcPr>
                <w:p w14:paraId="646C86A5">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废包装（清洗剂桶、灌封胶桶）</w:t>
                  </w:r>
                </w:p>
              </w:tc>
              <w:tc>
                <w:tcPr>
                  <w:tcW w:w="595" w:type="pct"/>
                  <w:tcBorders>
                    <w:tl2br w:val="nil"/>
                    <w:tr2bl w:val="nil"/>
                  </w:tcBorders>
                  <w:vAlign w:val="center"/>
                </w:tcPr>
                <w:p w14:paraId="5C917C51">
                  <w:pPr>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rPr>
                    <w:t>危险废物</w:t>
                  </w:r>
                </w:p>
              </w:tc>
              <w:tc>
                <w:tcPr>
                  <w:tcW w:w="1102" w:type="pct"/>
                  <w:tcBorders>
                    <w:tl2br w:val="nil"/>
                    <w:tr2bl w:val="nil"/>
                  </w:tcBorders>
                  <w:vAlign w:val="center"/>
                </w:tcPr>
                <w:p w14:paraId="28D3A9AF">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HW49：900-041-49</w:t>
                  </w:r>
                </w:p>
              </w:tc>
              <w:tc>
                <w:tcPr>
                  <w:tcW w:w="480" w:type="pct"/>
                  <w:tcBorders>
                    <w:tl2br w:val="nil"/>
                    <w:tr2bl w:val="nil"/>
                  </w:tcBorders>
                  <w:vAlign w:val="center"/>
                </w:tcPr>
                <w:p w14:paraId="549AA89D">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0.2t/a</w:t>
                  </w:r>
                </w:p>
              </w:tc>
              <w:tc>
                <w:tcPr>
                  <w:tcW w:w="1081" w:type="pct"/>
                  <w:vMerge w:val="continue"/>
                  <w:tcBorders>
                    <w:tl2br w:val="nil"/>
                    <w:tr2bl w:val="nil"/>
                  </w:tcBorders>
                  <w:vAlign w:val="center"/>
                </w:tcPr>
                <w:p w14:paraId="3E30B9FD">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r>
            <w:tr w14:paraId="2C9045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773C00FE">
                  <w:pPr>
                    <w:wordWrap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10</w:t>
                  </w:r>
                </w:p>
              </w:tc>
              <w:tc>
                <w:tcPr>
                  <w:tcW w:w="631" w:type="pct"/>
                  <w:vMerge w:val="restart"/>
                  <w:tcBorders>
                    <w:tl2br w:val="nil"/>
                    <w:tr2bl w:val="nil"/>
                  </w:tcBorders>
                  <w:vAlign w:val="center"/>
                </w:tcPr>
                <w:p w14:paraId="2C29E3E8">
                  <w:pPr>
                    <w:wordWrap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环保设备</w:t>
                  </w:r>
                </w:p>
              </w:tc>
              <w:tc>
                <w:tcPr>
                  <w:tcW w:w="781" w:type="pct"/>
                  <w:tcBorders>
                    <w:tl2br w:val="nil"/>
                    <w:tr2bl w:val="nil"/>
                  </w:tcBorders>
                  <w:vAlign w:val="center"/>
                </w:tcPr>
                <w:p w14:paraId="297FE740">
                  <w:pPr>
                    <w:wordWrap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废活性炭</w:t>
                  </w:r>
                </w:p>
              </w:tc>
              <w:tc>
                <w:tcPr>
                  <w:tcW w:w="595" w:type="pct"/>
                  <w:tcBorders>
                    <w:tl2br w:val="nil"/>
                    <w:tr2bl w:val="nil"/>
                  </w:tcBorders>
                  <w:vAlign w:val="center"/>
                </w:tcPr>
                <w:p w14:paraId="39A5EF02">
                  <w:pPr>
                    <w:wordWrap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危险废物</w:t>
                  </w:r>
                </w:p>
              </w:tc>
              <w:tc>
                <w:tcPr>
                  <w:tcW w:w="1102" w:type="pct"/>
                  <w:tcBorders>
                    <w:tl2br w:val="nil"/>
                    <w:tr2bl w:val="nil"/>
                  </w:tcBorders>
                  <w:vAlign w:val="center"/>
                </w:tcPr>
                <w:p w14:paraId="2C2B5B8A">
                  <w:pPr>
                    <w:wordWrap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HW49：900-039-49</w:t>
                  </w:r>
                </w:p>
              </w:tc>
              <w:tc>
                <w:tcPr>
                  <w:tcW w:w="480" w:type="pct"/>
                  <w:tcBorders>
                    <w:tl2br w:val="nil"/>
                    <w:tr2bl w:val="nil"/>
                  </w:tcBorders>
                  <w:vAlign w:val="center"/>
                </w:tcPr>
                <w:p w14:paraId="62C153F3">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2.0t</w:t>
                  </w:r>
                  <w:r>
                    <w:rPr>
                      <w:rFonts w:hint="default" w:ascii="Times New Roman" w:hAnsi="Times New Roman" w:cs="Times New Roman"/>
                      <w:b w:val="0"/>
                      <w:bCs/>
                      <w:color w:val="auto"/>
                      <w:szCs w:val="21"/>
                      <w:highlight w:val="none"/>
                    </w:rPr>
                    <w:t>/a</w:t>
                  </w:r>
                </w:p>
              </w:tc>
              <w:tc>
                <w:tcPr>
                  <w:tcW w:w="1081" w:type="pct"/>
                  <w:vMerge w:val="continue"/>
                  <w:tcBorders>
                    <w:tl2br w:val="nil"/>
                    <w:tr2bl w:val="nil"/>
                  </w:tcBorders>
                  <w:vAlign w:val="center"/>
                </w:tcPr>
                <w:p w14:paraId="0070AEF6">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r>
            <w:tr w14:paraId="72CFB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63F16502">
                  <w:pPr>
                    <w:wordWrap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11</w:t>
                  </w:r>
                </w:p>
              </w:tc>
              <w:tc>
                <w:tcPr>
                  <w:tcW w:w="631" w:type="pct"/>
                  <w:vMerge w:val="continue"/>
                  <w:tcBorders>
                    <w:tl2br w:val="nil"/>
                    <w:tr2bl w:val="nil"/>
                  </w:tcBorders>
                  <w:vAlign w:val="center"/>
                </w:tcPr>
                <w:p w14:paraId="1FFFB3AD">
                  <w:pPr>
                    <w:wordWrap w:val="0"/>
                    <w:adjustRightInd w:val="0"/>
                    <w:snapToGrid w:val="0"/>
                    <w:jc w:val="center"/>
                    <w:rPr>
                      <w:rFonts w:hint="default" w:ascii="Times New Roman" w:hAnsi="Times New Roman" w:cs="Times New Roman"/>
                      <w:b w:val="0"/>
                      <w:bCs/>
                      <w:color w:val="auto"/>
                      <w:szCs w:val="21"/>
                      <w:highlight w:val="none"/>
                    </w:rPr>
                  </w:pPr>
                </w:p>
              </w:tc>
              <w:tc>
                <w:tcPr>
                  <w:tcW w:w="781" w:type="pct"/>
                  <w:tcBorders>
                    <w:tl2br w:val="nil"/>
                    <w:tr2bl w:val="nil"/>
                  </w:tcBorders>
                  <w:vAlign w:val="center"/>
                </w:tcPr>
                <w:p w14:paraId="493EF935">
                  <w:pPr>
                    <w:wordWrap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废过滤棉</w:t>
                  </w:r>
                </w:p>
              </w:tc>
              <w:tc>
                <w:tcPr>
                  <w:tcW w:w="595" w:type="pct"/>
                  <w:tcBorders>
                    <w:tl2br w:val="nil"/>
                    <w:tr2bl w:val="nil"/>
                  </w:tcBorders>
                  <w:vAlign w:val="center"/>
                </w:tcPr>
                <w:p w14:paraId="3977DF76">
                  <w:pPr>
                    <w:wordWrap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危险废物</w:t>
                  </w:r>
                </w:p>
              </w:tc>
              <w:tc>
                <w:tcPr>
                  <w:tcW w:w="1102" w:type="pct"/>
                  <w:tcBorders>
                    <w:tl2br w:val="nil"/>
                    <w:tr2bl w:val="nil"/>
                  </w:tcBorders>
                  <w:vAlign w:val="center"/>
                </w:tcPr>
                <w:p w14:paraId="391966B4">
                  <w:pPr>
                    <w:wordWrap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rPr>
                    <w:t>HW49</w:t>
                  </w:r>
                  <w:r>
                    <w:rPr>
                      <w:rFonts w:hint="default" w:ascii="Times New Roman" w:hAnsi="Times New Roman" w:cs="Times New Roman"/>
                      <w:b w:val="0"/>
                      <w:bCs/>
                      <w:color w:val="auto"/>
                      <w:szCs w:val="21"/>
                      <w:highlight w:val="none"/>
                      <w:lang w:eastAsia="zh-CN"/>
                    </w:rPr>
                    <w:t>：</w:t>
                  </w:r>
                  <w:r>
                    <w:rPr>
                      <w:rFonts w:hint="default" w:ascii="Times New Roman" w:hAnsi="Times New Roman" w:cs="Times New Roman"/>
                      <w:b w:val="0"/>
                      <w:bCs/>
                      <w:color w:val="auto"/>
                      <w:szCs w:val="21"/>
                      <w:highlight w:val="none"/>
                    </w:rPr>
                    <w:t>900-039-49</w:t>
                  </w:r>
                </w:p>
              </w:tc>
              <w:tc>
                <w:tcPr>
                  <w:tcW w:w="480" w:type="pct"/>
                  <w:tcBorders>
                    <w:tl2br w:val="nil"/>
                    <w:tr2bl w:val="nil"/>
                  </w:tcBorders>
                  <w:vAlign w:val="center"/>
                </w:tcPr>
                <w:p w14:paraId="77347319">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0.01t/a</w:t>
                  </w:r>
                </w:p>
              </w:tc>
              <w:tc>
                <w:tcPr>
                  <w:tcW w:w="1081" w:type="pct"/>
                  <w:vMerge w:val="continue"/>
                  <w:tcBorders>
                    <w:tl2br w:val="nil"/>
                    <w:tr2bl w:val="nil"/>
                  </w:tcBorders>
                  <w:vAlign w:val="center"/>
                </w:tcPr>
                <w:p w14:paraId="7D807399">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p>
              </w:tc>
            </w:tr>
            <w:tr w14:paraId="5DB815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0F2CBD7C">
                  <w:pPr>
                    <w:wordWrap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12</w:t>
                  </w:r>
                </w:p>
              </w:tc>
              <w:tc>
                <w:tcPr>
                  <w:tcW w:w="631" w:type="pct"/>
                  <w:vMerge w:val="restart"/>
                  <w:tcBorders>
                    <w:tl2br w:val="nil"/>
                    <w:tr2bl w:val="nil"/>
                  </w:tcBorders>
                  <w:vAlign w:val="center"/>
                </w:tcPr>
                <w:p w14:paraId="5198484E">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纯水制备</w:t>
                  </w:r>
                </w:p>
              </w:tc>
              <w:tc>
                <w:tcPr>
                  <w:tcW w:w="781" w:type="pct"/>
                  <w:tcBorders>
                    <w:tl2br w:val="nil"/>
                    <w:tr2bl w:val="nil"/>
                  </w:tcBorders>
                  <w:vAlign w:val="center"/>
                </w:tcPr>
                <w:p w14:paraId="174D1B3D">
                  <w:pPr>
                    <w:wordWrap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废活性炭滤芯</w:t>
                  </w:r>
                </w:p>
              </w:tc>
              <w:tc>
                <w:tcPr>
                  <w:tcW w:w="595" w:type="pct"/>
                  <w:tcBorders>
                    <w:tl2br w:val="nil"/>
                    <w:tr2bl w:val="nil"/>
                  </w:tcBorders>
                  <w:vAlign w:val="center"/>
                </w:tcPr>
                <w:p w14:paraId="6D194ADC">
                  <w:pPr>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一般固废</w:t>
                  </w:r>
                </w:p>
              </w:tc>
              <w:tc>
                <w:tcPr>
                  <w:tcW w:w="1102" w:type="pct"/>
                  <w:tcBorders>
                    <w:tl2br w:val="nil"/>
                    <w:tr2bl w:val="nil"/>
                  </w:tcBorders>
                  <w:vAlign w:val="center"/>
                </w:tcPr>
                <w:p w14:paraId="741675AE">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SW59：</w:t>
                  </w:r>
                  <w:r>
                    <w:rPr>
                      <w:rFonts w:hint="default" w:ascii="Times New Roman" w:hAnsi="Times New Roman" w:eastAsia="宋体" w:cs="Times New Roman"/>
                      <w:b w:val="0"/>
                      <w:bCs/>
                      <w:color w:val="auto"/>
                      <w:szCs w:val="21"/>
                      <w:highlight w:val="none"/>
                      <w:lang w:val="en-US" w:eastAsia="zh-CN"/>
                    </w:rPr>
                    <w:t>900-00</w:t>
                  </w:r>
                  <w:r>
                    <w:rPr>
                      <w:rFonts w:hint="default" w:ascii="Times New Roman" w:hAnsi="Times New Roman" w:cs="Times New Roman"/>
                      <w:b w:val="0"/>
                      <w:bCs/>
                      <w:color w:val="auto"/>
                      <w:szCs w:val="21"/>
                      <w:highlight w:val="none"/>
                      <w:lang w:val="en-US" w:eastAsia="zh-CN"/>
                    </w:rPr>
                    <w:t>9</w:t>
                  </w:r>
                  <w:r>
                    <w:rPr>
                      <w:rFonts w:hint="default" w:ascii="Times New Roman" w:hAnsi="Times New Roman" w:eastAsia="宋体" w:cs="Times New Roman"/>
                      <w:b w:val="0"/>
                      <w:bCs/>
                      <w:color w:val="auto"/>
                      <w:szCs w:val="21"/>
                      <w:highlight w:val="none"/>
                      <w:lang w:val="en-US" w:eastAsia="zh-CN"/>
                    </w:rPr>
                    <w:t>-S59</w:t>
                  </w:r>
                </w:p>
              </w:tc>
              <w:tc>
                <w:tcPr>
                  <w:tcW w:w="480" w:type="pct"/>
                  <w:tcBorders>
                    <w:tl2br w:val="nil"/>
                    <w:tr2bl w:val="nil"/>
                  </w:tcBorders>
                  <w:vAlign w:val="center"/>
                </w:tcPr>
                <w:p w14:paraId="667A94B2">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0.05t/a</w:t>
                  </w:r>
                </w:p>
              </w:tc>
              <w:tc>
                <w:tcPr>
                  <w:tcW w:w="1081" w:type="pct"/>
                  <w:vMerge w:val="restart"/>
                  <w:tcBorders>
                    <w:tl2br w:val="nil"/>
                    <w:tr2bl w:val="nil"/>
                  </w:tcBorders>
                  <w:vAlign w:val="center"/>
                </w:tcPr>
                <w:p w14:paraId="2C055FA8">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分类收集后暂存于一般固废暂存处，交设备厂家回收处理</w:t>
                  </w:r>
                </w:p>
              </w:tc>
            </w:tr>
            <w:tr w14:paraId="77E72A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cantSplit/>
                <w:trHeight w:val="397" w:hRule="atLeast"/>
                <w:jc w:val="center"/>
              </w:trPr>
              <w:tc>
                <w:tcPr>
                  <w:tcW w:w="327" w:type="pct"/>
                  <w:tcBorders>
                    <w:tl2br w:val="nil"/>
                    <w:tr2bl w:val="nil"/>
                  </w:tcBorders>
                  <w:vAlign w:val="center"/>
                </w:tcPr>
                <w:p w14:paraId="4875C1BA">
                  <w:pPr>
                    <w:wordWrap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13</w:t>
                  </w:r>
                </w:p>
              </w:tc>
              <w:tc>
                <w:tcPr>
                  <w:tcW w:w="631" w:type="pct"/>
                  <w:vMerge w:val="continue"/>
                  <w:tcBorders>
                    <w:tl2br w:val="nil"/>
                    <w:tr2bl w:val="nil"/>
                  </w:tcBorders>
                  <w:vAlign w:val="center"/>
                </w:tcPr>
                <w:p w14:paraId="1B5788D7">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c>
                <w:tcPr>
                  <w:tcW w:w="781" w:type="pct"/>
                  <w:tcBorders>
                    <w:tl2br w:val="nil"/>
                    <w:tr2bl w:val="nil"/>
                  </w:tcBorders>
                  <w:vAlign w:val="center"/>
                </w:tcPr>
                <w:p w14:paraId="37CE5F06">
                  <w:pPr>
                    <w:wordWrap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废反渗透膜</w:t>
                  </w:r>
                </w:p>
              </w:tc>
              <w:tc>
                <w:tcPr>
                  <w:tcW w:w="595" w:type="pct"/>
                  <w:tcBorders>
                    <w:tl2br w:val="nil"/>
                    <w:tr2bl w:val="nil"/>
                  </w:tcBorders>
                  <w:vAlign w:val="center"/>
                </w:tcPr>
                <w:p w14:paraId="1D0E4DC3">
                  <w:pPr>
                    <w:wordWrap w:val="0"/>
                    <w:autoSpaceDE w:val="0"/>
                    <w:autoSpaceDN w:val="0"/>
                    <w:adjustRightInd w:val="0"/>
                    <w:snapToGrid w:val="0"/>
                    <w:jc w:val="center"/>
                    <w:rPr>
                      <w:rFonts w:hint="default" w:ascii="Times New Roman" w:hAnsi="Times New Roman" w:cs="Times New Roman"/>
                      <w:b w:val="0"/>
                      <w:bCs/>
                      <w:color w:val="auto"/>
                      <w:szCs w:val="21"/>
                      <w:highlight w:val="none"/>
                    </w:rPr>
                  </w:pPr>
                  <w:r>
                    <w:rPr>
                      <w:rFonts w:hint="default" w:ascii="Times New Roman" w:hAnsi="Times New Roman" w:cs="Times New Roman"/>
                      <w:b w:val="0"/>
                      <w:bCs/>
                      <w:color w:val="auto"/>
                      <w:szCs w:val="21"/>
                      <w:highlight w:val="none"/>
                      <w:lang w:val="en-US" w:eastAsia="zh-CN"/>
                    </w:rPr>
                    <w:t>一般固废</w:t>
                  </w:r>
                </w:p>
              </w:tc>
              <w:tc>
                <w:tcPr>
                  <w:tcW w:w="1102" w:type="pct"/>
                  <w:tcBorders>
                    <w:tl2br w:val="nil"/>
                    <w:tr2bl w:val="nil"/>
                  </w:tcBorders>
                  <w:vAlign w:val="center"/>
                </w:tcPr>
                <w:p w14:paraId="7C3AD4A2">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SW59：</w:t>
                  </w:r>
                  <w:r>
                    <w:rPr>
                      <w:rFonts w:hint="default" w:ascii="Times New Roman" w:hAnsi="Times New Roman" w:eastAsia="宋体" w:cs="Times New Roman"/>
                      <w:b w:val="0"/>
                      <w:bCs/>
                      <w:color w:val="auto"/>
                      <w:szCs w:val="21"/>
                      <w:highlight w:val="none"/>
                      <w:lang w:val="en-US" w:eastAsia="zh-CN"/>
                    </w:rPr>
                    <w:t>900-009-S59</w:t>
                  </w:r>
                </w:p>
              </w:tc>
              <w:tc>
                <w:tcPr>
                  <w:tcW w:w="480" w:type="pct"/>
                  <w:tcBorders>
                    <w:tl2br w:val="nil"/>
                    <w:tr2bl w:val="nil"/>
                  </w:tcBorders>
                  <w:vAlign w:val="center"/>
                </w:tcPr>
                <w:p w14:paraId="68489424">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lang w:val="en-US" w:eastAsia="zh-CN"/>
                    </w:rPr>
                  </w:pPr>
                  <w:r>
                    <w:rPr>
                      <w:rFonts w:hint="default" w:ascii="Times New Roman" w:hAnsi="Times New Roman" w:cs="Times New Roman"/>
                      <w:b w:val="0"/>
                      <w:bCs/>
                      <w:color w:val="auto"/>
                      <w:szCs w:val="21"/>
                      <w:highlight w:val="none"/>
                      <w:lang w:val="en-US" w:eastAsia="zh-CN"/>
                    </w:rPr>
                    <w:t>0.01t/a</w:t>
                  </w:r>
                </w:p>
              </w:tc>
              <w:tc>
                <w:tcPr>
                  <w:tcW w:w="1081" w:type="pct"/>
                  <w:vMerge w:val="continue"/>
                  <w:tcBorders>
                    <w:tl2br w:val="nil"/>
                    <w:tr2bl w:val="nil"/>
                  </w:tcBorders>
                  <w:vAlign w:val="center"/>
                </w:tcPr>
                <w:p w14:paraId="062C8336">
                  <w:pPr>
                    <w:tabs>
                      <w:tab w:val="left" w:pos="4515"/>
                    </w:tabs>
                    <w:wordWrap w:val="0"/>
                    <w:autoSpaceDE w:val="0"/>
                    <w:autoSpaceDN w:val="0"/>
                    <w:adjustRightInd w:val="0"/>
                    <w:snapToGrid w:val="0"/>
                    <w:jc w:val="center"/>
                    <w:rPr>
                      <w:rFonts w:hint="default" w:ascii="Times New Roman" w:hAnsi="Times New Roman" w:cs="Times New Roman"/>
                      <w:b w:val="0"/>
                      <w:bCs/>
                      <w:color w:val="auto"/>
                      <w:szCs w:val="21"/>
                      <w:highlight w:val="none"/>
                    </w:rPr>
                  </w:pPr>
                </w:p>
              </w:tc>
            </w:tr>
          </w:tbl>
          <w:p w14:paraId="70480912">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表4-1</w:t>
            </w:r>
            <w:r>
              <w:rPr>
                <w:rFonts w:hint="default" w:ascii="Times New Roman" w:hAnsi="Times New Roman" w:cs="Times New Roman"/>
                <w:b/>
                <w:color w:val="auto"/>
                <w:szCs w:val="21"/>
                <w:highlight w:val="none"/>
                <w:lang w:val="en-US" w:eastAsia="zh-CN"/>
              </w:rPr>
              <w:t>4</w:t>
            </w:r>
            <w:r>
              <w:rPr>
                <w:rFonts w:hint="default" w:ascii="Times New Roman" w:hAnsi="Times New Roman" w:cs="Times New Roman"/>
                <w:b/>
                <w:color w:val="auto"/>
                <w:szCs w:val="21"/>
                <w:highlight w:val="none"/>
              </w:rPr>
              <w:t xml:space="preserve">   危险废物信息表</w:t>
            </w:r>
          </w:p>
          <w:tbl>
            <w:tblPr>
              <w:tblStyle w:val="29"/>
              <w:tblW w:w="4994"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863"/>
              <w:gridCol w:w="760"/>
              <w:gridCol w:w="1134"/>
              <w:gridCol w:w="1031"/>
              <w:gridCol w:w="661"/>
              <w:gridCol w:w="1013"/>
              <w:gridCol w:w="1013"/>
              <w:gridCol w:w="874"/>
              <w:gridCol w:w="937"/>
            </w:tblGrid>
            <w:tr w14:paraId="4022E4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tcBorders>
                    <w:tl2br w:val="nil"/>
                    <w:tr2bl w:val="nil"/>
                  </w:tcBorders>
                  <w:vAlign w:val="center"/>
                </w:tcPr>
                <w:p w14:paraId="03EE9488">
                  <w:pPr>
                    <w:adjustRightInd w:val="0"/>
                    <w:snapToGrid w:val="0"/>
                    <w:jc w:val="both"/>
                    <w:rPr>
                      <w:rFonts w:hint="default" w:ascii="Times New Roman" w:hAnsi="Times New Roman" w:eastAsia="宋体" w:cs="Times New Roman"/>
                      <w:b w:val="0"/>
                      <w:bCs w:val="0"/>
                      <w:color w:val="auto"/>
                      <w:spacing w:val="-11"/>
                      <w:sz w:val="21"/>
                      <w:szCs w:val="21"/>
                      <w:highlight w:val="none"/>
                      <w:lang w:val="en-US" w:eastAsia="zh-CN"/>
                    </w:rPr>
                  </w:pPr>
                  <w:r>
                    <w:rPr>
                      <w:rFonts w:hint="default" w:ascii="Times New Roman" w:hAnsi="Times New Roman" w:cs="Times New Roman"/>
                      <w:b w:val="0"/>
                      <w:bCs w:val="0"/>
                      <w:color w:val="auto"/>
                      <w:spacing w:val="-11"/>
                      <w:sz w:val="21"/>
                      <w:szCs w:val="21"/>
                      <w:highlight w:val="none"/>
                      <w:lang w:val="en-US" w:eastAsia="zh-CN"/>
                    </w:rPr>
                    <w:t>序号</w:t>
                  </w:r>
                </w:p>
              </w:tc>
              <w:tc>
                <w:tcPr>
                  <w:tcW w:w="495" w:type="pct"/>
                  <w:tcBorders>
                    <w:tl2br w:val="nil"/>
                    <w:tr2bl w:val="nil"/>
                  </w:tcBorders>
                  <w:vAlign w:val="center"/>
                </w:tcPr>
                <w:p w14:paraId="62D37205">
                  <w:pPr>
                    <w:adjustRightInd w:val="0"/>
                    <w:snapToGrid w:val="0"/>
                    <w:jc w:val="center"/>
                    <w:rPr>
                      <w:rFonts w:hint="default" w:ascii="Times New Roman" w:hAnsi="Times New Roman" w:cs="Times New Roman"/>
                      <w:b w:val="0"/>
                      <w:bCs w:val="0"/>
                      <w:color w:val="auto"/>
                      <w:spacing w:val="-11"/>
                      <w:sz w:val="21"/>
                      <w:szCs w:val="21"/>
                      <w:highlight w:val="none"/>
                    </w:rPr>
                  </w:pPr>
                  <w:r>
                    <w:rPr>
                      <w:rFonts w:hint="default" w:ascii="Times New Roman" w:hAnsi="Times New Roman" w:cs="Times New Roman"/>
                      <w:b w:val="0"/>
                      <w:bCs w:val="0"/>
                      <w:color w:val="auto"/>
                      <w:spacing w:val="-11"/>
                      <w:sz w:val="21"/>
                      <w:szCs w:val="21"/>
                      <w:highlight w:val="none"/>
                    </w:rPr>
                    <w:t>名称</w:t>
                  </w:r>
                </w:p>
              </w:tc>
              <w:tc>
                <w:tcPr>
                  <w:tcW w:w="436" w:type="pct"/>
                  <w:tcBorders>
                    <w:tl2br w:val="nil"/>
                    <w:tr2bl w:val="nil"/>
                  </w:tcBorders>
                  <w:vAlign w:val="center"/>
                </w:tcPr>
                <w:p w14:paraId="3194C5C2">
                  <w:pPr>
                    <w:adjustRightInd w:val="0"/>
                    <w:snapToGrid w:val="0"/>
                    <w:jc w:val="center"/>
                    <w:rPr>
                      <w:rFonts w:hint="default" w:ascii="Times New Roman" w:hAnsi="Times New Roman" w:eastAsia="宋体" w:cs="Times New Roman"/>
                      <w:b w:val="0"/>
                      <w:bCs w:val="0"/>
                      <w:color w:val="auto"/>
                      <w:spacing w:val="-11"/>
                      <w:sz w:val="21"/>
                      <w:szCs w:val="21"/>
                      <w:highlight w:val="none"/>
                      <w:lang w:val="en-US" w:eastAsia="zh-CN"/>
                    </w:rPr>
                  </w:pPr>
                  <w:r>
                    <w:rPr>
                      <w:rFonts w:hint="default" w:ascii="Times New Roman" w:hAnsi="Times New Roman" w:cs="Times New Roman"/>
                      <w:b w:val="0"/>
                      <w:bCs w:val="0"/>
                      <w:color w:val="auto"/>
                      <w:spacing w:val="-11"/>
                      <w:sz w:val="21"/>
                      <w:szCs w:val="21"/>
                      <w:highlight w:val="none"/>
                      <w:lang w:val="en-US" w:eastAsia="zh-CN"/>
                    </w:rPr>
                    <w:t>危废类别</w:t>
                  </w:r>
                </w:p>
              </w:tc>
              <w:tc>
                <w:tcPr>
                  <w:tcW w:w="650" w:type="pct"/>
                  <w:tcBorders>
                    <w:tl2br w:val="nil"/>
                    <w:tr2bl w:val="nil"/>
                  </w:tcBorders>
                  <w:vAlign w:val="center"/>
                </w:tcPr>
                <w:p w14:paraId="192A2642">
                  <w:pPr>
                    <w:adjustRightInd w:val="0"/>
                    <w:snapToGrid w:val="0"/>
                    <w:jc w:val="center"/>
                    <w:rPr>
                      <w:rFonts w:hint="default" w:ascii="Times New Roman" w:hAnsi="Times New Roman" w:eastAsia="宋体" w:cs="Times New Roman"/>
                      <w:b w:val="0"/>
                      <w:bCs w:val="0"/>
                      <w:color w:val="auto"/>
                      <w:spacing w:val="-11"/>
                      <w:sz w:val="21"/>
                      <w:szCs w:val="21"/>
                      <w:highlight w:val="none"/>
                      <w:lang w:val="en-US" w:eastAsia="zh-CN"/>
                    </w:rPr>
                  </w:pPr>
                  <w:r>
                    <w:rPr>
                      <w:rFonts w:hint="default" w:ascii="Times New Roman" w:hAnsi="Times New Roman" w:cs="Times New Roman"/>
                      <w:b w:val="0"/>
                      <w:bCs w:val="0"/>
                      <w:color w:val="auto"/>
                      <w:spacing w:val="-11"/>
                      <w:sz w:val="21"/>
                      <w:szCs w:val="21"/>
                      <w:highlight w:val="none"/>
                      <w:lang w:val="en-US" w:eastAsia="zh-CN"/>
                    </w:rPr>
                    <w:t>危废代码</w:t>
                  </w:r>
                </w:p>
              </w:tc>
              <w:tc>
                <w:tcPr>
                  <w:tcW w:w="591" w:type="pct"/>
                  <w:tcBorders>
                    <w:tl2br w:val="nil"/>
                    <w:tr2bl w:val="nil"/>
                  </w:tcBorders>
                  <w:vAlign w:val="center"/>
                </w:tcPr>
                <w:p w14:paraId="75AB3481">
                  <w:pPr>
                    <w:adjustRightInd w:val="0"/>
                    <w:snapToGrid w:val="0"/>
                    <w:jc w:val="center"/>
                    <w:rPr>
                      <w:rFonts w:hint="default" w:ascii="Times New Roman" w:hAnsi="Times New Roman" w:eastAsia="宋体" w:cs="Times New Roman"/>
                      <w:b w:val="0"/>
                      <w:bCs w:val="0"/>
                      <w:color w:val="auto"/>
                      <w:spacing w:val="-11"/>
                      <w:sz w:val="21"/>
                      <w:szCs w:val="21"/>
                      <w:highlight w:val="none"/>
                      <w:lang w:val="en-US" w:eastAsia="zh-CN"/>
                    </w:rPr>
                  </w:pPr>
                  <w:r>
                    <w:rPr>
                      <w:rFonts w:hint="default" w:ascii="Times New Roman" w:hAnsi="Times New Roman" w:cs="Times New Roman"/>
                      <w:b w:val="0"/>
                      <w:bCs w:val="0"/>
                      <w:color w:val="auto"/>
                      <w:spacing w:val="-11"/>
                      <w:sz w:val="21"/>
                      <w:szCs w:val="21"/>
                      <w:highlight w:val="none"/>
                      <w:lang w:val="en-US" w:eastAsia="zh-CN"/>
                    </w:rPr>
                    <w:t>产生量</w:t>
                  </w:r>
                </w:p>
              </w:tc>
              <w:tc>
                <w:tcPr>
                  <w:tcW w:w="379" w:type="pct"/>
                  <w:tcBorders>
                    <w:tl2br w:val="nil"/>
                    <w:tr2bl w:val="nil"/>
                  </w:tcBorders>
                  <w:vAlign w:val="center"/>
                </w:tcPr>
                <w:p w14:paraId="4B7B5DA0">
                  <w:pPr>
                    <w:adjustRightInd w:val="0"/>
                    <w:snapToGrid w:val="0"/>
                    <w:jc w:val="center"/>
                    <w:rPr>
                      <w:rFonts w:hint="default" w:ascii="Times New Roman" w:hAnsi="Times New Roman" w:cs="Times New Roman"/>
                      <w:b w:val="0"/>
                      <w:bCs w:val="0"/>
                      <w:color w:val="auto"/>
                      <w:spacing w:val="-11"/>
                      <w:sz w:val="21"/>
                      <w:szCs w:val="21"/>
                      <w:highlight w:val="none"/>
                    </w:rPr>
                  </w:pPr>
                  <w:r>
                    <w:rPr>
                      <w:rFonts w:hint="default" w:ascii="Times New Roman" w:hAnsi="Times New Roman" w:cs="Times New Roman"/>
                      <w:b w:val="0"/>
                      <w:bCs w:val="0"/>
                      <w:color w:val="auto"/>
                      <w:spacing w:val="-11"/>
                      <w:sz w:val="21"/>
                      <w:szCs w:val="21"/>
                      <w:highlight w:val="none"/>
                    </w:rPr>
                    <w:t>形态</w:t>
                  </w:r>
                </w:p>
              </w:tc>
              <w:tc>
                <w:tcPr>
                  <w:tcW w:w="581" w:type="pct"/>
                  <w:tcBorders>
                    <w:tl2br w:val="nil"/>
                    <w:tr2bl w:val="nil"/>
                  </w:tcBorders>
                  <w:vAlign w:val="center"/>
                </w:tcPr>
                <w:p w14:paraId="0D00FE2F">
                  <w:pPr>
                    <w:adjustRightInd w:val="0"/>
                    <w:snapToGrid w:val="0"/>
                    <w:jc w:val="center"/>
                    <w:rPr>
                      <w:rFonts w:hint="default" w:ascii="Times New Roman" w:hAnsi="Times New Roman" w:eastAsia="宋体" w:cs="Times New Roman"/>
                      <w:b w:val="0"/>
                      <w:bCs w:val="0"/>
                      <w:color w:val="auto"/>
                      <w:spacing w:val="-11"/>
                      <w:sz w:val="21"/>
                      <w:szCs w:val="21"/>
                      <w:highlight w:val="none"/>
                      <w:lang w:val="en-US" w:eastAsia="zh-CN"/>
                    </w:rPr>
                  </w:pPr>
                  <w:r>
                    <w:rPr>
                      <w:rFonts w:hint="default" w:ascii="Times New Roman" w:hAnsi="Times New Roman" w:cs="Times New Roman"/>
                      <w:b w:val="0"/>
                      <w:bCs w:val="0"/>
                      <w:color w:val="auto"/>
                      <w:spacing w:val="-11"/>
                      <w:sz w:val="21"/>
                      <w:szCs w:val="21"/>
                      <w:highlight w:val="none"/>
                      <w:lang w:val="en-US" w:eastAsia="zh-CN"/>
                    </w:rPr>
                    <w:t>主要成分</w:t>
                  </w:r>
                </w:p>
              </w:tc>
              <w:tc>
                <w:tcPr>
                  <w:tcW w:w="581" w:type="pct"/>
                  <w:tcBorders>
                    <w:tl2br w:val="nil"/>
                    <w:tr2bl w:val="nil"/>
                  </w:tcBorders>
                  <w:vAlign w:val="center"/>
                </w:tcPr>
                <w:p w14:paraId="33016C44">
                  <w:pPr>
                    <w:adjustRightInd w:val="0"/>
                    <w:snapToGrid w:val="0"/>
                    <w:jc w:val="center"/>
                    <w:rPr>
                      <w:rFonts w:hint="default" w:ascii="Times New Roman" w:hAnsi="Times New Roman" w:cs="Times New Roman"/>
                      <w:b w:val="0"/>
                      <w:bCs w:val="0"/>
                      <w:color w:val="auto"/>
                      <w:spacing w:val="-11"/>
                      <w:sz w:val="21"/>
                      <w:szCs w:val="21"/>
                      <w:highlight w:val="none"/>
                    </w:rPr>
                  </w:pPr>
                  <w:r>
                    <w:rPr>
                      <w:rFonts w:hint="default" w:ascii="Times New Roman" w:hAnsi="Times New Roman" w:cs="Times New Roman"/>
                      <w:b w:val="0"/>
                      <w:bCs w:val="0"/>
                      <w:color w:val="auto"/>
                      <w:spacing w:val="-11"/>
                      <w:sz w:val="21"/>
                      <w:szCs w:val="21"/>
                      <w:highlight w:val="none"/>
                    </w:rPr>
                    <w:t>有害成分</w:t>
                  </w:r>
                </w:p>
              </w:tc>
              <w:tc>
                <w:tcPr>
                  <w:tcW w:w="501" w:type="pct"/>
                  <w:tcBorders>
                    <w:tl2br w:val="nil"/>
                    <w:tr2bl w:val="nil"/>
                  </w:tcBorders>
                  <w:vAlign w:val="center"/>
                </w:tcPr>
                <w:p w14:paraId="4088EB58">
                  <w:pPr>
                    <w:adjustRightInd w:val="0"/>
                    <w:snapToGrid w:val="0"/>
                    <w:jc w:val="center"/>
                    <w:rPr>
                      <w:rFonts w:hint="default" w:ascii="Times New Roman" w:hAnsi="Times New Roman" w:cs="Times New Roman"/>
                      <w:b w:val="0"/>
                      <w:bCs w:val="0"/>
                      <w:color w:val="auto"/>
                      <w:spacing w:val="-11"/>
                      <w:sz w:val="21"/>
                      <w:szCs w:val="21"/>
                      <w:highlight w:val="none"/>
                    </w:rPr>
                  </w:pPr>
                  <w:r>
                    <w:rPr>
                      <w:rFonts w:hint="default" w:ascii="Times New Roman" w:hAnsi="Times New Roman" w:cs="Times New Roman"/>
                      <w:b w:val="0"/>
                      <w:bCs w:val="0"/>
                      <w:color w:val="auto"/>
                      <w:spacing w:val="-11"/>
                      <w:sz w:val="21"/>
                      <w:szCs w:val="21"/>
                      <w:highlight w:val="none"/>
                    </w:rPr>
                    <w:t>危险特性</w:t>
                  </w:r>
                </w:p>
              </w:tc>
              <w:tc>
                <w:tcPr>
                  <w:tcW w:w="537" w:type="pct"/>
                  <w:tcBorders>
                    <w:tl2br w:val="nil"/>
                    <w:tr2bl w:val="nil"/>
                  </w:tcBorders>
                  <w:vAlign w:val="center"/>
                </w:tcPr>
                <w:p w14:paraId="5758DFF9">
                  <w:pPr>
                    <w:adjustRightInd w:val="0"/>
                    <w:snapToGrid w:val="0"/>
                    <w:jc w:val="center"/>
                    <w:rPr>
                      <w:rFonts w:hint="default" w:ascii="Times New Roman" w:hAnsi="Times New Roman" w:eastAsia="宋体" w:cs="Times New Roman"/>
                      <w:b w:val="0"/>
                      <w:bCs w:val="0"/>
                      <w:color w:val="auto"/>
                      <w:spacing w:val="-11"/>
                      <w:sz w:val="21"/>
                      <w:szCs w:val="21"/>
                      <w:highlight w:val="none"/>
                      <w:lang w:val="en-US" w:eastAsia="zh-CN"/>
                    </w:rPr>
                  </w:pPr>
                  <w:r>
                    <w:rPr>
                      <w:rFonts w:hint="default" w:ascii="Times New Roman" w:hAnsi="Times New Roman" w:cs="Times New Roman"/>
                      <w:b w:val="0"/>
                      <w:bCs w:val="0"/>
                      <w:color w:val="auto"/>
                      <w:spacing w:val="-11"/>
                      <w:sz w:val="21"/>
                      <w:szCs w:val="21"/>
                      <w:highlight w:val="none"/>
                      <w:lang w:val="en-US" w:eastAsia="zh-CN"/>
                    </w:rPr>
                    <w:t>污染防治措施</w:t>
                  </w:r>
                </w:p>
              </w:tc>
            </w:tr>
            <w:tr w14:paraId="541811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tcBorders>
                    <w:tl2br w:val="nil"/>
                    <w:tr2bl w:val="nil"/>
                  </w:tcBorders>
                  <w:vAlign w:val="center"/>
                </w:tcPr>
                <w:p w14:paraId="4AF8FE07">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1</w:t>
                  </w:r>
                </w:p>
              </w:tc>
              <w:tc>
                <w:tcPr>
                  <w:tcW w:w="495" w:type="pct"/>
                  <w:tcBorders>
                    <w:tl2br w:val="nil"/>
                    <w:tr2bl w:val="nil"/>
                  </w:tcBorders>
                  <w:vAlign w:val="center"/>
                </w:tcPr>
                <w:p w14:paraId="6BE1EA57">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lang w:val="en-US" w:eastAsia="zh-CN"/>
                    </w:rPr>
                    <w:t>废包装（清洗剂桶、灌封胶桶）</w:t>
                  </w:r>
                </w:p>
              </w:tc>
              <w:tc>
                <w:tcPr>
                  <w:tcW w:w="436" w:type="pct"/>
                  <w:tcBorders>
                    <w:tl2br w:val="nil"/>
                    <w:tr2bl w:val="nil"/>
                  </w:tcBorders>
                  <w:vAlign w:val="center"/>
                </w:tcPr>
                <w:p w14:paraId="3EC0E6B4">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HW49</w:t>
                  </w:r>
                </w:p>
              </w:tc>
              <w:tc>
                <w:tcPr>
                  <w:tcW w:w="650" w:type="pct"/>
                  <w:tcBorders>
                    <w:tl2br w:val="nil"/>
                    <w:tr2bl w:val="nil"/>
                  </w:tcBorders>
                  <w:vAlign w:val="center"/>
                </w:tcPr>
                <w:p w14:paraId="7780D019">
                  <w:pPr>
                    <w:tabs>
                      <w:tab w:val="left" w:pos="4515"/>
                    </w:tabs>
                    <w:wordWrap w:val="0"/>
                    <w:autoSpaceDE w:val="0"/>
                    <w:autoSpaceDN w:val="0"/>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b w:val="0"/>
                      <w:bCs/>
                      <w:color w:val="auto"/>
                      <w:spacing w:val="-11"/>
                      <w:szCs w:val="21"/>
                      <w:highlight w:val="none"/>
                      <w:lang w:val="en-US" w:eastAsia="zh-CN"/>
                    </w:rPr>
                    <w:t>900-041-49</w:t>
                  </w:r>
                </w:p>
              </w:tc>
              <w:tc>
                <w:tcPr>
                  <w:tcW w:w="591" w:type="pct"/>
                  <w:tcBorders>
                    <w:tl2br w:val="nil"/>
                    <w:tr2bl w:val="nil"/>
                  </w:tcBorders>
                  <w:shd w:val="clear" w:color="auto" w:fill="auto"/>
                  <w:vAlign w:val="center"/>
                </w:tcPr>
                <w:p w14:paraId="3B82C0AD">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lang w:val="en-US" w:eastAsia="zh-CN"/>
                    </w:rPr>
                    <w:t>0.2t/a</w:t>
                  </w:r>
                </w:p>
              </w:tc>
              <w:tc>
                <w:tcPr>
                  <w:tcW w:w="379" w:type="pct"/>
                  <w:tcBorders>
                    <w:tl2br w:val="nil"/>
                    <w:tr2bl w:val="nil"/>
                  </w:tcBorders>
                  <w:vAlign w:val="center"/>
                </w:tcPr>
                <w:p w14:paraId="3AE69D9C">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固态</w:t>
                  </w:r>
                </w:p>
              </w:tc>
              <w:tc>
                <w:tcPr>
                  <w:tcW w:w="581" w:type="pct"/>
                  <w:tcBorders>
                    <w:tl2br w:val="nil"/>
                    <w:tr2bl w:val="nil"/>
                  </w:tcBorders>
                  <w:vAlign w:val="center"/>
                </w:tcPr>
                <w:p w14:paraId="5D3C759C">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异丙醇、石油醚等</w:t>
                  </w:r>
                </w:p>
              </w:tc>
              <w:tc>
                <w:tcPr>
                  <w:tcW w:w="581" w:type="pct"/>
                  <w:tcBorders>
                    <w:tl2br w:val="nil"/>
                    <w:tr2bl w:val="nil"/>
                  </w:tcBorders>
                  <w:vAlign w:val="center"/>
                </w:tcPr>
                <w:p w14:paraId="3F76A8E5">
                  <w:pPr>
                    <w:adjustRightInd w:val="0"/>
                    <w:snapToGrid w:val="0"/>
                    <w:jc w:val="center"/>
                    <w:rPr>
                      <w:rFonts w:hint="default" w:ascii="Times New Roman" w:hAnsi="Times New Roman" w:eastAsia="宋体" w:cs="Times New Roman"/>
                      <w:color w:val="auto"/>
                      <w:spacing w:val="-11"/>
                      <w:sz w:val="21"/>
                      <w:szCs w:val="21"/>
                      <w:highlight w:val="none"/>
                      <w:lang w:eastAsia="zh-CN"/>
                    </w:rPr>
                  </w:pPr>
                  <w:r>
                    <w:rPr>
                      <w:rFonts w:hint="default" w:ascii="Times New Roman" w:hAnsi="Times New Roman" w:cs="Times New Roman"/>
                      <w:color w:val="auto"/>
                      <w:spacing w:val="-11"/>
                      <w:sz w:val="21"/>
                      <w:szCs w:val="21"/>
                      <w:highlight w:val="none"/>
                      <w:lang w:val="en-US" w:eastAsia="zh-CN"/>
                    </w:rPr>
                    <w:t>异丙醇、石油醚等</w:t>
                  </w:r>
                </w:p>
              </w:tc>
              <w:tc>
                <w:tcPr>
                  <w:tcW w:w="501" w:type="pct"/>
                  <w:tcBorders>
                    <w:tl2br w:val="nil"/>
                    <w:tr2bl w:val="nil"/>
                  </w:tcBorders>
                  <w:vAlign w:val="center"/>
                </w:tcPr>
                <w:p w14:paraId="08CC8552">
                  <w:pPr>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T/In</w:t>
                  </w:r>
                </w:p>
              </w:tc>
              <w:tc>
                <w:tcPr>
                  <w:tcW w:w="537" w:type="pct"/>
                  <w:vMerge w:val="restart"/>
                  <w:tcBorders>
                    <w:tl2br w:val="nil"/>
                    <w:tr2bl w:val="nil"/>
                  </w:tcBorders>
                  <w:vAlign w:val="center"/>
                </w:tcPr>
                <w:p w14:paraId="78246A82">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lang w:val="en-US" w:eastAsia="zh-CN"/>
                    </w:rPr>
                    <w:t>分类收集后暂存于危废贮存库，交由有资质单位处置</w:t>
                  </w:r>
                </w:p>
              </w:tc>
            </w:tr>
            <w:tr w14:paraId="61C0C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trPr>
              <w:tc>
                <w:tcPr>
                  <w:tcW w:w="245" w:type="pct"/>
                  <w:tcBorders>
                    <w:tl2br w:val="nil"/>
                    <w:tr2bl w:val="nil"/>
                  </w:tcBorders>
                  <w:vAlign w:val="center"/>
                </w:tcPr>
                <w:p w14:paraId="4ED18C9D">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2</w:t>
                  </w:r>
                </w:p>
              </w:tc>
              <w:tc>
                <w:tcPr>
                  <w:tcW w:w="495" w:type="pct"/>
                  <w:tcBorders>
                    <w:tl2br w:val="nil"/>
                    <w:tr2bl w:val="nil"/>
                  </w:tcBorders>
                  <w:vAlign w:val="center"/>
                </w:tcPr>
                <w:p w14:paraId="2285633A">
                  <w:pPr>
                    <w:tabs>
                      <w:tab w:val="left" w:pos="4515"/>
                    </w:tabs>
                    <w:wordWrap w:val="0"/>
                    <w:autoSpaceDE w:val="0"/>
                    <w:autoSpaceDN w:val="0"/>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不合格电路板</w:t>
                  </w:r>
                </w:p>
              </w:tc>
              <w:tc>
                <w:tcPr>
                  <w:tcW w:w="436" w:type="pct"/>
                  <w:tcBorders>
                    <w:tl2br w:val="nil"/>
                    <w:tr2bl w:val="nil"/>
                  </w:tcBorders>
                  <w:vAlign w:val="center"/>
                </w:tcPr>
                <w:p w14:paraId="6B65E679">
                  <w:pPr>
                    <w:adjustRightInd w:val="0"/>
                    <w:snapToGrid w:val="0"/>
                    <w:ind w:left="-105" w:leftChars="-50" w:right="-105" w:rightChars="-5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HW49</w:t>
                  </w:r>
                </w:p>
              </w:tc>
              <w:tc>
                <w:tcPr>
                  <w:tcW w:w="650" w:type="pct"/>
                  <w:tcBorders>
                    <w:tl2br w:val="nil"/>
                    <w:tr2bl w:val="nil"/>
                  </w:tcBorders>
                  <w:vAlign w:val="center"/>
                </w:tcPr>
                <w:p w14:paraId="0D7A2AC4">
                  <w:pPr>
                    <w:tabs>
                      <w:tab w:val="left" w:pos="4515"/>
                    </w:tabs>
                    <w:wordWrap w:val="0"/>
                    <w:autoSpaceDE w:val="0"/>
                    <w:autoSpaceDN w:val="0"/>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b w:val="0"/>
                      <w:bCs/>
                      <w:color w:val="auto"/>
                      <w:spacing w:val="-11"/>
                      <w:szCs w:val="21"/>
                      <w:highlight w:val="none"/>
                      <w:lang w:val="en-US" w:eastAsia="zh-CN"/>
                    </w:rPr>
                    <w:t>900-045-49</w:t>
                  </w:r>
                </w:p>
              </w:tc>
              <w:tc>
                <w:tcPr>
                  <w:tcW w:w="591" w:type="pct"/>
                  <w:tcBorders>
                    <w:tl2br w:val="nil"/>
                    <w:tr2bl w:val="nil"/>
                  </w:tcBorders>
                  <w:shd w:val="clear" w:color="auto" w:fill="auto"/>
                  <w:vAlign w:val="center"/>
                </w:tcPr>
                <w:p w14:paraId="26E7F65F">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lang w:val="en-US" w:eastAsia="zh-CN"/>
                    </w:rPr>
                    <w:t>0.1t/a</w:t>
                  </w:r>
                </w:p>
              </w:tc>
              <w:tc>
                <w:tcPr>
                  <w:tcW w:w="379" w:type="pct"/>
                  <w:tcBorders>
                    <w:tl2br w:val="nil"/>
                    <w:tr2bl w:val="nil"/>
                  </w:tcBorders>
                  <w:vAlign w:val="center"/>
                </w:tcPr>
                <w:p w14:paraId="79CD7FC7">
                  <w:pPr>
                    <w:adjustRightInd w:val="0"/>
                    <w:snapToGrid w:val="0"/>
                    <w:ind w:left="-105" w:leftChars="-50" w:right="-105" w:rightChars="-50"/>
                    <w:jc w:val="center"/>
                    <w:rPr>
                      <w:rFonts w:hint="default" w:ascii="Times New Roman" w:hAnsi="Times New Roman" w:eastAsia="宋体" w:cs="Times New Roman"/>
                      <w:color w:val="auto"/>
                      <w:spacing w:val="-11"/>
                      <w:sz w:val="21"/>
                      <w:szCs w:val="21"/>
                      <w:highlight w:val="none"/>
                      <w:lang w:eastAsia="zh-CN"/>
                    </w:rPr>
                  </w:pPr>
                  <w:r>
                    <w:rPr>
                      <w:rFonts w:hint="default" w:ascii="Times New Roman" w:hAnsi="Times New Roman" w:cs="Times New Roman"/>
                      <w:color w:val="auto"/>
                      <w:spacing w:val="-11"/>
                      <w:sz w:val="21"/>
                      <w:szCs w:val="21"/>
                      <w:highlight w:val="none"/>
                      <w:lang w:val="en-US" w:eastAsia="zh-CN"/>
                    </w:rPr>
                    <w:t>固态</w:t>
                  </w:r>
                </w:p>
              </w:tc>
              <w:tc>
                <w:tcPr>
                  <w:tcW w:w="581" w:type="pct"/>
                  <w:tcBorders>
                    <w:tl2br w:val="nil"/>
                    <w:tr2bl w:val="nil"/>
                  </w:tcBorders>
                  <w:vAlign w:val="center"/>
                </w:tcPr>
                <w:p w14:paraId="20346532">
                  <w:pPr>
                    <w:adjustRightInd w:val="0"/>
                    <w:snapToGrid w:val="0"/>
                    <w:ind w:left="-105" w:leftChars="-50" w:right="-105" w:rightChars="-5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c>
                <w:tcPr>
                  <w:tcW w:w="581" w:type="pct"/>
                  <w:tcBorders>
                    <w:tl2br w:val="nil"/>
                    <w:tr2bl w:val="nil"/>
                  </w:tcBorders>
                  <w:shd w:val="clear" w:color="auto" w:fill="auto"/>
                  <w:vAlign w:val="center"/>
                </w:tcPr>
                <w:p w14:paraId="046402E0">
                  <w:pPr>
                    <w:adjustRightInd w:val="0"/>
                    <w:snapToGrid w:val="0"/>
                    <w:ind w:left="-105" w:leftChars="-50" w:right="-105" w:rightChars="-5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w:t>
                  </w:r>
                </w:p>
              </w:tc>
              <w:tc>
                <w:tcPr>
                  <w:tcW w:w="501" w:type="pct"/>
                  <w:tcBorders>
                    <w:tl2br w:val="nil"/>
                    <w:tr2bl w:val="nil"/>
                  </w:tcBorders>
                  <w:vAlign w:val="center"/>
                </w:tcPr>
                <w:p w14:paraId="4D246D33">
                  <w:pPr>
                    <w:adjustRightInd w:val="0"/>
                    <w:snapToGrid w:val="0"/>
                    <w:ind w:left="-105" w:leftChars="-50" w:right="-105" w:rightChars="-5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T</w:t>
                  </w:r>
                </w:p>
              </w:tc>
              <w:tc>
                <w:tcPr>
                  <w:tcW w:w="537" w:type="pct"/>
                  <w:vMerge w:val="continue"/>
                  <w:tcBorders>
                    <w:tl2br w:val="nil"/>
                    <w:tr2bl w:val="nil"/>
                  </w:tcBorders>
                  <w:vAlign w:val="center"/>
                </w:tcPr>
                <w:p w14:paraId="685579FF">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p>
              </w:tc>
            </w:tr>
            <w:tr w14:paraId="757543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tcBorders>
                    <w:tl2br w:val="nil"/>
                    <w:tr2bl w:val="nil"/>
                  </w:tcBorders>
                  <w:vAlign w:val="center"/>
                </w:tcPr>
                <w:p w14:paraId="6CE53D19">
                  <w:pPr>
                    <w:adjustRightInd w:val="0"/>
                    <w:snapToGrid w:val="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3</w:t>
                  </w:r>
                </w:p>
              </w:tc>
              <w:tc>
                <w:tcPr>
                  <w:tcW w:w="495" w:type="pct"/>
                  <w:tcBorders>
                    <w:tl2br w:val="nil"/>
                    <w:tr2bl w:val="nil"/>
                  </w:tcBorders>
                  <w:vAlign w:val="center"/>
                </w:tcPr>
                <w:p w14:paraId="30EAB5BE">
                  <w:pPr>
                    <w:tabs>
                      <w:tab w:val="left" w:pos="4515"/>
                    </w:tabs>
                    <w:wordWrap w:val="0"/>
                    <w:autoSpaceDE w:val="0"/>
                    <w:autoSpaceDN w:val="0"/>
                    <w:adjustRightInd w:val="0"/>
                    <w:snapToGrid w:val="0"/>
                    <w:jc w:val="center"/>
                    <w:rPr>
                      <w:rFonts w:hint="default" w:ascii="Times New Roman" w:hAnsi="Times New Roman"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不合格电源模块</w:t>
                  </w:r>
                </w:p>
              </w:tc>
              <w:tc>
                <w:tcPr>
                  <w:tcW w:w="760" w:type="dxa"/>
                  <w:tcBorders>
                    <w:tl2br w:val="nil"/>
                    <w:tr2bl w:val="nil"/>
                  </w:tcBorders>
                  <w:vAlign w:val="center"/>
                </w:tcPr>
                <w:p w14:paraId="7358EDF7">
                  <w:pPr>
                    <w:adjustRightInd w:val="0"/>
                    <w:snapToGrid w:val="0"/>
                    <w:ind w:left="-105" w:leftChars="-50" w:right="-105" w:rightChars="-5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HW49</w:t>
                  </w:r>
                </w:p>
              </w:tc>
              <w:tc>
                <w:tcPr>
                  <w:tcW w:w="1134" w:type="dxa"/>
                  <w:tcBorders>
                    <w:tl2br w:val="nil"/>
                    <w:tr2bl w:val="nil"/>
                  </w:tcBorders>
                  <w:vAlign w:val="center"/>
                </w:tcPr>
                <w:p w14:paraId="205F8378">
                  <w:pPr>
                    <w:tabs>
                      <w:tab w:val="left" w:pos="4515"/>
                    </w:tabs>
                    <w:wordWrap w:val="0"/>
                    <w:autoSpaceDE w:val="0"/>
                    <w:autoSpaceDN w:val="0"/>
                    <w:adjustRightInd w:val="0"/>
                    <w:snapToGrid w:val="0"/>
                    <w:jc w:val="center"/>
                    <w:rPr>
                      <w:rFonts w:hint="default" w:ascii="Times New Roman" w:hAnsi="Times New Roman" w:cs="Times New Roman"/>
                      <w:b w:val="0"/>
                      <w:bCs/>
                      <w:color w:val="auto"/>
                      <w:spacing w:val="-11"/>
                      <w:szCs w:val="21"/>
                      <w:highlight w:val="none"/>
                      <w:lang w:val="en-US" w:eastAsia="zh-CN"/>
                    </w:rPr>
                  </w:pPr>
                  <w:r>
                    <w:rPr>
                      <w:rFonts w:hint="default" w:ascii="Times New Roman" w:hAnsi="Times New Roman" w:cs="Times New Roman"/>
                      <w:b w:val="0"/>
                      <w:bCs/>
                      <w:color w:val="auto"/>
                      <w:spacing w:val="-11"/>
                      <w:szCs w:val="21"/>
                      <w:highlight w:val="none"/>
                      <w:lang w:val="en-US" w:eastAsia="zh-CN"/>
                    </w:rPr>
                    <w:t>900-045-49</w:t>
                  </w:r>
                </w:p>
              </w:tc>
              <w:tc>
                <w:tcPr>
                  <w:tcW w:w="1031" w:type="dxa"/>
                  <w:tcBorders>
                    <w:tl2br w:val="nil"/>
                    <w:tr2bl w:val="nil"/>
                  </w:tcBorders>
                  <w:shd w:val="clear" w:color="auto" w:fill="auto"/>
                  <w:vAlign w:val="center"/>
                </w:tcPr>
                <w:p w14:paraId="3140134F">
                  <w:pPr>
                    <w:tabs>
                      <w:tab w:val="left" w:pos="4515"/>
                    </w:tabs>
                    <w:wordWrap w:val="0"/>
                    <w:autoSpaceDE w:val="0"/>
                    <w:autoSpaceDN w:val="0"/>
                    <w:adjustRightInd w:val="0"/>
                    <w:snapToGrid w:val="0"/>
                    <w:jc w:val="center"/>
                    <w:rPr>
                      <w:rFonts w:hint="default" w:ascii="Times New Roman" w:hAnsi="Times New Roman" w:cs="Times New Roman"/>
                      <w:b w:val="0"/>
                      <w:bCs/>
                      <w:color w:val="auto"/>
                      <w:spacing w:val="-11"/>
                      <w:szCs w:val="21"/>
                      <w:highlight w:val="none"/>
                      <w:lang w:val="en-US" w:eastAsia="zh-CN"/>
                    </w:rPr>
                  </w:pPr>
                  <w:r>
                    <w:rPr>
                      <w:rFonts w:hint="default" w:ascii="Times New Roman" w:hAnsi="Times New Roman" w:cs="Times New Roman"/>
                      <w:b w:val="0"/>
                      <w:bCs/>
                      <w:color w:val="auto"/>
                      <w:spacing w:val="-11"/>
                      <w:szCs w:val="21"/>
                      <w:highlight w:val="none"/>
                      <w:lang w:val="en-US" w:eastAsia="zh-CN"/>
                    </w:rPr>
                    <w:t>5.0t/a</w:t>
                  </w:r>
                </w:p>
              </w:tc>
              <w:tc>
                <w:tcPr>
                  <w:tcW w:w="661" w:type="dxa"/>
                  <w:tcBorders>
                    <w:tl2br w:val="nil"/>
                    <w:tr2bl w:val="nil"/>
                  </w:tcBorders>
                  <w:vAlign w:val="center"/>
                </w:tcPr>
                <w:p w14:paraId="5350BEBF">
                  <w:pPr>
                    <w:adjustRightInd w:val="0"/>
                    <w:snapToGrid w:val="0"/>
                    <w:ind w:left="-105" w:leftChars="-50" w:right="-105" w:rightChars="-5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固态</w:t>
                  </w:r>
                </w:p>
              </w:tc>
              <w:tc>
                <w:tcPr>
                  <w:tcW w:w="1013" w:type="dxa"/>
                  <w:tcBorders>
                    <w:tl2br w:val="nil"/>
                    <w:tr2bl w:val="nil"/>
                  </w:tcBorders>
                  <w:vAlign w:val="center"/>
                </w:tcPr>
                <w:p w14:paraId="2AAB8D06">
                  <w:pPr>
                    <w:adjustRightInd w:val="0"/>
                    <w:snapToGrid w:val="0"/>
                    <w:ind w:left="-105" w:leftChars="-50" w:right="-105" w:rightChars="-5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c>
                <w:tcPr>
                  <w:tcW w:w="1013" w:type="dxa"/>
                  <w:tcBorders>
                    <w:tl2br w:val="nil"/>
                    <w:tr2bl w:val="nil"/>
                  </w:tcBorders>
                  <w:shd w:val="clear" w:color="auto" w:fill="auto"/>
                  <w:vAlign w:val="center"/>
                </w:tcPr>
                <w:p w14:paraId="102E5195">
                  <w:pPr>
                    <w:adjustRightInd w:val="0"/>
                    <w:snapToGrid w:val="0"/>
                    <w:ind w:left="-105" w:leftChars="-50" w:right="-105" w:rightChars="-5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w:t>
                  </w:r>
                </w:p>
              </w:tc>
              <w:tc>
                <w:tcPr>
                  <w:tcW w:w="874" w:type="dxa"/>
                  <w:tcBorders>
                    <w:tl2br w:val="nil"/>
                    <w:tr2bl w:val="nil"/>
                  </w:tcBorders>
                  <w:vAlign w:val="center"/>
                </w:tcPr>
                <w:p w14:paraId="2833583D">
                  <w:pPr>
                    <w:adjustRightInd w:val="0"/>
                    <w:snapToGrid w:val="0"/>
                    <w:ind w:left="-105" w:leftChars="-50" w:right="-105" w:rightChars="-5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T</w:t>
                  </w:r>
                </w:p>
              </w:tc>
              <w:tc>
                <w:tcPr>
                  <w:tcW w:w="537" w:type="pct"/>
                  <w:vMerge w:val="continue"/>
                  <w:tcBorders>
                    <w:tl2br w:val="nil"/>
                    <w:tr2bl w:val="nil"/>
                  </w:tcBorders>
                  <w:vAlign w:val="center"/>
                </w:tcPr>
                <w:p w14:paraId="3B95BA01">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p>
              </w:tc>
            </w:tr>
            <w:tr w14:paraId="0A6688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tcBorders>
                    <w:tl2br w:val="nil"/>
                    <w:tr2bl w:val="nil"/>
                  </w:tcBorders>
                  <w:vAlign w:val="center"/>
                </w:tcPr>
                <w:p w14:paraId="6DDC8306">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3</w:t>
                  </w:r>
                </w:p>
              </w:tc>
              <w:tc>
                <w:tcPr>
                  <w:tcW w:w="495" w:type="pct"/>
                  <w:tcBorders>
                    <w:tl2br w:val="nil"/>
                    <w:tr2bl w:val="nil"/>
                  </w:tcBorders>
                  <w:vAlign w:val="center"/>
                </w:tcPr>
                <w:p w14:paraId="0D9548F6">
                  <w:pPr>
                    <w:tabs>
                      <w:tab w:val="left" w:pos="4515"/>
                    </w:tabs>
                    <w:wordWrap w:val="0"/>
                    <w:autoSpaceDE w:val="0"/>
                    <w:autoSpaceDN w:val="0"/>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废清洗剂</w:t>
                  </w:r>
                </w:p>
              </w:tc>
              <w:tc>
                <w:tcPr>
                  <w:tcW w:w="436" w:type="pct"/>
                  <w:tcBorders>
                    <w:tl2br w:val="nil"/>
                    <w:tr2bl w:val="nil"/>
                  </w:tcBorders>
                  <w:vAlign w:val="center"/>
                </w:tcPr>
                <w:p w14:paraId="22B68793">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HW06</w:t>
                  </w:r>
                </w:p>
              </w:tc>
              <w:tc>
                <w:tcPr>
                  <w:tcW w:w="650" w:type="pct"/>
                  <w:tcBorders>
                    <w:tl2br w:val="nil"/>
                    <w:tr2bl w:val="nil"/>
                  </w:tcBorders>
                  <w:vAlign w:val="center"/>
                </w:tcPr>
                <w:p w14:paraId="0A44CDBC">
                  <w:pPr>
                    <w:tabs>
                      <w:tab w:val="left" w:pos="4515"/>
                    </w:tabs>
                    <w:wordWrap w:val="0"/>
                    <w:autoSpaceDE w:val="0"/>
                    <w:autoSpaceDN w:val="0"/>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b w:val="0"/>
                      <w:bCs/>
                      <w:color w:val="auto"/>
                      <w:spacing w:val="-11"/>
                      <w:szCs w:val="21"/>
                      <w:highlight w:val="none"/>
                      <w:lang w:val="en-US" w:eastAsia="zh-CN"/>
                    </w:rPr>
                    <w:t>900-402-06</w:t>
                  </w:r>
                </w:p>
              </w:tc>
              <w:tc>
                <w:tcPr>
                  <w:tcW w:w="591" w:type="pct"/>
                  <w:tcBorders>
                    <w:tl2br w:val="nil"/>
                    <w:tr2bl w:val="nil"/>
                  </w:tcBorders>
                  <w:shd w:val="clear" w:color="auto" w:fill="auto"/>
                  <w:vAlign w:val="center"/>
                </w:tcPr>
                <w:p w14:paraId="42DD1401">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lang w:val="en-US" w:eastAsia="zh-CN"/>
                    </w:rPr>
                    <w:t>49.88t/a</w:t>
                  </w:r>
                </w:p>
              </w:tc>
              <w:tc>
                <w:tcPr>
                  <w:tcW w:w="379" w:type="pct"/>
                  <w:tcBorders>
                    <w:tl2br w:val="nil"/>
                    <w:tr2bl w:val="nil"/>
                  </w:tcBorders>
                  <w:vAlign w:val="center"/>
                </w:tcPr>
                <w:p w14:paraId="4146F714">
                  <w:pPr>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液态</w:t>
                  </w:r>
                </w:p>
              </w:tc>
              <w:tc>
                <w:tcPr>
                  <w:tcW w:w="581" w:type="pct"/>
                  <w:tcBorders>
                    <w:tl2br w:val="nil"/>
                    <w:tr2bl w:val="nil"/>
                  </w:tcBorders>
                  <w:vAlign w:val="center"/>
                </w:tcPr>
                <w:p w14:paraId="52A68AB4">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异丙醇、石油醚等</w:t>
                  </w:r>
                </w:p>
              </w:tc>
              <w:tc>
                <w:tcPr>
                  <w:tcW w:w="581" w:type="pct"/>
                  <w:tcBorders>
                    <w:tl2br w:val="nil"/>
                    <w:tr2bl w:val="nil"/>
                  </w:tcBorders>
                  <w:shd w:val="clear" w:color="auto" w:fill="auto"/>
                  <w:vAlign w:val="center"/>
                </w:tcPr>
                <w:p w14:paraId="06387EF8">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异丙醇、石油醚等</w:t>
                  </w:r>
                </w:p>
              </w:tc>
              <w:tc>
                <w:tcPr>
                  <w:tcW w:w="501" w:type="pct"/>
                  <w:tcBorders>
                    <w:tl2br w:val="nil"/>
                    <w:tr2bl w:val="nil"/>
                  </w:tcBorders>
                  <w:vAlign w:val="center"/>
                </w:tcPr>
                <w:p w14:paraId="3EC341F5">
                  <w:pPr>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T，I，R</w:t>
                  </w:r>
                </w:p>
              </w:tc>
              <w:tc>
                <w:tcPr>
                  <w:tcW w:w="537" w:type="pct"/>
                  <w:vMerge w:val="continue"/>
                  <w:tcBorders>
                    <w:tl2br w:val="nil"/>
                    <w:tr2bl w:val="nil"/>
                  </w:tcBorders>
                  <w:vAlign w:val="center"/>
                </w:tcPr>
                <w:p w14:paraId="2CDF73FC">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p>
              </w:tc>
            </w:tr>
            <w:tr w14:paraId="19DD6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tcBorders>
                    <w:tl2br w:val="nil"/>
                    <w:tr2bl w:val="nil"/>
                  </w:tcBorders>
                  <w:vAlign w:val="center"/>
                </w:tcPr>
                <w:p w14:paraId="076AF4C1">
                  <w:pPr>
                    <w:adjustRightInd w:val="0"/>
                    <w:snapToGrid w:val="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4</w:t>
                  </w:r>
                </w:p>
              </w:tc>
              <w:tc>
                <w:tcPr>
                  <w:tcW w:w="495" w:type="pct"/>
                  <w:tcBorders>
                    <w:tl2br w:val="nil"/>
                    <w:tr2bl w:val="nil"/>
                  </w:tcBorders>
                  <w:vAlign w:val="center"/>
                </w:tcPr>
                <w:p w14:paraId="0E181DB2">
                  <w:pPr>
                    <w:tabs>
                      <w:tab w:val="left" w:pos="4515"/>
                    </w:tabs>
                    <w:wordWrap w:val="0"/>
                    <w:autoSpaceDE w:val="0"/>
                    <w:autoSpaceDN w:val="0"/>
                    <w:adjustRightInd w:val="0"/>
                    <w:snapToGrid w:val="0"/>
                    <w:jc w:val="center"/>
                    <w:rPr>
                      <w:rFonts w:hint="default" w:ascii="Times New Roman" w:hAnsi="Times New Roman"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kern w:val="2"/>
                      <w:sz w:val="21"/>
                      <w:szCs w:val="21"/>
                      <w:highlight w:val="none"/>
                      <w:lang w:val="en-US" w:eastAsia="zh-CN" w:bidi="ar-SA"/>
                    </w:rPr>
                    <w:t>废灌封胶渣</w:t>
                  </w:r>
                </w:p>
              </w:tc>
              <w:tc>
                <w:tcPr>
                  <w:tcW w:w="436" w:type="pct"/>
                  <w:tcBorders>
                    <w:tl2br w:val="nil"/>
                    <w:tr2bl w:val="nil"/>
                  </w:tcBorders>
                  <w:vAlign w:val="center"/>
                </w:tcPr>
                <w:p w14:paraId="08CC6CA9">
                  <w:pPr>
                    <w:adjustRightInd w:val="0"/>
                    <w:snapToGrid w:val="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HW13</w:t>
                  </w:r>
                </w:p>
              </w:tc>
              <w:tc>
                <w:tcPr>
                  <w:tcW w:w="650" w:type="pct"/>
                  <w:tcBorders>
                    <w:tl2br w:val="nil"/>
                    <w:tr2bl w:val="nil"/>
                  </w:tcBorders>
                  <w:vAlign w:val="center"/>
                </w:tcPr>
                <w:p w14:paraId="0AB9AD8C">
                  <w:pPr>
                    <w:tabs>
                      <w:tab w:val="left" w:pos="4515"/>
                    </w:tabs>
                    <w:wordWrap w:val="0"/>
                    <w:autoSpaceDE w:val="0"/>
                    <w:autoSpaceDN w:val="0"/>
                    <w:adjustRightInd w:val="0"/>
                    <w:snapToGrid w:val="0"/>
                    <w:jc w:val="center"/>
                    <w:rPr>
                      <w:rFonts w:hint="default" w:ascii="Times New Roman" w:hAnsi="Times New Roman" w:cs="Times New Roman"/>
                      <w:b w:val="0"/>
                      <w:bCs/>
                      <w:color w:val="auto"/>
                      <w:spacing w:val="-11"/>
                      <w:szCs w:val="21"/>
                      <w:highlight w:val="none"/>
                    </w:rPr>
                  </w:pPr>
                  <w:r>
                    <w:rPr>
                      <w:rFonts w:hint="default" w:ascii="Times New Roman" w:hAnsi="Times New Roman" w:cs="Times New Roman"/>
                      <w:b w:val="0"/>
                      <w:bCs/>
                      <w:color w:val="auto"/>
                      <w:spacing w:val="-11"/>
                      <w:szCs w:val="21"/>
                      <w:highlight w:val="none"/>
                      <w:lang w:val="en-US" w:eastAsia="zh-CN"/>
                    </w:rPr>
                    <w:t>900-014-13</w:t>
                  </w:r>
                </w:p>
              </w:tc>
              <w:tc>
                <w:tcPr>
                  <w:tcW w:w="591" w:type="pct"/>
                  <w:tcBorders>
                    <w:tl2br w:val="nil"/>
                    <w:tr2bl w:val="nil"/>
                  </w:tcBorders>
                  <w:shd w:val="clear" w:color="auto" w:fill="auto"/>
                  <w:vAlign w:val="center"/>
                </w:tcPr>
                <w:p w14:paraId="4589B29E">
                  <w:pPr>
                    <w:tabs>
                      <w:tab w:val="left" w:pos="4515"/>
                    </w:tabs>
                    <w:wordWrap w:val="0"/>
                    <w:autoSpaceDE w:val="0"/>
                    <w:autoSpaceDN w:val="0"/>
                    <w:adjustRightInd w:val="0"/>
                    <w:snapToGrid w:val="0"/>
                    <w:jc w:val="center"/>
                    <w:rPr>
                      <w:rFonts w:hint="default" w:ascii="Times New Roman" w:hAnsi="Times New Roman" w:cs="Times New Roman"/>
                      <w:b w:val="0"/>
                      <w:bCs/>
                      <w:color w:val="auto"/>
                      <w:spacing w:val="-11"/>
                      <w:szCs w:val="21"/>
                      <w:highlight w:val="none"/>
                      <w:lang w:val="en-US" w:eastAsia="zh-CN"/>
                    </w:rPr>
                  </w:pPr>
                  <w:r>
                    <w:rPr>
                      <w:rFonts w:hint="default" w:ascii="Times New Roman" w:hAnsi="Times New Roman" w:cs="Times New Roman"/>
                      <w:b w:val="0"/>
                      <w:bCs/>
                      <w:color w:val="auto"/>
                      <w:spacing w:val="-11"/>
                      <w:szCs w:val="21"/>
                      <w:highlight w:val="none"/>
                      <w:lang w:val="en-US" w:eastAsia="zh-CN"/>
                    </w:rPr>
                    <w:t>0.2t/a</w:t>
                  </w:r>
                </w:p>
              </w:tc>
              <w:tc>
                <w:tcPr>
                  <w:tcW w:w="379" w:type="pct"/>
                  <w:tcBorders>
                    <w:tl2br w:val="nil"/>
                    <w:tr2bl w:val="nil"/>
                  </w:tcBorders>
                  <w:vAlign w:val="center"/>
                </w:tcPr>
                <w:p w14:paraId="0055967C">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液态</w:t>
                  </w:r>
                </w:p>
              </w:tc>
              <w:tc>
                <w:tcPr>
                  <w:tcW w:w="581" w:type="pct"/>
                  <w:tcBorders>
                    <w:tl2br w:val="nil"/>
                    <w:tr2bl w:val="nil"/>
                  </w:tcBorders>
                  <w:vAlign w:val="center"/>
                </w:tcPr>
                <w:p w14:paraId="084FECB1">
                  <w:pPr>
                    <w:adjustRightInd w:val="0"/>
                    <w:snapToGrid w:val="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有机硅化合物</w:t>
                  </w:r>
                </w:p>
              </w:tc>
              <w:tc>
                <w:tcPr>
                  <w:tcW w:w="581" w:type="pct"/>
                  <w:tcBorders>
                    <w:tl2br w:val="nil"/>
                    <w:tr2bl w:val="nil"/>
                  </w:tcBorders>
                  <w:shd w:val="clear" w:color="auto" w:fill="auto"/>
                  <w:vAlign w:val="center"/>
                </w:tcPr>
                <w:p w14:paraId="0AC1B151">
                  <w:pPr>
                    <w:adjustRightInd w:val="0"/>
                    <w:snapToGrid w:val="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有机硅化合物</w:t>
                  </w:r>
                </w:p>
              </w:tc>
              <w:tc>
                <w:tcPr>
                  <w:tcW w:w="501" w:type="pct"/>
                  <w:tcBorders>
                    <w:tl2br w:val="nil"/>
                    <w:tr2bl w:val="nil"/>
                  </w:tcBorders>
                  <w:vAlign w:val="center"/>
                </w:tcPr>
                <w:p w14:paraId="571B9350">
                  <w:pPr>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T，I，R</w:t>
                  </w:r>
                </w:p>
              </w:tc>
              <w:tc>
                <w:tcPr>
                  <w:tcW w:w="537" w:type="pct"/>
                  <w:vMerge w:val="continue"/>
                  <w:tcBorders>
                    <w:tl2br w:val="nil"/>
                    <w:tr2bl w:val="nil"/>
                  </w:tcBorders>
                  <w:vAlign w:val="center"/>
                </w:tcPr>
                <w:p w14:paraId="2E8D5161">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p>
              </w:tc>
            </w:tr>
            <w:tr w14:paraId="4BB33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vAlign w:val="center"/>
                </w:tcPr>
                <w:p w14:paraId="0E5E5962">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5</w:t>
                  </w:r>
                </w:p>
              </w:tc>
              <w:tc>
                <w:tcPr>
                  <w:tcW w:w="495" w:type="pct"/>
                  <w:vAlign w:val="center"/>
                </w:tcPr>
                <w:p w14:paraId="7ECA671B">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kern w:val="2"/>
                      <w:sz w:val="21"/>
                      <w:szCs w:val="21"/>
                      <w:highlight w:val="none"/>
                      <w:lang w:val="en-US" w:eastAsia="zh-CN" w:bidi="ar-SA"/>
                    </w:rPr>
                    <w:t>废活性炭</w:t>
                  </w:r>
                </w:p>
              </w:tc>
              <w:tc>
                <w:tcPr>
                  <w:tcW w:w="436" w:type="pct"/>
                  <w:vAlign w:val="center"/>
                </w:tcPr>
                <w:p w14:paraId="66F82B51">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HW49</w:t>
                  </w:r>
                </w:p>
              </w:tc>
              <w:tc>
                <w:tcPr>
                  <w:tcW w:w="650" w:type="pct"/>
                  <w:vAlign w:val="center"/>
                </w:tcPr>
                <w:p w14:paraId="0F715DA8">
                  <w:pPr>
                    <w:tabs>
                      <w:tab w:val="left" w:pos="4515"/>
                    </w:tabs>
                    <w:wordWrap w:val="0"/>
                    <w:autoSpaceDE w:val="0"/>
                    <w:autoSpaceDN w:val="0"/>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b w:val="0"/>
                      <w:bCs/>
                      <w:color w:val="auto"/>
                      <w:spacing w:val="-11"/>
                      <w:szCs w:val="21"/>
                      <w:highlight w:val="none"/>
                    </w:rPr>
                    <w:t>900-039-49</w:t>
                  </w:r>
                </w:p>
              </w:tc>
              <w:tc>
                <w:tcPr>
                  <w:tcW w:w="591" w:type="pct"/>
                  <w:shd w:val="clear" w:color="auto" w:fill="auto"/>
                  <w:vAlign w:val="center"/>
                </w:tcPr>
                <w:p w14:paraId="0F070CB3">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lang w:val="en-US" w:eastAsia="zh-CN"/>
                    </w:rPr>
                    <w:t>2.0t/a</w:t>
                  </w:r>
                </w:p>
              </w:tc>
              <w:tc>
                <w:tcPr>
                  <w:tcW w:w="379" w:type="pct"/>
                  <w:vAlign w:val="center"/>
                </w:tcPr>
                <w:p w14:paraId="34E57B87">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固态</w:t>
                  </w:r>
                </w:p>
              </w:tc>
              <w:tc>
                <w:tcPr>
                  <w:tcW w:w="581" w:type="pct"/>
                  <w:vAlign w:val="center"/>
                </w:tcPr>
                <w:p w14:paraId="2E2CC4FB">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异丙醇、石油醚等</w:t>
                  </w:r>
                </w:p>
              </w:tc>
              <w:tc>
                <w:tcPr>
                  <w:tcW w:w="581" w:type="pct"/>
                  <w:shd w:val="clear" w:color="auto" w:fill="auto"/>
                  <w:vAlign w:val="center"/>
                </w:tcPr>
                <w:p w14:paraId="0EE78F34">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异丙醇、石油醚等</w:t>
                  </w:r>
                </w:p>
              </w:tc>
              <w:tc>
                <w:tcPr>
                  <w:tcW w:w="501" w:type="pct"/>
                  <w:vAlign w:val="center"/>
                </w:tcPr>
                <w:p w14:paraId="6AFC7D46">
                  <w:pPr>
                    <w:adjustRightInd w:val="0"/>
                    <w:snapToGrid w:val="0"/>
                    <w:jc w:val="center"/>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highlight w:val="none"/>
                    </w:rPr>
                    <w:t>T</w:t>
                  </w:r>
                </w:p>
              </w:tc>
              <w:tc>
                <w:tcPr>
                  <w:tcW w:w="537" w:type="pct"/>
                  <w:vMerge w:val="continue"/>
                  <w:vAlign w:val="center"/>
                </w:tcPr>
                <w:p w14:paraId="3AE51979">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p>
              </w:tc>
            </w:tr>
            <w:tr w14:paraId="4999DE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5" w:type="pct"/>
                  <w:vAlign w:val="center"/>
                </w:tcPr>
                <w:p w14:paraId="4ADE58EC">
                  <w:pPr>
                    <w:adjustRightInd w:val="0"/>
                    <w:snapToGrid w:val="0"/>
                    <w:jc w:val="center"/>
                    <w:rPr>
                      <w:rFonts w:hint="default" w:ascii="Times New Roman" w:hAnsi="Times New Roman" w:cs="Times New Roman"/>
                      <w:color w:val="auto"/>
                      <w:spacing w:val="-11"/>
                      <w:sz w:val="21"/>
                      <w:szCs w:val="21"/>
                      <w:highlight w:val="none"/>
                      <w:lang w:val="en-US" w:eastAsia="zh-CN"/>
                    </w:rPr>
                  </w:pPr>
                  <w:r>
                    <w:rPr>
                      <w:rFonts w:hint="default" w:ascii="Times New Roman" w:hAnsi="Times New Roman" w:cs="Times New Roman"/>
                      <w:color w:val="auto"/>
                      <w:spacing w:val="-11"/>
                      <w:sz w:val="21"/>
                      <w:szCs w:val="21"/>
                      <w:highlight w:val="none"/>
                      <w:lang w:val="en-US" w:eastAsia="zh-CN"/>
                    </w:rPr>
                    <w:t>6</w:t>
                  </w:r>
                </w:p>
              </w:tc>
              <w:tc>
                <w:tcPr>
                  <w:tcW w:w="495" w:type="pct"/>
                  <w:vAlign w:val="center"/>
                </w:tcPr>
                <w:p w14:paraId="40D88AD1">
                  <w:pPr>
                    <w:tabs>
                      <w:tab w:val="left" w:pos="4515"/>
                    </w:tabs>
                    <w:wordWrap w:val="0"/>
                    <w:autoSpaceDE w:val="0"/>
                    <w:autoSpaceDN w:val="0"/>
                    <w:adjustRightInd w:val="0"/>
                    <w:snapToGrid w:val="0"/>
                    <w:jc w:val="center"/>
                    <w:rPr>
                      <w:rFonts w:hint="default" w:ascii="Times New Roman" w:hAnsi="Times New Roman"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kern w:val="2"/>
                      <w:sz w:val="21"/>
                      <w:szCs w:val="21"/>
                      <w:highlight w:val="none"/>
                      <w:lang w:val="en-US" w:eastAsia="zh-CN" w:bidi="ar-SA"/>
                    </w:rPr>
                    <w:t>废过滤棉</w:t>
                  </w:r>
                </w:p>
              </w:tc>
              <w:tc>
                <w:tcPr>
                  <w:tcW w:w="436" w:type="pct"/>
                  <w:shd w:val="clear" w:color="auto" w:fill="auto"/>
                  <w:vAlign w:val="center"/>
                </w:tcPr>
                <w:p w14:paraId="1B9171D5">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HW49</w:t>
                  </w:r>
                </w:p>
              </w:tc>
              <w:tc>
                <w:tcPr>
                  <w:tcW w:w="650" w:type="pct"/>
                  <w:shd w:val="clear" w:color="auto" w:fill="auto"/>
                  <w:vAlign w:val="center"/>
                </w:tcPr>
                <w:p w14:paraId="683D794D">
                  <w:pPr>
                    <w:tabs>
                      <w:tab w:val="left" w:pos="4515"/>
                    </w:tabs>
                    <w:wordWrap w:val="0"/>
                    <w:autoSpaceDE w:val="0"/>
                    <w:autoSpaceDN w:val="0"/>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rPr>
                    <w:t>900-039-49</w:t>
                  </w:r>
                </w:p>
              </w:tc>
              <w:tc>
                <w:tcPr>
                  <w:tcW w:w="591" w:type="pct"/>
                  <w:shd w:val="clear" w:color="auto" w:fill="auto"/>
                  <w:vAlign w:val="center"/>
                </w:tcPr>
                <w:p w14:paraId="5B502F5A">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spacing w:val="-11"/>
                      <w:kern w:val="2"/>
                      <w:sz w:val="21"/>
                      <w:szCs w:val="21"/>
                      <w:highlight w:val="none"/>
                      <w:lang w:val="en-US" w:eastAsia="zh-CN" w:bidi="ar-SA"/>
                    </w:rPr>
                  </w:pPr>
                  <w:r>
                    <w:rPr>
                      <w:rFonts w:hint="default" w:ascii="Times New Roman" w:hAnsi="Times New Roman" w:cs="Times New Roman"/>
                      <w:b w:val="0"/>
                      <w:bCs/>
                      <w:color w:val="auto"/>
                      <w:spacing w:val="-11"/>
                      <w:szCs w:val="21"/>
                      <w:highlight w:val="none"/>
                      <w:lang w:val="en-US" w:eastAsia="zh-CN"/>
                    </w:rPr>
                    <w:t>0.01t/a</w:t>
                  </w:r>
                </w:p>
              </w:tc>
              <w:tc>
                <w:tcPr>
                  <w:tcW w:w="379" w:type="pct"/>
                  <w:shd w:val="clear" w:color="auto" w:fill="auto"/>
                  <w:vAlign w:val="center"/>
                </w:tcPr>
                <w:p w14:paraId="1C67EADD">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固态</w:t>
                  </w:r>
                </w:p>
              </w:tc>
              <w:tc>
                <w:tcPr>
                  <w:tcW w:w="581" w:type="pct"/>
                  <w:shd w:val="clear" w:color="auto" w:fill="auto"/>
                  <w:vAlign w:val="center"/>
                </w:tcPr>
                <w:p w14:paraId="42AC609F">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异丙醇、石油醚等</w:t>
                  </w:r>
                </w:p>
              </w:tc>
              <w:tc>
                <w:tcPr>
                  <w:tcW w:w="581" w:type="pct"/>
                  <w:shd w:val="clear" w:color="auto" w:fill="auto"/>
                  <w:vAlign w:val="center"/>
                </w:tcPr>
                <w:p w14:paraId="09B2046D">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lang w:val="en-US" w:eastAsia="zh-CN"/>
                    </w:rPr>
                    <w:t>异丙醇、石油醚等</w:t>
                  </w:r>
                </w:p>
              </w:tc>
              <w:tc>
                <w:tcPr>
                  <w:tcW w:w="501" w:type="pct"/>
                  <w:shd w:val="clear" w:color="auto" w:fill="auto"/>
                  <w:vAlign w:val="center"/>
                </w:tcPr>
                <w:p w14:paraId="262AC64A">
                  <w:pPr>
                    <w:adjustRightInd w:val="0"/>
                    <w:snapToGrid w:val="0"/>
                    <w:jc w:val="center"/>
                    <w:rPr>
                      <w:rFonts w:hint="default" w:ascii="Times New Roman" w:hAnsi="Times New Roman" w:eastAsia="宋体" w:cs="Times New Roman"/>
                      <w:color w:val="auto"/>
                      <w:spacing w:val="-11"/>
                      <w:kern w:val="2"/>
                      <w:sz w:val="21"/>
                      <w:szCs w:val="21"/>
                      <w:highlight w:val="none"/>
                      <w:lang w:val="en-US" w:eastAsia="zh-CN" w:bidi="ar-SA"/>
                    </w:rPr>
                  </w:pPr>
                  <w:r>
                    <w:rPr>
                      <w:rFonts w:hint="default" w:ascii="Times New Roman" w:hAnsi="Times New Roman" w:cs="Times New Roman"/>
                      <w:color w:val="auto"/>
                      <w:spacing w:val="-11"/>
                      <w:sz w:val="21"/>
                      <w:szCs w:val="21"/>
                      <w:highlight w:val="none"/>
                    </w:rPr>
                    <w:t>T</w:t>
                  </w:r>
                </w:p>
              </w:tc>
              <w:tc>
                <w:tcPr>
                  <w:tcW w:w="537" w:type="pct"/>
                  <w:vMerge w:val="continue"/>
                  <w:vAlign w:val="center"/>
                </w:tcPr>
                <w:p w14:paraId="58C7A63C">
                  <w:pPr>
                    <w:pStyle w:val="2"/>
                    <w:spacing w:after="0"/>
                    <w:ind w:left="0" w:leftChars="0" w:firstLine="0" w:firstLineChars="0"/>
                    <w:jc w:val="center"/>
                    <w:rPr>
                      <w:rFonts w:hint="default" w:ascii="Times New Roman" w:hAnsi="Times New Roman" w:cs="Times New Roman"/>
                      <w:color w:val="auto"/>
                      <w:spacing w:val="-11"/>
                      <w:sz w:val="21"/>
                      <w:szCs w:val="21"/>
                      <w:highlight w:val="none"/>
                    </w:rPr>
                  </w:pPr>
                </w:p>
              </w:tc>
            </w:tr>
          </w:tbl>
          <w:p w14:paraId="00EC0AA2">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（4）固废环境管理要求</w:t>
            </w:r>
          </w:p>
          <w:p w14:paraId="64F69F8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本</w:t>
            </w:r>
            <w:r>
              <w:rPr>
                <w:rFonts w:hint="default" w:ascii="Times New Roman" w:hAnsi="Times New Roman" w:cs="Times New Roman"/>
                <w:color w:val="auto"/>
                <w:sz w:val="24"/>
                <w:highlight w:val="none"/>
              </w:rPr>
              <w:t>环评要求，应做好厂内各固废分类收集，严格按照《一般工业固体废物贮存和填埋污染控制标准》（GB18599-2020）和《危险废物贮存污染控制标准》（GB18597-2023）要求。一般固废设置</w:t>
            </w:r>
            <w:r>
              <w:rPr>
                <w:rFonts w:hint="default" w:ascii="Times New Roman" w:hAnsi="Times New Roman" w:cs="Times New Roman"/>
                <w:color w:val="auto"/>
                <w:sz w:val="24"/>
                <w:highlight w:val="none"/>
                <w:lang w:val="en-US" w:eastAsia="zh-CN"/>
              </w:rPr>
              <w:t>一般固废暂存处</w:t>
            </w:r>
            <w:r>
              <w:rPr>
                <w:rFonts w:hint="default" w:ascii="Times New Roman" w:hAnsi="Times New Roman" w:cs="Times New Roman"/>
                <w:color w:val="auto"/>
                <w:sz w:val="24"/>
                <w:highlight w:val="none"/>
              </w:rPr>
              <w:t>；生活垃圾设置垃圾桶；</w:t>
            </w:r>
            <w:r>
              <w:rPr>
                <w:rFonts w:hint="default" w:ascii="Times New Roman" w:hAnsi="Times New Roman" w:cs="Times New Roman"/>
                <w:color w:val="auto"/>
                <w:sz w:val="24"/>
                <w:highlight w:val="none"/>
                <w:lang w:val="en-US" w:eastAsia="zh-CN"/>
              </w:rPr>
              <w:t>危废贮存库</w:t>
            </w:r>
            <w:r>
              <w:rPr>
                <w:rFonts w:hint="default" w:ascii="Times New Roman" w:hAnsi="Times New Roman" w:cs="Times New Roman"/>
                <w:color w:val="auto"/>
                <w:sz w:val="24"/>
                <w:highlight w:val="none"/>
              </w:rPr>
              <w:t>做好防雨、防晒、防渗、防扬散和防火等措施，</w:t>
            </w:r>
            <w:r>
              <w:rPr>
                <w:rFonts w:hint="default" w:ascii="Times New Roman" w:hAnsi="Times New Roman" w:cs="Times New Roman"/>
                <w:color w:val="auto"/>
                <w:sz w:val="24"/>
                <w:highlight w:val="none"/>
                <w:lang w:val="en-US" w:eastAsia="zh-CN"/>
              </w:rPr>
              <w:t>危废贮存库</w:t>
            </w:r>
            <w:r>
              <w:rPr>
                <w:rFonts w:hint="default" w:ascii="Times New Roman" w:hAnsi="Times New Roman" w:cs="Times New Roman"/>
                <w:color w:val="auto"/>
                <w:sz w:val="24"/>
                <w:highlight w:val="none"/>
              </w:rPr>
              <w:t>地面防渗做法：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cs="Times New Roman"/>
                <w:color w:val="auto"/>
                <w:sz w:val="24"/>
                <w:highlight w:val="none"/>
                <w:vertAlign w:val="superscript"/>
                <w:lang w:val="en-US" w:eastAsia="zh-CN"/>
              </w:rPr>
              <w:t>-</w:t>
            </w:r>
            <w:r>
              <w:rPr>
                <w:rFonts w:hint="default" w:ascii="Times New Roman" w:hAnsi="Times New Roman" w:cs="Times New Roman"/>
                <w:color w:val="auto"/>
                <w:sz w:val="24"/>
                <w:highlight w:val="none"/>
                <w:vertAlign w:val="superscript"/>
              </w:rPr>
              <w:t>7</w:t>
            </w:r>
            <w:r>
              <w:rPr>
                <w:rFonts w:hint="default" w:ascii="Times New Roman" w:hAnsi="Times New Roman" w:cs="Times New Roman"/>
                <w:color w:val="auto"/>
                <w:sz w:val="24"/>
                <w:highlight w:val="none"/>
              </w:rPr>
              <w:t>cm/s)，或至少2mm厚高密度聚乙烯膜等人工防渗材料(渗透系数不大于10</w:t>
            </w:r>
            <w:r>
              <w:rPr>
                <w:rFonts w:hint="default" w:ascii="Times New Roman" w:hAnsi="Times New Roman" w:cs="Times New Roman"/>
                <w:color w:val="auto"/>
                <w:sz w:val="24"/>
                <w:highlight w:val="none"/>
                <w:vertAlign w:val="superscript"/>
              </w:rPr>
              <w:t>-10</w:t>
            </w:r>
            <w:r>
              <w:rPr>
                <w:rFonts w:hint="default" w:ascii="Times New Roman" w:hAnsi="Times New Roman" w:cs="Times New Roman"/>
                <w:color w:val="auto"/>
                <w:sz w:val="24"/>
                <w:highlight w:val="none"/>
              </w:rPr>
              <w:t>cm/s)，或其他防渗性能等效的材料。防止二次污染发生，并应按以下要求对危险废物的收集、暂存、转运等进行管理：</w:t>
            </w:r>
          </w:p>
          <w:p w14:paraId="041400F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①危险废物的容器和包装物以及收集、暂存、转移、处置危险废物的设施、场所，必须</w:t>
            </w:r>
            <w:r>
              <w:rPr>
                <w:rFonts w:hint="default" w:ascii="Times New Roman" w:hAnsi="Times New Roman" w:cs="Times New Roman"/>
                <w:color w:val="auto"/>
                <w:sz w:val="24"/>
                <w:highlight w:val="none"/>
                <w:lang w:val="en-US" w:eastAsia="zh-CN"/>
              </w:rPr>
              <w:t>按</w:t>
            </w:r>
            <w:r>
              <w:rPr>
                <w:rFonts w:hint="default" w:ascii="Times New Roman" w:hAnsi="Times New Roman" w:cs="Times New Roman"/>
                <w:color w:val="auto"/>
                <w:sz w:val="24"/>
                <w:highlight w:val="none"/>
              </w:rPr>
              <w:t>《危险废物贮存控制标准》（GB18597-2023）设置危险废物识别标志。</w:t>
            </w:r>
          </w:p>
          <w:p w14:paraId="223DE9C0">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②禁止车间随意倾倒、堆置危险废物。</w:t>
            </w:r>
          </w:p>
          <w:p w14:paraId="70A011B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③禁止将危险废物混入非危险废物中收集、暂存、转移、处置，收集、贮存、转移危险废物时，严格按照危险废物特性分类进行，防止混合收集、贮存、运输、转移性质不相容且未经安全性处置的危险废物。</w:t>
            </w:r>
          </w:p>
          <w:p w14:paraId="3C360707">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④需要转移危险废物时，必须按照相关规定办理危险废物转移联单，未经批准，不得进行转移。</w:t>
            </w:r>
          </w:p>
          <w:p w14:paraId="4FE5118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⑤根据生产实际情况，安全、有效地处理好停车和处理紧急事故过程中产生的危险废物，杜绝环境污染事故的发生。</w:t>
            </w:r>
          </w:p>
          <w:p w14:paraId="3A032F8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⑥企业对产生的危险废物进行详细的登记，填写《危险废物产生贮存台账》。</w:t>
            </w:r>
          </w:p>
          <w:p w14:paraId="1E97D53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⑦对</w:t>
            </w:r>
            <w:r>
              <w:rPr>
                <w:rFonts w:hint="default" w:ascii="Times New Roman" w:hAnsi="Times New Roman" w:cs="Times New Roman"/>
                <w:color w:val="auto"/>
                <w:sz w:val="24"/>
                <w:highlight w:val="none"/>
                <w:lang w:val="en-US" w:eastAsia="zh-CN"/>
              </w:rPr>
              <w:t>危废贮存库</w:t>
            </w:r>
            <w:r>
              <w:rPr>
                <w:rFonts w:hint="default" w:ascii="Times New Roman" w:hAnsi="Times New Roman" w:cs="Times New Roman"/>
                <w:color w:val="auto"/>
                <w:sz w:val="24"/>
                <w:highlight w:val="none"/>
              </w:rPr>
              <w:t>要加强管理，定期巡检，确保危险废物不扩散、不渗漏、不丢失等。</w:t>
            </w:r>
          </w:p>
          <w:p w14:paraId="53CABB8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w:t>
            </w:r>
            <w:r>
              <w:rPr>
                <w:rFonts w:hint="default" w:ascii="Times New Roman" w:hAnsi="Times New Roman" w:cs="Times New Roman"/>
                <w:color w:val="auto"/>
                <w:sz w:val="24"/>
                <w:highlight w:val="none"/>
                <w:lang w:eastAsia="zh-CN"/>
              </w:rPr>
              <w:t>危废贮存库</w:t>
            </w:r>
            <w:r>
              <w:rPr>
                <w:rFonts w:hint="default" w:ascii="Times New Roman" w:hAnsi="Times New Roman" w:cs="Times New Roman"/>
                <w:color w:val="auto"/>
                <w:sz w:val="24"/>
                <w:highlight w:val="none"/>
              </w:rPr>
              <w:t>具体要求如下：</w:t>
            </w:r>
          </w:p>
          <w:p w14:paraId="3F81251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①危险废物的贮存要求</w:t>
            </w:r>
          </w:p>
          <w:p w14:paraId="4FC31ED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为防止危险废物处置不当引发环境污染事件，</w:t>
            </w:r>
            <w:r>
              <w:rPr>
                <w:rFonts w:hint="default" w:ascii="Times New Roman" w:hAnsi="Times New Roman" w:cs="Times New Roman"/>
                <w:color w:val="auto"/>
                <w:sz w:val="24"/>
                <w:highlight w:val="none"/>
                <w:lang w:val="en-US" w:eastAsia="zh-CN"/>
              </w:rPr>
              <w:t>危废</w:t>
            </w:r>
            <w:r>
              <w:rPr>
                <w:rFonts w:hint="default" w:ascii="Times New Roman" w:hAnsi="Times New Roman" w:cs="Times New Roman"/>
                <w:color w:val="auto"/>
                <w:sz w:val="24"/>
                <w:highlight w:val="none"/>
              </w:rPr>
              <w:t>应按照《危险废物贮存控制标准》（GB18597-2023）的有关规定进行贮存，并应由专门人负责管理，为防止危险废</w:t>
            </w:r>
            <w:r>
              <w:rPr>
                <w:rFonts w:hint="default" w:ascii="Times New Roman" w:hAnsi="Times New Roman" w:cs="Times New Roman"/>
                <w:color w:val="auto"/>
                <w:sz w:val="24"/>
                <w:highlight w:val="none"/>
                <w:lang w:val="en-US" w:eastAsia="zh-CN"/>
              </w:rPr>
              <w:t>物</w:t>
            </w:r>
            <w:r>
              <w:rPr>
                <w:rFonts w:hint="default" w:ascii="Times New Roman" w:hAnsi="Times New Roman" w:cs="Times New Roman"/>
                <w:color w:val="auto"/>
                <w:sz w:val="24"/>
                <w:highlight w:val="none"/>
              </w:rPr>
              <w:t>堆放期间对环境产生不利影响，应采取以下措施：</w:t>
            </w:r>
          </w:p>
          <w:p w14:paraId="1FF1F6E3">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a. 废物分类编号，用固定的容器密闭贮存。废弃物进入</w:t>
            </w:r>
            <w:r>
              <w:rPr>
                <w:rFonts w:hint="default" w:ascii="Times New Roman" w:hAnsi="Times New Roman" w:cs="Times New Roman"/>
                <w:color w:val="auto"/>
                <w:sz w:val="24"/>
                <w:highlight w:val="none"/>
                <w:lang w:val="en-US" w:eastAsia="zh-CN"/>
              </w:rPr>
              <w:t>危废贮存库</w:t>
            </w:r>
            <w:r>
              <w:rPr>
                <w:rFonts w:hint="default" w:ascii="Times New Roman" w:hAnsi="Times New Roman" w:cs="Times New Roman"/>
                <w:color w:val="auto"/>
                <w:sz w:val="24"/>
                <w:highlight w:val="none"/>
              </w:rPr>
              <w:t>前，均需填写进场清单，经核准后方可存入</w:t>
            </w:r>
            <w:r>
              <w:rPr>
                <w:rFonts w:hint="default" w:ascii="Times New Roman" w:hAnsi="Times New Roman" w:cs="Times New Roman"/>
                <w:color w:val="auto"/>
                <w:sz w:val="24"/>
                <w:highlight w:val="none"/>
                <w:lang w:val="en-US" w:eastAsia="zh-CN"/>
              </w:rPr>
              <w:t>危废</w:t>
            </w:r>
            <w:r>
              <w:rPr>
                <w:rFonts w:hint="default" w:ascii="Times New Roman" w:hAnsi="Times New Roman" w:cs="Times New Roman"/>
                <w:color w:val="auto"/>
                <w:sz w:val="24"/>
                <w:highlight w:val="none"/>
              </w:rPr>
              <w:t>。</w:t>
            </w:r>
          </w:p>
          <w:p w14:paraId="6017BBFB">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b. 按GB15562.2《环境保护图形标识-固体废物贮存（处理）场》设置警示标志，盛装含有危险废物的容器上必须粘贴符合标准要求的标签，</w:t>
            </w:r>
            <w:r>
              <w:rPr>
                <w:rFonts w:hint="default" w:ascii="Times New Roman" w:hAnsi="Times New Roman" w:cs="Times New Roman"/>
                <w:color w:val="auto"/>
                <w:sz w:val="24"/>
                <w:highlight w:val="none"/>
                <w:lang w:val="en-US" w:eastAsia="zh-CN"/>
              </w:rPr>
              <w:t>标</w:t>
            </w:r>
            <w:r>
              <w:rPr>
                <w:rFonts w:hint="default" w:ascii="Times New Roman" w:hAnsi="Times New Roman" w:cs="Times New Roman"/>
                <w:color w:val="auto"/>
                <w:sz w:val="24"/>
                <w:highlight w:val="none"/>
              </w:rPr>
              <w:t>明贮存日期、名称、数量及特性。</w:t>
            </w:r>
          </w:p>
          <w:p w14:paraId="6023D867">
            <w:pPr>
              <w:spacing w:line="360"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c</w:t>
            </w: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lang w:val="en-US" w:eastAsia="zh-CN"/>
              </w:rPr>
              <w:t>危废贮存库</w:t>
            </w:r>
            <w:r>
              <w:rPr>
                <w:rFonts w:hint="default" w:ascii="Times New Roman" w:hAnsi="Times New Roman" w:cs="Times New Roman"/>
                <w:color w:val="auto"/>
                <w:sz w:val="24"/>
                <w:highlight w:val="none"/>
              </w:rPr>
              <w:t>地面防渗做法：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cs="Times New Roman"/>
                <w:color w:val="auto"/>
                <w:sz w:val="24"/>
                <w:highlight w:val="none"/>
                <w:vertAlign w:val="superscript"/>
                <w:lang w:val="en-US" w:eastAsia="zh-CN"/>
              </w:rPr>
              <w:t>-</w:t>
            </w:r>
            <w:r>
              <w:rPr>
                <w:rFonts w:hint="default" w:ascii="Times New Roman" w:hAnsi="Times New Roman" w:cs="Times New Roman"/>
                <w:color w:val="auto"/>
                <w:sz w:val="24"/>
                <w:highlight w:val="none"/>
                <w:vertAlign w:val="superscript"/>
              </w:rPr>
              <w:t>7</w:t>
            </w:r>
            <w:r>
              <w:rPr>
                <w:rFonts w:hint="default" w:ascii="Times New Roman" w:hAnsi="Times New Roman" w:cs="Times New Roman"/>
                <w:color w:val="auto"/>
                <w:sz w:val="24"/>
                <w:highlight w:val="none"/>
              </w:rPr>
              <w:t>cm/s)，或至少2mm厚高密度聚乙烯膜等人工防渗材料(渗透系数不大于10</w:t>
            </w:r>
            <w:r>
              <w:rPr>
                <w:rFonts w:hint="default" w:ascii="Times New Roman" w:hAnsi="Times New Roman" w:cs="Times New Roman"/>
                <w:color w:val="auto"/>
                <w:sz w:val="24"/>
                <w:highlight w:val="none"/>
                <w:vertAlign w:val="superscript"/>
              </w:rPr>
              <w:t>-10</w:t>
            </w:r>
            <w:r>
              <w:rPr>
                <w:rFonts w:hint="default" w:ascii="Times New Roman" w:hAnsi="Times New Roman" w:cs="Times New Roman"/>
                <w:color w:val="auto"/>
                <w:sz w:val="24"/>
                <w:highlight w:val="none"/>
              </w:rPr>
              <w:t>cm/s)，或其他防渗性能等效的材料。</w:t>
            </w:r>
          </w:p>
          <w:p w14:paraId="35D5FBEA">
            <w:pPr>
              <w:spacing w:line="360" w:lineRule="auto"/>
              <w:ind w:firstLine="480" w:firstLineChars="200"/>
              <w:rPr>
                <w:rFonts w:hint="default" w:cs="Times New Roman"/>
                <w:color w:val="auto"/>
                <w:sz w:val="24"/>
                <w:highlight w:val="none"/>
                <w:lang w:val="en-US" w:eastAsia="zh-CN"/>
              </w:rPr>
            </w:pPr>
            <w:r>
              <w:rPr>
                <w:rFonts w:hint="eastAsia" w:cs="Times New Roman"/>
                <w:color w:val="auto"/>
                <w:sz w:val="24"/>
                <w:highlight w:val="none"/>
                <w:lang w:val="en-US" w:eastAsia="zh-CN"/>
              </w:rPr>
              <w:t>d. 存放装载液体、半固体危险废物容器位置应具有液体泄漏堵截设施（如防渗托盘），堵截设施最小容积不应低于对应贮存区域最大液态废物容器容积或液态废物总储量1/10（二者取较大者）。</w:t>
            </w:r>
          </w:p>
          <w:p w14:paraId="507B008D">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default" w:cs="Times New Roman"/>
                <w:color w:val="auto"/>
                <w:sz w:val="24"/>
                <w:highlight w:val="none"/>
                <w:lang w:val="en-US" w:eastAsia="zh-CN"/>
              </w:rPr>
              <w:t>以上处置措施可保证</w:t>
            </w:r>
            <w:r>
              <w:rPr>
                <w:rFonts w:hint="default" w:ascii="Times New Roman" w:hAnsi="Times New Roman" w:cs="Times New Roman"/>
                <w:color w:val="auto"/>
                <w:sz w:val="24"/>
                <w:highlight w:val="none"/>
              </w:rPr>
              <w:t>项目产生的一般固废和危险</w:t>
            </w:r>
            <w:r>
              <w:rPr>
                <w:rFonts w:hint="default" w:ascii="Times New Roman" w:hAnsi="Times New Roman" w:cs="Times New Roman"/>
                <w:color w:val="auto"/>
                <w:sz w:val="24"/>
                <w:highlight w:val="none"/>
                <w:lang w:val="en-US" w:eastAsia="zh-CN"/>
              </w:rPr>
              <w:t>废物</w:t>
            </w:r>
            <w:r>
              <w:rPr>
                <w:rFonts w:hint="default" w:ascii="Times New Roman" w:hAnsi="Times New Roman" w:cs="Times New Roman"/>
                <w:color w:val="auto"/>
                <w:sz w:val="24"/>
                <w:highlight w:val="none"/>
              </w:rPr>
              <w:t>均能得到安全和妥善的处理，不会因长期堆放而对周围环境造成不利影响，固废处置措施有效可行，能够做到资源化、无害化，不对外随意排放。综上所述，固体废弃物均得到妥善处理，对环境产生的影响较小。</w:t>
            </w:r>
          </w:p>
          <w:p w14:paraId="33041EE4">
            <w:pPr>
              <w:adjustRightInd w:val="0"/>
              <w:snapToGrid w:val="0"/>
              <w:spacing w:line="360" w:lineRule="auto"/>
              <w:ind w:firstLine="482" w:firstLineChars="200"/>
              <w:jc w:val="left"/>
              <w:rPr>
                <w:rFonts w:hint="default" w:ascii="Times New Roman" w:hAnsi="Times New Roman" w:eastAsia="宋体" w:cs="Times New Roman"/>
                <w:b/>
                <w:color w:val="auto"/>
                <w:sz w:val="24"/>
                <w:highlight w:val="none"/>
                <w:lang w:eastAsia="zh-CN"/>
              </w:rPr>
            </w:pPr>
            <w:r>
              <w:rPr>
                <w:rFonts w:hint="default" w:ascii="Times New Roman" w:hAnsi="Times New Roman" w:cs="Times New Roman"/>
                <w:b/>
                <w:color w:val="auto"/>
                <w:sz w:val="24"/>
                <w:highlight w:val="none"/>
                <w:lang w:val="en-US" w:eastAsia="zh-CN"/>
              </w:rPr>
              <w:t>五</w:t>
            </w:r>
            <w:r>
              <w:rPr>
                <w:rFonts w:hint="default" w:ascii="Times New Roman" w:hAnsi="Times New Roman" w:cs="Times New Roman"/>
                <w:b/>
                <w:color w:val="auto"/>
                <w:sz w:val="24"/>
                <w:highlight w:val="none"/>
              </w:rPr>
              <w:t>、地下水、土壤</w:t>
            </w:r>
          </w:p>
          <w:p w14:paraId="5163BDC0">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（1）地下水环境影响分析</w:t>
            </w:r>
          </w:p>
          <w:p w14:paraId="763CCC51">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color w:val="auto"/>
                <w:sz w:val="24"/>
                <w:szCs w:val="24"/>
                <w:highlight w:val="none"/>
                <w:lang w:val="en-US" w:eastAsia="zh-CN"/>
              </w:rPr>
              <w:t>纯水机制备纯水产生的部分浓水回用于道路浇洒用水，多余的浓水经市政污水管网排入沣西新城大王污水处理厂</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食堂废水经油水分离器处理后与</w:t>
            </w:r>
            <w:r>
              <w:rPr>
                <w:rFonts w:hint="default" w:ascii="Times New Roman" w:hAnsi="Times New Roman" w:cs="Times New Roman"/>
                <w:color w:val="auto"/>
                <w:sz w:val="24"/>
                <w:szCs w:val="24"/>
                <w:highlight w:val="none"/>
                <w:lang w:eastAsia="zh-CN"/>
              </w:rPr>
              <w:t>生活污水</w:t>
            </w:r>
            <w:r>
              <w:rPr>
                <w:rFonts w:hint="default" w:ascii="Times New Roman" w:hAnsi="Times New Roman" w:cs="Times New Roman"/>
                <w:color w:val="auto"/>
                <w:sz w:val="24"/>
                <w:szCs w:val="24"/>
                <w:highlight w:val="none"/>
                <w:lang w:val="en-US" w:eastAsia="zh-CN"/>
              </w:rPr>
              <w:t>均经厂区化粪池预处理后再经</w:t>
            </w:r>
            <w:r>
              <w:rPr>
                <w:rFonts w:hint="default" w:ascii="Times New Roman" w:hAnsi="Times New Roman" w:cs="Times New Roman"/>
                <w:color w:val="auto"/>
                <w:sz w:val="24"/>
                <w:szCs w:val="24"/>
                <w:highlight w:val="none"/>
              </w:rPr>
              <w:t>市政污水管网排</w:t>
            </w:r>
            <w:r>
              <w:rPr>
                <w:rFonts w:hint="default" w:ascii="Times New Roman" w:hAnsi="Times New Roman" w:cs="Times New Roman"/>
                <w:color w:val="auto"/>
                <w:sz w:val="24"/>
                <w:szCs w:val="24"/>
                <w:highlight w:val="none"/>
              </w:rPr>
              <w:t>入</w:t>
            </w:r>
            <w:r>
              <w:rPr>
                <w:rFonts w:hint="default" w:ascii="Times New Roman" w:hAnsi="Times New Roman" w:cs="Times New Roman"/>
                <w:color w:val="auto"/>
                <w:sz w:val="24"/>
                <w:szCs w:val="24"/>
                <w:highlight w:val="none"/>
                <w:lang w:val="en-US" w:eastAsia="zh-CN"/>
              </w:rPr>
              <w:t>沣西新城大王</w:t>
            </w:r>
            <w:r>
              <w:rPr>
                <w:rFonts w:hint="default" w:ascii="Times New Roman" w:hAnsi="Times New Roman" w:cs="Times New Roman"/>
                <w:color w:val="auto"/>
                <w:sz w:val="24"/>
                <w:szCs w:val="24"/>
                <w:highlight w:val="none"/>
                <w:lang w:eastAsia="zh-CN"/>
              </w:rPr>
              <w:t>污水处理厂</w:t>
            </w:r>
            <w:r>
              <w:rPr>
                <w:rFonts w:hint="default" w:ascii="Times New Roman" w:hAnsi="Times New Roman" w:cs="Times New Roman"/>
                <w:color w:val="auto"/>
                <w:sz w:val="24"/>
                <w:szCs w:val="24"/>
                <w:highlight w:val="none"/>
              </w:rPr>
              <w:t>进一步处理</w:t>
            </w:r>
            <w:r>
              <w:rPr>
                <w:rFonts w:hint="default" w:ascii="Times New Roman" w:hAnsi="Times New Roman" w:cs="Times New Roman"/>
                <w:bCs/>
                <w:color w:val="auto"/>
                <w:sz w:val="24"/>
                <w:highlight w:val="none"/>
              </w:rPr>
              <w:t>。废水对地</w:t>
            </w:r>
            <w:r>
              <w:rPr>
                <w:rFonts w:hint="default" w:ascii="Times New Roman" w:hAnsi="Times New Roman" w:cs="Times New Roman"/>
                <w:bCs/>
                <w:color w:val="auto"/>
                <w:sz w:val="24"/>
                <w:highlight w:val="none"/>
              </w:rPr>
              <w:t>下水、土壤基本无影响。</w:t>
            </w:r>
          </w:p>
          <w:p w14:paraId="4D19CDF3">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eastAsia="宋体" w:cs="Times New Roman"/>
                <w:color w:val="auto"/>
                <w:sz w:val="24"/>
                <w:highlight w:val="none"/>
                <w:lang w:val="en-US" w:eastAsia="zh-CN"/>
              </w:rPr>
              <w:t>本项目主要为</w:t>
            </w:r>
            <w:r>
              <w:rPr>
                <w:rFonts w:hint="default" w:ascii="Times New Roman" w:hAnsi="Times New Roman" w:cs="Times New Roman"/>
                <w:color w:val="auto"/>
                <w:sz w:val="24"/>
                <w:highlight w:val="none"/>
                <w:lang w:val="en-US" w:eastAsia="zh-CN"/>
              </w:rPr>
              <w:t>高压电源组装</w:t>
            </w:r>
            <w:r>
              <w:rPr>
                <w:rFonts w:hint="default" w:ascii="Times New Roman" w:hAnsi="Times New Roman" w:eastAsia="宋体" w:cs="Times New Roman"/>
                <w:color w:val="auto"/>
                <w:sz w:val="24"/>
                <w:highlight w:val="none"/>
                <w:lang w:val="en-US" w:eastAsia="zh-CN"/>
              </w:rPr>
              <w:t>制造，项目</w:t>
            </w:r>
            <w:r>
              <w:rPr>
                <w:rFonts w:hint="default" w:ascii="Times New Roman" w:hAnsi="Times New Roman" w:cs="Times New Roman"/>
                <w:color w:val="auto"/>
                <w:sz w:val="24"/>
                <w:highlight w:val="none"/>
                <w:lang w:val="en-US" w:eastAsia="zh-CN"/>
              </w:rPr>
              <w:t>在沣西新城创新港G板块咸户路以东、创智路以北、CXG东南二路以西地块上新建厂区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highlight w:val="none"/>
                <w:lang w:val="en-US" w:eastAsia="zh-CN"/>
              </w:rPr>
              <w:t>车间统一采用基础防渗+环氧地坪漆防渗措施，不存在地下水、土壤污染途径</w:t>
            </w:r>
            <w:r>
              <w:rPr>
                <w:rFonts w:hint="default" w:ascii="Times New Roman" w:hAnsi="Times New Roman" w:cs="Times New Roman"/>
                <w:color w:val="auto"/>
                <w:sz w:val="24"/>
                <w:highlight w:val="none"/>
                <w:lang w:val="en-US" w:eastAsia="zh-CN"/>
              </w:rPr>
              <w:t>。环评要求企业在</w:t>
            </w:r>
            <w:r>
              <w:rPr>
                <w:rFonts w:hint="default" w:ascii="Times New Roman" w:hAnsi="Times New Roman" w:cs="Times New Roman"/>
                <w:bCs/>
                <w:color w:val="auto"/>
                <w:sz w:val="24"/>
                <w:highlight w:val="none"/>
              </w:rPr>
              <w:t>日常运营中加强管理，严格按照危废管理制度和危废贮存要求贮存，采取措施后，</w:t>
            </w:r>
            <w:r>
              <w:rPr>
                <w:rFonts w:hint="default" w:ascii="Times New Roman" w:hAnsi="Times New Roman" w:cs="Times New Roman"/>
                <w:bCs/>
                <w:color w:val="auto"/>
                <w:sz w:val="24"/>
                <w:highlight w:val="none"/>
                <w:lang w:val="en-US" w:eastAsia="zh-CN"/>
              </w:rPr>
              <w:t>可</w:t>
            </w:r>
            <w:r>
              <w:rPr>
                <w:rFonts w:hint="default" w:ascii="Times New Roman" w:hAnsi="Times New Roman" w:cs="Times New Roman"/>
                <w:bCs/>
                <w:color w:val="auto"/>
                <w:sz w:val="24"/>
                <w:highlight w:val="none"/>
              </w:rPr>
              <w:t>基本切断跑、冒、滴、漏的废水和物料进入土壤和地下水的途径，污染物一般</w:t>
            </w:r>
            <w:r>
              <w:rPr>
                <w:rFonts w:hint="default" w:ascii="Times New Roman" w:hAnsi="Times New Roman" w:cs="Times New Roman"/>
                <w:bCs/>
                <w:color w:val="auto"/>
                <w:sz w:val="24"/>
                <w:highlight w:val="none"/>
              </w:rPr>
              <w:t>不会直接渗入地下土壤进而污染地下水。项目厂区分区防渗情况见表4-1</w:t>
            </w:r>
            <w:r>
              <w:rPr>
                <w:rFonts w:hint="default" w:ascii="Times New Roman" w:hAnsi="Times New Roman" w:cs="Times New Roman"/>
                <w:bCs/>
                <w:color w:val="auto"/>
                <w:sz w:val="24"/>
                <w:highlight w:val="none"/>
                <w:lang w:val="en-US" w:eastAsia="zh-CN"/>
              </w:rPr>
              <w:t>4</w:t>
            </w:r>
            <w:r>
              <w:rPr>
                <w:rFonts w:hint="default" w:ascii="Times New Roman" w:hAnsi="Times New Roman" w:cs="Times New Roman"/>
                <w:bCs/>
                <w:color w:val="auto"/>
                <w:sz w:val="24"/>
                <w:highlight w:val="none"/>
              </w:rPr>
              <w:t>。</w:t>
            </w:r>
          </w:p>
          <w:p w14:paraId="5CBF1E66">
            <w:pPr>
              <w:pStyle w:val="4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项目分区防渗表</w:t>
            </w:r>
          </w:p>
          <w:tbl>
            <w:tblPr>
              <w:tblStyle w:val="28"/>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376"/>
              <w:gridCol w:w="2168"/>
              <w:gridCol w:w="5176"/>
            </w:tblGrid>
            <w:tr w14:paraId="123E33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032" w:type="pct"/>
                  <w:gridSpan w:val="2"/>
                  <w:tcBorders>
                    <w:tl2br w:val="nil"/>
                    <w:tr2bl w:val="nil"/>
                  </w:tcBorders>
                  <w:vAlign w:val="center"/>
                </w:tcPr>
                <w:p w14:paraId="0D763ECF">
                  <w:pPr>
                    <w:widowControl/>
                    <w:autoSpaceDE w:val="0"/>
                    <w:autoSpaceDN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防治分区</w:t>
                  </w:r>
                </w:p>
              </w:tc>
              <w:tc>
                <w:tcPr>
                  <w:tcW w:w="2967" w:type="pct"/>
                  <w:tcBorders>
                    <w:tl2br w:val="nil"/>
                    <w:tr2bl w:val="nil"/>
                  </w:tcBorders>
                  <w:vAlign w:val="center"/>
                </w:tcPr>
                <w:p w14:paraId="351A90F0">
                  <w:pPr>
                    <w:widowControl/>
                    <w:autoSpaceDE w:val="0"/>
                    <w:autoSpaceDN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分区防渗要求及措施</w:t>
                  </w:r>
                </w:p>
              </w:tc>
            </w:tr>
            <w:tr w14:paraId="4400F1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789" w:type="pct"/>
                  <w:tcBorders>
                    <w:tl2br w:val="nil"/>
                    <w:tr2bl w:val="nil"/>
                  </w:tcBorders>
                  <w:vAlign w:val="center"/>
                </w:tcPr>
                <w:p w14:paraId="4F883ED0">
                  <w:pPr>
                    <w:widowControl/>
                    <w:autoSpaceDE w:val="0"/>
                    <w:autoSpaceDN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重点防渗区</w:t>
                  </w:r>
                </w:p>
              </w:tc>
              <w:tc>
                <w:tcPr>
                  <w:tcW w:w="1242" w:type="pct"/>
                  <w:tcBorders>
                    <w:tl2br w:val="nil"/>
                    <w:tr2bl w:val="nil"/>
                  </w:tcBorders>
                  <w:vAlign w:val="center"/>
                </w:tcPr>
                <w:p w14:paraId="393FBF74">
                  <w:pPr>
                    <w:autoSpaceDE w:val="0"/>
                    <w:autoSpaceDN w:val="0"/>
                    <w:jc w:val="center"/>
                    <w:rPr>
                      <w:rFonts w:hint="default" w:ascii="Times New Roman" w:hAnsi="Times New Roman" w:eastAsia="宋体" w:cs="Times New Roman"/>
                      <w:b w:val="0"/>
                      <w:bCs w:val="0"/>
                      <w:color w:val="auto"/>
                      <w:szCs w:val="21"/>
                      <w:highlight w:val="none"/>
                      <w:lang w:eastAsia="zh-CN"/>
                    </w:rPr>
                  </w:pPr>
                  <w:r>
                    <w:rPr>
                      <w:rFonts w:hint="default" w:ascii="Times New Roman" w:hAnsi="Times New Roman" w:cs="Times New Roman"/>
                      <w:b w:val="0"/>
                      <w:bCs w:val="0"/>
                      <w:color w:val="auto"/>
                      <w:szCs w:val="21"/>
                      <w:highlight w:val="none"/>
                      <w:lang w:eastAsia="zh-CN"/>
                    </w:rPr>
                    <w:t>危废贮存库</w:t>
                  </w:r>
                </w:p>
              </w:tc>
              <w:tc>
                <w:tcPr>
                  <w:tcW w:w="2967" w:type="pct"/>
                  <w:tcBorders>
                    <w:tl2br w:val="nil"/>
                    <w:tr2bl w:val="nil"/>
                  </w:tcBorders>
                  <w:vAlign w:val="center"/>
                </w:tcPr>
                <w:p w14:paraId="2AF2BDB1">
                  <w:pPr>
                    <w:autoSpaceDE w:val="0"/>
                    <w:autoSpaceDN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按《危险废物贮存污染控制标准》</w:t>
                  </w:r>
                  <w:r>
                    <w:rPr>
                      <w:rFonts w:hint="default" w:ascii="Times New Roman" w:hAnsi="Times New Roman" w:cs="Times New Roman"/>
                      <w:b w:val="0"/>
                      <w:bCs w:val="0"/>
                      <w:color w:val="auto"/>
                      <w:szCs w:val="21"/>
                      <w:highlight w:val="none"/>
                      <w:lang w:val="en-US" w:eastAsia="zh-CN"/>
                    </w:rPr>
                    <w:t>（GB18597-2023）</w:t>
                  </w:r>
                  <w:r>
                    <w:rPr>
                      <w:rFonts w:hint="default" w:ascii="Times New Roman" w:hAnsi="Times New Roman" w:cs="Times New Roman"/>
                      <w:b w:val="0"/>
                      <w:bCs w:val="0"/>
                      <w:color w:val="auto"/>
                      <w:szCs w:val="21"/>
                      <w:highlight w:val="none"/>
                    </w:rPr>
                    <w:t>采取防渗措施</w:t>
                  </w:r>
                </w:p>
              </w:tc>
            </w:tr>
            <w:tr w14:paraId="419C27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789" w:type="pct"/>
                  <w:tcBorders>
                    <w:tl2br w:val="nil"/>
                    <w:tr2bl w:val="nil"/>
                  </w:tcBorders>
                  <w:vAlign w:val="center"/>
                </w:tcPr>
                <w:p w14:paraId="66379E09">
                  <w:pPr>
                    <w:widowControl/>
                    <w:autoSpaceDE w:val="0"/>
                    <w:autoSpaceDN w:val="0"/>
                    <w:snapToGrid w:val="0"/>
                    <w:jc w:val="center"/>
                    <w:rPr>
                      <w:rFonts w:hint="default" w:ascii="Times New Roman" w:hAnsi="Times New Roman" w:cs="Times New Roman"/>
                      <w:b w:val="0"/>
                      <w:bCs w:val="0"/>
                      <w:color w:val="auto"/>
                      <w:kern w:val="0"/>
                      <w:szCs w:val="21"/>
                      <w:highlight w:val="none"/>
                    </w:rPr>
                  </w:pPr>
                  <w:r>
                    <w:rPr>
                      <w:rFonts w:hint="default" w:ascii="Times New Roman" w:hAnsi="Times New Roman" w:cs="Times New Roman"/>
                      <w:b w:val="0"/>
                      <w:bCs w:val="0"/>
                      <w:color w:val="auto"/>
                      <w:kern w:val="0"/>
                      <w:szCs w:val="21"/>
                      <w:highlight w:val="none"/>
                    </w:rPr>
                    <w:t>简单防渗区</w:t>
                  </w:r>
                </w:p>
              </w:tc>
              <w:tc>
                <w:tcPr>
                  <w:tcW w:w="1242" w:type="pct"/>
                  <w:tcBorders>
                    <w:tl2br w:val="nil"/>
                    <w:tr2bl w:val="nil"/>
                  </w:tcBorders>
                  <w:vAlign w:val="center"/>
                </w:tcPr>
                <w:p w14:paraId="4F692417">
                  <w:pPr>
                    <w:autoSpaceDE w:val="0"/>
                    <w:autoSpaceDN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生产车间、库房</w:t>
                  </w:r>
                </w:p>
              </w:tc>
              <w:tc>
                <w:tcPr>
                  <w:tcW w:w="2967" w:type="pct"/>
                  <w:tcBorders>
                    <w:tl2br w:val="nil"/>
                    <w:tr2bl w:val="nil"/>
                  </w:tcBorders>
                  <w:vAlign w:val="center"/>
                </w:tcPr>
                <w:p w14:paraId="783A5EA4">
                  <w:pPr>
                    <w:autoSpaceDE w:val="0"/>
                    <w:autoSpaceDN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一般硬化即可</w:t>
                  </w:r>
                </w:p>
              </w:tc>
            </w:tr>
          </w:tbl>
          <w:p w14:paraId="46539459">
            <w:pPr>
              <w:adjustRightInd w:val="0"/>
              <w:snapToGrid w:val="0"/>
              <w:spacing w:line="360" w:lineRule="auto"/>
              <w:ind w:firstLine="482" w:firstLineChars="20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六</w:t>
            </w:r>
            <w:r>
              <w:rPr>
                <w:rFonts w:hint="default" w:ascii="Times New Roman" w:hAnsi="Times New Roman" w:cs="Times New Roman"/>
                <w:b/>
                <w:color w:val="auto"/>
                <w:sz w:val="24"/>
                <w:highlight w:val="none"/>
              </w:rPr>
              <w:t>、环境风险</w:t>
            </w:r>
          </w:p>
          <w:p w14:paraId="7C7A73EF">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（1）风险源调查</w:t>
            </w:r>
          </w:p>
          <w:p w14:paraId="70E6E598">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风险物质：</w:t>
            </w:r>
            <w:r>
              <w:rPr>
                <w:rFonts w:hint="default" w:ascii="Times New Roman" w:hAnsi="Times New Roman" w:cs="Times New Roman"/>
                <w:bCs/>
                <w:color w:val="auto"/>
                <w:sz w:val="24"/>
                <w:highlight w:val="none"/>
                <w:lang w:val="en-US" w:eastAsia="zh-CN"/>
              </w:rPr>
              <w:t>根据</w:t>
            </w:r>
            <w:r>
              <w:rPr>
                <w:rFonts w:hint="default" w:ascii="Times New Roman" w:hAnsi="Times New Roman" w:cs="Times New Roman"/>
                <w:bCs/>
                <w:color w:val="auto"/>
                <w:sz w:val="24"/>
                <w:highlight w:val="none"/>
              </w:rPr>
              <w:t>《建设项目环境风险评价技术导则》（HJ169-2018）附录B，本项目涉及的风险物质主要为</w:t>
            </w:r>
            <w:r>
              <w:rPr>
                <w:rFonts w:hint="default" w:ascii="Times New Roman" w:hAnsi="Times New Roman" w:cs="Times New Roman"/>
                <w:bCs/>
                <w:color w:val="auto"/>
                <w:sz w:val="24"/>
                <w:highlight w:val="none"/>
                <w:lang w:val="en-US" w:eastAsia="zh-CN"/>
              </w:rPr>
              <w:t>清洗剂、天然气</w:t>
            </w:r>
            <w:r>
              <w:rPr>
                <w:rFonts w:hint="default" w:ascii="Times New Roman" w:hAnsi="Times New Roman" w:cs="Times New Roman"/>
                <w:bCs/>
                <w:color w:val="auto"/>
                <w:sz w:val="24"/>
                <w:highlight w:val="none"/>
              </w:rPr>
              <w:t>。</w:t>
            </w:r>
          </w:p>
          <w:p w14:paraId="20CFEF8E">
            <w:pPr>
              <w:pStyle w:val="47"/>
              <w:rPr>
                <w:rFonts w:hint="default" w:ascii="Times New Roman" w:hAnsi="Times New Roman" w:cs="Times New Roman"/>
                <w:color w:val="auto"/>
                <w:highlight w:val="none"/>
              </w:rPr>
            </w:pPr>
            <w:r>
              <w:rPr>
                <w:rFonts w:hint="default" w:ascii="Times New Roman" w:hAnsi="Times New Roman" w:cs="Times New Roman"/>
                <w:color w:val="auto"/>
                <w:highlight w:val="none"/>
              </w:rPr>
              <w:t>表4-1</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 xml:space="preserve">   危险物质及临界量表</w:t>
            </w:r>
          </w:p>
          <w:tbl>
            <w:tblPr>
              <w:tblStyle w:val="28"/>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6"/>
              <w:gridCol w:w="659"/>
              <w:gridCol w:w="1073"/>
              <w:gridCol w:w="954"/>
              <w:gridCol w:w="752"/>
              <w:gridCol w:w="1045"/>
              <w:gridCol w:w="888"/>
              <w:gridCol w:w="755"/>
              <w:gridCol w:w="597"/>
              <w:gridCol w:w="1544"/>
            </w:tblGrid>
            <w:tr w14:paraId="62076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tblHeader/>
                <w:jc w:val="center"/>
              </w:trPr>
              <w:tc>
                <w:tcPr>
                  <w:tcW w:w="256" w:type="pct"/>
                  <w:vMerge w:val="restart"/>
                  <w:tcBorders>
                    <w:tl2br w:val="nil"/>
                    <w:tr2bl w:val="nil"/>
                  </w:tcBorders>
                  <w:noWrap w:val="0"/>
                  <w:vAlign w:val="center"/>
                </w:tcPr>
                <w:p w14:paraId="46A3302F">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序号</w:t>
                  </w:r>
                </w:p>
              </w:tc>
              <w:tc>
                <w:tcPr>
                  <w:tcW w:w="378" w:type="pct"/>
                  <w:vMerge w:val="restart"/>
                  <w:tcBorders>
                    <w:tl2br w:val="nil"/>
                    <w:tr2bl w:val="nil"/>
                  </w:tcBorders>
                  <w:noWrap w:val="0"/>
                  <w:vAlign w:val="center"/>
                </w:tcPr>
                <w:p w14:paraId="4FDFA877">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名称</w:t>
                  </w:r>
                </w:p>
              </w:tc>
              <w:tc>
                <w:tcPr>
                  <w:tcW w:w="615" w:type="pct"/>
                  <w:vMerge w:val="restart"/>
                  <w:tcBorders>
                    <w:tl2br w:val="nil"/>
                    <w:tr2bl w:val="nil"/>
                  </w:tcBorders>
                  <w:noWrap w:val="0"/>
                  <w:vAlign w:val="center"/>
                </w:tcPr>
                <w:p w14:paraId="4B9150EC">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用途</w:t>
                  </w:r>
                </w:p>
              </w:tc>
              <w:tc>
                <w:tcPr>
                  <w:tcW w:w="547" w:type="pct"/>
                  <w:vMerge w:val="restart"/>
                  <w:tcBorders>
                    <w:tl2br w:val="nil"/>
                    <w:tr2bl w:val="nil"/>
                  </w:tcBorders>
                  <w:noWrap w:val="0"/>
                  <w:vAlign w:val="center"/>
                </w:tcPr>
                <w:p w14:paraId="27731443">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分布情况</w:t>
                  </w:r>
                </w:p>
              </w:tc>
              <w:tc>
                <w:tcPr>
                  <w:tcW w:w="431" w:type="pct"/>
                  <w:vMerge w:val="restart"/>
                  <w:tcBorders>
                    <w:tl2br w:val="nil"/>
                    <w:tr2bl w:val="nil"/>
                  </w:tcBorders>
                  <w:noWrap w:val="0"/>
                  <w:vAlign w:val="center"/>
                </w:tcPr>
                <w:p w14:paraId="1A2F7836">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形态</w:t>
                  </w:r>
                </w:p>
              </w:tc>
              <w:tc>
                <w:tcPr>
                  <w:tcW w:w="599" w:type="pct"/>
                  <w:vMerge w:val="restart"/>
                  <w:tcBorders>
                    <w:tl2br w:val="nil"/>
                    <w:tr2bl w:val="nil"/>
                  </w:tcBorders>
                  <w:noWrap w:val="0"/>
                  <w:vAlign w:val="center"/>
                </w:tcPr>
                <w:p w14:paraId="71C7F8A0">
                  <w:pPr>
                    <w:widowControl/>
                    <w:autoSpaceDE w:val="0"/>
                    <w:autoSpaceDN w:val="0"/>
                    <w:snapToGrid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kern w:val="0"/>
                      <w:szCs w:val="21"/>
                      <w:highlight w:val="none"/>
                    </w:rPr>
                    <w:t>最大存在量（t）</w:t>
                  </w:r>
                </w:p>
              </w:tc>
              <w:tc>
                <w:tcPr>
                  <w:tcW w:w="509" w:type="pct"/>
                  <w:vMerge w:val="restart"/>
                  <w:tcBorders>
                    <w:tl2br w:val="nil"/>
                    <w:tr2bl w:val="nil"/>
                  </w:tcBorders>
                  <w:noWrap w:val="0"/>
                  <w:vAlign w:val="center"/>
                </w:tcPr>
                <w:p w14:paraId="4D6BA81E">
                  <w:pPr>
                    <w:widowControl/>
                    <w:autoSpaceDE w:val="0"/>
                    <w:autoSpaceDN w:val="0"/>
                    <w:snapToGrid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kern w:val="0"/>
                      <w:szCs w:val="21"/>
                      <w:highlight w:val="none"/>
                    </w:rPr>
                    <w:t>临界量（t）</w:t>
                  </w:r>
                </w:p>
              </w:tc>
              <w:tc>
                <w:tcPr>
                  <w:tcW w:w="775" w:type="pct"/>
                  <w:gridSpan w:val="2"/>
                  <w:tcBorders>
                    <w:tl2br w:val="nil"/>
                    <w:tr2bl w:val="nil"/>
                  </w:tcBorders>
                  <w:noWrap w:val="0"/>
                  <w:vAlign w:val="center"/>
                </w:tcPr>
                <w:p w14:paraId="4979D9D6">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是否属于</w:t>
                  </w:r>
                </w:p>
              </w:tc>
              <w:tc>
                <w:tcPr>
                  <w:tcW w:w="885" w:type="pct"/>
                  <w:vMerge w:val="restart"/>
                  <w:tcBorders>
                    <w:tl2br w:val="nil"/>
                    <w:tr2bl w:val="nil"/>
                  </w:tcBorders>
                  <w:noWrap w:val="0"/>
                  <w:vAlign w:val="center"/>
                </w:tcPr>
                <w:p w14:paraId="0050A9E2">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备注</w:t>
                  </w:r>
                </w:p>
              </w:tc>
            </w:tr>
            <w:tr w14:paraId="2C54D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56" w:type="pct"/>
                  <w:vMerge w:val="continue"/>
                  <w:tcBorders>
                    <w:tl2br w:val="nil"/>
                    <w:tr2bl w:val="nil"/>
                  </w:tcBorders>
                  <w:noWrap w:val="0"/>
                  <w:vAlign w:val="center"/>
                </w:tcPr>
                <w:p w14:paraId="281BC689">
                  <w:pPr>
                    <w:pStyle w:val="36"/>
                    <w:rPr>
                      <w:rFonts w:hint="default" w:ascii="Times New Roman" w:hAnsi="Times New Roman" w:cs="Times New Roman"/>
                      <w:b w:val="0"/>
                      <w:bCs w:val="0"/>
                      <w:color w:val="auto"/>
                      <w:highlight w:val="none"/>
                    </w:rPr>
                  </w:pPr>
                </w:p>
              </w:tc>
              <w:tc>
                <w:tcPr>
                  <w:tcW w:w="378" w:type="pct"/>
                  <w:vMerge w:val="continue"/>
                  <w:tcBorders>
                    <w:tl2br w:val="nil"/>
                    <w:tr2bl w:val="nil"/>
                  </w:tcBorders>
                  <w:noWrap w:val="0"/>
                  <w:vAlign w:val="center"/>
                </w:tcPr>
                <w:p w14:paraId="742B6236">
                  <w:pPr>
                    <w:pStyle w:val="36"/>
                    <w:rPr>
                      <w:rFonts w:hint="default" w:ascii="Times New Roman" w:hAnsi="Times New Roman" w:cs="Times New Roman"/>
                      <w:b w:val="0"/>
                      <w:bCs w:val="0"/>
                      <w:color w:val="auto"/>
                      <w:highlight w:val="none"/>
                    </w:rPr>
                  </w:pPr>
                </w:p>
              </w:tc>
              <w:tc>
                <w:tcPr>
                  <w:tcW w:w="615" w:type="pct"/>
                  <w:vMerge w:val="continue"/>
                  <w:tcBorders>
                    <w:tl2br w:val="nil"/>
                    <w:tr2bl w:val="nil"/>
                  </w:tcBorders>
                  <w:noWrap w:val="0"/>
                  <w:vAlign w:val="center"/>
                </w:tcPr>
                <w:p w14:paraId="7485D9E6">
                  <w:pPr>
                    <w:pStyle w:val="36"/>
                    <w:rPr>
                      <w:rFonts w:hint="default" w:ascii="Times New Roman" w:hAnsi="Times New Roman" w:cs="Times New Roman"/>
                      <w:b w:val="0"/>
                      <w:bCs w:val="0"/>
                      <w:color w:val="auto"/>
                      <w:highlight w:val="none"/>
                    </w:rPr>
                  </w:pPr>
                </w:p>
              </w:tc>
              <w:tc>
                <w:tcPr>
                  <w:tcW w:w="547" w:type="pct"/>
                  <w:vMerge w:val="continue"/>
                  <w:tcBorders>
                    <w:tl2br w:val="nil"/>
                    <w:tr2bl w:val="nil"/>
                  </w:tcBorders>
                  <w:noWrap w:val="0"/>
                  <w:vAlign w:val="center"/>
                </w:tcPr>
                <w:p w14:paraId="080BF9A9">
                  <w:pPr>
                    <w:pStyle w:val="36"/>
                    <w:rPr>
                      <w:rFonts w:hint="default" w:ascii="Times New Roman" w:hAnsi="Times New Roman" w:cs="Times New Roman"/>
                      <w:b w:val="0"/>
                      <w:bCs w:val="0"/>
                      <w:color w:val="auto"/>
                      <w:highlight w:val="none"/>
                    </w:rPr>
                  </w:pPr>
                </w:p>
              </w:tc>
              <w:tc>
                <w:tcPr>
                  <w:tcW w:w="431" w:type="pct"/>
                  <w:vMerge w:val="continue"/>
                  <w:tcBorders>
                    <w:tl2br w:val="nil"/>
                    <w:tr2bl w:val="nil"/>
                  </w:tcBorders>
                  <w:noWrap w:val="0"/>
                  <w:vAlign w:val="center"/>
                </w:tcPr>
                <w:p w14:paraId="3C18B714">
                  <w:pPr>
                    <w:pStyle w:val="36"/>
                    <w:rPr>
                      <w:rFonts w:hint="default" w:ascii="Times New Roman" w:hAnsi="Times New Roman" w:cs="Times New Roman"/>
                      <w:b w:val="0"/>
                      <w:bCs w:val="0"/>
                      <w:color w:val="auto"/>
                      <w:highlight w:val="none"/>
                    </w:rPr>
                  </w:pPr>
                </w:p>
              </w:tc>
              <w:tc>
                <w:tcPr>
                  <w:tcW w:w="599" w:type="pct"/>
                  <w:vMerge w:val="continue"/>
                  <w:tcBorders>
                    <w:tl2br w:val="nil"/>
                    <w:tr2bl w:val="nil"/>
                  </w:tcBorders>
                  <w:noWrap w:val="0"/>
                  <w:vAlign w:val="center"/>
                </w:tcPr>
                <w:p w14:paraId="5FAF72DA">
                  <w:pPr>
                    <w:pStyle w:val="36"/>
                    <w:rPr>
                      <w:rFonts w:hint="default" w:ascii="Times New Roman" w:hAnsi="Times New Roman" w:cs="Times New Roman"/>
                      <w:b w:val="0"/>
                      <w:bCs w:val="0"/>
                      <w:color w:val="auto"/>
                      <w:highlight w:val="none"/>
                    </w:rPr>
                  </w:pPr>
                </w:p>
              </w:tc>
              <w:tc>
                <w:tcPr>
                  <w:tcW w:w="509" w:type="pct"/>
                  <w:vMerge w:val="continue"/>
                  <w:tcBorders>
                    <w:tl2br w:val="nil"/>
                    <w:tr2bl w:val="nil"/>
                  </w:tcBorders>
                  <w:noWrap w:val="0"/>
                  <w:vAlign w:val="center"/>
                </w:tcPr>
                <w:p w14:paraId="3F81BA7C">
                  <w:pPr>
                    <w:pStyle w:val="36"/>
                    <w:rPr>
                      <w:rFonts w:hint="default" w:ascii="Times New Roman" w:hAnsi="Times New Roman" w:cs="Times New Roman"/>
                      <w:b w:val="0"/>
                      <w:bCs w:val="0"/>
                      <w:color w:val="auto"/>
                      <w:highlight w:val="none"/>
                    </w:rPr>
                  </w:pPr>
                </w:p>
              </w:tc>
              <w:tc>
                <w:tcPr>
                  <w:tcW w:w="433" w:type="pct"/>
                  <w:tcBorders>
                    <w:tl2br w:val="nil"/>
                    <w:tr2bl w:val="nil"/>
                  </w:tcBorders>
                  <w:noWrap w:val="0"/>
                  <w:vAlign w:val="center"/>
                </w:tcPr>
                <w:p w14:paraId="52F0CB75">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B.1</w:t>
                  </w:r>
                </w:p>
              </w:tc>
              <w:tc>
                <w:tcPr>
                  <w:tcW w:w="342" w:type="pct"/>
                  <w:tcBorders>
                    <w:tl2br w:val="nil"/>
                    <w:tr2bl w:val="nil"/>
                  </w:tcBorders>
                  <w:noWrap w:val="0"/>
                  <w:vAlign w:val="center"/>
                </w:tcPr>
                <w:p w14:paraId="0959CA4B">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B.2</w:t>
                  </w:r>
                </w:p>
              </w:tc>
              <w:tc>
                <w:tcPr>
                  <w:tcW w:w="885" w:type="pct"/>
                  <w:vMerge w:val="continue"/>
                  <w:tcBorders>
                    <w:tl2br w:val="nil"/>
                    <w:tr2bl w:val="nil"/>
                  </w:tcBorders>
                  <w:noWrap w:val="0"/>
                  <w:vAlign w:val="center"/>
                </w:tcPr>
                <w:p w14:paraId="7F6F84B3">
                  <w:pPr>
                    <w:pStyle w:val="36"/>
                    <w:rPr>
                      <w:rFonts w:hint="default" w:ascii="Times New Roman" w:hAnsi="Times New Roman" w:cs="Times New Roman"/>
                      <w:b w:val="0"/>
                      <w:bCs w:val="0"/>
                      <w:color w:val="auto"/>
                      <w:highlight w:val="none"/>
                    </w:rPr>
                  </w:pPr>
                </w:p>
              </w:tc>
            </w:tr>
            <w:tr w14:paraId="0A8B80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6" w:type="pct"/>
                  <w:tcBorders>
                    <w:tl2br w:val="nil"/>
                    <w:tr2bl w:val="nil"/>
                  </w:tcBorders>
                  <w:noWrap w:val="0"/>
                  <w:vAlign w:val="center"/>
                </w:tcPr>
                <w:p w14:paraId="56B9822D">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w:t>
                  </w:r>
                </w:p>
              </w:tc>
              <w:tc>
                <w:tcPr>
                  <w:tcW w:w="378" w:type="pct"/>
                  <w:tcBorders>
                    <w:tl2br w:val="nil"/>
                    <w:tr2bl w:val="nil"/>
                  </w:tcBorders>
                  <w:noWrap w:val="0"/>
                  <w:vAlign w:val="center"/>
                </w:tcPr>
                <w:p w14:paraId="6D32083D">
                  <w:pPr>
                    <w:pStyle w:val="36"/>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清洗剂</w:t>
                  </w:r>
                </w:p>
              </w:tc>
              <w:tc>
                <w:tcPr>
                  <w:tcW w:w="615" w:type="pct"/>
                  <w:tcBorders>
                    <w:tl2br w:val="nil"/>
                    <w:tr2bl w:val="nil"/>
                  </w:tcBorders>
                  <w:noWrap w:val="0"/>
                  <w:vAlign w:val="center"/>
                </w:tcPr>
                <w:p w14:paraId="5E053E46">
                  <w:pPr>
                    <w:pStyle w:val="36"/>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清洗</w:t>
                  </w:r>
                </w:p>
              </w:tc>
              <w:tc>
                <w:tcPr>
                  <w:tcW w:w="547" w:type="pct"/>
                  <w:tcBorders>
                    <w:tl2br w:val="nil"/>
                    <w:tr2bl w:val="nil"/>
                  </w:tcBorders>
                  <w:noWrap w:val="0"/>
                  <w:vAlign w:val="center"/>
                </w:tcPr>
                <w:p w14:paraId="3C929BC1">
                  <w:pPr>
                    <w:pStyle w:val="36"/>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库房</w:t>
                  </w:r>
                </w:p>
              </w:tc>
              <w:tc>
                <w:tcPr>
                  <w:tcW w:w="431" w:type="pct"/>
                  <w:tcBorders>
                    <w:tl2br w:val="nil"/>
                    <w:tr2bl w:val="nil"/>
                  </w:tcBorders>
                  <w:noWrap w:val="0"/>
                  <w:vAlign w:val="center"/>
                </w:tcPr>
                <w:p w14:paraId="78D7E85E">
                  <w:pPr>
                    <w:pStyle w:val="36"/>
                    <w:rPr>
                      <w:rFonts w:hint="default" w:ascii="Times New Roman" w:hAnsi="Times New Roman" w:eastAsia="宋体" w:cs="Times New Roman"/>
                      <w:b w:val="0"/>
                      <w:bCs w:val="0"/>
                      <w:color w:val="auto"/>
                      <w:highlight w:val="none"/>
                      <w:lang w:eastAsia="zh-CN"/>
                    </w:rPr>
                  </w:pPr>
                  <w:r>
                    <w:rPr>
                      <w:rFonts w:hint="default" w:ascii="Times New Roman" w:hAnsi="Times New Roman" w:cs="Times New Roman"/>
                      <w:b w:val="0"/>
                      <w:bCs w:val="0"/>
                      <w:color w:val="auto"/>
                      <w:highlight w:val="none"/>
                      <w:lang w:val="en-US" w:eastAsia="zh-CN"/>
                    </w:rPr>
                    <w:t>液态</w:t>
                  </w:r>
                </w:p>
              </w:tc>
              <w:tc>
                <w:tcPr>
                  <w:tcW w:w="599" w:type="pct"/>
                  <w:tcBorders>
                    <w:tl2br w:val="nil"/>
                    <w:tr2bl w:val="nil"/>
                  </w:tcBorders>
                  <w:noWrap w:val="0"/>
                  <w:vAlign w:val="center"/>
                </w:tcPr>
                <w:p w14:paraId="57D20D67">
                  <w:pPr>
                    <w:autoSpaceDE w:val="0"/>
                    <w:autoSpaceDN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w:t>
                  </w:r>
                </w:p>
              </w:tc>
              <w:tc>
                <w:tcPr>
                  <w:tcW w:w="509" w:type="pct"/>
                  <w:tcBorders>
                    <w:tl2br w:val="nil"/>
                    <w:tr2bl w:val="nil"/>
                  </w:tcBorders>
                  <w:noWrap w:val="0"/>
                  <w:vAlign w:val="center"/>
                </w:tcPr>
                <w:p w14:paraId="41E8390E">
                  <w:pPr>
                    <w:autoSpaceDE w:val="0"/>
                    <w:autoSpaceDN w:val="0"/>
                    <w:jc w:val="center"/>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szCs w:val="21"/>
                      <w:highlight w:val="none"/>
                      <w:lang w:val="en-US" w:eastAsia="zh-CN"/>
                    </w:rPr>
                    <w:t>10</w:t>
                  </w:r>
                </w:p>
              </w:tc>
              <w:tc>
                <w:tcPr>
                  <w:tcW w:w="433" w:type="pct"/>
                  <w:tcBorders>
                    <w:tl2br w:val="nil"/>
                    <w:tr2bl w:val="nil"/>
                  </w:tcBorders>
                  <w:noWrap w:val="0"/>
                  <w:vAlign w:val="center"/>
                </w:tcPr>
                <w:p w14:paraId="5385983E">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是</w:t>
                  </w:r>
                </w:p>
              </w:tc>
              <w:tc>
                <w:tcPr>
                  <w:tcW w:w="342" w:type="pct"/>
                  <w:tcBorders>
                    <w:tl2br w:val="nil"/>
                    <w:tr2bl w:val="nil"/>
                  </w:tcBorders>
                  <w:noWrap w:val="0"/>
                  <w:vAlign w:val="center"/>
                </w:tcPr>
                <w:p w14:paraId="2E9BDB92">
                  <w:pPr>
                    <w:pStyle w:val="36"/>
                    <w:rPr>
                      <w:rFonts w:hint="default" w:ascii="Times New Roman" w:hAnsi="Times New Roman" w:eastAsia="宋体" w:cs="Times New Roman"/>
                      <w:b w:val="0"/>
                      <w:bCs w:val="0"/>
                      <w:color w:val="auto"/>
                      <w:highlight w:val="none"/>
                      <w:lang w:eastAsia="zh-CN"/>
                    </w:rPr>
                  </w:pPr>
                  <w:r>
                    <w:rPr>
                      <w:rFonts w:hint="default" w:ascii="Times New Roman" w:hAnsi="Times New Roman" w:cs="Times New Roman"/>
                      <w:b w:val="0"/>
                      <w:bCs w:val="0"/>
                      <w:color w:val="auto"/>
                      <w:highlight w:val="none"/>
                      <w:lang w:val="en-US" w:eastAsia="zh-CN"/>
                    </w:rPr>
                    <w:t>否</w:t>
                  </w:r>
                </w:p>
              </w:tc>
              <w:tc>
                <w:tcPr>
                  <w:tcW w:w="885" w:type="pct"/>
                  <w:tcBorders>
                    <w:tl2br w:val="nil"/>
                    <w:tr2bl w:val="nil"/>
                  </w:tcBorders>
                  <w:noWrap w:val="0"/>
                  <w:vAlign w:val="center"/>
                </w:tcPr>
                <w:p w14:paraId="1A26A6EE">
                  <w:pPr>
                    <w:pStyle w:val="36"/>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w:t>
                  </w:r>
                </w:p>
              </w:tc>
            </w:tr>
            <w:tr w14:paraId="441FDF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6" w:type="pct"/>
                  <w:tcBorders>
                    <w:tl2br w:val="nil"/>
                    <w:tr2bl w:val="nil"/>
                  </w:tcBorders>
                  <w:noWrap w:val="0"/>
                  <w:vAlign w:val="center"/>
                </w:tcPr>
                <w:p w14:paraId="70764537">
                  <w:pPr>
                    <w:pStyle w:val="36"/>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w:t>
                  </w:r>
                </w:p>
              </w:tc>
              <w:tc>
                <w:tcPr>
                  <w:tcW w:w="378" w:type="pct"/>
                  <w:tcBorders>
                    <w:tl2br w:val="nil"/>
                    <w:tr2bl w:val="nil"/>
                  </w:tcBorders>
                  <w:noWrap w:val="0"/>
                  <w:vAlign w:val="center"/>
                </w:tcPr>
                <w:p w14:paraId="496301C7">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废清洗剂</w:t>
                  </w:r>
                </w:p>
              </w:tc>
              <w:tc>
                <w:tcPr>
                  <w:tcW w:w="615" w:type="pct"/>
                  <w:tcBorders>
                    <w:tl2br w:val="nil"/>
                    <w:tr2bl w:val="nil"/>
                  </w:tcBorders>
                  <w:noWrap w:val="0"/>
                  <w:vAlign w:val="center"/>
                </w:tcPr>
                <w:p w14:paraId="55848417">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w:t>
                  </w:r>
                </w:p>
              </w:tc>
              <w:tc>
                <w:tcPr>
                  <w:tcW w:w="547" w:type="pct"/>
                  <w:tcBorders>
                    <w:tl2br w:val="nil"/>
                    <w:tr2bl w:val="nil"/>
                  </w:tcBorders>
                  <w:noWrap w:val="0"/>
                  <w:vAlign w:val="center"/>
                </w:tcPr>
                <w:p w14:paraId="0EE18DBF">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危废贮存库</w:t>
                  </w:r>
                </w:p>
              </w:tc>
              <w:tc>
                <w:tcPr>
                  <w:tcW w:w="431" w:type="pct"/>
                  <w:tcBorders>
                    <w:tl2br w:val="nil"/>
                    <w:tr2bl w:val="nil"/>
                  </w:tcBorders>
                  <w:noWrap w:val="0"/>
                  <w:vAlign w:val="center"/>
                </w:tcPr>
                <w:p w14:paraId="2D9A736A">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液态</w:t>
                  </w:r>
                </w:p>
              </w:tc>
              <w:tc>
                <w:tcPr>
                  <w:tcW w:w="599" w:type="pct"/>
                  <w:tcBorders>
                    <w:tl2br w:val="nil"/>
                    <w:tr2bl w:val="nil"/>
                  </w:tcBorders>
                  <w:noWrap w:val="0"/>
                  <w:vAlign w:val="center"/>
                </w:tcPr>
                <w:p w14:paraId="682D379E">
                  <w:pPr>
                    <w:autoSpaceDE w:val="0"/>
                    <w:autoSpaceDN w:val="0"/>
                    <w:jc w:val="center"/>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w:t>
                  </w:r>
                </w:p>
              </w:tc>
              <w:tc>
                <w:tcPr>
                  <w:tcW w:w="509" w:type="pct"/>
                  <w:tcBorders>
                    <w:tl2br w:val="nil"/>
                    <w:tr2bl w:val="nil"/>
                  </w:tcBorders>
                  <w:noWrap w:val="0"/>
                  <w:vAlign w:val="center"/>
                </w:tcPr>
                <w:p w14:paraId="53D6075E">
                  <w:pPr>
                    <w:autoSpaceDE w:val="0"/>
                    <w:autoSpaceDN w:val="0"/>
                    <w:jc w:val="center"/>
                    <w:rPr>
                      <w:rFonts w:hint="default" w:ascii="Times New Roman" w:hAnsi="Times New Roman"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10</w:t>
                  </w:r>
                </w:p>
              </w:tc>
              <w:tc>
                <w:tcPr>
                  <w:tcW w:w="433" w:type="pct"/>
                  <w:tcBorders>
                    <w:tl2br w:val="nil"/>
                    <w:tr2bl w:val="nil"/>
                  </w:tcBorders>
                  <w:noWrap w:val="0"/>
                  <w:vAlign w:val="center"/>
                </w:tcPr>
                <w:p w14:paraId="079501BF">
                  <w:pPr>
                    <w:pStyle w:val="36"/>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是</w:t>
                  </w:r>
                </w:p>
              </w:tc>
              <w:tc>
                <w:tcPr>
                  <w:tcW w:w="342" w:type="pct"/>
                  <w:tcBorders>
                    <w:tl2br w:val="nil"/>
                    <w:tr2bl w:val="nil"/>
                  </w:tcBorders>
                  <w:noWrap w:val="0"/>
                  <w:vAlign w:val="center"/>
                </w:tcPr>
                <w:p w14:paraId="494AD5FC">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否</w:t>
                  </w:r>
                </w:p>
              </w:tc>
              <w:tc>
                <w:tcPr>
                  <w:tcW w:w="885" w:type="pct"/>
                  <w:tcBorders>
                    <w:tl2br w:val="nil"/>
                    <w:tr2bl w:val="nil"/>
                  </w:tcBorders>
                  <w:noWrap w:val="0"/>
                  <w:vAlign w:val="center"/>
                </w:tcPr>
                <w:p w14:paraId="12EDB9F8">
                  <w:pPr>
                    <w:pStyle w:val="36"/>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w:t>
                  </w:r>
                </w:p>
              </w:tc>
            </w:tr>
            <w:tr w14:paraId="7D765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6" w:type="pct"/>
                  <w:tcBorders>
                    <w:tl2br w:val="nil"/>
                    <w:tr2bl w:val="nil"/>
                  </w:tcBorders>
                  <w:noWrap w:val="0"/>
                  <w:vAlign w:val="center"/>
                </w:tcPr>
                <w:p w14:paraId="6E8C3BBA">
                  <w:pPr>
                    <w:pStyle w:val="36"/>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w:t>
                  </w:r>
                </w:p>
              </w:tc>
              <w:tc>
                <w:tcPr>
                  <w:tcW w:w="378" w:type="pct"/>
                  <w:tcBorders>
                    <w:tl2br w:val="nil"/>
                    <w:tr2bl w:val="nil"/>
                  </w:tcBorders>
                  <w:noWrap w:val="0"/>
                  <w:vAlign w:val="center"/>
                </w:tcPr>
                <w:p w14:paraId="1BFF5838">
                  <w:pPr>
                    <w:pStyle w:val="36"/>
                    <w:rPr>
                      <w:rFonts w:hint="default" w:ascii="Times New Roman" w:hAnsi="Times New Roman"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天然气</w:t>
                  </w:r>
                </w:p>
              </w:tc>
              <w:tc>
                <w:tcPr>
                  <w:tcW w:w="615" w:type="pct"/>
                  <w:tcBorders>
                    <w:tl2br w:val="nil"/>
                    <w:tr2bl w:val="nil"/>
                  </w:tcBorders>
                  <w:noWrap w:val="0"/>
                  <w:vAlign w:val="center"/>
                </w:tcPr>
                <w:p w14:paraId="07560684">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食堂</w:t>
                  </w:r>
                </w:p>
              </w:tc>
              <w:tc>
                <w:tcPr>
                  <w:tcW w:w="547" w:type="pct"/>
                  <w:tcBorders>
                    <w:tl2br w:val="nil"/>
                    <w:tr2bl w:val="nil"/>
                  </w:tcBorders>
                  <w:noWrap w:val="0"/>
                  <w:vAlign w:val="center"/>
                </w:tcPr>
                <w:p w14:paraId="2A23FFD3">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管道</w:t>
                  </w:r>
                </w:p>
              </w:tc>
              <w:tc>
                <w:tcPr>
                  <w:tcW w:w="431" w:type="pct"/>
                  <w:tcBorders>
                    <w:tl2br w:val="nil"/>
                    <w:tr2bl w:val="nil"/>
                  </w:tcBorders>
                  <w:noWrap w:val="0"/>
                  <w:vAlign w:val="center"/>
                </w:tcPr>
                <w:p w14:paraId="0D7860B3">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气态</w:t>
                  </w:r>
                </w:p>
              </w:tc>
              <w:tc>
                <w:tcPr>
                  <w:tcW w:w="599" w:type="pct"/>
                  <w:tcBorders>
                    <w:tl2br w:val="nil"/>
                    <w:tr2bl w:val="nil"/>
                  </w:tcBorders>
                  <w:noWrap w:val="0"/>
                  <w:vAlign w:val="center"/>
                </w:tcPr>
                <w:p w14:paraId="42C27732">
                  <w:pPr>
                    <w:autoSpaceDE w:val="0"/>
                    <w:autoSpaceDN w:val="0"/>
                    <w:jc w:val="center"/>
                    <w:rPr>
                      <w:rFonts w:hint="default" w:ascii="Times New Roman" w:hAnsi="Times New Roman"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0.32</w:t>
                  </w:r>
                </w:p>
              </w:tc>
              <w:tc>
                <w:tcPr>
                  <w:tcW w:w="509" w:type="pct"/>
                  <w:tcBorders>
                    <w:tl2br w:val="nil"/>
                    <w:tr2bl w:val="nil"/>
                  </w:tcBorders>
                  <w:noWrap w:val="0"/>
                  <w:vAlign w:val="center"/>
                </w:tcPr>
                <w:p w14:paraId="16E67B6B">
                  <w:pPr>
                    <w:autoSpaceDE w:val="0"/>
                    <w:autoSpaceDN w:val="0"/>
                    <w:jc w:val="center"/>
                    <w:rPr>
                      <w:rFonts w:hint="default" w:ascii="Times New Roman" w:hAnsi="Times New Roman"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10</w:t>
                  </w:r>
                </w:p>
              </w:tc>
              <w:tc>
                <w:tcPr>
                  <w:tcW w:w="433" w:type="pct"/>
                  <w:tcBorders>
                    <w:tl2br w:val="nil"/>
                    <w:tr2bl w:val="nil"/>
                  </w:tcBorders>
                  <w:noWrap w:val="0"/>
                  <w:vAlign w:val="center"/>
                </w:tcPr>
                <w:p w14:paraId="64F079E3">
                  <w:pPr>
                    <w:pStyle w:val="36"/>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是</w:t>
                  </w:r>
                </w:p>
              </w:tc>
              <w:tc>
                <w:tcPr>
                  <w:tcW w:w="342" w:type="pct"/>
                  <w:tcBorders>
                    <w:tl2br w:val="nil"/>
                    <w:tr2bl w:val="nil"/>
                  </w:tcBorders>
                  <w:noWrap w:val="0"/>
                  <w:vAlign w:val="center"/>
                </w:tcPr>
                <w:p w14:paraId="134BD709">
                  <w:pPr>
                    <w:pStyle w:val="36"/>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否</w:t>
                  </w:r>
                </w:p>
              </w:tc>
              <w:tc>
                <w:tcPr>
                  <w:tcW w:w="885" w:type="pct"/>
                  <w:tcBorders>
                    <w:tl2br w:val="nil"/>
                    <w:tr2bl w:val="nil"/>
                  </w:tcBorders>
                  <w:noWrap w:val="0"/>
                  <w:vAlign w:val="center"/>
                </w:tcPr>
                <w:p w14:paraId="775C7799">
                  <w:pPr>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w:t>
                  </w:r>
                </w:p>
              </w:tc>
            </w:tr>
          </w:tbl>
          <w:p w14:paraId="7A08A915">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经计算，Q=0</w:t>
            </w:r>
            <w:r>
              <w:rPr>
                <w:rFonts w:hint="default" w:ascii="Times New Roman" w:hAnsi="Times New Roman" w:cs="Times New Roman"/>
                <w:bCs/>
                <w:color w:val="auto"/>
                <w:sz w:val="24"/>
                <w:highlight w:val="none"/>
                <w:lang w:val="en-US" w:eastAsia="zh-CN"/>
              </w:rPr>
              <w:t>.332</w:t>
            </w:r>
            <w:r>
              <w:rPr>
                <w:rFonts w:hint="default" w:ascii="Times New Roman" w:hAnsi="Times New Roman" w:cs="Times New Roman"/>
                <w:bCs/>
                <w:color w:val="auto"/>
                <w:sz w:val="24"/>
                <w:highlight w:val="none"/>
              </w:rPr>
              <w:t>＜1，</w:t>
            </w:r>
            <w:r>
              <w:rPr>
                <w:rFonts w:hint="default" w:ascii="Times New Roman" w:hAnsi="Times New Roman" w:cs="Times New Roman"/>
                <w:bCs/>
                <w:color w:val="auto"/>
                <w:sz w:val="24"/>
                <w:highlight w:val="none"/>
                <w:lang w:val="en-US" w:eastAsia="zh-CN"/>
              </w:rPr>
              <w:t>清洗剂、废清洗剂、天然气厂内暂存量较小，</w:t>
            </w:r>
            <w:r>
              <w:rPr>
                <w:rFonts w:hint="default" w:ascii="Times New Roman" w:hAnsi="Times New Roman" w:cs="Times New Roman"/>
                <w:bCs/>
                <w:color w:val="auto"/>
                <w:sz w:val="24"/>
                <w:highlight w:val="none"/>
              </w:rPr>
              <w:t>本项目环境风险潜势为</w:t>
            </w:r>
            <w:r>
              <w:rPr>
                <w:rFonts w:hint="default" w:ascii="Times New Roman" w:hAnsi="Times New Roman" w:cs="Times New Roman"/>
                <w:bCs/>
                <w:color w:val="auto"/>
                <w:sz w:val="24"/>
                <w:highlight w:val="none"/>
              </w:rPr>
              <w:fldChar w:fldCharType="begin"/>
            </w:r>
            <w:r>
              <w:rPr>
                <w:rFonts w:hint="default" w:ascii="Times New Roman" w:hAnsi="Times New Roman" w:cs="Times New Roman"/>
                <w:bCs/>
                <w:color w:val="auto"/>
                <w:sz w:val="24"/>
                <w:highlight w:val="none"/>
              </w:rPr>
              <w:instrText xml:space="preserve"> = 1 \* ROMAN \* MERGEFORMAT </w:instrText>
            </w:r>
            <w:r>
              <w:rPr>
                <w:rFonts w:hint="default" w:ascii="Times New Roman" w:hAnsi="Times New Roman" w:cs="Times New Roman"/>
                <w:bCs/>
                <w:color w:val="auto"/>
                <w:sz w:val="24"/>
                <w:highlight w:val="none"/>
              </w:rPr>
              <w:fldChar w:fldCharType="separate"/>
            </w:r>
            <w:r>
              <w:rPr>
                <w:rFonts w:hint="default" w:ascii="Times New Roman" w:hAnsi="Times New Roman" w:cs="Times New Roman"/>
                <w:color w:val="auto"/>
                <w:highlight w:val="none"/>
              </w:rPr>
              <w:t>I</w:t>
            </w:r>
            <w:r>
              <w:rPr>
                <w:rFonts w:hint="default" w:ascii="Times New Roman" w:hAnsi="Times New Roman" w:cs="Times New Roman"/>
                <w:bCs/>
                <w:color w:val="auto"/>
                <w:sz w:val="24"/>
                <w:highlight w:val="none"/>
              </w:rPr>
              <w:fldChar w:fldCharType="end"/>
            </w:r>
            <w:r>
              <w:rPr>
                <w:rFonts w:hint="default" w:ascii="Times New Roman" w:hAnsi="Times New Roman" w:cs="Times New Roman"/>
                <w:bCs/>
                <w:color w:val="auto"/>
                <w:sz w:val="24"/>
                <w:highlight w:val="none"/>
              </w:rPr>
              <w:t>，仅作简单分析即可。</w:t>
            </w:r>
          </w:p>
          <w:p w14:paraId="69648BA1">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highlight w:val="none"/>
              </w:rPr>
              <w:t>可能影响途径：</w:t>
            </w:r>
            <w:r>
              <w:rPr>
                <w:rFonts w:hint="default" w:ascii="Times New Roman" w:hAnsi="Times New Roman" w:cs="Times New Roman"/>
                <w:bCs/>
                <w:color w:val="auto"/>
                <w:sz w:val="24"/>
                <w:highlight w:val="none"/>
                <w:lang w:val="en-US" w:eastAsia="zh-CN"/>
              </w:rPr>
              <w:t>因</w:t>
            </w:r>
            <w:r>
              <w:rPr>
                <w:rFonts w:hint="default" w:ascii="Times New Roman" w:hAnsi="Times New Roman" w:cs="Times New Roman"/>
                <w:bCs/>
                <w:color w:val="auto"/>
                <w:sz w:val="24"/>
                <w:highlight w:val="none"/>
              </w:rPr>
              <w:t>盛装容器</w:t>
            </w:r>
            <w:r>
              <w:rPr>
                <w:rFonts w:hint="default" w:ascii="Times New Roman" w:hAnsi="Times New Roman" w:cs="Times New Roman"/>
                <w:bCs/>
                <w:color w:val="auto"/>
                <w:sz w:val="24"/>
                <w:highlight w:val="none"/>
                <w:lang w:val="en-US" w:eastAsia="zh-CN"/>
              </w:rPr>
              <w:t>破损</w:t>
            </w:r>
            <w:r>
              <w:rPr>
                <w:rFonts w:hint="default" w:ascii="Times New Roman" w:hAnsi="Times New Roman" w:cs="Times New Roman"/>
                <w:bCs/>
                <w:color w:val="auto"/>
                <w:sz w:val="24"/>
                <w:highlight w:val="none"/>
              </w:rPr>
              <w:t>或因操作失误等会引发泄漏，泄漏</w:t>
            </w:r>
            <w:r>
              <w:rPr>
                <w:rFonts w:hint="default" w:ascii="Times New Roman" w:hAnsi="Times New Roman" w:cs="Times New Roman"/>
                <w:bCs/>
                <w:color w:val="auto"/>
                <w:sz w:val="24"/>
                <w:highlight w:val="none"/>
                <w:lang w:val="en-US" w:eastAsia="zh-CN"/>
              </w:rPr>
              <w:t>后</w:t>
            </w:r>
            <w:r>
              <w:rPr>
                <w:rFonts w:hint="default" w:ascii="Times New Roman" w:hAnsi="Times New Roman" w:cs="Times New Roman"/>
                <w:bCs/>
                <w:color w:val="auto"/>
                <w:sz w:val="24"/>
                <w:highlight w:val="none"/>
              </w:rPr>
              <w:t>遇明火则会引发燃烧</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未完全</w:t>
            </w:r>
            <w:r>
              <w:rPr>
                <w:rFonts w:hint="default" w:ascii="Times New Roman" w:hAnsi="Times New Roman" w:cs="Times New Roman"/>
                <w:bCs/>
                <w:color w:val="auto"/>
                <w:sz w:val="24"/>
                <w:highlight w:val="none"/>
              </w:rPr>
              <w:t>燃烧的产物为一氧化碳，释放至环境空气中，污染周围环境空气</w:t>
            </w:r>
            <w:r>
              <w:rPr>
                <w:rFonts w:hint="default" w:ascii="Times New Roman" w:hAnsi="Times New Roman" w:cs="Times New Roman"/>
                <w:bCs/>
                <w:color w:val="auto"/>
                <w:sz w:val="24"/>
                <w:szCs w:val="24"/>
                <w:highlight w:val="none"/>
              </w:rPr>
              <w:t>，同时也对厂区人员健康造成影响。</w:t>
            </w:r>
          </w:p>
          <w:p w14:paraId="66331C83">
            <w:pPr>
              <w:adjustRightInd w:val="0"/>
              <w:snapToGrid w:val="0"/>
              <w:spacing w:line="360" w:lineRule="auto"/>
              <w:ind w:firstLine="480" w:firstLineChars="200"/>
              <w:jc w:val="left"/>
              <w:rPr>
                <w:rFonts w:hint="default" w:ascii="Times New Roman" w:hAnsi="Times New Roman" w:cs="Times New Roman"/>
                <w:bCs/>
                <w:color w:val="auto"/>
                <w:sz w:val="24"/>
                <w:szCs w:val="24"/>
                <w:highlight w:val="none"/>
              </w:rPr>
            </w:pPr>
            <w:r>
              <w:rPr>
                <w:rFonts w:hint="default" w:ascii="Times New Roman" w:hAnsi="Times New Roman" w:cs="Times New Roman"/>
                <w:bCs/>
                <w:color w:val="auto"/>
                <w:sz w:val="24"/>
                <w:szCs w:val="24"/>
                <w:highlight w:val="none"/>
              </w:rPr>
              <w:t>（2）环境风险防范措施</w:t>
            </w:r>
          </w:p>
          <w:p w14:paraId="2368AFF1">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eastAsia="zh-CN"/>
              </w:rPr>
            </w:pPr>
            <w:r>
              <w:rPr>
                <w:rFonts w:hint="default" w:ascii="Times New Roman" w:hAnsi="Times New Roman" w:cs="Times New Roman"/>
                <w:bCs/>
                <w:color w:val="auto"/>
                <w:kern w:val="2"/>
                <w:sz w:val="24"/>
                <w:szCs w:val="24"/>
                <w:highlight w:val="none"/>
              </w:rPr>
              <w:t>①</w:t>
            </w:r>
            <w:r>
              <w:rPr>
                <w:rFonts w:hint="default" w:ascii="Times New Roman" w:hAnsi="Times New Roman" w:cs="Times New Roman"/>
                <w:bCs/>
                <w:color w:val="auto"/>
                <w:sz w:val="24"/>
                <w:szCs w:val="24"/>
                <w:highlight w:val="none"/>
              </w:rPr>
              <w:t>在</w:t>
            </w:r>
            <w:r>
              <w:rPr>
                <w:rFonts w:hint="default" w:ascii="Times New Roman" w:hAnsi="Times New Roman" w:cs="Times New Roman"/>
                <w:bCs/>
                <w:color w:val="auto"/>
                <w:sz w:val="24"/>
                <w:szCs w:val="24"/>
                <w:highlight w:val="none"/>
                <w:lang w:val="en-US" w:eastAsia="zh-CN"/>
              </w:rPr>
              <w:t>库房及</w:t>
            </w:r>
            <w:r>
              <w:rPr>
                <w:rFonts w:hint="default" w:ascii="Times New Roman" w:hAnsi="Times New Roman" w:cs="Times New Roman"/>
                <w:bCs/>
                <w:color w:val="auto"/>
                <w:sz w:val="24"/>
                <w:szCs w:val="24"/>
                <w:highlight w:val="none"/>
              </w:rPr>
              <w:t>工作区域设置防止火灾及爆炸的安全警示</w:t>
            </w:r>
            <w:r>
              <w:rPr>
                <w:rFonts w:hint="default" w:ascii="Times New Roman" w:hAnsi="Times New Roman" w:cs="Times New Roman"/>
                <w:bCs/>
                <w:color w:val="auto"/>
                <w:sz w:val="24"/>
                <w:szCs w:val="24"/>
                <w:highlight w:val="none"/>
                <w:lang w:eastAsia="zh-CN"/>
              </w:rPr>
              <w:t>；</w:t>
            </w:r>
          </w:p>
          <w:p w14:paraId="163B784C">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kern w:val="2"/>
                <w:sz w:val="24"/>
                <w:szCs w:val="24"/>
                <w:highlight w:val="none"/>
              </w:rPr>
              <w:t>②</w:t>
            </w:r>
            <w:r>
              <w:rPr>
                <w:rFonts w:hint="default" w:ascii="Times New Roman" w:hAnsi="Times New Roman" w:cs="Times New Roman"/>
                <w:bCs/>
                <w:color w:val="auto"/>
                <w:kern w:val="2"/>
                <w:sz w:val="24"/>
                <w:szCs w:val="24"/>
                <w:highlight w:val="none"/>
                <w:lang w:val="en-US" w:eastAsia="zh-CN"/>
              </w:rPr>
              <w:t>清洗剂</w:t>
            </w:r>
            <w:r>
              <w:rPr>
                <w:rFonts w:hint="default" w:ascii="Times New Roman" w:hAnsi="Times New Roman" w:cs="Times New Roman"/>
                <w:bCs/>
                <w:color w:val="auto"/>
                <w:kern w:val="2"/>
                <w:sz w:val="24"/>
                <w:szCs w:val="24"/>
                <w:highlight w:val="none"/>
              </w:rPr>
              <w:t>存放过程中要避免与氧化物质及卤素的接触</w:t>
            </w:r>
            <w:r>
              <w:rPr>
                <w:rFonts w:hint="default" w:ascii="Times New Roman" w:hAnsi="Times New Roman" w:cs="Times New Roman"/>
                <w:bCs/>
                <w:color w:val="auto"/>
                <w:kern w:val="2"/>
                <w:sz w:val="24"/>
                <w:szCs w:val="24"/>
                <w:highlight w:val="none"/>
                <w:lang w:eastAsia="zh-CN"/>
              </w:rPr>
              <w:t>；</w:t>
            </w:r>
          </w:p>
          <w:p w14:paraId="0B234037">
            <w:pPr>
              <w:pStyle w:val="54"/>
              <w:snapToGrid w:val="0"/>
              <w:spacing w:after="0" w:line="360" w:lineRule="auto"/>
              <w:ind w:firstLine="480" w:firstLineChars="200"/>
              <w:rPr>
                <w:rFonts w:hint="default" w:ascii="Times New Roman" w:hAnsi="Times New Roman" w:eastAsia="宋体" w:cs="Times New Roman"/>
                <w:bCs/>
                <w:color w:val="auto"/>
                <w:kern w:val="2"/>
                <w:highlight w:val="none"/>
                <w:lang w:val="en-US" w:eastAsia="zh-CN"/>
              </w:rPr>
            </w:pPr>
            <w:r>
              <w:rPr>
                <w:rFonts w:hint="default" w:ascii="Times New Roman" w:hAnsi="Times New Roman" w:cs="Times New Roman"/>
                <w:bCs/>
                <w:color w:val="auto"/>
                <w:kern w:val="2"/>
                <w:highlight w:val="none"/>
              </w:rPr>
              <w:t>③</w:t>
            </w:r>
            <w:r>
              <w:rPr>
                <w:rFonts w:hint="default" w:ascii="Times New Roman" w:hAnsi="Times New Roman" w:cs="Times New Roman"/>
                <w:bCs/>
                <w:color w:val="auto"/>
                <w:kern w:val="2"/>
                <w:highlight w:val="none"/>
                <w:lang w:val="en-US" w:eastAsia="zh-CN"/>
              </w:rPr>
              <w:t>未使用时将清洗剂密封存储</w:t>
            </w:r>
            <w:r>
              <w:rPr>
                <w:rFonts w:hint="default" w:ascii="Times New Roman" w:hAnsi="Times New Roman" w:cs="Times New Roman"/>
                <w:bCs/>
                <w:color w:val="auto"/>
                <w:kern w:val="2"/>
                <w:highlight w:val="none"/>
              </w:rPr>
              <w:t>，并放置在</w:t>
            </w:r>
            <w:r>
              <w:rPr>
                <w:rFonts w:hint="default" w:ascii="Times New Roman" w:hAnsi="Times New Roman" w:cs="Times New Roman"/>
                <w:bCs/>
                <w:color w:val="auto"/>
                <w:kern w:val="2"/>
                <w:highlight w:val="none"/>
                <w:lang w:val="en-US" w:eastAsia="zh-CN"/>
              </w:rPr>
              <w:t>凉</w:t>
            </w:r>
            <w:r>
              <w:rPr>
                <w:rFonts w:hint="default" w:ascii="Times New Roman" w:hAnsi="Times New Roman" w:cs="Times New Roman"/>
                <w:bCs/>
                <w:color w:val="auto"/>
                <w:kern w:val="2"/>
                <w:highlight w:val="none"/>
              </w:rPr>
              <w:t>爽、通风良好，并远离火源的地方</w:t>
            </w:r>
            <w:r>
              <w:rPr>
                <w:rFonts w:hint="default" w:ascii="Times New Roman" w:hAnsi="Times New Roman" w:cs="Times New Roman"/>
                <w:bCs/>
                <w:color w:val="auto"/>
                <w:kern w:val="2"/>
                <w:highlight w:val="none"/>
                <w:lang w:eastAsia="zh-CN"/>
              </w:rPr>
              <w:t>；</w:t>
            </w:r>
          </w:p>
          <w:p w14:paraId="6655F6F3">
            <w:pPr>
              <w:pStyle w:val="54"/>
              <w:snapToGrid w:val="0"/>
              <w:spacing w:after="0" w:line="360" w:lineRule="auto"/>
              <w:ind w:firstLine="480" w:firstLineChars="200"/>
              <w:rPr>
                <w:rFonts w:hint="default" w:ascii="Times New Roman" w:hAnsi="Times New Roman" w:eastAsia="宋体" w:cs="Times New Roman"/>
                <w:bCs/>
                <w:color w:val="auto"/>
                <w:kern w:val="2"/>
                <w:highlight w:val="none"/>
                <w:lang w:eastAsia="zh-CN"/>
              </w:rPr>
            </w:pPr>
            <w:r>
              <w:rPr>
                <w:rFonts w:hint="default" w:ascii="Times New Roman" w:hAnsi="Times New Roman" w:eastAsia="宋体" w:cs="Times New Roman"/>
                <w:bCs/>
                <w:color w:val="auto"/>
                <w:kern w:val="2"/>
                <w:highlight w:val="none"/>
              </w:rPr>
              <w:t>④</w:t>
            </w:r>
            <w:r>
              <w:rPr>
                <w:rFonts w:hint="default" w:ascii="Times New Roman" w:hAnsi="Times New Roman" w:cs="Times New Roman"/>
                <w:bCs/>
                <w:color w:val="auto"/>
                <w:kern w:val="2"/>
                <w:highlight w:val="none"/>
              </w:rPr>
              <w:t>装卸、搬运</w:t>
            </w:r>
            <w:r>
              <w:rPr>
                <w:rFonts w:hint="default" w:ascii="Times New Roman" w:hAnsi="Times New Roman" w:cs="Times New Roman"/>
                <w:bCs/>
                <w:color w:val="auto"/>
                <w:kern w:val="2"/>
                <w:highlight w:val="none"/>
                <w:lang w:val="en-US" w:eastAsia="zh-CN"/>
              </w:rPr>
              <w:t>清洗剂桶</w:t>
            </w:r>
            <w:r>
              <w:rPr>
                <w:rFonts w:hint="default" w:ascii="Times New Roman" w:hAnsi="Times New Roman" w:cs="Times New Roman"/>
                <w:bCs/>
                <w:color w:val="auto"/>
                <w:kern w:val="2"/>
                <w:highlight w:val="none"/>
              </w:rPr>
              <w:t>时按有关规定进行，做到轻装、轻卸，严禁摔、碰、撞、击、拖拉、倾倒和滚动</w:t>
            </w:r>
            <w:r>
              <w:rPr>
                <w:rFonts w:hint="default" w:ascii="Times New Roman" w:hAnsi="Times New Roman" w:cs="Times New Roman"/>
                <w:bCs/>
                <w:color w:val="auto"/>
                <w:kern w:val="2"/>
                <w:highlight w:val="none"/>
                <w:lang w:eastAsia="zh-CN"/>
              </w:rPr>
              <w:t>；</w:t>
            </w:r>
          </w:p>
          <w:p w14:paraId="2BA35E6B">
            <w:pPr>
              <w:adjustRightInd w:val="0"/>
              <w:snapToGrid w:val="0"/>
              <w:spacing w:line="360" w:lineRule="auto"/>
              <w:ind w:firstLine="480" w:firstLineChars="200"/>
              <w:jc w:val="left"/>
              <w:rPr>
                <w:rFonts w:hint="default" w:ascii="Times New Roman" w:hAnsi="Times New Roman" w:eastAsia="宋体" w:cs="Times New Roman"/>
                <w:bCs/>
                <w:color w:val="auto"/>
                <w:kern w:val="2"/>
                <w:sz w:val="24"/>
                <w:szCs w:val="24"/>
                <w:highlight w:val="none"/>
                <w:lang w:eastAsia="zh-CN"/>
              </w:rPr>
            </w:pPr>
            <w:r>
              <w:rPr>
                <w:rFonts w:hint="default" w:ascii="Times New Roman" w:hAnsi="Times New Roman" w:eastAsia="宋体" w:cs="Times New Roman"/>
                <w:bCs/>
                <w:color w:val="auto"/>
                <w:kern w:val="2"/>
                <w:sz w:val="24"/>
                <w:szCs w:val="24"/>
                <w:highlight w:val="none"/>
              </w:rPr>
              <w:t>⑤</w:t>
            </w:r>
            <w:r>
              <w:rPr>
                <w:rFonts w:hint="default" w:ascii="Times New Roman" w:hAnsi="Times New Roman" w:cs="Times New Roman"/>
                <w:bCs/>
                <w:color w:val="auto"/>
                <w:kern w:val="2"/>
                <w:sz w:val="24"/>
                <w:szCs w:val="24"/>
                <w:highlight w:val="none"/>
                <w:lang w:val="en-US" w:eastAsia="zh-CN"/>
              </w:rPr>
              <w:t>库房</w:t>
            </w:r>
            <w:r>
              <w:rPr>
                <w:rFonts w:hint="default" w:ascii="Times New Roman" w:hAnsi="Times New Roman" w:eastAsia="宋体" w:cs="Times New Roman"/>
                <w:bCs/>
                <w:color w:val="auto"/>
                <w:kern w:val="2"/>
                <w:sz w:val="24"/>
                <w:szCs w:val="24"/>
                <w:highlight w:val="none"/>
              </w:rPr>
              <w:t>必须配备消防器材并定期检查保证消防器材完好有效</w:t>
            </w:r>
            <w:r>
              <w:rPr>
                <w:rFonts w:hint="default" w:ascii="Times New Roman" w:hAnsi="Times New Roman" w:eastAsia="宋体" w:cs="Times New Roman"/>
                <w:bCs/>
                <w:color w:val="auto"/>
                <w:kern w:val="2"/>
                <w:sz w:val="24"/>
                <w:szCs w:val="24"/>
                <w:highlight w:val="none"/>
                <w:lang w:eastAsia="zh-CN"/>
              </w:rPr>
              <w:t>；</w:t>
            </w:r>
          </w:p>
          <w:p w14:paraId="2E696F9E">
            <w:pPr>
              <w:adjustRightInd w:val="0"/>
              <w:snapToGrid w:val="0"/>
              <w:spacing w:line="360" w:lineRule="auto"/>
              <w:ind w:firstLine="480" w:firstLineChars="200"/>
              <w:jc w:val="left"/>
              <w:rPr>
                <w:rFonts w:hint="default" w:ascii="Times New Roman" w:hAnsi="Times New Roman" w:eastAsia="宋体" w:cs="Times New Roman"/>
                <w:bCs/>
                <w:color w:val="auto"/>
                <w:kern w:val="2"/>
                <w:sz w:val="24"/>
                <w:szCs w:val="24"/>
                <w:highlight w:val="none"/>
                <w:lang w:eastAsia="zh-CN"/>
              </w:rPr>
            </w:pPr>
            <w:r>
              <w:rPr>
                <w:rFonts w:hint="default" w:ascii="Times New Roman" w:hAnsi="Times New Roman" w:eastAsia="宋体" w:cs="Times New Roman"/>
                <w:bCs/>
                <w:color w:val="auto"/>
                <w:kern w:val="2"/>
                <w:sz w:val="24"/>
                <w:szCs w:val="24"/>
                <w:highlight w:val="none"/>
              </w:rPr>
              <w:t>⑥</w:t>
            </w:r>
            <w:r>
              <w:rPr>
                <w:rFonts w:hint="default" w:ascii="Times New Roman" w:hAnsi="Times New Roman" w:cs="Times New Roman"/>
                <w:bCs/>
                <w:color w:val="auto"/>
                <w:kern w:val="2"/>
                <w:sz w:val="24"/>
                <w:szCs w:val="24"/>
                <w:highlight w:val="none"/>
                <w:lang w:val="en-US" w:eastAsia="zh-CN"/>
              </w:rPr>
              <w:t>清洗剂桶</w:t>
            </w:r>
            <w:r>
              <w:rPr>
                <w:rFonts w:hint="default" w:ascii="Times New Roman" w:hAnsi="Times New Roman" w:eastAsia="宋体" w:cs="Times New Roman"/>
                <w:bCs/>
                <w:color w:val="auto"/>
                <w:kern w:val="2"/>
                <w:sz w:val="24"/>
                <w:szCs w:val="24"/>
                <w:highlight w:val="none"/>
              </w:rPr>
              <w:t>配置符合国家规定的安全附件</w:t>
            </w:r>
            <w:r>
              <w:rPr>
                <w:rFonts w:hint="default" w:ascii="Times New Roman" w:hAnsi="Times New Roman" w:cs="Times New Roman"/>
                <w:bCs/>
                <w:color w:val="auto"/>
                <w:kern w:val="2"/>
                <w:sz w:val="24"/>
                <w:szCs w:val="24"/>
                <w:highlight w:val="none"/>
                <w:lang w:eastAsia="zh-CN"/>
              </w:rPr>
              <w:t>；</w:t>
            </w:r>
          </w:p>
          <w:p w14:paraId="68D330D0">
            <w:pPr>
              <w:adjustRightInd w:val="0"/>
              <w:snapToGrid w:val="0"/>
              <w:spacing w:line="360" w:lineRule="auto"/>
              <w:ind w:firstLine="480" w:firstLineChars="200"/>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⑦食堂使用天然气时注意安全，使用完毕及时关闭阀门，防止天然气泄漏。</w:t>
            </w:r>
          </w:p>
          <w:p w14:paraId="0C310FED">
            <w:pPr>
              <w:adjustRightInd w:val="0"/>
              <w:snapToGrid w:val="0"/>
              <w:spacing w:line="360" w:lineRule="auto"/>
              <w:ind w:firstLine="480" w:firstLineChars="200"/>
              <w:jc w:val="left"/>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rPr>
              <w:t>采取以上措施后，可以将风险控制在可接受的范围之内</w:t>
            </w:r>
            <w:r>
              <w:rPr>
                <w:rFonts w:hint="default" w:ascii="Times New Roman" w:hAnsi="Times New Roman" w:cs="Times New Roman"/>
                <w:bCs/>
                <w:color w:val="auto"/>
                <w:sz w:val="24"/>
                <w:highlight w:val="none"/>
                <w:lang w:eastAsia="zh-CN"/>
              </w:rPr>
              <w:t>。</w:t>
            </w:r>
          </w:p>
          <w:p w14:paraId="2330CB35">
            <w:pPr>
              <w:adjustRightInd w:val="0"/>
              <w:snapToGrid w:val="0"/>
              <w:spacing w:line="360" w:lineRule="auto"/>
              <w:ind w:firstLine="482" w:firstLineChars="200"/>
              <w:jc w:val="left"/>
              <w:rPr>
                <w:rFonts w:hint="default" w:ascii="Times New Roman" w:hAnsi="Times New Roman" w:eastAsia="宋体"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七</w:t>
            </w:r>
            <w:r>
              <w:rPr>
                <w:rFonts w:hint="default" w:ascii="Times New Roman" w:hAnsi="Times New Roman" w:cs="Times New Roman"/>
                <w:b/>
                <w:color w:val="auto"/>
                <w:sz w:val="24"/>
                <w:highlight w:val="none"/>
              </w:rPr>
              <w:t>、环保投资估算</w:t>
            </w:r>
            <w:r>
              <w:rPr>
                <w:rFonts w:hint="default" w:ascii="Times New Roman" w:hAnsi="Times New Roman" w:cs="Times New Roman"/>
                <w:b/>
                <w:color w:val="auto"/>
                <w:sz w:val="24"/>
                <w:highlight w:val="none"/>
                <w:lang w:val="en-US" w:eastAsia="zh-CN"/>
              </w:rPr>
              <w:t>及环保措施清单</w:t>
            </w:r>
          </w:p>
          <w:p w14:paraId="074A6045">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在项目实施过程中，为落实环保措施，预计项目总投资</w:t>
            </w:r>
            <w:r>
              <w:rPr>
                <w:rFonts w:hint="default" w:ascii="Times New Roman" w:hAnsi="Times New Roman" w:cs="Times New Roman"/>
                <w:bCs/>
                <w:color w:val="auto"/>
                <w:sz w:val="24"/>
                <w:highlight w:val="none"/>
                <w:lang w:val="en-US" w:eastAsia="zh-CN"/>
              </w:rPr>
              <w:t>25000</w:t>
            </w:r>
            <w:r>
              <w:rPr>
                <w:rFonts w:hint="default" w:ascii="Times New Roman" w:hAnsi="Times New Roman" w:cs="Times New Roman"/>
                <w:bCs/>
                <w:color w:val="auto"/>
                <w:sz w:val="24"/>
                <w:highlight w:val="none"/>
              </w:rPr>
              <w:t>万元，其中环保投资</w:t>
            </w:r>
            <w:r>
              <w:rPr>
                <w:rFonts w:hint="default" w:ascii="Times New Roman" w:hAnsi="Times New Roman" w:cs="Times New Roman"/>
                <w:bCs/>
                <w:color w:val="auto"/>
                <w:sz w:val="24"/>
                <w:highlight w:val="none"/>
                <w:lang w:val="en-US" w:eastAsia="zh-CN"/>
              </w:rPr>
              <w:t>12</w:t>
            </w:r>
            <w:r>
              <w:rPr>
                <w:rFonts w:hint="eastAsia" w:cs="Times New Roman"/>
                <w:bCs/>
                <w:color w:val="auto"/>
                <w:sz w:val="24"/>
                <w:highlight w:val="none"/>
                <w:lang w:val="en-US" w:eastAsia="zh-CN"/>
              </w:rPr>
              <w:t>9</w:t>
            </w:r>
            <w:r>
              <w:rPr>
                <w:rFonts w:hint="default" w:ascii="Times New Roman" w:hAnsi="Times New Roman" w:cs="Times New Roman"/>
                <w:bCs/>
                <w:color w:val="auto"/>
                <w:sz w:val="24"/>
                <w:highlight w:val="none"/>
                <w:lang w:val="en-US" w:eastAsia="zh-CN"/>
              </w:rPr>
              <w:t>.0</w:t>
            </w:r>
            <w:r>
              <w:rPr>
                <w:rFonts w:hint="default" w:ascii="Times New Roman" w:hAnsi="Times New Roman" w:cs="Times New Roman"/>
                <w:bCs/>
                <w:color w:val="auto"/>
                <w:sz w:val="24"/>
                <w:highlight w:val="none"/>
              </w:rPr>
              <w:t>万元，占总投资的</w:t>
            </w:r>
            <w:r>
              <w:rPr>
                <w:rFonts w:hint="default" w:ascii="Times New Roman" w:hAnsi="Times New Roman" w:cs="Times New Roman"/>
                <w:bCs/>
                <w:color w:val="auto"/>
                <w:sz w:val="24"/>
                <w:highlight w:val="none"/>
                <w:lang w:val="en-US" w:eastAsia="zh-CN"/>
              </w:rPr>
              <w:t>0.</w:t>
            </w:r>
            <w:r>
              <w:rPr>
                <w:rFonts w:hint="eastAsia" w:cs="Times New Roman"/>
                <w:bCs/>
                <w:color w:val="auto"/>
                <w:sz w:val="24"/>
                <w:highlight w:val="none"/>
                <w:lang w:val="en-US" w:eastAsia="zh-CN"/>
              </w:rPr>
              <w:t>52</w:t>
            </w:r>
            <w:r>
              <w:rPr>
                <w:rFonts w:hint="default" w:ascii="Times New Roman" w:hAnsi="Times New Roman" w:cs="Times New Roman"/>
                <w:bCs/>
                <w:color w:val="auto"/>
                <w:sz w:val="24"/>
                <w:highlight w:val="none"/>
              </w:rPr>
              <w:t>%。项目环保投资表见下表4-1</w:t>
            </w:r>
            <w:r>
              <w:rPr>
                <w:rFonts w:hint="default" w:ascii="Times New Roman" w:hAnsi="Times New Roman" w:cs="Times New Roman"/>
                <w:bCs/>
                <w:color w:val="auto"/>
                <w:sz w:val="24"/>
                <w:highlight w:val="none"/>
                <w:lang w:val="en-US" w:eastAsia="zh-CN"/>
              </w:rPr>
              <w:t>6</w:t>
            </w:r>
            <w:r>
              <w:rPr>
                <w:rFonts w:hint="default" w:ascii="Times New Roman" w:hAnsi="Times New Roman" w:cs="Times New Roman"/>
                <w:bCs/>
                <w:color w:val="auto"/>
                <w:sz w:val="24"/>
                <w:highlight w:val="none"/>
              </w:rPr>
              <w:t>。</w:t>
            </w:r>
          </w:p>
          <w:p w14:paraId="3E4436BD">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表4-1</w:t>
            </w:r>
            <w:r>
              <w:rPr>
                <w:rFonts w:hint="default" w:ascii="Times New Roman" w:hAnsi="Times New Roman" w:cs="Times New Roman"/>
                <w:b/>
                <w:color w:val="auto"/>
                <w:szCs w:val="21"/>
                <w:highlight w:val="none"/>
                <w:lang w:val="en-US" w:eastAsia="zh-CN"/>
              </w:rPr>
              <w:t>6</w:t>
            </w:r>
            <w:r>
              <w:rPr>
                <w:rFonts w:hint="default" w:ascii="Times New Roman" w:hAnsi="Times New Roman" w:cs="Times New Roman"/>
                <w:b/>
                <w:color w:val="auto"/>
                <w:szCs w:val="21"/>
                <w:highlight w:val="none"/>
              </w:rPr>
              <w:t xml:space="preserve">   环保投资一览表</w:t>
            </w:r>
          </w:p>
          <w:tbl>
            <w:tblPr>
              <w:tblStyle w:val="28"/>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094"/>
              <w:gridCol w:w="1359"/>
              <w:gridCol w:w="3147"/>
              <w:gridCol w:w="895"/>
              <w:gridCol w:w="1465"/>
            </w:tblGrid>
            <w:tr w14:paraId="45716D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tcBorders>
                    <w:tl2br w:val="nil"/>
                    <w:tr2bl w:val="nil"/>
                  </w:tcBorders>
                  <w:vAlign w:val="center"/>
                </w:tcPr>
                <w:p w14:paraId="2B7DC1C5">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污染类型</w:t>
                  </w:r>
                </w:p>
              </w:tc>
              <w:tc>
                <w:tcPr>
                  <w:tcW w:w="1406" w:type="pct"/>
                  <w:gridSpan w:val="2"/>
                  <w:tcBorders>
                    <w:tl2br w:val="nil"/>
                    <w:tr2bl w:val="nil"/>
                  </w:tcBorders>
                  <w:vAlign w:val="center"/>
                </w:tcPr>
                <w:p w14:paraId="2E924331">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污染源</w:t>
                  </w:r>
                </w:p>
              </w:tc>
              <w:tc>
                <w:tcPr>
                  <w:tcW w:w="1804" w:type="pct"/>
                  <w:tcBorders>
                    <w:tl2br w:val="nil"/>
                    <w:tr2bl w:val="nil"/>
                  </w:tcBorders>
                  <w:vAlign w:val="center"/>
                </w:tcPr>
                <w:p w14:paraId="672F2477">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治理设施</w:t>
                  </w:r>
                </w:p>
              </w:tc>
              <w:tc>
                <w:tcPr>
                  <w:tcW w:w="511" w:type="pct"/>
                  <w:tcBorders>
                    <w:tl2br w:val="nil"/>
                    <w:tr2bl w:val="nil"/>
                  </w:tcBorders>
                  <w:vAlign w:val="center"/>
                </w:tcPr>
                <w:p w14:paraId="725F8161">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数量</w:t>
                  </w:r>
                </w:p>
              </w:tc>
              <w:tc>
                <w:tcPr>
                  <w:tcW w:w="840" w:type="pct"/>
                  <w:tcBorders>
                    <w:tl2br w:val="nil"/>
                    <w:tr2bl w:val="nil"/>
                  </w:tcBorders>
                  <w:vAlign w:val="center"/>
                </w:tcPr>
                <w:p w14:paraId="591EBE8F">
                  <w:pPr>
                    <w:adjustRightInd w:val="0"/>
                    <w:snapToGrid w:val="0"/>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投资（万元）</w:t>
                  </w:r>
                </w:p>
              </w:tc>
            </w:tr>
            <w:tr w14:paraId="1E3EE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36" w:type="pct"/>
                  <w:vMerge w:val="restart"/>
                  <w:tcBorders>
                    <w:tl2br w:val="nil"/>
                    <w:tr2bl w:val="nil"/>
                  </w:tcBorders>
                  <w:vAlign w:val="center"/>
                </w:tcPr>
                <w:p w14:paraId="3001E0F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1406" w:type="pct"/>
                  <w:gridSpan w:val="2"/>
                  <w:tcBorders>
                    <w:tl2br w:val="nil"/>
                    <w:tr2bl w:val="nil"/>
                  </w:tcBorders>
                  <w:vAlign w:val="center"/>
                </w:tcPr>
                <w:p w14:paraId="079CFC29">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焊接环节烟尘，清洗、灌封、烘干环节有机废气</w:t>
                  </w:r>
                </w:p>
              </w:tc>
              <w:tc>
                <w:tcPr>
                  <w:tcW w:w="1804" w:type="pct"/>
                  <w:tcBorders>
                    <w:tl2br w:val="nil"/>
                    <w:tr2bl w:val="nil"/>
                  </w:tcBorders>
                  <w:vAlign w:val="center"/>
                </w:tcPr>
                <w:p w14:paraId="0A1CA29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集气罩</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套</w:t>
                  </w:r>
                  <w:r>
                    <w:rPr>
                      <w:rFonts w:hint="default" w:ascii="Times New Roman" w:hAnsi="Times New Roman" w:cs="Times New Roman"/>
                      <w:color w:val="auto"/>
                      <w:szCs w:val="21"/>
                      <w:highlight w:val="none"/>
                      <w:lang w:val="en-US" w:eastAsia="zh-CN"/>
                    </w:rPr>
                    <w:t>过滤棉+</w:t>
                  </w:r>
                  <w:r>
                    <w:rPr>
                      <w:rFonts w:hint="default" w:ascii="Times New Roman" w:hAnsi="Times New Roman" w:cs="Times New Roman"/>
                      <w:color w:val="auto"/>
                      <w:szCs w:val="21"/>
                      <w:highlight w:val="none"/>
                      <w:lang w:eastAsia="zh-CN"/>
                    </w:rPr>
                    <w:t>二级活性炭吸附装置</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根</w:t>
                  </w:r>
                  <w:r>
                    <w:rPr>
                      <w:rFonts w:hint="default" w:ascii="Times New Roman" w:hAnsi="Times New Roman" w:cs="Times New Roman"/>
                      <w:color w:val="auto"/>
                      <w:szCs w:val="21"/>
                      <w:highlight w:val="none"/>
                      <w:lang w:val="en-US" w:eastAsia="zh-CN"/>
                    </w:rPr>
                    <w:t>34</w:t>
                  </w:r>
                  <w:r>
                    <w:rPr>
                      <w:rFonts w:hint="default" w:ascii="Times New Roman" w:hAnsi="Times New Roman" w:cs="Times New Roman"/>
                      <w:color w:val="auto"/>
                      <w:szCs w:val="21"/>
                      <w:highlight w:val="none"/>
                    </w:rPr>
                    <w:t>m高排气筒</w:t>
                  </w:r>
                </w:p>
              </w:tc>
              <w:tc>
                <w:tcPr>
                  <w:tcW w:w="511" w:type="pct"/>
                  <w:tcBorders>
                    <w:tl2br w:val="nil"/>
                    <w:tr2bl w:val="nil"/>
                  </w:tcBorders>
                  <w:vAlign w:val="center"/>
                </w:tcPr>
                <w:p w14:paraId="3503F26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套</w:t>
                  </w:r>
                </w:p>
              </w:tc>
              <w:tc>
                <w:tcPr>
                  <w:tcW w:w="840" w:type="pct"/>
                  <w:tcBorders>
                    <w:tl2br w:val="nil"/>
                    <w:tr2bl w:val="nil"/>
                  </w:tcBorders>
                  <w:vAlign w:val="center"/>
                </w:tcPr>
                <w:p w14:paraId="1F500668">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50.0</w:t>
                  </w:r>
                </w:p>
              </w:tc>
            </w:tr>
            <w:tr w14:paraId="76DE9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36" w:type="pct"/>
                  <w:vMerge w:val="continue"/>
                  <w:tcBorders>
                    <w:tl2br w:val="nil"/>
                    <w:tr2bl w:val="nil"/>
                  </w:tcBorders>
                  <w:vAlign w:val="center"/>
                </w:tcPr>
                <w:p w14:paraId="6781C0A4">
                  <w:pPr>
                    <w:adjustRightInd w:val="0"/>
                    <w:snapToGrid w:val="0"/>
                    <w:jc w:val="center"/>
                    <w:rPr>
                      <w:rFonts w:hint="default" w:ascii="Times New Roman" w:hAnsi="Times New Roman" w:cs="Times New Roman"/>
                      <w:color w:val="auto"/>
                      <w:szCs w:val="21"/>
                      <w:highlight w:val="none"/>
                    </w:rPr>
                  </w:pPr>
                </w:p>
              </w:tc>
              <w:tc>
                <w:tcPr>
                  <w:tcW w:w="1406" w:type="pct"/>
                  <w:gridSpan w:val="2"/>
                  <w:tcBorders>
                    <w:tl2br w:val="nil"/>
                    <w:tr2bl w:val="nil"/>
                  </w:tcBorders>
                  <w:vAlign w:val="center"/>
                </w:tcPr>
                <w:p w14:paraId="2CD0EB89">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食堂油烟</w:t>
                  </w:r>
                </w:p>
              </w:tc>
              <w:tc>
                <w:tcPr>
                  <w:tcW w:w="1804" w:type="pct"/>
                  <w:tcBorders>
                    <w:tl2br w:val="nil"/>
                    <w:tr2bl w:val="nil"/>
                  </w:tcBorders>
                  <w:vAlign w:val="center"/>
                </w:tcPr>
                <w:p w14:paraId="657E6BF0">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油烟净化装置+密闭烟气管道</w:t>
                  </w:r>
                </w:p>
              </w:tc>
              <w:tc>
                <w:tcPr>
                  <w:tcW w:w="511" w:type="pct"/>
                  <w:tcBorders>
                    <w:tl2br w:val="nil"/>
                    <w:tr2bl w:val="nil"/>
                  </w:tcBorders>
                  <w:vAlign w:val="center"/>
                </w:tcPr>
                <w:p w14:paraId="1A00C709">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1套</w:t>
                  </w:r>
                </w:p>
              </w:tc>
              <w:tc>
                <w:tcPr>
                  <w:tcW w:w="840" w:type="pct"/>
                  <w:tcBorders>
                    <w:tl2br w:val="nil"/>
                    <w:tr2bl w:val="nil"/>
                  </w:tcBorders>
                  <w:vAlign w:val="center"/>
                </w:tcPr>
                <w:p w14:paraId="7F9977D6">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10.0</w:t>
                  </w:r>
                </w:p>
              </w:tc>
            </w:tr>
            <w:tr w14:paraId="6ADCA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tcBorders>
                    <w:tl2br w:val="nil"/>
                    <w:tr2bl w:val="nil"/>
                  </w:tcBorders>
                  <w:vAlign w:val="center"/>
                </w:tcPr>
                <w:p w14:paraId="0AC6E74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1406" w:type="pct"/>
                  <w:gridSpan w:val="2"/>
                  <w:tcBorders>
                    <w:tl2br w:val="nil"/>
                    <w:tr2bl w:val="nil"/>
                  </w:tcBorders>
                  <w:vAlign w:val="center"/>
                </w:tcPr>
                <w:p w14:paraId="5D698037">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生活污水、食堂废水</w:t>
                  </w:r>
                  <w:r>
                    <w:rPr>
                      <w:rFonts w:hint="eastAsia" w:cs="Times New Roman"/>
                      <w:color w:val="auto"/>
                      <w:szCs w:val="21"/>
                      <w:highlight w:val="none"/>
                      <w:lang w:val="en-US" w:eastAsia="zh-CN"/>
                    </w:rPr>
                    <w:t>、纯水机浓水</w:t>
                  </w:r>
                </w:p>
              </w:tc>
              <w:tc>
                <w:tcPr>
                  <w:tcW w:w="1804" w:type="pct"/>
                  <w:tcBorders>
                    <w:tl2br w:val="nil"/>
                    <w:tr2bl w:val="nil"/>
                  </w:tcBorders>
                  <w:vAlign w:val="center"/>
                </w:tcPr>
                <w:p w14:paraId="33A38252">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纯水机制备纯水产生的部分浓水回用于道路浇洒用水，多余的浓水经市政污水管网排入沣西新城大王污水处理厂</w:t>
                  </w:r>
                  <w:r>
                    <w:rPr>
                      <w:rFonts w:hint="eastAsia" w:cs="Times New Roman"/>
                      <w:color w:val="auto"/>
                      <w:szCs w:val="21"/>
                      <w:highlight w:val="none"/>
                      <w:lang w:val="en-US" w:eastAsia="zh-CN"/>
                    </w:rPr>
                    <w:t>；</w:t>
                  </w:r>
                  <w:r>
                    <w:rPr>
                      <w:rFonts w:hint="default" w:ascii="Times New Roman" w:hAnsi="Times New Roman" w:cs="Times New Roman"/>
                      <w:color w:val="auto"/>
                      <w:szCs w:val="21"/>
                      <w:highlight w:val="none"/>
                      <w:lang w:val="en-US" w:eastAsia="zh-CN"/>
                    </w:rPr>
                    <w:t>食堂废水经油水分离器处理后与生活污水经化粪池预处理后最终排入市政污水管网进入沣西新城大王污水处理厂进一步处理</w:t>
                  </w:r>
                </w:p>
              </w:tc>
              <w:tc>
                <w:tcPr>
                  <w:tcW w:w="511" w:type="pct"/>
                  <w:tcBorders>
                    <w:tl2br w:val="nil"/>
                    <w:tr2bl w:val="nil"/>
                  </w:tcBorders>
                  <w:vAlign w:val="center"/>
                </w:tcPr>
                <w:p w14:paraId="6EF78A34">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840" w:type="pct"/>
                  <w:tcBorders>
                    <w:tl2br w:val="nil"/>
                    <w:tr2bl w:val="nil"/>
                  </w:tcBorders>
                  <w:vAlign w:val="center"/>
                </w:tcPr>
                <w:p w14:paraId="10A9476F">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10.0</w:t>
                  </w:r>
                </w:p>
              </w:tc>
            </w:tr>
            <w:tr w14:paraId="69DD0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tcBorders>
                    <w:tl2br w:val="nil"/>
                    <w:tr2bl w:val="nil"/>
                  </w:tcBorders>
                  <w:vAlign w:val="center"/>
                </w:tcPr>
                <w:p w14:paraId="5D62770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1406" w:type="pct"/>
                  <w:gridSpan w:val="2"/>
                  <w:tcBorders>
                    <w:tl2br w:val="nil"/>
                    <w:tr2bl w:val="nil"/>
                  </w:tcBorders>
                  <w:vAlign w:val="center"/>
                </w:tcPr>
                <w:p w14:paraId="069DA68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生产设备</w:t>
                  </w:r>
                </w:p>
              </w:tc>
              <w:tc>
                <w:tcPr>
                  <w:tcW w:w="1804" w:type="pct"/>
                  <w:tcBorders>
                    <w:tl2br w:val="nil"/>
                    <w:tr2bl w:val="nil"/>
                  </w:tcBorders>
                  <w:vAlign w:val="center"/>
                </w:tcPr>
                <w:p w14:paraId="64ADF71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选用低噪声设备、墙体隔声、基础减振、接头处采用软连接</w:t>
                  </w:r>
                </w:p>
              </w:tc>
              <w:tc>
                <w:tcPr>
                  <w:tcW w:w="511" w:type="pct"/>
                  <w:tcBorders>
                    <w:tl2br w:val="nil"/>
                    <w:tr2bl w:val="nil"/>
                  </w:tcBorders>
                  <w:vAlign w:val="center"/>
                </w:tcPr>
                <w:p w14:paraId="330C620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40" w:type="pct"/>
                  <w:tcBorders>
                    <w:tl2br w:val="nil"/>
                    <w:tr2bl w:val="nil"/>
                  </w:tcBorders>
                  <w:vAlign w:val="center"/>
                </w:tcPr>
                <w:p w14:paraId="72389E3B">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35</w:t>
                  </w:r>
                  <w:r>
                    <w:rPr>
                      <w:rFonts w:hint="default" w:ascii="Times New Roman" w:hAnsi="Times New Roman" w:cs="Times New Roman"/>
                      <w:color w:val="auto"/>
                      <w:szCs w:val="21"/>
                      <w:highlight w:val="none"/>
                      <w:lang w:val="en-US" w:eastAsia="zh-CN"/>
                    </w:rPr>
                    <w:t>.0</w:t>
                  </w:r>
                </w:p>
              </w:tc>
            </w:tr>
            <w:tr w14:paraId="3008E8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restart"/>
                  <w:tcBorders>
                    <w:tl2br w:val="nil"/>
                    <w:tr2bl w:val="nil"/>
                  </w:tcBorders>
                  <w:vAlign w:val="center"/>
                </w:tcPr>
                <w:p w14:paraId="598E5D3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627" w:type="pct"/>
                  <w:vMerge w:val="restart"/>
                  <w:tcBorders>
                    <w:tl2br w:val="nil"/>
                    <w:tr2bl w:val="nil"/>
                  </w:tcBorders>
                  <w:vAlign w:val="center"/>
                </w:tcPr>
                <w:p w14:paraId="7E10BE7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职工生活</w:t>
                  </w:r>
                </w:p>
              </w:tc>
              <w:tc>
                <w:tcPr>
                  <w:tcW w:w="779" w:type="pct"/>
                  <w:tcBorders>
                    <w:tl2br w:val="nil"/>
                    <w:tr2bl w:val="nil"/>
                  </w:tcBorders>
                  <w:vAlign w:val="center"/>
                </w:tcPr>
                <w:p w14:paraId="6941EA3B">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生活垃圾</w:t>
                  </w:r>
                </w:p>
              </w:tc>
              <w:tc>
                <w:tcPr>
                  <w:tcW w:w="1804" w:type="pct"/>
                  <w:tcBorders>
                    <w:tl2br w:val="nil"/>
                    <w:tr2bl w:val="nil"/>
                  </w:tcBorders>
                  <w:vAlign w:val="center"/>
                </w:tcPr>
                <w:p w14:paraId="5C371C2B">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垃圾桶</w:t>
                  </w:r>
                  <w:r>
                    <w:rPr>
                      <w:rFonts w:hint="default" w:ascii="Times New Roman" w:hAnsi="Times New Roman" w:cs="Times New Roman"/>
                      <w:color w:val="auto"/>
                      <w:szCs w:val="21"/>
                      <w:highlight w:val="none"/>
                      <w:lang w:val="en-US" w:eastAsia="zh-CN"/>
                    </w:rPr>
                    <w:t>分类收集，由环卫部门统一清运</w:t>
                  </w:r>
                </w:p>
              </w:tc>
              <w:tc>
                <w:tcPr>
                  <w:tcW w:w="511" w:type="pct"/>
                  <w:tcBorders>
                    <w:tl2br w:val="nil"/>
                    <w:tr2bl w:val="nil"/>
                  </w:tcBorders>
                  <w:vAlign w:val="center"/>
                </w:tcPr>
                <w:p w14:paraId="30BCE1B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40" w:type="pct"/>
                  <w:tcBorders>
                    <w:tl2br w:val="nil"/>
                    <w:tr2bl w:val="nil"/>
                  </w:tcBorders>
                  <w:vAlign w:val="center"/>
                </w:tcPr>
                <w:p w14:paraId="07D11553">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w:t>
                  </w:r>
                </w:p>
              </w:tc>
            </w:tr>
            <w:tr w14:paraId="6A4325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64F06FB4">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00DF3BAD">
                  <w:pPr>
                    <w:adjustRightInd w:val="0"/>
                    <w:snapToGrid w:val="0"/>
                    <w:jc w:val="center"/>
                    <w:rPr>
                      <w:rFonts w:hint="default" w:ascii="Times New Roman" w:hAnsi="Times New Roman" w:cs="Times New Roman"/>
                      <w:color w:val="auto"/>
                      <w:szCs w:val="21"/>
                      <w:highlight w:val="none"/>
                    </w:rPr>
                  </w:pPr>
                </w:p>
              </w:tc>
              <w:tc>
                <w:tcPr>
                  <w:tcW w:w="779" w:type="pct"/>
                  <w:tcBorders>
                    <w:tl2br w:val="nil"/>
                    <w:tr2bl w:val="nil"/>
                  </w:tcBorders>
                  <w:vAlign w:val="center"/>
                </w:tcPr>
                <w:p w14:paraId="558FDA49">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废油脂</w:t>
                  </w:r>
                </w:p>
              </w:tc>
              <w:tc>
                <w:tcPr>
                  <w:tcW w:w="1804" w:type="pct"/>
                  <w:tcBorders>
                    <w:tl2br w:val="nil"/>
                    <w:tr2bl w:val="nil"/>
                  </w:tcBorders>
                  <w:vAlign w:val="center"/>
                </w:tcPr>
                <w:p w14:paraId="344A2F1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交由有资质单位处置</w:t>
                  </w:r>
                </w:p>
              </w:tc>
              <w:tc>
                <w:tcPr>
                  <w:tcW w:w="511" w:type="pct"/>
                  <w:tcBorders>
                    <w:tl2br w:val="nil"/>
                    <w:tr2bl w:val="nil"/>
                  </w:tcBorders>
                  <w:vAlign w:val="center"/>
                </w:tcPr>
                <w:p w14:paraId="0580824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840" w:type="pct"/>
                  <w:tcBorders>
                    <w:tl2br w:val="nil"/>
                    <w:tr2bl w:val="nil"/>
                  </w:tcBorders>
                  <w:vAlign w:val="center"/>
                </w:tcPr>
                <w:p w14:paraId="7B48CD60">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2.0</w:t>
                  </w:r>
                </w:p>
              </w:tc>
            </w:tr>
            <w:tr w14:paraId="1158C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5CF91C28">
                  <w:pPr>
                    <w:adjustRightInd w:val="0"/>
                    <w:snapToGrid w:val="0"/>
                    <w:jc w:val="center"/>
                    <w:rPr>
                      <w:rFonts w:hint="default" w:ascii="Times New Roman" w:hAnsi="Times New Roman" w:cs="Times New Roman"/>
                      <w:color w:val="auto"/>
                      <w:szCs w:val="21"/>
                      <w:highlight w:val="none"/>
                    </w:rPr>
                  </w:pPr>
                </w:p>
              </w:tc>
              <w:tc>
                <w:tcPr>
                  <w:tcW w:w="627" w:type="pct"/>
                  <w:vMerge w:val="restart"/>
                  <w:tcBorders>
                    <w:tl2br w:val="nil"/>
                    <w:tr2bl w:val="nil"/>
                  </w:tcBorders>
                  <w:vAlign w:val="center"/>
                </w:tcPr>
                <w:p w14:paraId="17741F65">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废气处理</w:t>
                  </w:r>
                </w:p>
              </w:tc>
              <w:tc>
                <w:tcPr>
                  <w:tcW w:w="779" w:type="pct"/>
                  <w:tcBorders>
                    <w:tl2br w:val="nil"/>
                    <w:tr2bl w:val="nil"/>
                  </w:tcBorders>
                  <w:vAlign w:val="center"/>
                </w:tcPr>
                <w:p w14:paraId="008FF747">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废活性炭</w:t>
                  </w:r>
                </w:p>
              </w:tc>
              <w:tc>
                <w:tcPr>
                  <w:tcW w:w="1804" w:type="pct"/>
                  <w:vMerge w:val="restart"/>
                  <w:tcBorders>
                    <w:tl2br w:val="nil"/>
                    <w:tr2bl w:val="nil"/>
                  </w:tcBorders>
                  <w:vAlign w:val="center"/>
                </w:tcPr>
                <w:p w14:paraId="06C4FDF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分类收集后暂存于危废贮存库（30m</w:t>
                  </w:r>
                  <w:r>
                    <w:rPr>
                      <w:rFonts w:hint="default" w:ascii="Times New Roman" w:hAnsi="Times New Roman" w:cs="Times New Roman"/>
                      <w:color w:val="auto"/>
                      <w:szCs w:val="21"/>
                      <w:highlight w:val="none"/>
                      <w:vertAlign w:val="superscript"/>
                      <w:lang w:val="en-US" w:eastAsia="zh-CN"/>
                    </w:rPr>
                    <w:t>3</w:t>
                  </w:r>
                  <w:r>
                    <w:rPr>
                      <w:rFonts w:hint="default" w:ascii="Times New Roman" w:hAnsi="Times New Roman" w:cs="Times New Roman"/>
                      <w:color w:val="auto"/>
                      <w:szCs w:val="21"/>
                      <w:highlight w:val="none"/>
                      <w:lang w:val="en-US" w:eastAsia="zh-CN"/>
                    </w:rPr>
                    <w:t>），定期委托有资质的单位进行无害化处置</w:t>
                  </w:r>
                </w:p>
              </w:tc>
              <w:tc>
                <w:tcPr>
                  <w:tcW w:w="511" w:type="pct"/>
                  <w:vMerge w:val="restart"/>
                  <w:tcBorders>
                    <w:tl2br w:val="nil"/>
                    <w:tr2bl w:val="nil"/>
                  </w:tcBorders>
                  <w:vAlign w:val="center"/>
                </w:tcPr>
                <w:p w14:paraId="3325F2D6">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1间</w:t>
                  </w:r>
                </w:p>
              </w:tc>
              <w:tc>
                <w:tcPr>
                  <w:tcW w:w="840" w:type="pct"/>
                  <w:vMerge w:val="restart"/>
                  <w:tcBorders>
                    <w:tl2br w:val="nil"/>
                    <w:tr2bl w:val="nil"/>
                  </w:tcBorders>
                  <w:vAlign w:val="center"/>
                </w:tcPr>
                <w:p w14:paraId="512E2D33">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15</w:t>
                  </w:r>
                </w:p>
              </w:tc>
            </w:tr>
            <w:tr w14:paraId="63E74A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29AB6782">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0DD8DA0C">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598A8D7F">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废过滤棉</w:t>
                  </w:r>
                </w:p>
              </w:tc>
              <w:tc>
                <w:tcPr>
                  <w:tcW w:w="1804" w:type="pct"/>
                  <w:vMerge w:val="continue"/>
                  <w:tcBorders>
                    <w:tl2br w:val="nil"/>
                    <w:tr2bl w:val="nil"/>
                  </w:tcBorders>
                  <w:vAlign w:val="center"/>
                </w:tcPr>
                <w:p w14:paraId="64121EEE">
                  <w:pPr>
                    <w:adjustRightInd w:val="0"/>
                    <w:snapToGrid w:val="0"/>
                    <w:jc w:val="center"/>
                    <w:rPr>
                      <w:rFonts w:hint="default" w:ascii="Times New Roman" w:hAnsi="Times New Roman" w:cs="Times New Roman"/>
                      <w:color w:val="auto"/>
                      <w:szCs w:val="21"/>
                      <w:highlight w:val="none"/>
                      <w:lang w:val="en-US" w:eastAsia="zh-CN"/>
                    </w:rPr>
                  </w:pPr>
                </w:p>
              </w:tc>
              <w:tc>
                <w:tcPr>
                  <w:tcW w:w="511" w:type="pct"/>
                  <w:vMerge w:val="continue"/>
                  <w:tcBorders>
                    <w:tl2br w:val="nil"/>
                    <w:tr2bl w:val="nil"/>
                  </w:tcBorders>
                  <w:vAlign w:val="center"/>
                </w:tcPr>
                <w:p w14:paraId="2FB522AC">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39260A16">
                  <w:pPr>
                    <w:adjustRightInd w:val="0"/>
                    <w:snapToGrid w:val="0"/>
                    <w:jc w:val="center"/>
                    <w:rPr>
                      <w:rFonts w:hint="default" w:ascii="Times New Roman" w:hAnsi="Times New Roman" w:cs="Times New Roman"/>
                      <w:color w:val="auto"/>
                      <w:szCs w:val="21"/>
                      <w:highlight w:val="none"/>
                      <w:lang w:val="en-US" w:eastAsia="zh-CN"/>
                    </w:rPr>
                  </w:pPr>
                </w:p>
              </w:tc>
            </w:tr>
            <w:tr w14:paraId="05DA08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75633BF8">
                  <w:pPr>
                    <w:adjustRightInd w:val="0"/>
                    <w:snapToGrid w:val="0"/>
                    <w:jc w:val="center"/>
                    <w:rPr>
                      <w:rFonts w:hint="default" w:ascii="Times New Roman" w:hAnsi="Times New Roman" w:cs="Times New Roman"/>
                      <w:color w:val="auto"/>
                      <w:szCs w:val="21"/>
                      <w:highlight w:val="none"/>
                    </w:rPr>
                  </w:pPr>
                </w:p>
              </w:tc>
              <w:tc>
                <w:tcPr>
                  <w:tcW w:w="627" w:type="pct"/>
                  <w:vMerge w:val="restart"/>
                  <w:tcBorders>
                    <w:tl2br w:val="nil"/>
                    <w:tr2bl w:val="nil"/>
                  </w:tcBorders>
                  <w:vAlign w:val="center"/>
                </w:tcPr>
                <w:p w14:paraId="4545A05E">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生产过程</w:t>
                  </w:r>
                </w:p>
              </w:tc>
              <w:tc>
                <w:tcPr>
                  <w:tcW w:w="779" w:type="pct"/>
                  <w:tcBorders>
                    <w:tl2br w:val="nil"/>
                    <w:tr2bl w:val="nil"/>
                  </w:tcBorders>
                  <w:vAlign w:val="center"/>
                </w:tcPr>
                <w:p w14:paraId="11317079">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废清洗剂</w:t>
                  </w:r>
                </w:p>
              </w:tc>
              <w:tc>
                <w:tcPr>
                  <w:tcW w:w="1804" w:type="pct"/>
                  <w:vMerge w:val="continue"/>
                  <w:tcBorders>
                    <w:tl2br w:val="nil"/>
                    <w:tr2bl w:val="nil"/>
                  </w:tcBorders>
                  <w:vAlign w:val="center"/>
                </w:tcPr>
                <w:p w14:paraId="6AE6687E">
                  <w:pPr>
                    <w:adjustRightInd w:val="0"/>
                    <w:snapToGrid w:val="0"/>
                    <w:jc w:val="center"/>
                    <w:rPr>
                      <w:rFonts w:hint="default" w:ascii="Times New Roman" w:hAnsi="Times New Roman" w:cs="Times New Roman"/>
                      <w:color w:val="auto"/>
                      <w:szCs w:val="21"/>
                      <w:highlight w:val="none"/>
                      <w:lang w:eastAsia="zh-CN"/>
                    </w:rPr>
                  </w:pPr>
                </w:p>
              </w:tc>
              <w:tc>
                <w:tcPr>
                  <w:tcW w:w="511" w:type="pct"/>
                  <w:vMerge w:val="continue"/>
                  <w:tcBorders>
                    <w:tl2br w:val="nil"/>
                    <w:tr2bl w:val="nil"/>
                  </w:tcBorders>
                  <w:vAlign w:val="center"/>
                </w:tcPr>
                <w:p w14:paraId="77635555">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61BB0B21">
                  <w:pPr>
                    <w:adjustRightInd w:val="0"/>
                    <w:snapToGrid w:val="0"/>
                    <w:jc w:val="center"/>
                    <w:rPr>
                      <w:rFonts w:hint="default" w:ascii="Times New Roman" w:hAnsi="Times New Roman" w:cs="Times New Roman"/>
                      <w:color w:val="auto"/>
                      <w:szCs w:val="21"/>
                      <w:highlight w:val="none"/>
                      <w:lang w:val="en-US" w:eastAsia="zh-CN"/>
                    </w:rPr>
                  </w:pPr>
                </w:p>
              </w:tc>
            </w:tr>
            <w:tr w14:paraId="139BFC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46114D4F">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5FD2DD78">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7EB4B33E">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废灌封胶渣</w:t>
                  </w:r>
                </w:p>
              </w:tc>
              <w:tc>
                <w:tcPr>
                  <w:tcW w:w="1804" w:type="pct"/>
                  <w:vMerge w:val="continue"/>
                  <w:tcBorders>
                    <w:tl2br w:val="nil"/>
                    <w:tr2bl w:val="nil"/>
                  </w:tcBorders>
                  <w:vAlign w:val="center"/>
                </w:tcPr>
                <w:p w14:paraId="79E5F9AA">
                  <w:pPr>
                    <w:adjustRightInd w:val="0"/>
                    <w:snapToGrid w:val="0"/>
                    <w:jc w:val="center"/>
                    <w:rPr>
                      <w:rFonts w:hint="default" w:ascii="Times New Roman" w:hAnsi="Times New Roman" w:cs="Times New Roman"/>
                      <w:color w:val="auto"/>
                      <w:szCs w:val="21"/>
                      <w:highlight w:val="none"/>
                      <w:lang w:eastAsia="zh-CN"/>
                    </w:rPr>
                  </w:pPr>
                </w:p>
              </w:tc>
              <w:tc>
                <w:tcPr>
                  <w:tcW w:w="511" w:type="pct"/>
                  <w:vMerge w:val="continue"/>
                  <w:tcBorders>
                    <w:tl2br w:val="nil"/>
                    <w:tr2bl w:val="nil"/>
                  </w:tcBorders>
                  <w:vAlign w:val="center"/>
                </w:tcPr>
                <w:p w14:paraId="4679BD00">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4341C4A4">
                  <w:pPr>
                    <w:adjustRightInd w:val="0"/>
                    <w:snapToGrid w:val="0"/>
                    <w:jc w:val="center"/>
                    <w:rPr>
                      <w:rFonts w:hint="default" w:ascii="Times New Roman" w:hAnsi="Times New Roman" w:cs="Times New Roman"/>
                      <w:color w:val="auto"/>
                      <w:szCs w:val="21"/>
                      <w:highlight w:val="none"/>
                      <w:lang w:val="en-US" w:eastAsia="zh-CN"/>
                    </w:rPr>
                  </w:pPr>
                </w:p>
              </w:tc>
            </w:tr>
            <w:tr w14:paraId="35346D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5C774AAF">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39FC6878">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2D6FA905">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不合格电路板</w:t>
                  </w:r>
                </w:p>
              </w:tc>
              <w:tc>
                <w:tcPr>
                  <w:tcW w:w="1804" w:type="pct"/>
                  <w:vMerge w:val="continue"/>
                  <w:tcBorders>
                    <w:tl2br w:val="nil"/>
                    <w:tr2bl w:val="nil"/>
                  </w:tcBorders>
                  <w:vAlign w:val="center"/>
                </w:tcPr>
                <w:p w14:paraId="6D6A87BC">
                  <w:pPr>
                    <w:adjustRightInd w:val="0"/>
                    <w:snapToGrid w:val="0"/>
                    <w:jc w:val="center"/>
                    <w:rPr>
                      <w:rFonts w:hint="default" w:ascii="Times New Roman" w:hAnsi="Times New Roman" w:cs="Times New Roman"/>
                      <w:color w:val="auto"/>
                      <w:szCs w:val="21"/>
                      <w:highlight w:val="none"/>
                      <w:lang w:eastAsia="zh-CN"/>
                    </w:rPr>
                  </w:pPr>
                </w:p>
              </w:tc>
              <w:tc>
                <w:tcPr>
                  <w:tcW w:w="511" w:type="pct"/>
                  <w:vMerge w:val="continue"/>
                  <w:tcBorders>
                    <w:tl2br w:val="nil"/>
                    <w:tr2bl w:val="nil"/>
                  </w:tcBorders>
                  <w:vAlign w:val="center"/>
                </w:tcPr>
                <w:p w14:paraId="31D9BDF2">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1DFA9DC7">
                  <w:pPr>
                    <w:adjustRightInd w:val="0"/>
                    <w:snapToGrid w:val="0"/>
                    <w:jc w:val="center"/>
                    <w:rPr>
                      <w:rFonts w:hint="default" w:ascii="Times New Roman" w:hAnsi="Times New Roman" w:cs="Times New Roman"/>
                      <w:color w:val="auto"/>
                      <w:szCs w:val="21"/>
                      <w:highlight w:val="none"/>
                      <w:lang w:val="en-US" w:eastAsia="zh-CN"/>
                    </w:rPr>
                  </w:pPr>
                </w:p>
              </w:tc>
            </w:tr>
            <w:tr w14:paraId="4D772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6870E173">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46D8DFE5">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03A93EEB">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不合格电源模块</w:t>
                  </w:r>
                </w:p>
              </w:tc>
              <w:tc>
                <w:tcPr>
                  <w:tcW w:w="1804" w:type="pct"/>
                  <w:vMerge w:val="continue"/>
                  <w:tcBorders>
                    <w:tl2br w:val="nil"/>
                    <w:tr2bl w:val="nil"/>
                  </w:tcBorders>
                  <w:vAlign w:val="center"/>
                </w:tcPr>
                <w:p w14:paraId="61A1649D">
                  <w:pPr>
                    <w:adjustRightInd w:val="0"/>
                    <w:snapToGrid w:val="0"/>
                    <w:jc w:val="center"/>
                    <w:rPr>
                      <w:rFonts w:hint="default" w:ascii="Times New Roman" w:hAnsi="Times New Roman" w:cs="Times New Roman"/>
                      <w:color w:val="auto"/>
                      <w:szCs w:val="21"/>
                      <w:highlight w:val="none"/>
                      <w:lang w:eastAsia="zh-CN"/>
                    </w:rPr>
                  </w:pPr>
                </w:p>
              </w:tc>
              <w:tc>
                <w:tcPr>
                  <w:tcW w:w="511" w:type="pct"/>
                  <w:vMerge w:val="continue"/>
                  <w:tcBorders>
                    <w:tl2br w:val="nil"/>
                    <w:tr2bl w:val="nil"/>
                  </w:tcBorders>
                  <w:vAlign w:val="center"/>
                </w:tcPr>
                <w:p w14:paraId="3BACD68F">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14DC7E26">
                  <w:pPr>
                    <w:adjustRightInd w:val="0"/>
                    <w:snapToGrid w:val="0"/>
                    <w:jc w:val="center"/>
                    <w:rPr>
                      <w:rFonts w:hint="default" w:ascii="Times New Roman" w:hAnsi="Times New Roman" w:cs="Times New Roman"/>
                      <w:color w:val="auto"/>
                      <w:szCs w:val="21"/>
                      <w:highlight w:val="none"/>
                      <w:lang w:val="en-US" w:eastAsia="zh-CN"/>
                    </w:rPr>
                  </w:pPr>
                </w:p>
              </w:tc>
            </w:tr>
            <w:tr w14:paraId="52583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69F60D26">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66FC4D16">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041B42C7">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废包装（清洗剂桶、灌封胶罐）</w:t>
                  </w:r>
                </w:p>
              </w:tc>
              <w:tc>
                <w:tcPr>
                  <w:tcW w:w="1804" w:type="pct"/>
                  <w:vMerge w:val="continue"/>
                  <w:tcBorders>
                    <w:tl2br w:val="nil"/>
                    <w:tr2bl w:val="nil"/>
                  </w:tcBorders>
                  <w:vAlign w:val="center"/>
                </w:tcPr>
                <w:p w14:paraId="67713F53">
                  <w:pPr>
                    <w:adjustRightInd w:val="0"/>
                    <w:snapToGrid w:val="0"/>
                    <w:jc w:val="center"/>
                    <w:rPr>
                      <w:rFonts w:hint="default" w:ascii="Times New Roman" w:hAnsi="Times New Roman" w:cs="Times New Roman"/>
                      <w:color w:val="auto"/>
                      <w:szCs w:val="21"/>
                      <w:highlight w:val="none"/>
                      <w:lang w:eastAsia="zh-CN"/>
                    </w:rPr>
                  </w:pPr>
                </w:p>
              </w:tc>
              <w:tc>
                <w:tcPr>
                  <w:tcW w:w="511" w:type="pct"/>
                  <w:vMerge w:val="continue"/>
                  <w:tcBorders>
                    <w:tl2br w:val="nil"/>
                    <w:tr2bl w:val="nil"/>
                  </w:tcBorders>
                  <w:vAlign w:val="center"/>
                </w:tcPr>
                <w:p w14:paraId="077BBC5D">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237FCB8A">
                  <w:pPr>
                    <w:adjustRightInd w:val="0"/>
                    <w:snapToGrid w:val="0"/>
                    <w:jc w:val="center"/>
                    <w:rPr>
                      <w:rFonts w:hint="default" w:ascii="Times New Roman" w:hAnsi="Times New Roman" w:cs="Times New Roman"/>
                      <w:color w:val="auto"/>
                      <w:szCs w:val="21"/>
                      <w:highlight w:val="none"/>
                      <w:lang w:val="en-US" w:eastAsia="zh-CN"/>
                    </w:rPr>
                  </w:pPr>
                </w:p>
              </w:tc>
            </w:tr>
            <w:tr w14:paraId="1DA0A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7F64E93B">
                  <w:pPr>
                    <w:adjustRightInd w:val="0"/>
                    <w:snapToGrid w:val="0"/>
                    <w:jc w:val="center"/>
                    <w:rPr>
                      <w:rFonts w:hint="default" w:ascii="Times New Roman" w:hAnsi="Times New Roman" w:cs="Times New Roman"/>
                      <w:color w:val="auto"/>
                      <w:szCs w:val="21"/>
                      <w:highlight w:val="none"/>
                    </w:rPr>
                  </w:pPr>
                </w:p>
              </w:tc>
              <w:tc>
                <w:tcPr>
                  <w:tcW w:w="627" w:type="pct"/>
                  <w:vMerge w:val="restart"/>
                  <w:tcBorders>
                    <w:tl2br w:val="nil"/>
                    <w:tr2bl w:val="nil"/>
                  </w:tcBorders>
                  <w:vAlign w:val="center"/>
                </w:tcPr>
                <w:p w14:paraId="5398EBB1">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纯水制备</w:t>
                  </w:r>
                </w:p>
              </w:tc>
              <w:tc>
                <w:tcPr>
                  <w:tcW w:w="779" w:type="pct"/>
                  <w:tcBorders>
                    <w:tl2br w:val="nil"/>
                    <w:tr2bl w:val="nil"/>
                  </w:tcBorders>
                  <w:vAlign w:val="center"/>
                </w:tcPr>
                <w:p w14:paraId="4C5A01C8">
                  <w:pPr>
                    <w:wordWrap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废反渗透膜</w:t>
                  </w:r>
                </w:p>
              </w:tc>
              <w:tc>
                <w:tcPr>
                  <w:tcW w:w="1804" w:type="pct"/>
                  <w:vMerge w:val="restart"/>
                  <w:tcBorders>
                    <w:tl2br w:val="nil"/>
                    <w:tr2bl w:val="nil"/>
                  </w:tcBorders>
                  <w:vAlign w:val="center"/>
                </w:tcPr>
                <w:p w14:paraId="64C8D2A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分类收集后暂存于一般固废暂存处，交设备厂家回收处理</w:t>
                  </w:r>
                </w:p>
              </w:tc>
              <w:tc>
                <w:tcPr>
                  <w:tcW w:w="511" w:type="pct"/>
                  <w:vMerge w:val="restart"/>
                  <w:tcBorders>
                    <w:tl2br w:val="nil"/>
                    <w:tr2bl w:val="nil"/>
                  </w:tcBorders>
                  <w:vAlign w:val="center"/>
                </w:tcPr>
                <w:p w14:paraId="49E27746">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1处</w:t>
                  </w:r>
                </w:p>
              </w:tc>
              <w:tc>
                <w:tcPr>
                  <w:tcW w:w="840" w:type="pct"/>
                  <w:vMerge w:val="restart"/>
                  <w:tcBorders>
                    <w:tl2br w:val="nil"/>
                    <w:tr2bl w:val="nil"/>
                  </w:tcBorders>
                  <w:vAlign w:val="center"/>
                </w:tcPr>
                <w:p w14:paraId="7C2C1577">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w:t>
                  </w:r>
                </w:p>
              </w:tc>
            </w:tr>
            <w:tr w14:paraId="1C541E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03B92105">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1D04540B">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156B114C">
                  <w:pPr>
                    <w:wordWrap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废活性炭滤芯</w:t>
                  </w:r>
                </w:p>
              </w:tc>
              <w:tc>
                <w:tcPr>
                  <w:tcW w:w="1804" w:type="pct"/>
                  <w:vMerge w:val="continue"/>
                  <w:tcBorders>
                    <w:tl2br w:val="nil"/>
                    <w:tr2bl w:val="nil"/>
                  </w:tcBorders>
                  <w:vAlign w:val="center"/>
                </w:tcPr>
                <w:p w14:paraId="4753072C">
                  <w:pPr>
                    <w:adjustRightInd w:val="0"/>
                    <w:snapToGrid w:val="0"/>
                    <w:jc w:val="center"/>
                    <w:rPr>
                      <w:rFonts w:hint="default" w:ascii="Times New Roman" w:hAnsi="Times New Roman" w:cs="Times New Roman"/>
                      <w:color w:val="auto"/>
                      <w:szCs w:val="21"/>
                      <w:highlight w:val="none"/>
                    </w:rPr>
                  </w:pPr>
                </w:p>
              </w:tc>
              <w:tc>
                <w:tcPr>
                  <w:tcW w:w="511" w:type="pct"/>
                  <w:vMerge w:val="continue"/>
                  <w:tcBorders>
                    <w:tl2br w:val="nil"/>
                    <w:tr2bl w:val="nil"/>
                  </w:tcBorders>
                  <w:vAlign w:val="center"/>
                </w:tcPr>
                <w:p w14:paraId="7759D378">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2C721E97">
                  <w:pPr>
                    <w:adjustRightInd w:val="0"/>
                    <w:snapToGrid w:val="0"/>
                    <w:jc w:val="center"/>
                    <w:rPr>
                      <w:rFonts w:hint="default" w:ascii="Times New Roman" w:hAnsi="Times New Roman" w:cs="Times New Roman"/>
                      <w:color w:val="auto"/>
                      <w:szCs w:val="21"/>
                      <w:highlight w:val="none"/>
                      <w:lang w:val="en-US" w:eastAsia="zh-CN"/>
                    </w:rPr>
                  </w:pPr>
                </w:p>
              </w:tc>
            </w:tr>
            <w:tr w14:paraId="1881FE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6814967E">
                  <w:pPr>
                    <w:adjustRightInd w:val="0"/>
                    <w:snapToGrid w:val="0"/>
                    <w:jc w:val="center"/>
                    <w:rPr>
                      <w:rFonts w:hint="default" w:ascii="Times New Roman" w:hAnsi="Times New Roman" w:cs="Times New Roman"/>
                      <w:color w:val="auto"/>
                      <w:szCs w:val="21"/>
                      <w:highlight w:val="none"/>
                    </w:rPr>
                  </w:pPr>
                </w:p>
              </w:tc>
              <w:tc>
                <w:tcPr>
                  <w:tcW w:w="627" w:type="pct"/>
                  <w:vMerge w:val="restart"/>
                  <w:tcBorders>
                    <w:tl2br w:val="nil"/>
                    <w:tr2bl w:val="nil"/>
                  </w:tcBorders>
                  <w:vAlign w:val="center"/>
                </w:tcPr>
                <w:p w14:paraId="2BF628DC">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生产过程</w:t>
                  </w:r>
                </w:p>
              </w:tc>
              <w:tc>
                <w:tcPr>
                  <w:tcW w:w="779" w:type="pct"/>
                  <w:tcBorders>
                    <w:tl2br w:val="nil"/>
                    <w:tr2bl w:val="nil"/>
                  </w:tcBorders>
                  <w:vAlign w:val="center"/>
                </w:tcPr>
                <w:p w14:paraId="54D1E558">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废包装（普通）</w:t>
                  </w:r>
                </w:p>
              </w:tc>
              <w:tc>
                <w:tcPr>
                  <w:tcW w:w="1804" w:type="pct"/>
                  <w:vMerge w:val="restart"/>
                  <w:tcBorders>
                    <w:tl2br w:val="nil"/>
                    <w:tr2bl w:val="nil"/>
                  </w:tcBorders>
                  <w:vAlign w:val="center"/>
                </w:tcPr>
                <w:p w14:paraId="0E4E645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集中收集后暂存于一般固废暂存处（10m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lang w:val="en-US" w:eastAsia="zh-CN"/>
                    </w:rPr>
                    <w:t>），外售综合利用</w:t>
                  </w:r>
                </w:p>
              </w:tc>
              <w:tc>
                <w:tcPr>
                  <w:tcW w:w="511" w:type="pct"/>
                  <w:vMerge w:val="continue"/>
                  <w:tcBorders>
                    <w:tl2br w:val="nil"/>
                    <w:tr2bl w:val="nil"/>
                  </w:tcBorders>
                  <w:vAlign w:val="center"/>
                </w:tcPr>
                <w:p w14:paraId="069BCC78">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1888EA5D">
                  <w:pPr>
                    <w:adjustRightInd w:val="0"/>
                    <w:snapToGrid w:val="0"/>
                    <w:jc w:val="center"/>
                    <w:rPr>
                      <w:rFonts w:hint="default" w:ascii="Times New Roman" w:hAnsi="Times New Roman" w:cs="Times New Roman"/>
                      <w:color w:val="auto"/>
                      <w:szCs w:val="21"/>
                      <w:highlight w:val="none"/>
                      <w:lang w:val="en-US" w:eastAsia="zh-CN"/>
                    </w:rPr>
                  </w:pPr>
                </w:p>
              </w:tc>
            </w:tr>
            <w:tr w14:paraId="6162F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6" w:type="pct"/>
                  <w:vMerge w:val="continue"/>
                  <w:tcBorders>
                    <w:tl2br w:val="nil"/>
                    <w:tr2bl w:val="nil"/>
                  </w:tcBorders>
                  <w:vAlign w:val="center"/>
                </w:tcPr>
                <w:p w14:paraId="03A19BA5">
                  <w:pPr>
                    <w:adjustRightInd w:val="0"/>
                    <w:snapToGrid w:val="0"/>
                    <w:jc w:val="center"/>
                    <w:rPr>
                      <w:rFonts w:hint="default" w:ascii="Times New Roman" w:hAnsi="Times New Roman" w:cs="Times New Roman"/>
                      <w:color w:val="auto"/>
                      <w:szCs w:val="21"/>
                      <w:highlight w:val="none"/>
                    </w:rPr>
                  </w:pPr>
                </w:p>
              </w:tc>
              <w:tc>
                <w:tcPr>
                  <w:tcW w:w="627" w:type="pct"/>
                  <w:vMerge w:val="continue"/>
                  <w:tcBorders>
                    <w:tl2br w:val="nil"/>
                    <w:tr2bl w:val="nil"/>
                  </w:tcBorders>
                  <w:vAlign w:val="center"/>
                </w:tcPr>
                <w:p w14:paraId="7CE8DAF9">
                  <w:pPr>
                    <w:adjustRightInd w:val="0"/>
                    <w:snapToGrid w:val="0"/>
                    <w:jc w:val="center"/>
                    <w:rPr>
                      <w:rFonts w:hint="default" w:ascii="Times New Roman" w:hAnsi="Times New Roman" w:cs="Times New Roman"/>
                      <w:color w:val="auto"/>
                      <w:szCs w:val="21"/>
                      <w:highlight w:val="none"/>
                      <w:lang w:val="en-US" w:eastAsia="zh-CN"/>
                    </w:rPr>
                  </w:pPr>
                </w:p>
              </w:tc>
              <w:tc>
                <w:tcPr>
                  <w:tcW w:w="779" w:type="pct"/>
                  <w:tcBorders>
                    <w:tl2br w:val="nil"/>
                    <w:tr2bl w:val="nil"/>
                  </w:tcBorders>
                  <w:vAlign w:val="center"/>
                </w:tcPr>
                <w:p w14:paraId="5A08B5AF">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废零件</w:t>
                  </w:r>
                </w:p>
              </w:tc>
              <w:tc>
                <w:tcPr>
                  <w:tcW w:w="1804" w:type="pct"/>
                  <w:vMerge w:val="continue"/>
                  <w:tcBorders>
                    <w:tl2br w:val="nil"/>
                    <w:tr2bl w:val="nil"/>
                  </w:tcBorders>
                  <w:vAlign w:val="center"/>
                </w:tcPr>
                <w:p w14:paraId="72D36A04">
                  <w:pPr>
                    <w:adjustRightInd w:val="0"/>
                    <w:snapToGrid w:val="0"/>
                    <w:jc w:val="center"/>
                    <w:rPr>
                      <w:rFonts w:hint="default" w:ascii="Times New Roman" w:hAnsi="Times New Roman" w:cs="Times New Roman"/>
                      <w:color w:val="auto"/>
                      <w:szCs w:val="21"/>
                      <w:highlight w:val="none"/>
                    </w:rPr>
                  </w:pPr>
                </w:p>
              </w:tc>
              <w:tc>
                <w:tcPr>
                  <w:tcW w:w="511" w:type="pct"/>
                  <w:vMerge w:val="continue"/>
                  <w:tcBorders>
                    <w:tl2br w:val="nil"/>
                    <w:tr2bl w:val="nil"/>
                  </w:tcBorders>
                  <w:vAlign w:val="center"/>
                </w:tcPr>
                <w:p w14:paraId="5F20CC74">
                  <w:pPr>
                    <w:adjustRightInd w:val="0"/>
                    <w:snapToGrid w:val="0"/>
                    <w:jc w:val="center"/>
                    <w:rPr>
                      <w:rFonts w:hint="default" w:ascii="Times New Roman" w:hAnsi="Times New Roman" w:cs="Times New Roman"/>
                      <w:color w:val="auto"/>
                      <w:szCs w:val="21"/>
                      <w:highlight w:val="none"/>
                    </w:rPr>
                  </w:pPr>
                </w:p>
              </w:tc>
              <w:tc>
                <w:tcPr>
                  <w:tcW w:w="840" w:type="pct"/>
                  <w:vMerge w:val="continue"/>
                  <w:tcBorders>
                    <w:tl2br w:val="nil"/>
                    <w:tr2bl w:val="nil"/>
                  </w:tcBorders>
                  <w:vAlign w:val="center"/>
                </w:tcPr>
                <w:p w14:paraId="0E4CE340">
                  <w:pPr>
                    <w:adjustRightInd w:val="0"/>
                    <w:snapToGrid w:val="0"/>
                    <w:jc w:val="center"/>
                    <w:rPr>
                      <w:rFonts w:hint="default" w:ascii="Times New Roman" w:hAnsi="Times New Roman" w:cs="Times New Roman"/>
                      <w:color w:val="auto"/>
                      <w:szCs w:val="21"/>
                      <w:highlight w:val="none"/>
                      <w:lang w:val="en-US" w:eastAsia="zh-CN"/>
                    </w:rPr>
                  </w:pPr>
                </w:p>
              </w:tc>
            </w:tr>
            <w:tr w14:paraId="06AA7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59" w:type="pct"/>
                  <w:gridSpan w:val="5"/>
                  <w:tcBorders>
                    <w:tl2br w:val="nil"/>
                    <w:tr2bl w:val="nil"/>
                  </w:tcBorders>
                  <w:vAlign w:val="center"/>
                </w:tcPr>
                <w:p w14:paraId="4CA986A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840" w:type="pct"/>
                  <w:tcBorders>
                    <w:tl2br w:val="nil"/>
                    <w:tr2bl w:val="nil"/>
                  </w:tcBorders>
                  <w:vAlign w:val="center"/>
                </w:tcPr>
                <w:p w14:paraId="3B249D7A">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12</w:t>
                  </w:r>
                  <w:r>
                    <w:rPr>
                      <w:rFonts w:hint="eastAsia" w:cs="Times New Roman"/>
                      <w:color w:val="auto"/>
                      <w:szCs w:val="21"/>
                      <w:highlight w:val="none"/>
                      <w:lang w:val="en-US" w:eastAsia="zh-CN"/>
                    </w:rPr>
                    <w:t>9.0</w:t>
                  </w:r>
                </w:p>
              </w:tc>
            </w:tr>
          </w:tbl>
          <w:p w14:paraId="6B02D4E7">
            <w:pPr>
              <w:adjustRightInd w:val="0"/>
              <w:snapToGrid w:val="0"/>
              <w:jc w:val="both"/>
              <w:rPr>
                <w:rFonts w:hint="default" w:ascii="Times New Roman" w:hAnsi="Times New Roman" w:cs="Times New Roman"/>
                <w:bCs/>
                <w:color w:val="auto"/>
                <w:spacing w:val="-10"/>
                <w:sz w:val="28"/>
                <w:szCs w:val="28"/>
                <w:highlight w:val="none"/>
              </w:rPr>
            </w:pPr>
          </w:p>
        </w:tc>
      </w:tr>
    </w:tbl>
    <w:p w14:paraId="18492AC1">
      <w:pPr>
        <w:rPr>
          <w:rFonts w:hint="default" w:ascii="Times New Roman" w:hAnsi="Times New Roman" w:cs="Times New Roman"/>
          <w:color w:val="auto"/>
          <w:highlight w:val="none"/>
        </w:rPr>
        <w:sectPr>
          <w:pgSz w:w="11907" w:h="16840"/>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pPr>
    </w:p>
    <w:p w14:paraId="03DFCC4F">
      <w:pPr>
        <w:pStyle w:val="25"/>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五、</w:t>
      </w:r>
      <w:bookmarkStart w:id="7" w:name="_Hlk54167917"/>
      <w:r>
        <w:rPr>
          <w:rFonts w:hint="default" w:ascii="Times New Roman" w:hAnsi="Times New Roman" w:eastAsia="黑体" w:cs="Times New Roman"/>
          <w:snapToGrid w:val="0"/>
          <w:color w:val="auto"/>
          <w:sz w:val="30"/>
          <w:szCs w:val="30"/>
          <w:highlight w:val="none"/>
        </w:rPr>
        <w:t>环境保护措施监督检查清单</w:t>
      </w:r>
      <w:bookmarkEnd w:id="7"/>
    </w:p>
    <w:tbl>
      <w:tblPr>
        <w:tblStyle w:val="2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547"/>
        <w:gridCol w:w="1474"/>
        <w:gridCol w:w="2672"/>
        <w:gridCol w:w="2430"/>
      </w:tblGrid>
      <w:tr w14:paraId="405D6D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tcBorders>
              <w:tl2br w:val="single" w:color="auto" w:sz="4" w:space="0"/>
            </w:tcBorders>
            <w:noWrap w:val="0"/>
            <w:vAlign w:val="top"/>
          </w:tcPr>
          <w:p w14:paraId="3AFDDEF4">
            <w:pPr>
              <w:keepNext w:val="0"/>
              <w:keepLines w:val="0"/>
              <w:pageBreakBefore w:val="0"/>
              <w:widowControl w:val="0"/>
              <w:kinsoku/>
              <w:wordWrap/>
              <w:overflowPunct/>
              <w:topLinePunct w:val="0"/>
              <w:autoSpaceDE/>
              <w:autoSpaceDN/>
              <w:bidi w:val="0"/>
              <w:adjustRightInd w:val="0"/>
              <w:snapToGrid w:val="0"/>
              <w:ind w:firstLine="0"/>
              <w:jc w:val="righ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内容</w:t>
            </w:r>
          </w:p>
          <w:p w14:paraId="572853DA">
            <w:pPr>
              <w:adjustRightInd w:val="0"/>
              <w:snapToGrid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要素</w:t>
            </w:r>
          </w:p>
        </w:tc>
        <w:tc>
          <w:tcPr>
            <w:tcW w:w="833" w:type="pct"/>
            <w:noWrap w:val="0"/>
            <w:vAlign w:val="center"/>
          </w:tcPr>
          <w:p w14:paraId="351EAEF3">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排放口(编号、名称)/污染源</w:t>
            </w:r>
          </w:p>
        </w:tc>
        <w:tc>
          <w:tcPr>
            <w:tcW w:w="794" w:type="pct"/>
            <w:noWrap w:val="0"/>
            <w:vAlign w:val="center"/>
          </w:tcPr>
          <w:p w14:paraId="3C8FA632">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污染物项目</w:t>
            </w:r>
          </w:p>
        </w:tc>
        <w:tc>
          <w:tcPr>
            <w:tcW w:w="1439" w:type="pct"/>
            <w:noWrap w:val="0"/>
            <w:vAlign w:val="center"/>
          </w:tcPr>
          <w:p w14:paraId="5660E95C">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环境保护措施</w:t>
            </w:r>
          </w:p>
        </w:tc>
        <w:tc>
          <w:tcPr>
            <w:tcW w:w="1307" w:type="pct"/>
            <w:noWrap w:val="0"/>
            <w:vAlign w:val="center"/>
          </w:tcPr>
          <w:p w14:paraId="30634953">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执行标准</w:t>
            </w:r>
          </w:p>
        </w:tc>
      </w:tr>
      <w:tr w14:paraId="569F8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vMerge w:val="restart"/>
            <w:noWrap w:val="0"/>
            <w:vAlign w:val="center"/>
          </w:tcPr>
          <w:p w14:paraId="0BD0F3BA">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大气环境</w:t>
            </w:r>
          </w:p>
        </w:tc>
        <w:tc>
          <w:tcPr>
            <w:tcW w:w="833" w:type="pct"/>
            <w:vMerge w:val="restart"/>
            <w:noWrap w:val="0"/>
            <w:vAlign w:val="center"/>
          </w:tcPr>
          <w:p w14:paraId="2937CD5F">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DA001</w:t>
            </w:r>
          </w:p>
        </w:tc>
        <w:tc>
          <w:tcPr>
            <w:tcW w:w="794" w:type="pct"/>
            <w:noWrap w:val="0"/>
            <w:vAlign w:val="center"/>
          </w:tcPr>
          <w:p w14:paraId="75711EC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非甲烷总烃</w:t>
            </w:r>
          </w:p>
        </w:tc>
        <w:tc>
          <w:tcPr>
            <w:tcW w:w="1439" w:type="pct"/>
            <w:vMerge w:val="restart"/>
            <w:noWrap w:val="0"/>
            <w:vAlign w:val="center"/>
          </w:tcPr>
          <w:p w14:paraId="5F51FEFB">
            <w:pPr>
              <w:adjustRightInd w:val="0"/>
              <w:snapToGrid w:val="0"/>
              <w:jc w:val="center"/>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集气罩</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套</w:t>
            </w:r>
            <w:r>
              <w:rPr>
                <w:rFonts w:hint="default" w:ascii="Times New Roman" w:hAnsi="Times New Roman" w:cs="Times New Roman"/>
                <w:color w:val="auto"/>
                <w:sz w:val="24"/>
                <w:szCs w:val="24"/>
                <w:highlight w:val="none"/>
                <w:lang w:val="en-US" w:eastAsia="zh-CN"/>
              </w:rPr>
              <w:t>过滤棉+</w:t>
            </w:r>
            <w:r>
              <w:rPr>
                <w:rFonts w:hint="default" w:ascii="Times New Roman" w:hAnsi="Times New Roman" w:cs="Times New Roman"/>
                <w:color w:val="auto"/>
                <w:sz w:val="24"/>
                <w:szCs w:val="24"/>
                <w:highlight w:val="none"/>
                <w:lang w:eastAsia="zh-CN"/>
              </w:rPr>
              <w:t>二级活性炭吸附装置</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根</w:t>
            </w:r>
            <w:r>
              <w:rPr>
                <w:rFonts w:hint="default" w:ascii="Times New Roman" w:hAnsi="Times New Roman" w:cs="Times New Roman"/>
                <w:color w:val="auto"/>
                <w:sz w:val="24"/>
                <w:szCs w:val="24"/>
                <w:highlight w:val="none"/>
                <w:lang w:val="en-US" w:eastAsia="zh-CN"/>
              </w:rPr>
              <w:t>34</w:t>
            </w:r>
            <w:r>
              <w:rPr>
                <w:rFonts w:hint="default" w:ascii="Times New Roman" w:hAnsi="Times New Roman" w:cs="Times New Roman"/>
                <w:color w:val="auto"/>
                <w:sz w:val="24"/>
                <w:szCs w:val="24"/>
                <w:highlight w:val="none"/>
              </w:rPr>
              <w:t>m高排气筒（DA001）</w:t>
            </w:r>
          </w:p>
        </w:tc>
        <w:tc>
          <w:tcPr>
            <w:tcW w:w="1307" w:type="pct"/>
            <w:vMerge w:val="restart"/>
            <w:noWrap w:val="0"/>
            <w:vAlign w:val="center"/>
          </w:tcPr>
          <w:p w14:paraId="4FCF941F">
            <w:pPr>
              <w:adjustRightInd w:val="0"/>
              <w:snapToGrid w:val="0"/>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highlight w:val="none"/>
                <w:lang w:val="en-US" w:eastAsia="zh-CN"/>
              </w:rPr>
              <w:t>《大气污染物综合排放标准》（GB16297-1996）表2二级标准</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sz w:val="24"/>
                <w:szCs w:val="24"/>
                <w:highlight w:val="none"/>
                <w:lang w:val="en-US" w:eastAsia="zh-CN"/>
              </w:rPr>
              <w:t>非甲烷总烃厂界内无组织执行《挥发性有机物无组织排放标准》（GB37822-2019）限值要求</w:t>
            </w:r>
          </w:p>
        </w:tc>
      </w:tr>
      <w:tr w14:paraId="6A02E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vMerge w:val="continue"/>
            <w:noWrap w:val="0"/>
            <w:vAlign w:val="center"/>
          </w:tcPr>
          <w:p w14:paraId="7E908EC4">
            <w:pPr>
              <w:adjustRightInd w:val="0"/>
              <w:snapToGrid w:val="0"/>
              <w:jc w:val="center"/>
              <w:rPr>
                <w:rFonts w:hint="default" w:ascii="Times New Roman" w:hAnsi="Times New Roman" w:cs="Times New Roman"/>
                <w:color w:val="auto"/>
                <w:sz w:val="24"/>
                <w:szCs w:val="24"/>
                <w:highlight w:val="none"/>
              </w:rPr>
            </w:pPr>
          </w:p>
        </w:tc>
        <w:tc>
          <w:tcPr>
            <w:tcW w:w="833" w:type="pct"/>
            <w:vMerge w:val="continue"/>
            <w:noWrap w:val="0"/>
            <w:vAlign w:val="center"/>
          </w:tcPr>
          <w:p w14:paraId="2FE9F355">
            <w:pPr>
              <w:adjustRightInd w:val="0"/>
              <w:snapToGrid w:val="0"/>
              <w:jc w:val="center"/>
              <w:rPr>
                <w:rFonts w:hint="default" w:ascii="Times New Roman" w:hAnsi="Times New Roman" w:cs="Times New Roman"/>
                <w:color w:val="auto"/>
                <w:sz w:val="24"/>
                <w:szCs w:val="24"/>
                <w:highlight w:val="none"/>
                <w:lang w:val="en-US" w:eastAsia="zh-CN"/>
              </w:rPr>
            </w:pPr>
          </w:p>
        </w:tc>
        <w:tc>
          <w:tcPr>
            <w:tcW w:w="794" w:type="pct"/>
            <w:noWrap w:val="0"/>
            <w:vAlign w:val="center"/>
          </w:tcPr>
          <w:p w14:paraId="71B7CC39">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颗粒物</w:t>
            </w:r>
          </w:p>
        </w:tc>
        <w:tc>
          <w:tcPr>
            <w:tcW w:w="1439" w:type="pct"/>
            <w:vMerge w:val="continue"/>
            <w:noWrap w:val="0"/>
            <w:vAlign w:val="center"/>
          </w:tcPr>
          <w:p w14:paraId="5DFB6B6D">
            <w:pPr>
              <w:adjustRightInd w:val="0"/>
              <w:snapToGrid w:val="0"/>
              <w:jc w:val="center"/>
              <w:rPr>
                <w:rFonts w:hint="default" w:ascii="Times New Roman" w:hAnsi="Times New Roman" w:cs="Times New Roman"/>
                <w:color w:val="auto"/>
                <w:sz w:val="24"/>
                <w:szCs w:val="24"/>
                <w:highlight w:val="none"/>
                <w:lang w:val="en-US"/>
              </w:rPr>
            </w:pPr>
          </w:p>
        </w:tc>
        <w:tc>
          <w:tcPr>
            <w:tcW w:w="1307" w:type="pct"/>
            <w:vMerge w:val="continue"/>
            <w:noWrap w:val="0"/>
            <w:vAlign w:val="center"/>
          </w:tcPr>
          <w:p w14:paraId="56ACD74F">
            <w:pPr>
              <w:adjustRightInd w:val="0"/>
              <w:snapToGrid w:val="0"/>
              <w:jc w:val="center"/>
              <w:rPr>
                <w:rFonts w:hint="default" w:ascii="Times New Roman" w:hAnsi="Times New Roman" w:cs="Times New Roman"/>
                <w:color w:val="auto"/>
                <w:sz w:val="24"/>
                <w:szCs w:val="24"/>
                <w:highlight w:val="none"/>
              </w:rPr>
            </w:pPr>
          </w:p>
        </w:tc>
      </w:tr>
      <w:tr w14:paraId="3B0EF0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vMerge w:val="continue"/>
            <w:noWrap w:val="0"/>
            <w:vAlign w:val="center"/>
          </w:tcPr>
          <w:p w14:paraId="41588381">
            <w:pPr>
              <w:adjustRightInd w:val="0"/>
              <w:snapToGrid w:val="0"/>
              <w:jc w:val="center"/>
              <w:rPr>
                <w:rFonts w:hint="default" w:ascii="Times New Roman" w:hAnsi="Times New Roman" w:cs="Times New Roman"/>
                <w:color w:val="auto"/>
                <w:sz w:val="24"/>
                <w:szCs w:val="24"/>
                <w:highlight w:val="none"/>
              </w:rPr>
            </w:pPr>
          </w:p>
        </w:tc>
        <w:tc>
          <w:tcPr>
            <w:tcW w:w="833" w:type="pct"/>
            <w:vMerge w:val="continue"/>
            <w:noWrap w:val="0"/>
            <w:vAlign w:val="center"/>
          </w:tcPr>
          <w:p w14:paraId="626B3DC9">
            <w:pPr>
              <w:adjustRightInd w:val="0"/>
              <w:snapToGrid w:val="0"/>
              <w:jc w:val="center"/>
              <w:rPr>
                <w:rFonts w:hint="default" w:ascii="Times New Roman" w:hAnsi="Times New Roman" w:cs="Times New Roman"/>
                <w:color w:val="auto"/>
                <w:sz w:val="24"/>
                <w:szCs w:val="24"/>
                <w:highlight w:val="none"/>
                <w:lang w:val="en-US" w:eastAsia="zh-CN"/>
              </w:rPr>
            </w:pPr>
          </w:p>
        </w:tc>
        <w:tc>
          <w:tcPr>
            <w:tcW w:w="794" w:type="pct"/>
            <w:noWrap w:val="0"/>
            <w:vAlign w:val="center"/>
          </w:tcPr>
          <w:p w14:paraId="6499A667">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锡及其化合物</w:t>
            </w:r>
          </w:p>
        </w:tc>
        <w:tc>
          <w:tcPr>
            <w:tcW w:w="1439" w:type="pct"/>
            <w:vMerge w:val="continue"/>
            <w:noWrap w:val="0"/>
            <w:vAlign w:val="center"/>
          </w:tcPr>
          <w:p w14:paraId="6CF7BABC">
            <w:pPr>
              <w:adjustRightInd w:val="0"/>
              <w:snapToGrid w:val="0"/>
              <w:jc w:val="center"/>
              <w:rPr>
                <w:rFonts w:hint="default" w:ascii="Times New Roman" w:hAnsi="Times New Roman" w:cs="Times New Roman"/>
                <w:color w:val="auto"/>
                <w:sz w:val="24"/>
                <w:szCs w:val="24"/>
                <w:highlight w:val="none"/>
                <w:lang w:val="en-US" w:eastAsia="zh-CN"/>
              </w:rPr>
            </w:pPr>
          </w:p>
        </w:tc>
        <w:tc>
          <w:tcPr>
            <w:tcW w:w="1307" w:type="pct"/>
            <w:vMerge w:val="continue"/>
            <w:noWrap w:val="0"/>
            <w:vAlign w:val="center"/>
          </w:tcPr>
          <w:p w14:paraId="58F39CD4">
            <w:pPr>
              <w:adjustRightInd w:val="0"/>
              <w:snapToGrid w:val="0"/>
              <w:jc w:val="center"/>
              <w:rPr>
                <w:rFonts w:hint="default" w:ascii="Times New Roman" w:hAnsi="Times New Roman" w:cs="Times New Roman"/>
                <w:color w:val="auto"/>
                <w:sz w:val="24"/>
                <w:szCs w:val="24"/>
                <w:highlight w:val="none"/>
              </w:rPr>
            </w:pPr>
          </w:p>
        </w:tc>
      </w:tr>
      <w:tr w14:paraId="153E9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vMerge w:val="continue"/>
            <w:noWrap w:val="0"/>
            <w:vAlign w:val="center"/>
          </w:tcPr>
          <w:p w14:paraId="3BEC3447">
            <w:pPr>
              <w:adjustRightInd w:val="0"/>
              <w:snapToGrid w:val="0"/>
              <w:jc w:val="center"/>
              <w:rPr>
                <w:rFonts w:hint="default" w:ascii="Times New Roman" w:hAnsi="Times New Roman" w:cs="Times New Roman"/>
                <w:color w:val="auto"/>
                <w:sz w:val="24"/>
                <w:szCs w:val="24"/>
                <w:highlight w:val="none"/>
              </w:rPr>
            </w:pPr>
          </w:p>
        </w:tc>
        <w:tc>
          <w:tcPr>
            <w:tcW w:w="833" w:type="pct"/>
            <w:noWrap w:val="0"/>
            <w:vAlign w:val="center"/>
          </w:tcPr>
          <w:p w14:paraId="4E02C397">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食堂油烟</w:t>
            </w:r>
          </w:p>
        </w:tc>
        <w:tc>
          <w:tcPr>
            <w:tcW w:w="794" w:type="pct"/>
            <w:noWrap w:val="0"/>
            <w:vAlign w:val="center"/>
          </w:tcPr>
          <w:p w14:paraId="66F7F12A">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油烟</w:t>
            </w:r>
          </w:p>
        </w:tc>
        <w:tc>
          <w:tcPr>
            <w:tcW w:w="1439" w:type="pct"/>
            <w:noWrap w:val="0"/>
            <w:vAlign w:val="center"/>
          </w:tcPr>
          <w:p w14:paraId="424FF740">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油烟净化装置＋排烟管道</w:t>
            </w:r>
          </w:p>
        </w:tc>
        <w:tc>
          <w:tcPr>
            <w:tcW w:w="1307" w:type="pct"/>
            <w:noWrap w:val="0"/>
            <w:vAlign w:val="center"/>
          </w:tcPr>
          <w:p w14:paraId="02793727">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《饮食业油烟排放标准（试行）》（GB18483-2001）大型要求</w:t>
            </w:r>
          </w:p>
        </w:tc>
      </w:tr>
      <w:tr w14:paraId="3A75E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7" w:hRule="atLeast"/>
          <w:jc w:val="center"/>
        </w:trPr>
        <w:tc>
          <w:tcPr>
            <w:tcW w:w="624" w:type="pct"/>
            <w:vMerge w:val="restart"/>
            <w:noWrap w:val="0"/>
            <w:vAlign w:val="center"/>
          </w:tcPr>
          <w:p w14:paraId="563CE9B7">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地表水环境</w:t>
            </w:r>
          </w:p>
        </w:tc>
        <w:tc>
          <w:tcPr>
            <w:tcW w:w="833" w:type="pct"/>
            <w:noWrap w:val="0"/>
            <w:vAlign w:val="center"/>
          </w:tcPr>
          <w:p w14:paraId="7C24A621">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生活污水、食堂废水</w:t>
            </w:r>
          </w:p>
        </w:tc>
        <w:tc>
          <w:tcPr>
            <w:tcW w:w="794" w:type="pct"/>
            <w:noWrap w:val="0"/>
            <w:vAlign w:val="center"/>
          </w:tcPr>
          <w:p w14:paraId="62F5886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COD、BOD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、SS、氨氮、动植物油、总磷、总氮</w:t>
            </w:r>
          </w:p>
        </w:tc>
        <w:tc>
          <w:tcPr>
            <w:tcW w:w="1439" w:type="pct"/>
            <w:noWrap w:val="0"/>
            <w:vAlign w:val="center"/>
          </w:tcPr>
          <w:p w14:paraId="77512DCF">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食堂废水经油水分离器处理后与生活污水经化粪池预处理后再经市政污水管网排至沣西新城大王污水处理厂进一步处理</w:t>
            </w:r>
          </w:p>
        </w:tc>
        <w:tc>
          <w:tcPr>
            <w:tcW w:w="1307" w:type="pct"/>
            <w:vMerge w:val="restart"/>
            <w:noWrap w:val="0"/>
            <w:vAlign w:val="center"/>
          </w:tcPr>
          <w:p w14:paraId="261E8C5C">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《污水综合排放标准》（GB8978-1996）中的三级标准及</w:t>
            </w:r>
            <w:r>
              <w:rPr>
                <w:rFonts w:hint="default" w:ascii="Times New Roman" w:hAnsi="Times New Roman" w:cs="Times New Roman"/>
                <w:color w:val="auto"/>
                <w:sz w:val="24"/>
                <w:szCs w:val="24"/>
                <w:highlight w:val="none"/>
              </w:rPr>
              <w:t>《污水排入城镇下水道水质标准》（GB/T31962-2015）中</w:t>
            </w:r>
            <w:r>
              <w:rPr>
                <w:rFonts w:hint="eastAsia" w:cs="Times New Roman"/>
                <w:color w:val="auto"/>
                <w:sz w:val="24"/>
                <w:szCs w:val="24"/>
                <w:highlight w:val="none"/>
                <w:lang w:val="en-US" w:eastAsia="zh-CN"/>
              </w:rPr>
              <w:t>A</w:t>
            </w:r>
            <w:r>
              <w:rPr>
                <w:rFonts w:hint="default" w:ascii="Times New Roman" w:hAnsi="Times New Roman" w:cs="Times New Roman"/>
                <w:color w:val="auto"/>
                <w:sz w:val="24"/>
                <w:szCs w:val="24"/>
                <w:highlight w:val="none"/>
              </w:rPr>
              <w:t>级</w:t>
            </w:r>
            <w:r>
              <w:rPr>
                <w:rFonts w:hint="default" w:ascii="Times New Roman" w:hAnsi="Times New Roman" w:cs="Times New Roman"/>
                <w:color w:val="auto"/>
                <w:sz w:val="24"/>
                <w:szCs w:val="24"/>
                <w:highlight w:val="none"/>
                <w:lang w:val="en-US" w:eastAsia="zh-CN"/>
              </w:rPr>
              <w:t>标准</w:t>
            </w:r>
          </w:p>
        </w:tc>
      </w:tr>
      <w:tr w14:paraId="7124E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7" w:hRule="atLeast"/>
          <w:jc w:val="center"/>
        </w:trPr>
        <w:tc>
          <w:tcPr>
            <w:tcW w:w="624" w:type="pct"/>
            <w:vMerge w:val="continue"/>
            <w:noWrap w:val="0"/>
            <w:vAlign w:val="center"/>
          </w:tcPr>
          <w:p w14:paraId="36D61D25">
            <w:pPr>
              <w:adjustRightInd w:val="0"/>
              <w:snapToGrid w:val="0"/>
              <w:jc w:val="center"/>
              <w:rPr>
                <w:rFonts w:hint="default" w:ascii="Times New Roman" w:hAnsi="Times New Roman" w:cs="Times New Roman"/>
                <w:color w:val="auto"/>
                <w:sz w:val="24"/>
                <w:szCs w:val="24"/>
                <w:highlight w:val="none"/>
              </w:rPr>
            </w:pPr>
          </w:p>
        </w:tc>
        <w:tc>
          <w:tcPr>
            <w:tcW w:w="833" w:type="pct"/>
            <w:noWrap w:val="0"/>
            <w:vAlign w:val="center"/>
          </w:tcPr>
          <w:p w14:paraId="5E14949C">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纯水机浓水</w:t>
            </w:r>
          </w:p>
        </w:tc>
        <w:tc>
          <w:tcPr>
            <w:tcW w:w="794" w:type="pct"/>
            <w:noWrap w:val="0"/>
            <w:vAlign w:val="center"/>
          </w:tcPr>
          <w:p w14:paraId="43246121">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COD、BOD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、SS、氨氮、总磷、总氮</w:t>
            </w:r>
          </w:p>
        </w:tc>
        <w:tc>
          <w:tcPr>
            <w:tcW w:w="1439" w:type="pct"/>
            <w:noWrap w:val="0"/>
            <w:vAlign w:val="center"/>
          </w:tcPr>
          <w:p w14:paraId="4AB2453C">
            <w:pPr>
              <w:adjustRightInd w:val="0"/>
              <w:snapToGrid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纯水机制备纯水产生的部分浓水回用于道路浇洒用水，多余的浓水经市政污水管网排入沣西新城大王污水处理厂</w:t>
            </w:r>
          </w:p>
        </w:tc>
        <w:tc>
          <w:tcPr>
            <w:tcW w:w="1307" w:type="pct"/>
            <w:vMerge w:val="continue"/>
            <w:noWrap w:val="0"/>
            <w:vAlign w:val="center"/>
          </w:tcPr>
          <w:p w14:paraId="5605DAD0">
            <w:pPr>
              <w:adjustRightInd w:val="0"/>
              <w:snapToGrid w:val="0"/>
              <w:jc w:val="center"/>
              <w:rPr>
                <w:rFonts w:hint="default" w:ascii="Times New Roman" w:hAnsi="Times New Roman" w:cs="Times New Roman"/>
                <w:color w:val="auto"/>
                <w:sz w:val="24"/>
                <w:szCs w:val="24"/>
                <w:highlight w:val="none"/>
              </w:rPr>
            </w:pPr>
          </w:p>
        </w:tc>
      </w:tr>
      <w:tr w14:paraId="5C71A3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noWrap w:val="0"/>
            <w:vAlign w:val="center"/>
          </w:tcPr>
          <w:p w14:paraId="4F44CDEF">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声环境</w:t>
            </w:r>
          </w:p>
        </w:tc>
        <w:tc>
          <w:tcPr>
            <w:tcW w:w="833" w:type="pct"/>
            <w:noWrap w:val="0"/>
            <w:vAlign w:val="center"/>
          </w:tcPr>
          <w:p w14:paraId="03EAE114">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生产设备</w:t>
            </w:r>
          </w:p>
        </w:tc>
        <w:tc>
          <w:tcPr>
            <w:tcW w:w="794" w:type="pct"/>
            <w:noWrap w:val="0"/>
            <w:vAlign w:val="center"/>
          </w:tcPr>
          <w:p w14:paraId="381DB48C">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噪声</w:t>
            </w:r>
          </w:p>
        </w:tc>
        <w:tc>
          <w:tcPr>
            <w:tcW w:w="1439" w:type="pct"/>
            <w:noWrap w:val="0"/>
            <w:vAlign w:val="center"/>
          </w:tcPr>
          <w:p w14:paraId="0EC6C026">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基础减振、厂房隔声、距离衰减等</w:t>
            </w:r>
          </w:p>
        </w:tc>
        <w:tc>
          <w:tcPr>
            <w:tcW w:w="1307" w:type="pct"/>
            <w:noWrap w:val="0"/>
            <w:vAlign w:val="center"/>
          </w:tcPr>
          <w:p w14:paraId="658B3CBC">
            <w:pPr>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《工业企业厂界环境噪声排放标准》（GB12348-2008）</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类标准</w:t>
            </w:r>
          </w:p>
        </w:tc>
      </w:tr>
      <w:tr w14:paraId="7F709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24" w:type="pct"/>
            <w:noWrap w:val="0"/>
            <w:vAlign w:val="center"/>
          </w:tcPr>
          <w:p w14:paraId="50D6B3DA">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电磁辐射</w:t>
            </w:r>
          </w:p>
        </w:tc>
        <w:tc>
          <w:tcPr>
            <w:tcW w:w="4375" w:type="pct"/>
            <w:gridSpan w:val="4"/>
            <w:noWrap w:val="0"/>
            <w:vAlign w:val="center"/>
          </w:tcPr>
          <w:p w14:paraId="02AAF5B9">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无</w:t>
            </w:r>
          </w:p>
        </w:tc>
      </w:tr>
      <w:tr w14:paraId="3F6152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4" w:type="pct"/>
            <w:noWrap w:val="0"/>
            <w:vAlign w:val="center"/>
          </w:tcPr>
          <w:p w14:paraId="0B9D4ACD">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固体废物</w:t>
            </w:r>
          </w:p>
        </w:tc>
        <w:tc>
          <w:tcPr>
            <w:tcW w:w="4375" w:type="pct"/>
            <w:gridSpan w:val="4"/>
            <w:noWrap w:val="0"/>
            <w:vAlign w:val="center"/>
          </w:tcPr>
          <w:p w14:paraId="70892376">
            <w:pPr>
              <w:adjustRightInd w:val="0"/>
              <w:snapToGrid w:val="0"/>
              <w:spacing w:line="360" w:lineRule="auto"/>
              <w:jc w:val="center"/>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生活垃圾厂区内分类收集后运至厂区指定地点，由环卫部门统一清运处理，食堂废油脂交由有资质单位处置；废活性炭、废过滤棉使用专用容器密封保存，暂存于危废贮存库，并委托有资质单位定期处置；废包装、废零件分类收集后暂存于一般固废暂存处，委托一般固废回收单位回收综合利用；废活性炭滤芯、废反渗透膜分类收集后暂存于一般固废暂存处，交由纯水机设备厂家回收处理；废清洗剂、废灌封胶渣、不合格电路板、不合格电源模块、废包装（清洗剂桶、灌封胶罐）分类收集后暂存于危废贮存库，交由有资质单位处置。</w:t>
            </w:r>
          </w:p>
        </w:tc>
      </w:tr>
      <w:tr w14:paraId="4B2DF9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624" w:type="pct"/>
            <w:noWrap w:val="0"/>
            <w:vAlign w:val="center"/>
          </w:tcPr>
          <w:p w14:paraId="174C85EA">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土壤及地下水污染防治措施</w:t>
            </w:r>
          </w:p>
        </w:tc>
        <w:tc>
          <w:tcPr>
            <w:tcW w:w="4375" w:type="pct"/>
            <w:gridSpan w:val="4"/>
            <w:noWrap w:val="0"/>
            <w:vAlign w:val="center"/>
          </w:tcPr>
          <w:p w14:paraId="147B3E89">
            <w:pPr>
              <w:adjustRightInd w:val="0"/>
              <w:snapToGrid w:val="0"/>
              <w:spacing w:line="360" w:lineRule="auto"/>
              <w:jc w:val="center"/>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在项目运营期间应充分重视自身环保行为，车间地面采用水泥硬化；危废贮存库为重点防渗区，危废贮存库地面防渗做法：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cs="Times New Roman"/>
                <w:bCs/>
                <w:color w:val="auto"/>
                <w:kern w:val="2"/>
                <w:sz w:val="24"/>
                <w:szCs w:val="24"/>
                <w:highlight w:val="none"/>
                <w:vertAlign w:val="superscript"/>
                <w:lang w:val="en-US" w:eastAsia="zh-CN"/>
              </w:rPr>
              <w:t>-</w:t>
            </w:r>
            <w:r>
              <w:rPr>
                <w:rFonts w:hint="default" w:ascii="Times New Roman" w:hAnsi="Times New Roman" w:cs="Times New Roman"/>
                <w:bCs/>
                <w:color w:val="auto"/>
                <w:kern w:val="2"/>
                <w:sz w:val="24"/>
                <w:szCs w:val="24"/>
                <w:highlight w:val="none"/>
                <w:vertAlign w:val="superscript"/>
                <w:lang w:val="en-US" w:eastAsia="zh-CN"/>
              </w:rPr>
              <w:t>7</w:t>
            </w:r>
            <w:r>
              <w:rPr>
                <w:rFonts w:hint="default" w:ascii="Times New Roman" w:hAnsi="Times New Roman" w:cs="Times New Roman"/>
                <w:bCs/>
                <w:color w:val="auto"/>
                <w:kern w:val="2"/>
                <w:sz w:val="24"/>
                <w:szCs w:val="24"/>
                <w:highlight w:val="none"/>
                <w:lang w:val="en-US" w:eastAsia="zh-CN"/>
              </w:rPr>
              <w:t>cm/s)，或至少2mm厚高密度聚乙烯膜等人工防渗材料(渗透系数不大于10-</w:t>
            </w:r>
            <w:r>
              <w:rPr>
                <w:rFonts w:hint="default" w:ascii="Times New Roman" w:hAnsi="Times New Roman" w:cs="Times New Roman"/>
                <w:bCs/>
                <w:color w:val="auto"/>
                <w:kern w:val="2"/>
                <w:sz w:val="24"/>
                <w:szCs w:val="24"/>
                <w:highlight w:val="none"/>
                <w:vertAlign w:val="superscript"/>
                <w:lang w:val="en-US" w:eastAsia="zh-CN"/>
              </w:rPr>
              <w:t>10</w:t>
            </w:r>
            <w:r>
              <w:rPr>
                <w:rFonts w:hint="default" w:ascii="Times New Roman" w:hAnsi="Times New Roman" w:cs="Times New Roman"/>
                <w:bCs/>
                <w:color w:val="auto"/>
                <w:kern w:val="2"/>
                <w:sz w:val="24"/>
                <w:szCs w:val="24"/>
                <w:highlight w:val="none"/>
                <w:lang w:val="en-US" w:eastAsia="zh-CN"/>
              </w:rPr>
              <w:t>cm/s)，或其他防渗性能等效的材料。加强环境保护措施日常管理、检查及维护工作，加强危废贮存库等地的日常检查及维护。</w:t>
            </w:r>
          </w:p>
        </w:tc>
      </w:tr>
      <w:tr w14:paraId="1FDF56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624" w:type="pct"/>
            <w:noWrap w:val="0"/>
            <w:vAlign w:val="center"/>
          </w:tcPr>
          <w:p w14:paraId="7B8EBBA2">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生态保护措施</w:t>
            </w:r>
          </w:p>
        </w:tc>
        <w:tc>
          <w:tcPr>
            <w:tcW w:w="4375" w:type="pct"/>
            <w:gridSpan w:val="4"/>
            <w:noWrap w:val="0"/>
            <w:vAlign w:val="center"/>
          </w:tcPr>
          <w:p w14:paraId="7EB3BD01">
            <w:pPr>
              <w:adjustRightInd w:val="0"/>
              <w:snapToGrid w:val="0"/>
              <w:spacing w:line="360" w:lineRule="auto"/>
              <w:jc w:val="center"/>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无</w:t>
            </w:r>
          </w:p>
        </w:tc>
      </w:tr>
      <w:tr w14:paraId="09EB1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624" w:type="pct"/>
            <w:noWrap w:val="0"/>
            <w:vAlign w:val="center"/>
          </w:tcPr>
          <w:p w14:paraId="2499875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环境风险防范措施</w:t>
            </w:r>
          </w:p>
        </w:tc>
        <w:tc>
          <w:tcPr>
            <w:tcW w:w="4375" w:type="pct"/>
            <w:gridSpan w:val="4"/>
            <w:noWrap w:val="0"/>
            <w:vAlign w:val="center"/>
          </w:tcPr>
          <w:p w14:paraId="6A9D2D05">
            <w:pPr>
              <w:adjustRightInd w:val="0"/>
              <w:snapToGrid w:val="0"/>
              <w:spacing w:line="360" w:lineRule="auto"/>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（1）危废贮存库要求配备消防设备设施。</w:t>
            </w:r>
          </w:p>
          <w:p w14:paraId="369E8778">
            <w:pPr>
              <w:adjustRightInd w:val="0"/>
              <w:snapToGrid w:val="0"/>
              <w:spacing w:line="360" w:lineRule="auto"/>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（2）加强各类液体物料的管理，制定安全操作规程，培训员工按标准化作业；加强人员操作管理，定期巡视，检查设备运行状况。</w:t>
            </w:r>
          </w:p>
          <w:p w14:paraId="23B2083F">
            <w:pPr>
              <w:adjustRightInd w:val="0"/>
              <w:snapToGrid w:val="0"/>
              <w:spacing w:line="360" w:lineRule="auto"/>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（3）清洗剂一旦发生泄</w:t>
            </w:r>
            <w:r>
              <w:rPr>
                <w:rFonts w:hint="default" w:ascii="Times New Roman" w:hAnsi="Times New Roman" w:cs="Times New Roman"/>
                <w:color w:val="auto"/>
                <w:highlight w:val="none"/>
                <w:lang w:val="en-US" w:eastAsia="zh-CN"/>
              </w:rPr>
              <w:t>漏</w:t>
            </w:r>
            <w:r>
              <w:rPr>
                <w:rFonts w:hint="default" w:ascii="Times New Roman" w:hAnsi="Times New Roman" w:cs="Times New Roman"/>
                <w:bCs/>
                <w:color w:val="auto"/>
                <w:kern w:val="2"/>
                <w:sz w:val="24"/>
                <w:szCs w:val="24"/>
                <w:highlight w:val="none"/>
                <w:lang w:val="en-US" w:eastAsia="zh-CN"/>
              </w:rPr>
              <w:t>，尽可能切断泄漏源；少量泄漏，用砂土或其它不燃材料吸附或吸收；大量泄漏，用泡沫覆盖，交由有资质单位处置。</w:t>
            </w:r>
          </w:p>
          <w:p w14:paraId="1C54D823">
            <w:pPr>
              <w:adjustRightInd w:val="0"/>
              <w:snapToGrid w:val="0"/>
              <w:spacing w:line="360" w:lineRule="auto"/>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（4）建设单位针对可能发生的环境风险事故制定详细的环境风险应急预案，定期进行预案演练。</w:t>
            </w:r>
          </w:p>
        </w:tc>
      </w:tr>
      <w:tr w14:paraId="28BD0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624" w:type="pct"/>
            <w:noWrap w:val="0"/>
            <w:vAlign w:val="center"/>
          </w:tcPr>
          <w:p w14:paraId="3B154B90">
            <w:pPr>
              <w:adjustRightInd w:val="0"/>
              <w:snapToGrid w:val="0"/>
              <w:jc w:val="center"/>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其他环境</w:t>
            </w:r>
          </w:p>
          <w:p w14:paraId="68C5F78C">
            <w:pPr>
              <w:adjustRightInd w:val="0"/>
              <w:snapToGrid w:val="0"/>
              <w:jc w:val="center"/>
              <w:rPr>
                <w:rFonts w:hint="default" w:ascii="Times New Roman" w:hAnsi="Times New Roman" w:cs="Times New Roman"/>
                <w:color w:val="auto"/>
                <w:spacing w:val="-8"/>
                <w:sz w:val="24"/>
                <w:szCs w:val="24"/>
                <w:highlight w:val="none"/>
              </w:rPr>
            </w:pPr>
            <w:r>
              <w:rPr>
                <w:rFonts w:hint="default" w:ascii="Times New Roman" w:hAnsi="Times New Roman" w:cs="Times New Roman"/>
                <w:color w:val="auto"/>
                <w:spacing w:val="-8"/>
                <w:sz w:val="24"/>
                <w:szCs w:val="24"/>
                <w:highlight w:val="none"/>
              </w:rPr>
              <w:t>管理要求</w:t>
            </w:r>
          </w:p>
        </w:tc>
        <w:tc>
          <w:tcPr>
            <w:tcW w:w="4375" w:type="pct"/>
            <w:gridSpan w:val="4"/>
            <w:noWrap w:val="0"/>
            <w:vAlign w:val="center"/>
          </w:tcPr>
          <w:p w14:paraId="4DF5562A">
            <w:pPr>
              <w:adjustRightInd w:val="0"/>
              <w:snapToGrid w:val="0"/>
              <w:spacing w:line="360" w:lineRule="auto"/>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（1）取得批复后尽快开展竣工环境保护验收工作；</w:t>
            </w:r>
          </w:p>
          <w:p w14:paraId="722A8C64">
            <w:pPr>
              <w:adjustRightInd w:val="0"/>
              <w:snapToGrid w:val="0"/>
              <w:spacing w:line="360" w:lineRule="auto"/>
              <w:jc w:val="left"/>
              <w:rPr>
                <w:rFonts w:hint="default" w:ascii="Times New Roman" w:hAnsi="Times New Roman" w:cs="Times New Roman"/>
                <w:bCs/>
                <w:color w:val="auto"/>
                <w:kern w:val="2"/>
                <w:sz w:val="24"/>
                <w:szCs w:val="24"/>
                <w:highlight w:val="none"/>
                <w:lang w:val="en-US" w:eastAsia="zh-CN"/>
              </w:rPr>
            </w:pPr>
            <w:r>
              <w:rPr>
                <w:rFonts w:hint="default" w:ascii="Times New Roman" w:hAnsi="Times New Roman" w:cs="Times New Roman"/>
                <w:bCs/>
                <w:color w:val="auto"/>
                <w:kern w:val="2"/>
                <w:sz w:val="24"/>
                <w:szCs w:val="24"/>
                <w:highlight w:val="none"/>
                <w:lang w:val="en-US" w:eastAsia="zh-CN"/>
              </w:rPr>
              <w:t>（2）按规范设置排污口；</w:t>
            </w:r>
          </w:p>
          <w:p w14:paraId="498DB207">
            <w:pPr>
              <w:adjustRightInd w:val="0"/>
              <w:snapToGrid w:val="0"/>
              <w:spacing w:line="360" w:lineRule="auto"/>
              <w:jc w:val="left"/>
              <w:rPr>
                <w:rFonts w:hint="default" w:ascii="Times New Roman" w:hAnsi="Times New Roman" w:cs="Times New Roman"/>
                <w:color w:val="auto"/>
                <w:sz w:val="24"/>
                <w:szCs w:val="24"/>
                <w:highlight w:val="none"/>
              </w:rPr>
            </w:pPr>
            <w:r>
              <w:rPr>
                <w:rFonts w:hint="default" w:ascii="Times New Roman" w:hAnsi="Times New Roman" w:cs="Times New Roman"/>
                <w:bCs/>
                <w:color w:val="auto"/>
                <w:kern w:val="2"/>
                <w:sz w:val="24"/>
                <w:szCs w:val="24"/>
                <w:highlight w:val="none"/>
                <w:lang w:val="en-US" w:eastAsia="zh-CN"/>
              </w:rPr>
              <w:t>（3）及时进行排污许可申报事宜，并按证排污。</w:t>
            </w:r>
          </w:p>
        </w:tc>
      </w:tr>
    </w:tbl>
    <w:p w14:paraId="0D0DBA33">
      <w:pPr>
        <w:pStyle w:val="25"/>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r>
        <w:rPr>
          <w:rFonts w:hint="default" w:ascii="Times New Roman" w:hAnsi="Times New Roman" w:eastAsia="黑体" w:cs="Times New Roman"/>
          <w:snapToGrid w:val="0"/>
          <w:color w:val="auto"/>
          <w:sz w:val="30"/>
          <w:szCs w:val="30"/>
          <w:highlight w:val="none"/>
        </w:rPr>
        <w:t>六、结论</w:t>
      </w:r>
    </w:p>
    <w:tbl>
      <w:tblPr>
        <w:tblStyle w:val="2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73062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5000" w:type="pct"/>
            <w:noWrap w:val="0"/>
            <w:vAlign w:val="top"/>
          </w:tcPr>
          <w:p w14:paraId="738F56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本项目符合国家和地方产业政策，选址合理，项目在切实执行“三同时”制度，认真落实本报告提出的各项环保措施和风险防范措施的前提下，污染物能做到达标排放，固废均能妥善处置，环境风险可接受。从环境影响角度分析，</w:t>
            </w:r>
            <w:r>
              <w:rPr>
                <w:rFonts w:hint="default" w:ascii="Times New Roman" w:hAnsi="Times New Roman" w:cs="Times New Roman"/>
                <w:bCs/>
                <w:color w:val="auto"/>
                <w:sz w:val="24"/>
                <w:highlight w:val="none"/>
                <w:lang w:eastAsia="zh-CN"/>
              </w:rPr>
              <w:t>项目</w:t>
            </w:r>
            <w:r>
              <w:rPr>
                <w:rFonts w:hint="default" w:ascii="Times New Roman" w:hAnsi="Times New Roman" w:cs="Times New Roman"/>
                <w:bCs/>
                <w:color w:val="auto"/>
                <w:sz w:val="24"/>
                <w:highlight w:val="none"/>
              </w:rPr>
              <w:t>可行。</w:t>
            </w:r>
          </w:p>
        </w:tc>
      </w:tr>
    </w:tbl>
    <w:p w14:paraId="10C7BB3A">
      <w:pPr>
        <w:rPr>
          <w:rFonts w:hint="default" w:ascii="Times New Roman" w:hAnsi="Times New Roman" w:cs="Times New Roman"/>
          <w:color w:val="auto"/>
          <w:highlight w:val="none"/>
        </w:rPr>
        <w:sectPr>
          <w:pgSz w:w="11906" w:h="16838"/>
          <w:pgMar w:top="1417" w:right="1417" w:bottom="1417" w:left="1417" w:header="851" w:footer="851" w:gutter="0"/>
          <w:pgBorders>
            <w:top w:val="none" w:sz="0" w:space="0"/>
            <w:left w:val="none" w:sz="0" w:space="0"/>
            <w:bottom w:val="none" w:sz="0" w:space="0"/>
            <w:right w:val="none" w:sz="0" w:space="0"/>
          </w:pgBorders>
          <w:pgNumType w:fmt="decimal"/>
          <w:cols w:space="720" w:num="1"/>
          <w:docGrid w:linePitch="312" w:charSpace="0"/>
        </w:sectPr>
      </w:pPr>
    </w:p>
    <w:p w14:paraId="36A18C89">
      <w:pPr>
        <w:pStyle w:val="25"/>
        <w:adjustRightInd w:val="0"/>
        <w:snapToGrid w:val="0"/>
        <w:spacing w:before="0" w:beforeAutospacing="0" w:after="0" w:afterAutospacing="0" w:line="240" w:lineRule="auto"/>
        <w:jc w:val="center"/>
        <w:outlineLvl w:val="0"/>
        <w:rPr>
          <w:rFonts w:hint="default" w:ascii="Times New Roman" w:hAnsi="Times New Roman" w:eastAsia="方正小标宋_GBK" w:cs="Times New Roman"/>
          <w:snapToGrid w:val="0"/>
          <w:color w:val="auto"/>
          <w:sz w:val="38"/>
          <w:szCs w:val="38"/>
          <w:highlight w:val="none"/>
        </w:rPr>
      </w:pP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28"/>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1542"/>
        <w:gridCol w:w="1664"/>
        <w:gridCol w:w="1248"/>
        <w:gridCol w:w="1488"/>
        <w:gridCol w:w="1512"/>
        <w:gridCol w:w="1499"/>
        <w:gridCol w:w="1693"/>
        <w:gridCol w:w="1442"/>
      </w:tblGrid>
      <w:tr w14:paraId="4A3CF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18" w:type="pct"/>
            <w:tcBorders>
              <w:tl2br w:val="single" w:color="auto" w:sz="4" w:space="0"/>
            </w:tcBorders>
            <w:noWrap w:val="0"/>
            <w:tcMar>
              <w:left w:w="28" w:type="dxa"/>
              <w:right w:w="28" w:type="dxa"/>
            </w:tcMar>
            <w:vAlign w:val="center"/>
          </w:tcPr>
          <w:p w14:paraId="6CA8694A">
            <w:pPr>
              <w:pStyle w:val="36"/>
              <w:spacing w:beforeLines="0" w:afterLines="0" w:line="240" w:lineRule="auto"/>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58F6DFFE">
            <w:pPr>
              <w:pStyle w:val="36"/>
              <w:spacing w:beforeLines="0" w:afterLines="0" w:line="240" w:lineRule="auto"/>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571" w:type="pct"/>
            <w:noWrap w:val="0"/>
            <w:tcMar>
              <w:left w:w="28" w:type="dxa"/>
              <w:right w:w="28" w:type="dxa"/>
            </w:tcMar>
            <w:vAlign w:val="center"/>
          </w:tcPr>
          <w:p w14:paraId="69C70397">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616" w:type="pct"/>
            <w:noWrap w:val="0"/>
            <w:tcMar>
              <w:left w:w="28" w:type="dxa"/>
              <w:right w:w="28" w:type="dxa"/>
            </w:tcMar>
            <w:vAlign w:val="center"/>
          </w:tcPr>
          <w:p w14:paraId="0478C3B1">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30FF3DC1">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462" w:type="pct"/>
            <w:noWrap w:val="0"/>
            <w:tcMar>
              <w:left w:w="28" w:type="dxa"/>
              <w:right w:w="28" w:type="dxa"/>
            </w:tcMar>
            <w:vAlign w:val="center"/>
          </w:tcPr>
          <w:p w14:paraId="7E5B810A">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1DF334B5">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0EDE0DBA">
            <w:pPr>
              <w:pStyle w:val="36"/>
              <w:spacing w:beforeLines="0" w:afterLine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551" w:type="pct"/>
            <w:noWrap w:val="0"/>
            <w:tcMar>
              <w:left w:w="28" w:type="dxa"/>
              <w:right w:w="28" w:type="dxa"/>
            </w:tcMar>
            <w:vAlign w:val="center"/>
          </w:tcPr>
          <w:p w14:paraId="5A175823">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77DA047D">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560" w:type="pct"/>
            <w:noWrap w:val="0"/>
            <w:tcMar>
              <w:left w:w="28" w:type="dxa"/>
              <w:right w:w="28" w:type="dxa"/>
            </w:tcMar>
            <w:vAlign w:val="center"/>
          </w:tcPr>
          <w:p w14:paraId="1238D3EB">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75395710">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555" w:type="pct"/>
            <w:noWrap w:val="0"/>
            <w:tcMar>
              <w:left w:w="28" w:type="dxa"/>
              <w:right w:w="28" w:type="dxa"/>
            </w:tcMar>
            <w:vAlign w:val="center"/>
          </w:tcPr>
          <w:p w14:paraId="4A323B8E">
            <w:pPr>
              <w:pStyle w:val="36"/>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241600F0">
            <w:pPr>
              <w:pStyle w:val="36"/>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627" w:type="pct"/>
            <w:noWrap w:val="0"/>
            <w:tcMar>
              <w:left w:w="28" w:type="dxa"/>
              <w:right w:w="28" w:type="dxa"/>
            </w:tcMar>
            <w:vAlign w:val="center"/>
          </w:tcPr>
          <w:p w14:paraId="03AF4AD9">
            <w:pPr>
              <w:pStyle w:val="36"/>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05245529">
            <w:pPr>
              <w:pStyle w:val="36"/>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534" w:type="pct"/>
            <w:noWrap w:val="0"/>
            <w:tcMar>
              <w:left w:w="28" w:type="dxa"/>
              <w:right w:w="28" w:type="dxa"/>
            </w:tcMar>
            <w:vAlign w:val="center"/>
          </w:tcPr>
          <w:p w14:paraId="0793E2CF">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09FD10E3">
            <w:pPr>
              <w:pStyle w:val="36"/>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15BCE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restart"/>
            <w:noWrap w:val="0"/>
            <w:vAlign w:val="center"/>
          </w:tcPr>
          <w:p w14:paraId="5C0D631A">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571" w:type="pct"/>
            <w:noWrap w:val="0"/>
            <w:vAlign w:val="center"/>
          </w:tcPr>
          <w:p w14:paraId="641EC646">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非甲烷总烃</w:t>
            </w:r>
          </w:p>
        </w:tc>
        <w:tc>
          <w:tcPr>
            <w:tcW w:w="616" w:type="pct"/>
            <w:noWrap w:val="0"/>
            <w:vAlign w:val="center"/>
          </w:tcPr>
          <w:p w14:paraId="1FAC252F">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4FE1E39C">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46AAB257">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3F8A8BDA">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0.099t/a</w:t>
            </w:r>
          </w:p>
        </w:tc>
        <w:tc>
          <w:tcPr>
            <w:tcW w:w="555" w:type="pct"/>
            <w:noWrap w:val="0"/>
            <w:vAlign w:val="center"/>
          </w:tcPr>
          <w:p w14:paraId="32AD6199">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57549BDB">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0.099t/a</w:t>
            </w:r>
          </w:p>
        </w:tc>
        <w:tc>
          <w:tcPr>
            <w:tcW w:w="534" w:type="pct"/>
            <w:noWrap w:val="0"/>
            <w:vAlign w:val="center"/>
          </w:tcPr>
          <w:p w14:paraId="281F19AF">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+0.099</w:t>
            </w:r>
          </w:p>
        </w:tc>
      </w:tr>
      <w:tr w14:paraId="650B4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68CFEC4F">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4DA0EF69">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颗粒物</w:t>
            </w:r>
          </w:p>
        </w:tc>
        <w:tc>
          <w:tcPr>
            <w:tcW w:w="616" w:type="pct"/>
            <w:noWrap w:val="0"/>
            <w:vAlign w:val="center"/>
          </w:tcPr>
          <w:p w14:paraId="1DBD502F">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6B83594E">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2422BA03">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44AB7613">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0.00168t/a</w:t>
            </w:r>
          </w:p>
        </w:tc>
        <w:tc>
          <w:tcPr>
            <w:tcW w:w="555" w:type="pct"/>
            <w:noWrap w:val="0"/>
            <w:vAlign w:val="center"/>
          </w:tcPr>
          <w:p w14:paraId="359D488C">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58EA41B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0.00168t/a</w:t>
            </w:r>
          </w:p>
        </w:tc>
        <w:tc>
          <w:tcPr>
            <w:tcW w:w="534" w:type="pct"/>
            <w:noWrap w:val="0"/>
            <w:vAlign w:val="center"/>
          </w:tcPr>
          <w:p w14:paraId="2C4ADFF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+0.00168</w:t>
            </w:r>
          </w:p>
        </w:tc>
      </w:tr>
      <w:tr w14:paraId="38865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7757A095">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5495FC7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锡及其化合物</w:t>
            </w:r>
          </w:p>
        </w:tc>
        <w:tc>
          <w:tcPr>
            <w:tcW w:w="1664" w:type="dxa"/>
            <w:noWrap w:val="0"/>
            <w:vAlign w:val="center"/>
          </w:tcPr>
          <w:p w14:paraId="0D5C6916">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48" w:type="dxa"/>
            <w:noWrap w:val="0"/>
            <w:vAlign w:val="center"/>
          </w:tcPr>
          <w:p w14:paraId="1E3703F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488" w:type="dxa"/>
            <w:noWrap w:val="0"/>
            <w:vAlign w:val="center"/>
          </w:tcPr>
          <w:p w14:paraId="3C0A27F3">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53BFA51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0.00168t/a</w:t>
            </w:r>
          </w:p>
        </w:tc>
        <w:tc>
          <w:tcPr>
            <w:tcW w:w="555" w:type="pct"/>
            <w:noWrap w:val="0"/>
            <w:vAlign w:val="center"/>
          </w:tcPr>
          <w:p w14:paraId="4EA426F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0D09569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0.00168t/a</w:t>
            </w:r>
          </w:p>
        </w:tc>
        <w:tc>
          <w:tcPr>
            <w:tcW w:w="534" w:type="pct"/>
            <w:noWrap w:val="0"/>
            <w:vAlign w:val="center"/>
          </w:tcPr>
          <w:p w14:paraId="1F18524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+0.00168</w:t>
            </w:r>
          </w:p>
        </w:tc>
      </w:tr>
      <w:tr w14:paraId="133E1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restart"/>
            <w:noWrap w:val="0"/>
            <w:vAlign w:val="center"/>
          </w:tcPr>
          <w:p w14:paraId="0FE1CA19">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571" w:type="pct"/>
            <w:noWrap w:val="0"/>
            <w:vAlign w:val="center"/>
          </w:tcPr>
          <w:p w14:paraId="4E2E01A3">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COD</w:t>
            </w:r>
          </w:p>
        </w:tc>
        <w:tc>
          <w:tcPr>
            <w:tcW w:w="616" w:type="pct"/>
            <w:noWrap w:val="0"/>
            <w:vAlign w:val="center"/>
          </w:tcPr>
          <w:p w14:paraId="0440D7D5">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10191770">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058EE769">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06458AC2">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11.26t/a</w:t>
            </w:r>
          </w:p>
        </w:tc>
        <w:tc>
          <w:tcPr>
            <w:tcW w:w="555" w:type="pct"/>
            <w:noWrap w:val="0"/>
            <w:vAlign w:val="center"/>
          </w:tcPr>
          <w:p w14:paraId="34723203">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6D63BBE3">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11.26t/a</w:t>
            </w:r>
          </w:p>
        </w:tc>
        <w:tc>
          <w:tcPr>
            <w:tcW w:w="534" w:type="pct"/>
            <w:noWrap w:val="0"/>
            <w:vAlign w:val="center"/>
          </w:tcPr>
          <w:p w14:paraId="6C003303">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+11.26</w:t>
            </w:r>
          </w:p>
        </w:tc>
      </w:tr>
      <w:tr w14:paraId="0DDE70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3D83D387">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0504F06F">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BOD</w:t>
            </w:r>
            <w:r>
              <w:rPr>
                <w:rFonts w:hint="default" w:ascii="Times New Roman" w:hAnsi="Times New Roman" w:cs="Times New Roman"/>
                <w:snapToGrid w:val="0"/>
                <w:color w:val="auto"/>
                <w:kern w:val="21"/>
                <w:szCs w:val="21"/>
                <w:highlight w:val="none"/>
                <w:vertAlign w:val="subscript"/>
                <w:lang w:val="en-US" w:eastAsia="zh-CN"/>
              </w:rPr>
              <w:t>5</w:t>
            </w:r>
          </w:p>
        </w:tc>
        <w:tc>
          <w:tcPr>
            <w:tcW w:w="616" w:type="pct"/>
            <w:noWrap w:val="0"/>
            <w:vAlign w:val="center"/>
          </w:tcPr>
          <w:p w14:paraId="79250547">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760B6C5F">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213DA21E">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2AD458E0">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6.19t/a</w:t>
            </w:r>
          </w:p>
        </w:tc>
        <w:tc>
          <w:tcPr>
            <w:tcW w:w="555" w:type="pct"/>
            <w:noWrap w:val="0"/>
            <w:vAlign w:val="center"/>
          </w:tcPr>
          <w:p w14:paraId="08913E8D">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74F80F94">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6.19t/a</w:t>
            </w:r>
          </w:p>
        </w:tc>
        <w:tc>
          <w:tcPr>
            <w:tcW w:w="534" w:type="pct"/>
            <w:noWrap w:val="0"/>
            <w:vAlign w:val="center"/>
          </w:tcPr>
          <w:p w14:paraId="24899675">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+6.19</w:t>
            </w:r>
          </w:p>
        </w:tc>
      </w:tr>
      <w:tr w14:paraId="740F26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7BDAEF61">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7986B62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SS</w:t>
            </w:r>
          </w:p>
        </w:tc>
        <w:tc>
          <w:tcPr>
            <w:tcW w:w="616" w:type="pct"/>
            <w:noWrap w:val="0"/>
            <w:vAlign w:val="center"/>
          </w:tcPr>
          <w:p w14:paraId="6B120A5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6F48EB6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2E55CA6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2C26345C">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5.63t/a</w:t>
            </w:r>
          </w:p>
        </w:tc>
        <w:tc>
          <w:tcPr>
            <w:tcW w:w="555" w:type="pct"/>
            <w:noWrap w:val="0"/>
            <w:vAlign w:val="center"/>
          </w:tcPr>
          <w:p w14:paraId="15DE9DC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60E79BED">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5.63t/a</w:t>
            </w:r>
          </w:p>
        </w:tc>
        <w:tc>
          <w:tcPr>
            <w:tcW w:w="534" w:type="pct"/>
            <w:noWrap w:val="0"/>
            <w:vAlign w:val="center"/>
          </w:tcPr>
          <w:p w14:paraId="73E9102A">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+5.63</w:t>
            </w:r>
          </w:p>
        </w:tc>
      </w:tr>
      <w:tr w14:paraId="4617C7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32797296">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2A44919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动植物油</w:t>
            </w:r>
          </w:p>
        </w:tc>
        <w:tc>
          <w:tcPr>
            <w:tcW w:w="1664" w:type="dxa"/>
            <w:noWrap w:val="0"/>
            <w:vAlign w:val="center"/>
          </w:tcPr>
          <w:p w14:paraId="22500CE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48" w:type="dxa"/>
            <w:noWrap w:val="0"/>
            <w:vAlign w:val="center"/>
          </w:tcPr>
          <w:p w14:paraId="0ADBDA1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488" w:type="dxa"/>
            <w:noWrap w:val="0"/>
            <w:vAlign w:val="center"/>
          </w:tcPr>
          <w:p w14:paraId="06CB8AC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787E7BA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0.315t/a</w:t>
            </w:r>
          </w:p>
        </w:tc>
        <w:tc>
          <w:tcPr>
            <w:tcW w:w="555" w:type="pct"/>
            <w:noWrap w:val="0"/>
            <w:vAlign w:val="center"/>
          </w:tcPr>
          <w:p w14:paraId="6AD3F28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2D2BF19D">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0.315t/a</w:t>
            </w:r>
          </w:p>
        </w:tc>
        <w:tc>
          <w:tcPr>
            <w:tcW w:w="534" w:type="pct"/>
            <w:noWrap w:val="0"/>
            <w:vAlign w:val="center"/>
          </w:tcPr>
          <w:p w14:paraId="0638AB7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+0.315</w:t>
            </w:r>
          </w:p>
        </w:tc>
      </w:tr>
      <w:tr w14:paraId="0954DE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301D8E03">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79FF980C">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氨氮</w:t>
            </w:r>
          </w:p>
        </w:tc>
        <w:tc>
          <w:tcPr>
            <w:tcW w:w="616" w:type="pct"/>
            <w:noWrap w:val="0"/>
            <w:vAlign w:val="center"/>
          </w:tcPr>
          <w:p w14:paraId="732DFAB0">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08EB658C">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56EC87F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7008E53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0.704t/a</w:t>
            </w:r>
          </w:p>
        </w:tc>
        <w:tc>
          <w:tcPr>
            <w:tcW w:w="555" w:type="pct"/>
            <w:noWrap w:val="0"/>
            <w:vAlign w:val="center"/>
          </w:tcPr>
          <w:p w14:paraId="7DFCA3E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20B30C4F">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0.704t/a</w:t>
            </w:r>
          </w:p>
        </w:tc>
        <w:tc>
          <w:tcPr>
            <w:tcW w:w="534" w:type="pct"/>
            <w:noWrap w:val="0"/>
            <w:vAlign w:val="center"/>
          </w:tcPr>
          <w:p w14:paraId="4DBA73DA">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+0.704</w:t>
            </w:r>
          </w:p>
        </w:tc>
      </w:tr>
      <w:tr w14:paraId="446D8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50534BCE">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0E382A66">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总磷</w:t>
            </w:r>
          </w:p>
        </w:tc>
        <w:tc>
          <w:tcPr>
            <w:tcW w:w="616" w:type="pct"/>
            <w:noWrap w:val="0"/>
            <w:vAlign w:val="center"/>
          </w:tcPr>
          <w:p w14:paraId="0659715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27657A4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789E7380">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15DE8C99">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0.197t/a</w:t>
            </w:r>
          </w:p>
        </w:tc>
        <w:tc>
          <w:tcPr>
            <w:tcW w:w="555" w:type="pct"/>
            <w:noWrap w:val="0"/>
            <w:vAlign w:val="center"/>
          </w:tcPr>
          <w:p w14:paraId="47B9CD96">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799E47CB">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0.197t/a</w:t>
            </w:r>
          </w:p>
        </w:tc>
        <w:tc>
          <w:tcPr>
            <w:tcW w:w="534" w:type="pct"/>
            <w:noWrap w:val="0"/>
            <w:vAlign w:val="center"/>
          </w:tcPr>
          <w:p w14:paraId="03783EEB">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+0.197</w:t>
            </w:r>
          </w:p>
        </w:tc>
      </w:tr>
      <w:tr w14:paraId="1B7EB7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5519796F">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588A22C6">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总氮</w:t>
            </w:r>
          </w:p>
        </w:tc>
        <w:tc>
          <w:tcPr>
            <w:tcW w:w="616" w:type="pct"/>
            <w:noWrap w:val="0"/>
            <w:vAlign w:val="center"/>
          </w:tcPr>
          <w:p w14:paraId="78ABAF3E">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6F395BC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023D4F5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5400ACEB">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1.126t/a</w:t>
            </w:r>
          </w:p>
        </w:tc>
        <w:tc>
          <w:tcPr>
            <w:tcW w:w="555" w:type="pct"/>
            <w:noWrap w:val="0"/>
            <w:vAlign w:val="center"/>
          </w:tcPr>
          <w:p w14:paraId="26BA078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7F36DEAA">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1.126t/a</w:t>
            </w:r>
          </w:p>
        </w:tc>
        <w:tc>
          <w:tcPr>
            <w:tcW w:w="534" w:type="pct"/>
            <w:noWrap w:val="0"/>
            <w:vAlign w:val="center"/>
          </w:tcPr>
          <w:p w14:paraId="7F8254D0">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+1.126</w:t>
            </w:r>
          </w:p>
        </w:tc>
      </w:tr>
      <w:tr w14:paraId="79A0BD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restart"/>
            <w:noWrap w:val="0"/>
            <w:vAlign w:val="center"/>
          </w:tcPr>
          <w:p w14:paraId="730CDC0F">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785F19AC">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571" w:type="pct"/>
            <w:noWrap w:val="0"/>
            <w:vAlign w:val="center"/>
          </w:tcPr>
          <w:p w14:paraId="4297373B">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废包装（普通）</w:t>
            </w:r>
          </w:p>
        </w:tc>
        <w:tc>
          <w:tcPr>
            <w:tcW w:w="616" w:type="pct"/>
            <w:noWrap w:val="0"/>
            <w:vAlign w:val="center"/>
          </w:tcPr>
          <w:p w14:paraId="748D85B7">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3F448206">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094B94F2">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29396FD3">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0.1t/a</w:t>
            </w:r>
          </w:p>
        </w:tc>
        <w:tc>
          <w:tcPr>
            <w:tcW w:w="555" w:type="pct"/>
            <w:noWrap w:val="0"/>
            <w:vAlign w:val="center"/>
          </w:tcPr>
          <w:p w14:paraId="2584738F">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6B4D26EC">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0.1t/a</w:t>
            </w:r>
          </w:p>
        </w:tc>
        <w:tc>
          <w:tcPr>
            <w:tcW w:w="534" w:type="pct"/>
            <w:noWrap w:val="0"/>
            <w:vAlign w:val="center"/>
          </w:tcPr>
          <w:p w14:paraId="316C6B0E">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+0.1</w:t>
            </w:r>
          </w:p>
        </w:tc>
      </w:tr>
      <w:tr w14:paraId="3EDAF3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6FF87CBD">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06A7A176">
            <w:pPr>
              <w:wordWrap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废活性炭滤芯</w:t>
            </w:r>
          </w:p>
        </w:tc>
        <w:tc>
          <w:tcPr>
            <w:tcW w:w="616" w:type="pct"/>
            <w:noWrap w:val="0"/>
            <w:vAlign w:val="center"/>
          </w:tcPr>
          <w:p w14:paraId="4661D13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0125EDC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2C61310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1FAB9DB8">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0.05t/a</w:t>
            </w:r>
          </w:p>
        </w:tc>
        <w:tc>
          <w:tcPr>
            <w:tcW w:w="555" w:type="pct"/>
            <w:noWrap w:val="0"/>
            <w:vAlign w:val="center"/>
          </w:tcPr>
          <w:p w14:paraId="06F0126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2C4B6DF9">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0.05t/a</w:t>
            </w:r>
          </w:p>
        </w:tc>
        <w:tc>
          <w:tcPr>
            <w:tcW w:w="534" w:type="pct"/>
            <w:noWrap w:val="0"/>
            <w:vAlign w:val="center"/>
          </w:tcPr>
          <w:p w14:paraId="672E3E01">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+0.05</w:t>
            </w:r>
          </w:p>
        </w:tc>
      </w:tr>
      <w:tr w14:paraId="123925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503C04BB">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152D7A99">
            <w:pPr>
              <w:wordWrap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废反渗透膜</w:t>
            </w:r>
          </w:p>
        </w:tc>
        <w:tc>
          <w:tcPr>
            <w:tcW w:w="616" w:type="pct"/>
            <w:noWrap w:val="0"/>
            <w:vAlign w:val="center"/>
          </w:tcPr>
          <w:p w14:paraId="5F0CF602">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53A01F76">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45DF160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405AB4B3">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0.01t/a</w:t>
            </w:r>
          </w:p>
        </w:tc>
        <w:tc>
          <w:tcPr>
            <w:tcW w:w="555" w:type="pct"/>
            <w:noWrap w:val="0"/>
            <w:vAlign w:val="center"/>
          </w:tcPr>
          <w:p w14:paraId="3C101B1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605082AD">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0.01t/a</w:t>
            </w:r>
          </w:p>
        </w:tc>
        <w:tc>
          <w:tcPr>
            <w:tcW w:w="534" w:type="pct"/>
            <w:noWrap w:val="0"/>
            <w:vAlign w:val="center"/>
          </w:tcPr>
          <w:p w14:paraId="7D18688F">
            <w:pPr>
              <w:tabs>
                <w:tab w:val="left" w:pos="4515"/>
              </w:tabs>
              <w:wordWrap w:val="0"/>
              <w:autoSpaceDE w:val="0"/>
              <w:autoSpaceDN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+0.01</w:t>
            </w:r>
          </w:p>
        </w:tc>
      </w:tr>
      <w:tr w14:paraId="709B0C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58217C9A">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74E99F61">
            <w:pPr>
              <w:wordWrap w:val="0"/>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废零件</w:t>
            </w:r>
          </w:p>
        </w:tc>
        <w:tc>
          <w:tcPr>
            <w:tcW w:w="616" w:type="pct"/>
            <w:noWrap w:val="0"/>
            <w:vAlign w:val="center"/>
          </w:tcPr>
          <w:p w14:paraId="1D8A7BE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0ECDF16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73096293">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1DC4EAA9">
            <w:pPr>
              <w:tabs>
                <w:tab w:val="left" w:pos="4515"/>
              </w:tabs>
              <w:wordWrap w:val="0"/>
              <w:autoSpaceDE w:val="0"/>
              <w:autoSpaceDN w:val="0"/>
              <w:adjustRightInd w:val="0"/>
              <w:snapToGrid w:val="0"/>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0.2t/a</w:t>
            </w:r>
          </w:p>
        </w:tc>
        <w:tc>
          <w:tcPr>
            <w:tcW w:w="555" w:type="pct"/>
            <w:noWrap w:val="0"/>
            <w:vAlign w:val="center"/>
          </w:tcPr>
          <w:p w14:paraId="6B915D9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46CC5DD8">
            <w:pPr>
              <w:tabs>
                <w:tab w:val="left" w:pos="4515"/>
              </w:tabs>
              <w:wordWrap w:val="0"/>
              <w:autoSpaceDE w:val="0"/>
              <w:autoSpaceDN w:val="0"/>
              <w:adjustRightInd w:val="0"/>
              <w:snapToGrid w:val="0"/>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0.2t/a</w:t>
            </w:r>
          </w:p>
        </w:tc>
        <w:tc>
          <w:tcPr>
            <w:tcW w:w="534" w:type="pct"/>
            <w:noWrap w:val="0"/>
            <w:vAlign w:val="center"/>
          </w:tcPr>
          <w:p w14:paraId="397444BA">
            <w:pPr>
              <w:tabs>
                <w:tab w:val="left" w:pos="4515"/>
              </w:tabs>
              <w:wordWrap w:val="0"/>
              <w:autoSpaceDE w:val="0"/>
              <w:autoSpaceDN w:val="0"/>
              <w:adjustRightInd w:val="0"/>
              <w:snapToGrid w:val="0"/>
              <w:jc w:val="center"/>
              <w:rPr>
                <w:rFonts w:hint="default" w:ascii="Times New Roman" w:hAnsi="Times New Roman" w:cs="Times New Roman"/>
                <w:b w:val="0"/>
                <w:bCs/>
                <w:color w:val="auto"/>
                <w:kern w:val="2"/>
                <w:sz w:val="21"/>
                <w:szCs w:val="21"/>
                <w:highlight w:val="none"/>
                <w:lang w:val="en-US" w:eastAsia="zh-CN" w:bidi="ar-SA"/>
              </w:rPr>
            </w:pPr>
            <w:r>
              <w:rPr>
                <w:rFonts w:hint="default" w:ascii="Times New Roman" w:hAnsi="Times New Roman" w:cs="Times New Roman"/>
                <w:b w:val="0"/>
                <w:bCs/>
                <w:color w:val="auto"/>
                <w:kern w:val="2"/>
                <w:sz w:val="21"/>
                <w:szCs w:val="21"/>
                <w:highlight w:val="none"/>
                <w:lang w:val="en-US" w:eastAsia="zh-CN" w:bidi="ar-SA"/>
              </w:rPr>
              <w:t>+0.2</w:t>
            </w:r>
          </w:p>
        </w:tc>
      </w:tr>
      <w:tr w14:paraId="0293F2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restart"/>
            <w:noWrap w:val="0"/>
            <w:vAlign w:val="center"/>
          </w:tcPr>
          <w:p w14:paraId="57E434B5">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571" w:type="pct"/>
            <w:noWrap w:val="0"/>
            <w:vAlign w:val="center"/>
          </w:tcPr>
          <w:p w14:paraId="500826F4">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废活性炭</w:t>
            </w:r>
          </w:p>
        </w:tc>
        <w:tc>
          <w:tcPr>
            <w:tcW w:w="616" w:type="pct"/>
            <w:noWrap w:val="0"/>
            <w:vAlign w:val="center"/>
          </w:tcPr>
          <w:p w14:paraId="562B253A">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1F5A6E21">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4735B67E">
            <w:pPr>
              <w:pStyle w:val="36"/>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7FBC03FE">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2.0t/a</w:t>
            </w:r>
          </w:p>
        </w:tc>
        <w:tc>
          <w:tcPr>
            <w:tcW w:w="555" w:type="pct"/>
            <w:noWrap w:val="0"/>
            <w:vAlign w:val="center"/>
          </w:tcPr>
          <w:p w14:paraId="0A6229E2">
            <w:pPr>
              <w:pStyle w:val="36"/>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79486840">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2.0t/a</w:t>
            </w:r>
          </w:p>
        </w:tc>
        <w:tc>
          <w:tcPr>
            <w:tcW w:w="534" w:type="pct"/>
            <w:noWrap w:val="0"/>
            <w:vAlign w:val="center"/>
          </w:tcPr>
          <w:p w14:paraId="06F4CCDE">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+2.0</w:t>
            </w:r>
          </w:p>
        </w:tc>
      </w:tr>
      <w:tr w14:paraId="6052B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51A003EF">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0E789AC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废过滤棉</w:t>
            </w:r>
          </w:p>
        </w:tc>
        <w:tc>
          <w:tcPr>
            <w:tcW w:w="1664" w:type="dxa"/>
            <w:noWrap w:val="0"/>
            <w:vAlign w:val="center"/>
          </w:tcPr>
          <w:p w14:paraId="7645A68C">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48" w:type="dxa"/>
            <w:noWrap w:val="0"/>
            <w:vAlign w:val="center"/>
          </w:tcPr>
          <w:p w14:paraId="0F09769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488" w:type="dxa"/>
            <w:noWrap w:val="0"/>
            <w:vAlign w:val="center"/>
          </w:tcPr>
          <w:p w14:paraId="6BDA0ABC">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1B488AAD">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0.01t/a</w:t>
            </w:r>
          </w:p>
        </w:tc>
        <w:tc>
          <w:tcPr>
            <w:tcW w:w="555" w:type="pct"/>
            <w:noWrap w:val="0"/>
            <w:vAlign w:val="center"/>
          </w:tcPr>
          <w:p w14:paraId="7BCBDEF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2F12311E">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0.01t/a</w:t>
            </w:r>
          </w:p>
        </w:tc>
        <w:tc>
          <w:tcPr>
            <w:tcW w:w="534" w:type="pct"/>
            <w:noWrap w:val="0"/>
            <w:vAlign w:val="center"/>
          </w:tcPr>
          <w:p w14:paraId="1759474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+0.01</w:t>
            </w:r>
          </w:p>
        </w:tc>
      </w:tr>
      <w:tr w14:paraId="3E517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5514C463">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6482093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废清洗剂</w:t>
            </w:r>
          </w:p>
        </w:tc>
        <w:tc>
          <w:tcPr>
            <w:tcW w:w="616" w:type="pct"/>
            <w:noWrap w:val="0"/>
            <w:vAlign w:val="center"/>
          </w:tcPr>
          <w:p w14:paraId="29FB885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3BFF21A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2589D2A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0AB9C0C8">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49.88t/a</w:t>
            </w:r>
          </w:p>
        </w:tc>
        <w:tc>
          <w:tcPr>
            <w:tcW w:w="555" w:type="pct"/>
            <w:noWrap w:val="0"/>
            <w:vAlign w:val="center"/>
          </w:tcPr>
          <w:p w14:paraId="35428E9E">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3B3CFAB6">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49.88t/a</w:t>
            </w:r>
          </w:p>
        </w:tc>
        <w:tc>
          <w:tcPr>
            <w:tcW w:w="534" w:type="pct"/>
            <w:noWrap w:val="0"/>
            <w:vAlign w:val="center"/>
          </w:tcPr>
          <w:p w14:paraId="7935A2E7">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+49.88</w:t>
            </w:r>
          </w:p>
        </w:tc>
      </w:tr>
      <w:tr w14:paraId="1B52B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299D5434">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0D7A984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废灌封胶渣</w:t>
            </w:r>
          </w:p>
        </w:tc>
        <w:tc>
          <w:tcPr>
            <w:tcW w:w="1664" w:type="dxa"/>
            <w:noWrap w:val="0"/>
            <w:vAlign w:val="center"/>
          </w:tcPr>
          <w:p w14:paraId="3AEBA16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48" w:type="dxa"/>
            <w:noWrap w:val="0"/>
            <w:vAlign w:val="center"/>
          </w:tcPr>
          <w:p w14:paraId="1288227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488" w:type="dxa"/>
            <w:noWrap w:val="0"/>
            <w:vAlign w:val="center"/>
          </w:tcPr>
          <w:p w14:paraId="25509C1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5618CF9A">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0.2t/a</w:t>
            </w:r>
          </w:p>
        </w:tc>
        <w:tc>
          <w:tcPr>
            <w:tcW w:w="555" w:type="pct"/>
            <w:noWrap w:val="0"/>
            <w:vAlign w:val="center"/>
          </w:tcPr>
          <w:p w14:paraId="7167474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2986C4F3">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0.2t/a</w:t>
            </w:r>
          </w:p>
        </w:tc>
        <w:tc>
          <w:tcPr>
            <w:tcW w:w="534" w:type="pct"/>
            <w:noWrap w:val="0"/>
            <w:vAlign w:val="center"/>
          </w:tcPr>
          <w:p w14:paraId="6D0DFF6C">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+0.2</w:t>
            </w:r>
          </w:p>
        </w:tc>
      </w:tr>
      <w:tr w14:paraId="299628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35FA3967">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244AAD1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不合格电路板</w:t>
            </w:r>
          </w:p>
        </w:tc>
        <w:tc>
          <w:tcPr>
            <w:tcW w:w="616" w:type="pct"/>
            <w:noWrap w:val="0"/>
            <w:vAlign w:val="center"/>
          </w:tcPr>
          <w:p w14:paraId="574149B7">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5C2F3934">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4EC5454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04A1D18B">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0.1t/a</w:t>
            </w:r>
          </w:p>
        </w:tc>
        <w:tc>
          <w:tcPr>
            <w:tcW w:w="555" w:type="pct"/>
            <w:noWrap w:val="0"/>
            <w:vAlign w:val="center"/>
          </w:tcPr>
          <w:p w14:paraId="1FB14468">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1DF83BA4">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0.1t/a</w:t>
            </w:r>
          </w:p>
        </w:tc>
        <w:tc>
          <w:tcPr>
            <w:tcW w:w="534" w:type="pct"/>
            <w:noWrap w:val="0"/>
            <w:vAlign w:val="center"/>
          </w:tcPr>
          <w:p w14:paraId="38A9C332">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+0.1</w:t>
            </w:r>
          </w:p>
        </w:tc>
      </w:tr>
      <w:tr w14:paraId="3896FC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44401FC0">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313C4253">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不合格电源模块</w:t>
            </w:r>
          </w:p>
        </w:tc>
        <w:tc>
          <w:tcPr>
            <w:tcW w:w="1664" w:type="dxa"/>
            <w:noWrap w:val="0"/>
            <w:vAlign w:val="center"/>
          </w:tcPr>
          <w:p w14:paraId="287A2DC6">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48" w:type="dxa"/>
            <w:noWrap w:val="0"/>
            <w:vAlign w:val="center"/>
          </w:tcPr>
          <w:p w14:paraId="7DF3D569">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488" w:type="dxa"/>
            <w:noWrap w:val="0"/>
            <w:vAlign w:val="center"/>
          </w:tcPr>
          <w:p w14:paraId="1F2E3DA5">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512" w:type="dxa"/>
            <w:noWrap w:val="0"/>
            <w:vAlign w:val="center"/>
          </w:tcPr>
          <w:p w14:paraId="300754F0">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5.0t/a</w:t>
            </w:r>
          </w:p>
        </w:tc>
        <w:tc>
          <w:tcPr>
            <w:tcW w:w="1499" w:type="dxa"/>
            <w:noWrap w:val="0"/>
            <w:vAlign w:val="center"/>
          </w:tcPr>
          <w:p w14:paraId="70F4715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693" w:type="dxa"/>
            <w:noWrap w:val="0"/>
            <w:vAlign w:val="center"/>
          </w:tcPr>
          <w:p w14:paraId="0B2F7E7A">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5.0t/a</w:t>
            </w:r>
          </w:p>
        </w:tc>
        <w:tc>
          <w:tcPr>
            <w:tcW w:w="1442" w:type="dxa"/>
            <w:noWrap w:val="0"/>
            <w:vAlign w:val="center"/>
          </w:tcPr>
          <w:p w14:paraId="273249EF">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+5.0</w:t>
            </w:r>
          </w:p>
        </w:tc>
      </w:tr>
      <w:tr w14:paraId="09659C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18" w:type="pct"/>
            <w:vMerge w:val="continue"/>
            <w:noWrap w:val="0"/>
            <w:vAlign w:val="center"/>
          </w:tcPr>
          <w:p w14:paraId="7655B193">
            <w:pPr>
              <w:pStyle w:val="36"/>
              <w:spacing w:beforeLines="0" w:afterLines="0" w:line="240" w:lineRule="auto"/>
              <w:rPr>
                <w:rFonts w:hint="default" w:ascii="Times New Roman" w:hAnsi="Times New Roman" w:cs="Times New Roman"/>
                <w:snapToGrid w:val="0"/>
                <w:color w:val="auto"/>
                <w:kern w:val="21"/>
                <w:szCs w:val="21"/>
                <w:highlight w:val="none"/>
              </w:rPr>
            </w:pPr>
          </w:p>
        </w:tc>
        <w:tc>
          <w:tcPr>
            <w:tcW w:w="571" w:type="pct"/>
            <w:noWrap w:val="0"/>
            <w:vAlign w:val="center"/>
          </w:tcPr>
          <w:p w14:paraId="71A1914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废包装（清洗剂桶、清洗剂桶）</w:t>
            </w:r>
          </w:p>
        </w:tc>
        <w:tc>
          <w:tcPr>
            <w:tcW w:w="616" w:type="pct"/>
            <w:noWrap w:val="0"/>
            <w:vAlign w:val="center"/>
          </w:tcPr>
          <w:p w14:paraId="2139EB19">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462" w:type="pct"/>
            <w:noWrap w:val="0"/>
            <w:vAlign w:val="center"/>
          </w:tcPr>
          <w:p w14:paraId="4209FAA1">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51" w:type="pct"/>
            <w:noWrap w:val="0"/>
            <w:vAlign w:val="center"/>
          </w:tcPr>
          <w:p w14:paraId="2F1DB8A0">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560" w:type="pct"/>
            <w:noWrap w:val="0"/>
            <w:vAlign w:val="center"/>
          </w:tcPr>
          <w:p w14:paraId="39246EFA">
            <w:pPr>
              <w:pStyle w:val="36"/>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0.2t/a</w:t>
            </w:r>
          </w:p>
        </w:tc>
        <w:tc>
          <w:tcPr>
            <w:tcW w:w="555" w:type="pct"/>
            <w:noWrap w:val="0"/>
            <w:vAlign w:val="center"/>
          </w:tcPr>
          <w:p w14:paraId="1570D2F0">
            <w:pPr>
              <w:pStyle w:val="36"/>
              <w:spacing w:beforeLines="0" w:afterLines="0" w:line="240" w:lineRule="auto"/>
              <w:rPr>
                <w:rFonts w:hint="default" w:ascii="Times New Roman" w:hAnsi="Times New Roman" w:cs="Times New Roman"/>
                <w:snapToGrid w:val="0"/>
                <w:color w:val="auto"/>
                <w:kern w:val="21"/>
                <w:szCs w:val="21"/>
                <w:highlight w:val="none"/>
                <w:lang w:val="en-US" w:eastAsia="zh-CN"/>
              </w:rPr>
            </w:pPr>
            <w:bookmarkStart w:id="8" w:name="_GoBack"/>
            <w:bookmarkEnd w:id="8"/>
            <w:r>
              <w:rPr>
                <w:rFonts w:hint="default" w:ascii="Times New Roman" w:hAnsi="Times New Roman" w:cs="Times New Roman"/>
                <w:snapToGrid w:val="0"/>
                <w:color w:val="auto"/>
                <w:kern w:val="21"/>
                <w:szCs w:val="21"/>
                <w:highlight w:val="none"/>
                <w:lang w:val="en-US" w:eastAsia="zh-CN"/>
              </w:rPr>
              <w:t>/</w:t>
            </w:r>
          </w:p>
        </w:tc>
        <w:tc>
          <w:tcPr>
            <w:tcW w:w="627" w:type="pct"/>
            <w:noWrap w:val="0"/>
            <w:vAlign w:val="center"/>
          </w:tcPr>
          <w:p w14:paraId="09D2836C">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0.2t/a</w:t>
            </w:r>
          </w:p>
        </w:tc>
        <w:tc>
          <w:tcPr>
            <w:tcW w:w="534" w:type="pct"/>
            <w:noWrap w:val="0"/>
            <w:vAlign w:val="center"/>
          </w:tcPr>
          <w:p w14:paraId="0380FE2C">
            <w:pPr>
              <w:pStyle w:val="36"/>
              <w:spacing w:beforeLines="0" w:afterLines="0" w:line="240" w:lineRule="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+0.2</w:t>
            </w:r>
          </w:p>
        </w:tc>
      </w:tr>
    </w:tbl>
    <w:p w14:paraId="51DD636A">
      <w:pPr>
        <w:pStyle w:val="36"/>
        <w:spacing w:before="192" w:beforeLines="80" w:after="24"/>
        <w:jc w:val="left"/>
        <w:rPr>
          <w:rFonts w:hint="default" w:ascii="Times New Roman" w:hAnsi="Times New Roman" w:eastAsia="宋体" w:cs="Times New Roman"/>
          <w:color w:val="auto"/>
          <w:highlight w:val="none"/>
          <w:lang w:eastAsia="zh-CN"/>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lang w:eastAsia="zh-CN"/>
        </w:rPr>
        <w:t>吗</w:t>
      </w:r>
    </w:p>
    <w:sectPr>
      <w:footerReference r:id="rId7"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宋体"/>
    <w:panose1 w:val="02010609030101010101"/>
    <w:charset w:val="86"/>
    <w:family w:val="modern"/>
    <w:pitch w:val="default"/>
    <w:sig w:usb0="00000000" w:usb1="00000000" w:usb2="00000000" w:usb3="00000000" w:csb0="00040000" w:csb1="00000000"/>
  </w:font>
  <w:font w:name="方正小标宋_GBK">
    <w:altName w:val="宋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宋体"/>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BC47E">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ED659">
    <w:pPr>
      <w:pStyle w:val="19"/>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4D0335">
                          <w:pPr>
                            <w:pStyle w:val="1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4D0335">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A50AE">
    <w:pPr>
      <w:pStyle w:val="19"/>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7E9926">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17E9926">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8AF94">
    <w:pPr>
      <w:pStyle w:val="19"/>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8E8362">
                          <w:pPr>
                            <w:pStyle w:val="19"/>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F8E8362">
                    <w:pPr>
                      <w:pStyle w:val="19"/>
                    </w:pPr>
                    <w:r>
                      <w:fldChar w:fldCharType="begin"/>
                    </w:r>
                    <w:r>
                      <w:instrText xml:space="preserve"> PAGE  \* MERGEFORMAT </w:instrText>
                    </w:r>
                    <w:r>
                      <w:fldChar w:fldCharType="separate"/>
                    </w:r>
                    <w: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E6978">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6329C4"/>
    <w:multiLevelType w:val="singleLevel"/>
    <w:tmpl w:val="946329C4"/>
    <w:lvl w:ilvl="0" w:tentative="0">
      <w:start w:val="2"/>
      <w:numFmt w:val="decimal"/>
      <w:suff w:val="nothing"/>
      <w:lvlText w:val="（%1）"/>
      <w:lvlJc w:val="left"/>
    </w:lvl>
  </w:abstractNum>
  <w:abstractNum w:abstractNumId="1">
    <w:nsid w:val="B19F674C"/>
    <w:multiLevelType w:val="singleLevel"/>
    <w:tmpl w:val="B19F674C"/>
    <w:lvl w:ilvl="0" w:tentative="0">
      <w:start w:val="1"/>
      <w:numFmt w:val="decimal"/>
      <w:lvlText w:val="%1."/>
      <w:lvlJc w:val="left"/>
      <w:pPr>
        <w:tabs>
          <w:tab w:val="left" w:pos="312"/>
        </w:tabs>
      </w:pPr>
    </w:lvl>
  </w:abstractNum>
  <w:abstractNum w:abstractNumId="2">
    <w:nsid w:val="F2AC1699"/>
    <w:multiLevelType w:val="multilevel"/>
    <w:tmpl w:val="F2AC1699"/>
    <w:lvl w:ilvl="0" w:tentative="0">
      <w:start w:val="1"/>
      <w:numFmt w:val="decimal"/>
      <w:pStyle w:val="5"/>
      <w:suff w:val="space"/>
      <w:lvlText w:val="%1"/>
      <w:lvlJc w:val="left"/>
      <w:pPr>
        <w:tabs>
          <w:tab w:val="left" w:pos="0"/>
        </w:tabs>
        <w:ind w:left="425" w:hanging="425"/>
      </w:pPr>
      <w:rPr>
        <w:rFonts w:hint="default" w:ascii="Times New Roman" w:hAnsi="Times New Roman" w:eastAsia="宋体" w:cs="Times New Roman"/>
        <w:sz w:val="32"/>
        <w:szCs w:val="32"/>
      </w:rPr>
    </w:lvl>
    <w:lvl w:ilvl="1" w:tentative="0">
      <w:start w:val="1"/>
      <w:numFmt w:val="decimal"/>
      <w:pStyle w:val="6"/>
      <w:suff w:val="space"/>
      <w:lvlText w:val="%1.%2"/>
      <w:lvlJc w:val="left"/>
      <w:pPr>
        <w:tabs>
          <w:tab w:val="left" w:pos="0"/>
        </w:tabs>
        <w:ind w:left="0" w:firstLine="10"/>
      </w:pPr>
      <w:rPr>
        <w:rFonts w:hint="default" w:ascii="Times New Roman" w:hAnsi="Times New Roman" w:eastAsia="宋体" w:cs="Times New Roman"/>
        <w:sz w:val="30"/>
        <w:szCs w:val="30"/>
      </w:rPr>
    </w:lvl>
    <w:lvl w:ilvl="2" w:tentative="0">
      <w:start w:val="1"/>
      <w:numFmt w:val="decimal"/>
      <w:pStyle w:val="7"/>
      <w:suff w:val="space"/>
      <w:lvlText w:val="%1.%2.%3"/>
      <w:lvlJc w:val="left"/>
      <w:pPr>
        <w:tabs>
          <w:tab w:val="left" w:pos="420"/>
        </w:tabs>
        <w:ind w:left="709" w:hanging="709"/>
      </w:pPr>
      <w:rPr>
        <w:rFonts w:hint="default" w:ascii="Times New Roman" w:hAnsi="Times New Roman" w:eastAsia="宋体" w:cs="Times New Roman"/>
        <w:sz w:val="28"/>
        <w:szCs w:val="28"/>
      </w:rPr>
    </w:lvl>
    <w:lvl w:ilvl="3" w:tentative="0">
      <w:start w:val="1"/>
      <w:numFmt w:val="decimal"/>
      <w:pStyle w:val="8"/>
      <w:suff w:val="space"/>
      <w:lvlText w:val="%1.%2.%3.%4"/>
      <w:lvlJc w:val="left"/>
      <w:pPr>
        <w:tabs>
          <w:tab w:val="left" w:pos="420"/>
        </w:tabs>
        <w:ind w:left="850" w:hanging="850"/>
      </w:pPr>
      <w:rPr>
        <w:rFonts w:hint="default" w:ascii="Times New Roman" w:hAnsi="Times New Roman" w:eastAsia="宋体" w:cs="Times New Roman"/>
        <w:sz w:val="28"/>
        <w:szCs w:val="28"/>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187A4827"/>
    <w:multiLevelType w:val="singleLevel"/>
    <w:tmpl w:val="187A4827"/>
    <w:lvl w:ilvl="0" w:tentative="0">
      <w:start w:val="1"/>
      <w:numFmt w:val="decimal"/>
      <w:suff w:val="nothing"/>
      <w:lvlText w:val="%1、"/>
      <w:lvlJc w:val="left"/>
    </w:lvl>
  </w:abstractNum>
  <w:abstractNum w:abstractNumId="4">
    <w:nsid w:val="18CFAED0"/>
    <w:multiLevelType w:val="singleLevel"/>
    <w:tmpl w:val="18CFAED0"/>
    <w:lvl w:ilvl="0" w:tentative="0">
      <w:start w:val="1"/>
      <w:numFmt w:val="decimal"/>
      <w:suff w:val="nothing"/>
      <w:lvlText w:val="（%1）"/>
      <w:lvlJc w:val="left"/>
    </w:lvl>
  </w:abstractNum>
  <w:abstractNum w:abstractNumId="5">
    <w:nsid w:val="2BD86480"/>
    <w:multiLevelType w:val="singleLevel"/>
    <w:tmpl w:val="2BD86480"/>
    <w:lvl w:ilvl="0" w:tentative="0">
      <w:start w:val="1"/>
      <w:numFmt w:val="decimal"/>
      <w:suff w:val="nothing"/>
      <w:lvlText w:val="%1、"/>
      <w:lvlJc w:val="left"/>
    </w:lvl>
  </w:abstractNum>
  <w:abstractNum w:abstractNumId="6">
    <w:nsid w:val="4A90EEDE"/>
    <w:multiLevelType w:val="singleLevel"/>
    <w:tmpl w:val="4A90EEDE"/>
    <w:lvl w:ilvl="0" w:tentative="0">
      <w:start w:val="2"/>
      <w:numFmt w:val="chineseCounting"/>
      <w:suff w:val="nothing"/>
      <w:lvlText w:val="%1、"/>
      <w:lvlJc w:val="left"/>
      <w:rPr>
        <w:rFonts w:hint="eastAsia"/>
      </w:rPr>
    </w:lvl>
  </w:abstractNum>
  <w:abstractNum w:abstractNumId="7">
    <w:nsid w:val="5CEBC689"/>
    <w:multiLevelType w:val="singleLevel"/>
    <w:tmpl w:val="5CEBC689"/>
    <w:lvl w:ilvl="0" w:tentative="0">
      <w:start w:val="1"/>
      <w:numFmt w:val="decimal"/>
      <w:lvlText w:val="%1."/>
      <w:lvlJc w:val="left"/>
      <w:pPr>
        <w:tabs>
          <w:tab w:val="left" w:pos="312"/>
        </w:tabs>
      </w:pPr>
    </w:lvl>
  </w:abstractNum>
  <w:abstractNum w:abstractNumId="8">
    <w:nsid w:val="5D7BA069"/>
    <w:multiLevelType w:val="singleLevel"/>
    <w:tmpl w:val="5D7BA069"/>
    <w:lvl w:ilvl="0" w:tentative="0">
      <w:start w:val="1"/>
      <w:numFmt w:val="decimal"/>
      <w:suff w:val="nothing"/>
      <w:lvlText w:val="%1、"/>
      <w:lvlJc w:val="left"/>
    </w:lvl>
  </w:abstractNum>
  <w:abstractNum w:abstractNumId="9">
    <w:nsid w:val="5F67871B"/>
    <w:multiLevelType w:val="singleLevel"/>
    <w:tmpl w:val="5F67871B"/>
    <w:lvl w:ilvl="0" w:tentative="0">
      <w:start w:val="1"/>
      <w:numFmt w:val="decimal"/>
      <w:suff w:val="nothing"/>
      <w:lvlText w:val="%1、"/>
      <w:lvlJc w:val="left"/>
    </w:lvl>
  </w:abstractNum>
  <w:abstractNum w:abstractNumId="10">
    <w:nsid w:val="6E33944A"/>
    <w:multiLevelType w:val="singleLevel"/>
    <w:tmpl w:val="6E33944A"/>
    <w:lvl w:ilvl="0" w:tentative="0">
      <w:start w:val="1"/>
      <w:numFmt w:val="bullet"/>
      <w:pStyle w:val="17"/>
      <w:lvlText w:val=""/>
      <w:lvlJc w:val="left"/>
      <w:pPr>
        <w:tabs>
          <w:tab w:val="left" w:pos="2040"/>
        </w:tabs>
        <w:ind w:left="2040" w:hanging="360"/>
      </w:pPr>
      <w:rPr>
        <w:rFonts w:hint="default" w:ascii="Wingdings" w:hAnsi="Wingdings"/>
      </w:rPr>
    </w:lvl>
  </w:abstractNum>
  <w:abstractNum w:abstractNumId="11">
    <w:nsid w:val="7F46CB07"/>
    <w:multiLevelType w:val="singleLevel"/>
    <w:tmpl w:val="7F46CB07"/>
    <w:lvl w:ilvl="0" w:tentative="0">
      <w:start w:val="1"/>
      <w:numFmt w:val="decimal"/>
      <w:suff w:val="nothing"/>
      <w:lvlText w:val="%1、"/>
      <w:lvlJc w:val="left"/>
    </w:lvl>
  </w:abstractNum>
  <w:num w:numId="1">
    <w:abstractNumId w:val="2"/>
  </w:num>
  <w:num w:numId="2">
    <w:abstractNumId w:val="10"/>
  </w:num>
  <w:num w:numId="3">
    <w:abstractNumId w:val="7"/>
  </w:num>
  <w:num w:numId="4">
    <w:abstractNumId w:val="11"/>
  </w:num>
  <w:num w:numId="5">
    <w:abstractNumId w:val="1"/>
  </w:num>
  <w:num w:numId="6">
    <w:abstractNumId w:val="8"/>
  </w:num>
  <w:num w:numId="7">
    <w:abstractNumId w:val="9"/>
  </w:num>
  <w:num w:numId="8">
    <w:abstractNumId w:val="3"/>
  </w:num>
  <w:num w:numId="9">
    <w:abstractNumId w:val="6"/>
  </w:num>
  <w:num w:numId="10">
    <w:abstractNumId w:val="4"/>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wMGE5NmIzODU5ZWU5NGVkNDcwZTFjZDFkNGQ3ZGYifQ=="/>
  </w:docVars>
  <w:rsids>
    <w:rsidRoot w:val="00172A27"/>
    <w:rsid w:val="007B2AB3"/>
    <w:rsid w:val="0087743E"/>
    <w:rsid w:val="009D0EA3"/>
    <w:rsid w:val="00DE5CB6"/>
    <w:rsid w:val="01207B0A"/>
    <w:rsid w:val="01A93FA3"/>
    <w:rsid w:val="0257120C"/>
    <w:rsid w:val="02926626"/>
    <w:rsid w:val="02A56E89"/>
    <w:rsid w:val="02D4600D"/>
    <w:rsid w:val="033652BA"/>
    <w:rsid w:val="0359059C"/>
    <w:rsid w:val="03A10C87"/>
    <w:rsid w:val="047A39D5"/>
    <w:rsid w:val="04953508"/>
    <w:rsid w:val="05184F9C"/>
    <w:rsid w:val="051F1EB0"/>
    <w:rsid w:val="052971A9"/>
    <w:rsid w:val="052E4691"/>
    <w:rsid w:val="052F2A11"/>
    <w:rsid w:val="054F55E3"/>
    <w:rsid w:val="055A55B4"/>
    <w:rsid w:val="05BE6B16"/>
    <w:rsid w:val="065564A8"/>
    <w:rsid w:val="06905732"/>
    <w:rsid w:val="069A095C"/>
    <w:rsid w:val="06A27B90"/>
    <w:rsid w:val="06A44771"/>
    <w:rsid w:val="06C4362D"/>
    <w:rsid w:val="08121D8D"/>
    <w:rsid w:val="082C52E9"/>
    <w:rsid w:val="083B347B"/>
    <w:rsid w:val="08735811"/>
    <w:rsid w:val="08BF5E5A"/>
    <w:rsid w:val="08D12DD6"/>
    <w:rsid w:val="0929793D"/>
    <w:rsid w:val="09381D91"/>
    <w:rsid w:val="094B3B92"/>
    <w:rsid w:val="09526C63"/>
    <w:rsid w:val="09954E0D"/>
    <w:rsid w:val="0997182D"/>
    <w:rsid w:val="099F58C0"/>
    <w:rsid w:val="09AB5652"/>
    <w:rsid w:val="09F45FD8"/>
    <w:rsid w:val="0A170D06"/>
    <w:rsid w:val="0A342878"/>
    <w:rsid w:val="0ABD286D"/>
    <w:rsid w:val="0AC63FA5"/>
    <w:rsid w:val="0AE71698"/>
    <w:rsid w:val="0C13795F"/>
    <w:rsid w:val="0C2D3A23"/>
    <w:rsid w:val="0C9D51A9"/>
    <w:rsid w:val="0CAD0F17"/>
    <w:rsid w:val="0CE2480D"/>
    <w:rsid w:val="0DD33E09"/>
    <w:rsid w:val="0DE15E84"/>
    <w:rsid w:val="0E3C1690"/>
    <w:rsid w:val="0EA44572"/>
    <w:rsid w:val="100D7874"/>
    <w:rsid w:val="10463305"/>
    <w:rsid w:val="10AE7AE1"/>
    <w:rsid w:val="10C85EC9"/>
    <w:rsid w:val="10DB41CE"/>
    <w:rsid w:val="10E3645E"/>
    <w:rsid w:val="10FA1D6E"/>
    <w:rsid w:val="112D0F28"/>
    <w:rsid w:val="11742CE9"/>
    <w:rsid w:val="117B0D8C"/>
    <w:rsid w:val="118E7CC8"/>
    <w:rsid w:val="11AA2DC4"/>
    <w:rsid w:val="11AC3BE6"/>
    <w:rsid w:val="11D54078"/>
    <w:rsid w:val="11FD6CBF"/>
    <w:rsid w:val="12145176"/>
    <w:rsid w:val="121F5BBC"/>
    <w:rsid w:val="126122CE"/>
    <w:rsid w:val="126F5129"/>
    <w:rsid w:val="12802AFE"/>
    <w:rsid w:val="129640D0"/>
    <w:rsid w:val="12A76759"/>
    <w:rsid w:val="13341B66"/>
    <w:rsid w:val="13464A4B"/>
    <w:rsid w:val="138E2C91"/>
    <w:rsid w:val="13AD2AD8"/>
    <w:rsid w:val="13D84582"/>
    <w:rsid w:val="13EE3A98"/>
    <w:rsid w:val="14860BF1"/>
    <w:rsid w:val="149D3F36"/>
    <w:rsid w:val="14D013EF"/>
    <w:rsid w:val="1543676F"/>
    <w:rsid w:val="15883A78"/>
    <w:rsid w:val="15FA4976"/>
    <w:rsid w:val="163D4862"/>
    <w:rsid w:val="1679361E"/>
    <w:rsid w:val="1695469E"/>
    <w:rsid w:val="16F969DB"/>
    <w:rsid w:val="172A3719"/>
    <w:rsid w:val="17D7175B"/>
    <w:rsid w:val="17E841F0"/>
    <w:rsid w:val="181B0A52"/>
    <w:rsid w:val="18277578"/>
    <w:rsid w:val="18314F31"/>
    <w:rsid w:val="18F13D79"/>
    <w:rsid w:val="18F94DC6"/>
    <w:rsid w:val="196A1E12"/>
    <w:rsid w:val="19873C1D"/>
    <w:rsid w:val="19923117"/>
    <w:rsid w:val="19FF31C3"/>
    <w:rsid w:val="1A80358B"/>
    <w:rsid w:val="1A9E33B7"/>
    <w:rsid w:val="1AA20EAD"/>
    <w:rsid w:val="1BAF6202"/>
    <w:rsid w:val="1BF400B9"/>
    <w:rsid w:val="1C3E5EF7"/>
    <w:rsid w:val="1C446B02"/>
    <w:rsid w:val="1C5C5D5A"/>
    <w:rsid w:val="1C6074FD"/>
    <w:rsid w:val="1C816C3A"/>
    <w:rsid w:val="1C832BB1"/>
    <w:rsid w:val="1D385D84"/>
    <w:rsid w:val="1D927B8A"/>
    <w:rsid w:val="1DDC2BB3"/>
    <w:rsid w:val="1DF16D5E"/>
    <w:rsid w:val="1E171B4A"/>
    <w:rsid w:val="1E34479D"/>
    <w:rsid w:val="1E543091"/>
    <w:rsid w:val="1E8F542F"/>
    <w:rsid w:val="1F087712"/>
    <w:rsid w:val="1F996FAD"/>
    <w:rsid w:val="20515CDE"/>
    <w:rsid w:val="209916F9"/>
    <w:rsid w:val="210045C8"/>
    <w:rsid w:val="213056EF"/>
    <w:rsid w:val="2136112A"/>
    <w:rsid w:val="213F7C76"/>
    <w:rsid w:val="214B42D7"/>
    <w:rsid w:val="21713108"/>
    <w:rsid w:val="21AB121A"/>
    <w:rsid w:val="21BC51D5"/>
    <w:rsid w:val="21E94CB4"/>
    <w:rsid w:val="21F26E49"/>
    <w:rsid w:val="21F80C51"/>
    <w:rsid w:val="22303EA8"/>
    <w:rsid w:val="223F188C"/>
    <w:rsid w:val="228523B6"/>
    <w:rsid w:val="22AA7723"/>
    <w:rsid w:val="22F6068A"/>
    <w:rsid w:val="22FF6A81"/>
    <w:rsid w:val="231426AC"/>
    <w:rsid w:val="23696C97"/>
    <w:rsid w:val="239448A4"/>
    <w:rsid w:val="23FF75FB"/>
    <w:rsid w:val="243A6885"/>
    <w:rsid w:val="244108BE"/>
    <w:rsid w:val="247513AB"/>
    <w:rsid w:val="24A563F4"/>
    <w:rsid w:val="24EF58C2"/>
    <w:rsid w:val="25125EF6"/>
    <w:rsid w:val="25506360"/>
    <w:rsid w:val="25A102A7"/>
    <w:rsid w:val="25A55F80"/>
    <w:rsid w:val="25B50D37"/>
    <w:rsid w:val="261A696E"/>
    <w:rsid w:val="262F6D77"/>
    <w:rsid w:val="26635E6B"/>
    <w:rsid w:val="26670078"/>
    <w:rsid w:val="26F929A0"/>
    <w:rsid w:val="274A5031"/>
    <w:rsid w:val="27FA2A56"/>
    <w:rsid w:val="28547DCC"/>
    <w:rsid w:val="285E6DBD"/>
    <w:rsid w:val="28D91277"/>
    <w:rsid w:val="29497CCB"/>
    <w:rsid w:val="295E20C2"/>
    <w:rsid w:val="296E14AB"/>
    <w:rsid w:val="29990343"/>
    <w:rsid w:val="2A5519AE"/>
    <w:rsid w:val="2A6E7289"/>
    <w:rsid w:val="2B0B6B2D"/>
    <w:rsid w:val="2B986A10"/>
    <w:rsid w:val="2BAD3661"/>
    <w:rsid w:val="2BFE6E4E"/>
    <w:rsid w:val="2C8767FB"/>
    <w:rsid w:val="2CB35427"/>
    <w:rsid w:val="2D795151"/>
    <w:rsid w:val="2DA27975"/>
    <w:rsid w:val="2E1660B7"/>
    <w:rsid w:val="2E224612"/>
    <w:rsid w:val="2E5B5CEC"/>
    <w:rsid w:val="2EA27501"/>
    <w:rsid w:val="2ED578EB"/>
    <w:rsid w:val="2EE63891"/>
    <w:rsid w:val="2F9E5F1A"/>
    <w:rsid w:val="2FA4435D"/>
    <w:rsid w:val="2FF34CF9"/>
    <w:rsid w:val="3025663B"/>
    <w:rsid w:val="307F5D4C"/>
    <w:rsid w:val="30EB1633"/>
    <w:rsid w:val="30FA7AC8"/>
    <w:rsid w:val="31373894"/>
    <w:rsid w:val="317A57A7"/>
    <w:rsid w:val="31D976DD"/>
    <w:rsid w:val="32331DD7"/>
    <w:rsid w:val="32335040"/>
    <w:rsid w:val="32960E08"/>
    <w:rsid w:val="32B52464"/>
    <w:rsid w:val="32FD6CBA"/>
    <w:rsid w:val="331A75FE"/>
    <w:rsid w:val="33526F9B"/>
    <w:rsid w:val="33BE6B8B"/>
    <w:rsid w:val="33DF6B01"/>
    <w:rsid w:val="34052A0C"/>
    <w:rsid w:val="34AE6BFF"/>
    <w:rsid w:val="35803BFA"/>
    <w:rsid w:val="3664251E"/>
    <w:rsid w:val="36910587"/>
    <w:rsid w:val="36987B67"/>
    <w:rsid w:val="36F81E2B"/>
    <w:rsid w:val="375241BA"/>
    <w:rsid w:val="3942200C"/>
    <w:rsid w:val="394E74DC"/>
    <w:rsid w:val="39C62C3D"/>
    <w:rsid w:val="39C90037"/>
    <w:rsid w:val="39F57613"/>
    <w:rsid w:val="3A1C0AAF"/>
    <w:rsid w:val="3A1E4827"/>
    <w:rsid w:val="3AD35A70"/>
    <w:rsid w:val="3BD40825"/>
    <w:rsid w:val="3BDC04F6"/>
    <w:rsid w:val="3C285A4D"/>
    <w:rsid w:val="3CBD54E4"/>
    <w:rsid w:val="3DAC1140"/>
    <w:rsid w:val="3E82080E"/>
    <w:rsid w:val="3EE020AB"/>
    <w:rsid w:val="3FE756BB"/>
    <w:rsid w:val="40017947"/>
    <w:rsid w:val="404D3CEE"/>
    <w:rsid w:val="409A0980"/>
    <w:rsid w:val="40A0687E"/>
    <w:rsid w:val="412D5350"/>
    <w:rsid w:val="417116E0"/>
    <w:rsid w:val="41C946C5"/>
    <w:rsid w:val="421A1D78"/>
    <w:rsid w:val="42301F23"/>
    <w:rsid w:val="42360234"/>
    <w:rsid w:val="427C5A34"/>
    <w:rsid w:val="429E6A2A"/>
    <w:rsid w:val="42B74FCB"/>
    <w:rsid w:val="42CD6DEA"/>
    <w:rsid w:val="42DE4B54"/>
    <w:rsid w:val="42EF6D61"/>
    <w:rsid w:val="443609BF"/>
    <w:rsid w:val="44855566"/>
    <w:rsid w:val="4580244D"/>
    <w:rsid w:val="458A2890"/>
    <w:rsid w:val="4607616F"/>
    <w:rsid w:val="4620618F"/>
    <w:rsid w:val="46301063"/>
    <w:rsid w:val="46BB3A48"/>
    <w:rsid w:val="46D01BC0"/>
    <w:rsid w:val="46EA66B6"/>
    <w:rsid w:val="47356D0C"/>
    <w:rsid w:val="47C14A44"/>
    <w:rsid w:val="47CF7161"/>
    <w:rsid w:val="47DB78B4"/>
    <w:rsid w:val="47F405A8"/>
    <w:rsid w:val="47FF327E"/>
    <w:rsid w:val="48052B82"/>
    <w:rsid w:val="48174664"/>
    <w:rsid w:val="490775A8"/>
    <w:rsid w:val="49174F39"/>
    <w:rsid w:val="496164DE"/>
    <w:rsid w:val="49646021"/>
    <w:rsid w:val="4A037FD0"/>
    <w:rsid w:val="4A1E1DBB"/>
    <w:rsid w:val="4A2164A3"/>
    <w:rsid w:val="4A265BCE"/>
    <w:rsid w:val="4A3E05CE"/>
    <w:rsid w:val="4A4B1E50"/>
    <w:rsid w:val="4ADB787C"/>
    <w:rsid w:val="4B1D712C"/>
    <w:rsid w:val="4B41146C"/>
    <w:rsid w:val="4BCA282C"/>
    <w:rsid w:val="4BE3142D"/>
    <w:rsid w:val="4CCA7EF7"/>
    <w:rsid w:val="4D19368B"/>
    <w:rsid w:val="4D3C3B63"/>
    <w:rsid w:val="4D6D60D4"/>
    <w:rsid w:val="4D830553"/>
    <w:rsid w:val="4D954F81"/>
    <w:rsid w:val="4DBE3BAB"/>
    <w:rsid w:val="4DBE4976"/>
    <w:rsid w:val="4E2F0959"/>
    <w:rsid w:val="4E5C130D"/>
    <w:rsid w:val="4F006503"/>
    <w:rsid w:val="4F275AD4"/>
    <w:rsid w:val="4F2A11D9"/>
    <w:rsid w:val="4F5368C9"/>
    <w:rsid w:val="4F8E16AF"/>
    <w:rsid w:val="4F920665"/>
    <w:rsid w:val="4FDF1F0B"/>
    <w:rsid w:val="501550FF"/>
    <w:rsid w:val="502773F3"/>
    <w:rsid w:val="50465F69"/>
    <w:rsid w:val="505524AD"/>
    <w:rsid w:val="50F16CE6"/>
    <w:rsid w:val="52021986"/>
    <w:rsid w:val="522E5EFF"/>
    <w:rsid w:val="528079D5"/>
    <w:rsid w:val="52B044DE"/>
    <w:rsid w:val="52CE56AC"/>
    <w:rsid w:val="530C10F9"/>
    <w:rsid w:val="53367F96"/>
    <w:rsid w:val="53426731"/>
    <w:rsid w:val="53656165"/>
    <w:rsid w:val="53EE7333"/>
    <w:rsid w:val="546A23A4"/>
    <w:rsid w:val="54812858"/>
    <w:rsid w:val="54B465D6"/>
    <w:rsid w:val="54C016F5"/>
    <w:rsid w:val="5508140D"/>
    <w:rsid w:val="55A51668"/>
    <w:rsid w:val="55CA0A1B"/>
    <w:rsid w:val="565251D5"/>
    <w:rsid w:val="56925F29"/>
    <w:rsid w:val="56A779EF"/>
    <w:rsid w:val="57504209"/>
    <w:rsid w:val="58595EB1"/>
    <w:rsid w:val="58782761"/>
    <w:rsid w:val="58A3441E"/>
    <w:rsid w:val="58BA0B67"/>
    <w:rsid w:val="58F72C97"/>
    <w:rsid w:val="591913B2"/>
    <w:rsid w:val="59575208"/>
    <w:rsid w:val="596F26C8"/>
    <w:rsid w:val="59715F0B"/>
    <w:rsid w:val="5991071A"/>
    <w:rsid w:val="59F51CC3"/>
    <w:rsid w:val="5A3F72AD"/>
    <w:rsid w:val="5A6B2B79"/>
    <w:rsid w:val="5AA55057"/>
    <w:rsid w:val="5B647F15"/>
    <w:rsid w:val="5B696A02"/>
    <w:rsid w:val="5B9F3849"/>
    <w:rsid w:val="5BAA7871"/>
    <w:rsid w:val="5BC70423"/>
    <w:rsid w:val="5BCF552A"/>
    <w:rsid w:val="5C3C1907"/>
    <w:rsid w:val="5CA560EF"/>
    <w:rsid w:val="5CD5091E"/>
    <w:rsid w:val="5CDA72D3"/>
    <w:rsid w:val="5D1D22C5"/>
    <w:rsid w:val="5D2528A7"/>
    <w:rsid w:val="5D31345E"/>
    <w:rsid w:val="5D4D4900"/>
    <w:rsid w:val="5D5F2471"/>
    <w:rsid w:val="5DFD0858"/>
    <w:rsid w:val="5E4D17AD"/>
    <w:rsid w:val="5E543AC4"/>
    <w:rsid w:val="5E8C14B0"/>
    <w:rsid w:val="5E97499B"/>
    <w:rsid w:val="5F0E0117"/>
    <w:rsid w:val="5F6E0F90"/>
    <w:rsid w:val="5F8532F4"/>
    <w:rsid w:val="5F8D54E0"/>
    <w:rsid w:val="5FB4521E"/>
    <w:rsid w:val="5FEF6CCC"/>
    <w:rsid w:val="6019414E"/>
    <w:rsid w:val="613B07C9"/>
    <w:rsid w:val="61B86FB5"/>
    <w:rsid w:val="61D25144"/>
    <w:rsid w:val="620C356B"/>
    <w:rsid w:val="625247BE"/>
    <w:rsid w:val="625A2B1B"/>
    <w:rsid w:val="6294694F"/>
    <w:rsid w:val="629D1EDE"/>
    <w:rsid w:val="62B24F88"/>
    <w:rsid w:val="62C94041"/>
    <w:rsid w:val="62CA07F9"/>
    <w:rsid w:val="62D81168"/>
    <w:rsid w:val="62D9281B"/>
    <w:rsid w:val="62F21E54"/>
    <w:rsid w:val="62FA40E4"/>
    <w:rsid w:val="634467FD"/>
    <w:rsid w:val="63AC7EFE"/>
    <w:rsid w:val="63F556AC"/>
    <w:rsid w:val="640246BC"/>
    <w:rsid w:val="64041AE8"/>
    <w:rsid w:val="640E1064"/>
    <w:rsid w:val="644B5969"/>
    <w:rsid w:val="645A6E6C"/>
    <w:rsid w:val="646B4AB9"/>
    <w:rsid w:val="64D26026"/>
    <w:rsid w:val="64E42046"/>
    <w:rsid w:val="65012BCD"/>
    <w:rsid w:val="65E03BDB"/>
    <w:rsid w:val="66134265"/>
    <w:rsid w:val="66CD6B09"/>
    <w:rsid w:val="67454D52"/>
    <w:rsid w:val="67B20BAC"/>
    <w:rsid w:val="67DD2F87"/>
    <w:rsid w:val="67F971AD"/>
    <w:rsid w:val="682824FA"/>
    <w:rsid w:val="68340951"/>
    <w:rsid w:val="68456C82"/>
    <w:rsid w:val="6848419C"/>
    <w:rsid w:val="68647142"/>
    <w:rsid w:val="687E25D0"/>
    <w:rsid w:val="689C6939"/>
    <w:rsid w:val="69006D22"/>
    <w:rsid w:val="690E092F"/>
    <w:rsid w:val="694D61BD"/>
    <w:rsid w:val="69540E1C"/>
    <w:rsid w:val="69831701"/>
    <w:rsid w:val="698D1D19"/>
    <w:rsid w:val="69B30239"/>
    <w:rsid w:val="6A0131A5"/>
    <w:rsid w:val="6A5F3F7C"/>
    <w:rsid w:val="6AA62461"/>
    <w:rsid w:val="6AAF1F49"/>
    <w:rsid w:val="6AC50223"/>
    <w:rsid w:val="6AD5732E"/>
    <w:rsid w:val="6AEC1C54"/>
    <w:rsid w:val="6BE7491D"/>
    <w:rsid w:val="6C091DD6"/>
    <w:rsid w:val="6C96421F"/>
    <w:rsid w:val="6DAC1227"/>
    <w:rsid w:val="6DDF4BEA"/>
    <w:rsid w:val="6DE07122"/>
    <w:rsid w:val="6E49116B"/>
    <w:rsid w:val="6E914468"/>
    <w:rsid w:val="6E9D3265"/>
    <w:rsid w:val="6ECD3B4B"/>
    <w:rsid w:val="6F013D90"/>
    <w:rsid w:val="6F202742"/>
    <w:rsid w:val="6F546990"/>
    <w:rsid w:val="6F655B9B"/>
    <w:rsid w:val="6F8F0E00"/>
    <w:rsid w:val="6FCA008A"/>
    <w:rsid w:val="7038575E"/>
    <w:rsid w:val="70724647"/>
    <w:rsid w:val="707F2C23"/>
    <w:rsid w:val="709E69ED"/>
    <w:rsid w:val="711309A8"/>
    <w:rsid w:val="712B6906"/>
    <w:rsid w:val="715A71EC"/>
    <w:rsid w:val="71A57D59"/>
    <w:rsid w:val="71F15DA2"/>
    <w:rsid w:val="729B6D42"/>
    <w:rsid w:val="73261A7B"/>
    <w:rsid w:val="73400E1E"/>
    <w:rsid w:val="73465ED0"/>
    <w:rsid w:val="73844389"/>
    <w:rsid w:val="738B71DE"/>
    <w:rsid w:val="739F50FD"/>
    <w:rsid w:val="74125E4D"/>
    <w:rsid w:val="74620891"/>
    <w:rsid w:val="74934EEE"/>
    <w:rsid w:val="74C23A26"/>
    <w:rsid w:val="750F1D1D"/>
    <w:rsid w:val="755473BA"/>
    <w:rsid w:val="766765D8"/>
    <w:rsid w:val="76917666"/>
    <w:rsid w:val="76F679B7"/>
    <w:rsid w:val="77277B70"/>
    <w:rsid w:val="775540DC"/>
    <w:rsid w:val="779807BE"/>
    <w:rsid w:val="77E93077"/>
    <w:rsid w:val="77EC197F"/>
    <w:rsid w:val="77F500A3"/>
    <w:rsid w:val="787032D1"/>
    <w:rsid w:val="788E2E28"/>
    <w:rsid w:val="78B76110"/>
    <w:rsid w:val="78BD22C6"/>
    <w:rsid w:val="791600D3"/>
    <w:rsid w:val="79231B0D"/>
    <w:rsid w:val="79701CA2"/>
    <w:rsid w:val="79AA6A1B"/>
    <w:rsid w:val="7A7307BE"/>
    <w:rsid w:val="7A965738"/>
    <w:rsid w:val="7A9D6AC7"/>
    <w:rsid w:val="7AA03EC1"/>
    <w:rsid w:val="7ADA6E39"/>
    <w:rsid w:val="7ADE2C3C"/>
    <w:rsid w:val="7B4909FD"/>
    <w:rsid w:val="7BC8445F"/>
    <w:rsid w:val="7BC938EC"/>
    <w:rsid w:val="7BCD1D11"/>
    <w:rsid w:val="7BD04C7A"/>
    <w:rsid w:val="7BEE5100"/>
    <w:rsid w:val="7C804ACF"/>
    <w:rsid w:val="7C8B0A37"/>
    <w:rsid w:val="7C9B6FCC"/>
    <w:rsid w:val="7CAA3E07"/>
    <w:rsid w:val="7D206B39"/>
    <w:rsid w:val="7D39684F"/>
    <w:rsid w:val="7D7F305C"/>
    <w:rsid w:val="7D822703"/>
    <w:rsid w:val="7DC56212"/>
    <w:rsid w:val="7DFC3B04"/>
    <w:rsid w:val="7E115A33"/>
    <w:rsid w:val="7E2B6198"/>
    <w:rsid w:val="7E8606B5"/>
    <w:rsid w:val="7EF70770"/>
    <w:rsid w:val="7F121106"/>
    <w:rsid w:val="7F574F68"/>
    <w:rsid w:val="7FAB3A34"/>
    <w:rsid w:val="7FC45977"/>
    <w:rsid w:val="7FD64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5"/>
    <w:autoRedefine/>
    <w:qFormat/>
    <w:uiPriority w:val="0"/>
    <w:pPr>
      <w:keepNext/>
      <w:keepLines/>
      <w:numPr>
        <w:ilvl w:val="0"/>
        <w:numId w:val="1"/>
      </w:numPr>
      <w:spacing w:before="240" w:after="240" w:line="360" w:lineRule="auto"/>
      <w:ind w:left="425" w:hanging="425" w:firstLineChars="0"/>
      <w:jc w:val="center"/>
      <w:outlineLvl w:val="0"/>
    </w:pPr>
    <w:rPr>
      <w:rFonts w:ascii="Times New Roman" w:hAnsi="Times New Roman" w:eastAsia="宋体" w:cs="Times New Roman"/>
      <w:b/>
      <w:bCs/>
      <w:kern w:val="44"/>
      <w:sz w:val="32"/>
      <w:szCs w:val="44"/>
    </w:rPr>
  </w:style>
  <w:style w:type="paragraph" w:styleId="6">
    <w:name w:val="heading 2"/>
    <w:basedOn w:val="1"/>
    <w:next w:val="1"/>
    <w:autoRedefine/>
    <w:semiHidden/>
    <w:unhideWhenUsed/>
    <w:qFormat/>
    <w:uiPriority w:val="0"/>
    <w:pPr>
      <w:keepNext/>
      <w:keepLines/>
      <w:numPr>
        <w:ilvl w:val="1"/>
        <w:numId w:val="1"/>
      </w:numPr>
      <w:adjustRightInd w:val="0"/>
      <w:snapToGrid w:val="0"/>
      <w:spacing w:before="50" w:beforeLines="50" w:line="360" w:lineRule="auto"/>
      <w:ind w:firstLine="10" w:firstLineChars="0"/>
      <w:outlineLvl w:val="1"/>
    </w:pPr>
    <w:rPr>
      <w:rFonts w:ascii="Times New Roman" w:hAnsi="Times New Roman" w:eastAsia="宋体" w:cs="Times New Roman"/>
      <w:b/>
      <w:bCs/>
      <w:kern w:val="0"/>
      <w:sz w:val="28"/>
      <w:szCs w:val="32"/>
      <w:lang w:val="zh-CN"/>
    </w:rPr>
  </w:style>
  <w:style w:type="paragraph" w:styleId="7">
    <w:name w:val="heading 3"/>
    <w:basedOn w:val="1"/>
    <w:next w:val="1"/>
    <w:autoRedefine/>
    <w:semiHidden/>
    <w:unhideWhenUsed/>
    <w:qFormat/>
    <w:uiPriority w:val="0"/>
    <w:pPr>
      <w:keepNext/>
      <w:keepLines/>
      <w:numPr>
        <w:ilvl w:val="2"/>
        <w:numId w:val="1"/>
      </w:numPr>
      <w:tabs>
        <w:tab w:val="clear" w:pos="420"/>
      </w:tabs>
      <w:adjustRightInd/>
      <w:snapToGrid/>
      <w:spacing w:line="360" w:lineRule="auto"/>
      <w:ind w:left="0" w:firstLine="0" w:firstLineChars="0"/>
      <w:outlineLvl w:val="2"/>
    </w:pPr>
    <w:rPr>
      <w:b/>
      <w:bCs/>
      <w:sz w:val="28"/>
      <w:szCs w:val="32"/>
    </w:rPr>
  </w:style>
  <w:style w:type="paragraph" w:styleId="8">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firstLineChars="0"/>
      <w:outlineLvl w:val="3"/>
    </w:pPr>
    <w:rPr>
      <w:rFonts w:ascii="Arial" w:hAnsi="Arial" w:eastAsia="黑体"/>
      <w:b/>
      <w:sz w:val="28"/>
    </w:rPr>
  </w:style>
  <w:style w:type="character" w:default="1" w:styleId="30">
    <w:name w:val="Default Paragraph Font"/>
    <w:autoRedefine/>
    <w:semiHidden/>
    <w:unhideWhenUsed/>
    <w:qFormat/>
    <w:uiPriority w:val="1"/>
  </w:style>
  <w:style w:type="table" w:default="1" w:styleId="2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qFormat/>
    <w:uiPriority w:val="0"/>
    <w:pPr>
      <w:spacing w:after="120"/>
      <w:ind w:left="0" w:leftChars="0" w:firstLine="420" w:firstLineChars="200"/>
    </w:pPr>
    <w:rPr>
      <w:rFonts w:ascii="Times New Roman" w:hAnsi="Times New Roman" w:eastAsia="宋体"/>
    </w:rPr>
  </w:style>
  <w:style w:type="paragraph" w:styleId="3">
    <w:name w:val="Body Text Indent"/>
    <w:basedOn w:val="1"/>
    <w:next w:val="4"/>
    <w:autoRedefine/>
    <w:qFormat/>
    <w:uiPriority w:val="0"/>
    <w:pPr>
      <w:spacing w:after="120"/>
      <w:ind w:left="420" w:leftChars="200"/>
    </w:pPr>
    <w:rPr>
      <w:kern w:val="0"/>
      <w:sz w:val="24"/>
      <w:szCs w:val="20"/>
    </w:rPr>
  </w:style>
  <w:style w:type="paragraph" w:customStyle="1" w:styleId="4">
    <w:name w:val="样式 正文文本缩进 + 行距: 1.5 倍行距"/>
    <w:basedOn w:val="1"/>
    <w:autoRedefine/>
    <w:qFormat/>
    <w:uiPriority w:val="0"/>
    <w:pPr>
      <w:spacing w:after="120" w:line="360" w:lineRule="auto"/>
      <w:ind w:left="90" w:leftChars="32" w:firstLine="560" w:firstLineChars="200"/>
    </w:pPr>
    <w:rPr>
      <w:rFonts w:cs="宋体"/>
    </w:rPr>
  </w:style>
  <w:style w:type="paragraph" w:styleId="9">
    <w:name w:val="Normal Indent"/>
    <w:basedOn w:val="1"/>
    <w:next w:val="2"/>
    <w:autoRedefine/>
    <w:qFormat/>
    <w:uiPriority w:val="0"/>
    <w:pPr>
      <w:ind w:firstLine="420" w:firstLineChars="200"/>
    </w:pPr>
  </w:style>
  <w:style w:type="paragraph" w:styleId="10">
    <w:name w:val="caption"/>
    <w:basedOn w:val="1"/>
    <w:next w:val="1"/>
    <w:autoRedefine/>
    <w:qFormat/>
    <w:uiPriority w:val="0"/>
    <w:pPr>
      <w:spacing w:line="240" w:lineRule="auto"/>
      <w:ind w:firstLine="0" w:firstLineChars="0"/>
      <w:jc w:val="center"/>
    </w:pPr>
    <w:rPr>
      <w:b/>
      <w:sz w:val="24"/>
    </w:rPr>
  </w:style>
  <w:style w:type="paragraph" w:styleId="11">
    <w:name w:val="annotation text"/>
    <w:basedOn w:val="1"/>
    <w:autoRedefine/>
    <w:semiHidden/>
    <w:qFormat/>
    <w:uiPriority w:val="0"/>
    <w:pPr>
      <w:jc w:val="left"/>
    </w:pPr>
    <w:rPr>
      <w:kern w:val="0"/>
      <w:sz w:val="24"/>
      <w:szCs w:val="20"/>
    </w:rPr>
  </w:style>
  <w:style w:type="paragraph" w:styleId="12">
    <w:name w:val="Body Text"/>
    <w:basedOn w:val="1"/>
    <w:next w:val="1"/>
    <w:autoRedefine/>
    <w:qFormat/>
    <w:uiPriority w:val="1"/>
    <w:pPr>
      <w:ind w:left="524"/>
    </w:pPr>
    <w:rPr>
      <w:rFonts w:ascii="宋体" w:hAnsi="宋体" w:eastAsia="宋体"/>
      <w:sz w:val="24"/>
      <w:szCs w:val="24"/>
    </w:rPr>
  </w:style>
  <w:style w:type="paragraph" w:styleId="13">
    <w:name w:val="toc 3"/>
    <w:basedOn w:val="1"/>
    <w:next w:val="1"/>
    <w:autoRedefine/>
    <w:qFormat/>
    <w:uiPriority w:val="0"/>
    <w:pPr>
      <w:adjustRightInd w:val="0"/>
      <w:snapToGrid w:val="0"/>
      <w:ind w:left="0" w:leftChars="0" w:firstLine="1827" w:firstLineChars="350"/>
    </w:pPr>
    <w:rPr>
      <w:rFonts w:ascii="Calibri" w:hAnsi="Calibri" w:eastAsia="宋体" w:cs="Times New Roman"/>
      <w:szCs w:val="22"/>
    </w:rPr>
  </w:style>
  <w:style w:type="paragraph" w:styleId="14">
    <w:name w:val="Plain Text"/>
    <w:basedOn w:val="1"/>
    <w:next w:val="15"/>
    <w:autoRedefine/>
    <w:qFormat/>
    <w:uiPriority w:val="0"/>
    <w:rPr>
      <w:rFonts w:ascii="宋体" w:hAnsi="Courier New"/>
      <w:szCs w:val="20"/>
    </w:rPr>
  </w:style>
  <w:style w:type="paragraph" w:customStyle="1" w:styleId="15">
    <w:name w:val="Default"/>
    <w:basedOn w:val="16"/>
    <w:autoRedefine/>
    <w:unhideWhenUsed/>
    <w:qFormat/>
    <w:uiPriority w:val="99"/>
    <w:pPr>
      <w:widowControl w:val="0"/>
      <w:autoSpaceDE w:val="0"/>
      <w:autoSpaceDN w:val="0"/>
      <w:adjustRightInd w:val="0"/>
      <w:spacing w:beforeLines="0" w:afterLines="0"/>
    </w:pPr>
    <w:rPr>
      <w:rFonts w:hint="eastAsia" w:ascii="宋体" w:hAnsi="宋体" w:eastAsia="宋体" w:cs="Times New Roman"/>
      <w:color w:val="000000"/>
      <w:sz w:val="24"/>
      <w:szCs w:val="24"/>
    </w:rPr>
  </w:style>
  <w:style w:type="paragraph" w:customStyle="1" w:styleId="16">
    <w:name w:val="纯文本1"/>
    <w:basedOn w:val="1"/>
    <w:autoRedefine/>
    <w:qFormat/>
    <w:uiPriority w:val="99"/>
    <w:pPr>
      <w:autoSpaceDE w:val="0"/>
      <w:autoSpaceDN w:val="0"/>
      <w:adjustRightInd w:val="0"/>
      <w:textAlignment w:val="baseline"/>
    </w:pPr>
    <w:rPr>
      <w:rFonts w:ascii="宋体"/>
      <w:szCs w:val="20"/>
    </w:rPr>
  </w:style>
  <w:style w:type="paragraph" w:styleId="17">
    <w:name w:val="List Bullet 5"/>
    <w:basedOn w:val="1"/>
    <w:autoRedefine/>
    <w:qFormat/>
    <w:uiPriority w:val="0"/>
    <w:pPr>
      <w:numPr>
        <w:ilvl w:val="0"/>
        <w:numId w:val="2"/>
      </w:numPr>
    </w:pPr>
  </w:style>
  <w:style w:type="paragraph" w:styleId="18">
    <w:name w:val="toc 8"/>
    <w:basedOn w:val="1"/>
    <w:next w:val="1"/>
    <w:autoRedefine/>
    <w:qFormat/>
    <w:uiPriority w:val="0"/>
    <w:pPr>
      <w:ind w:left="1470"/>
      <w:jc w:val="left"/>
    </w:pPr>
    <w:rPr>
      <w:sz w:val="18"/>
      <w:szCs w:val="18"/>
    </w:rPr>
  </w:style>
  <w:style w:type="paragraph" w:styleId="19">
    <w:name w:val="footer"/>
    <w:basedOn w:val="1"/>
    <w:autoRedefine/>
    <w:qFormat/>
    <w:uiPriority w:val="99"/>
    <w:pPr>
      <w:tabs>
        <w:tab w:val="center" w:pos="4153"/>
        <w:tab w:val="right" w:pos="8306"/>
      </w:tabs>
      <w:snapToGrid w:val="0"/>
      <w:jc w:val="left"/>
    </w:pPr>
    <w:rPr>
      <w:kern w:val="0"/>
      <w:sz w:val="18"/>
      <w:szCs w:val="20"/>
    </w:rPr>
  </w:style>
  <w:style w:type="paragraph" w:styleId="20">
    <w:name w:val="header"/>
    <w:basedOn w:val="1"/>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autoRedefine/>
    <w:qFormat/>
    <w:uiPriority w:val="0"/>
    <w:pPr>
      <w:adjustRightInd w:val="0"/>
      <w:snapToGrid w:val="0"/>
      <w:ind w:firstLine="0" w:firstLineChars="0"/>
    </w:pPr>
    <w:rPr>
      <w:rFonts w:ascii="Times New Roman" w:hAnsi="Times New Roman" w:eastAsia="宋体"/>
      <w:b/>
      <w:sz w:val="28"/>
    </w:rPr>
  </w:style>
  <w:style w:type="paragraph" w:styleId="22">
    <w:name w:val="List"/>
    <w:basedOn w:val="1"/>
    <w:autoRedefine/>
    <w:qFormat/>
    <w:uiPriority w:val="0"/>
    <w:pPr>
      <w:ind w:left="200" w:hanging="200" w:hangingChars="200"/>
    </w:pPr>
  </w:style>
  <w:style w:type="paragraph" w:styleId="23">
    <w:name w:val="table of figures"/>
    <w:next w:val="1"/>
    <w:autoRedefine/>
    <w:qFormat/>
    <w:uiPriority w:val="0"/>
    <w:pPr>
      <w:widowControl w:val="0"/>
      <w:spacing w:line="360" w:lineRule="auto"/>
      <w:ind w:left="200" w:leftChars="200" w:hanging="200" w:hangingChars="200"/>
      <w:jc w:val="both"/>
    </w:pPr>
    <w:rPr>
      <w:rFonts w:ascii="Calibri" w:hAnsi="Calibri" w:eastAsia="宋体" w:cs="Times New Roman"/>
      <w:kern w:val="2"/>
      <w:sz w:val="24"/>
      <w:szCs w:val="24"/>
      <w:lang w:val="en-US" w:eastAsia="zh-CN" w:bidi="ar-SA"/>
    </w:rPr>
  </w:style>
  <w:style w:type="paragraph" w:styleId="24">
    <w:name w:val="toc 2"/>
    <w:basedOn w:val="1"/>
    <w:next w:val="1"/>
    <w:autoRedefine/>
    <w:qFormat/>
    <w:uiPriority w:val="0"/>
    <w:pPr>
      <w:adjustRightInd w:val="0"/>
      <w:snapToGrid w:val="0"/>
      <w:ind w:left="0" w:leftChars="0" w:firstLine="783" w:firstLineChars="150"/>
    </w:pPr>
    <w:rPr>
      <w:rFonts w:ascii="Times New Roman" w:hAnsi="Times New Roman" w:eastAsia="宋体" w:cs="Times New Roman"/>
      <w:b/>
      <w:sz w:val="24"/>
    </w:rPr>
  </w:style>
  <w:style w:type="paragraph" w:styleId="25">
    <w:name w:val="Normal (Web)"/>
    <w:basedOn w:val="1"/>
    <w:next w:val="18"/>
    <w:autoRedefine/>
    <w:qFormat/>
    <w:uiPriority w:val="0"/>
    <w:pPr>
      <w:widowControl/>
      <w:adjustRightInd w:val="0"/>
      <w:snapToGrid w:val="0"/>
      <w:spacing w:beforeAutospacing="1" w:afterAutospacing="1" w:line="240" w:lineRule="auto"/>
      <w:jc w:val="left"/>
    </w:pPr>
    <w:rPr>
      <w:rFonts w:ascii="宋体" w:hAnsi="宋体" w:eastAsia="宋体"/>
      <w:kern w:val="0"/>
      <w:sz w:val="24"/>
      <w:szCs w:val="20"/>
    </w:rPr>
  </w:style>
  <w:style w:type="paragraph" w:styleId="26">
    <w:name w:val="Title"/>
    <w:basedOn w:val="1"/>
    <w:next w:val="1"/>
    <w:qFormat/>
    <w:uiPriority w:val="0"/>
    <w:pPr>
      <w:spacing w:line="240" w:lineRule="auto"/>
      <w:ind w:firstLine="198" w:firstLineChars="0"/>
      <w:jc w:val="center"/>
    </w:pPr>
    <w:rPr>
      <w:b/>
      <w:bCs/>
      <w:sz w:val="21"/>
      <w:szCs w:val="32"/>
    </w:rPr>
  </w:style>
  <w:style w:type="paragraph" w:styleId="27">
    <w:name w:val="Body Text First Indent"/>
    <w:basedOn w:val="12"/>
    <w:next w:val="23"/>
    <w:autoRedefine/>
    <w:qFormat/>
    <w:uiPriority w:val="0"/>
    <w:pPr>
      <w:tabs>
        <w:tab w:val="left" w:pos="1960"/>
        <w:tab w:val="left" w:pos="2380"/>
        <w:tab w:val="left" w:pos="3080"/>
      </w:tabs>
      <w:adjustRightInd/>
      <w:snapToGrid/>
      <w:spacing w:line="290" w:lineRule="exact"/>
      <w:ind w:firstLine="0" w:firstLineChars="0"/>
      <w:jc w:val="center"/>
    </w:pPr>
    <w:rPr>
      <w:rFonts w:ascii="Calibri" w:hAnsi="Calibri"/>
      <w:bCs/>
      <w:spacing w:val="-4"/>
      <w:kern w:val="24"/>
      <w:szCs w:val="24"/>
    </w:rPr>
  </w:style>
  <w:style w:type="table" w:styleId="29">
    <w:name w:val="Table Grid"/>
    <w:basedOn w:val="2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autoRedefine/>
    <w:qFormat/>
    <w:uiPriority w:val="0"/>
  </w:style>
  <w:style w:type="character" w:styleId="33">
    <w:name w:val="Hyperlink"/>
    <w:basedOn w:val="34"/>
    <w:autoRedefine/>
    <w:qFormat/>
    <w:uiPriority w:val="0"/>
    <w:rPr>
      <w:rFonts w:ascii="Times New Roman" w:hAnsi="Times New Roman" w:eastAsia="宋体"/>
      <w:i w:val="0"/>
      <w:color w:val="333333"/>
      <w:u w:val="none"/>
    </w:rPr>
  </w:style>
  <w:style w:type="character" w:styleId="34">
    <w:name w:val="HTML Cite"/>
    <w:basedOn w:val="30"/>
    <w:autoRedefine/>
    <w:qFormat/>
    <w:uiPriority w:val="0"/>
    <w:rPr>
      <w:i/>
    </w:rPr>
  </w:style>
  <w:style w:type="character" w:customStyle="1" w:styleId="35">
    <w:name w:val="标题 1 字符"/>
    <w:basedOn w:val="30"/>
    <w:link w:val="5"/>
    <w:autoRedefine/>
    <w:qFormat/>
    <w:uiPriority w:val="0"/>
    <w:rPr>
      <w:rFonts w:ascii="Times New Roman" w:hAnsi="Times New Roman" w:eastAsia="宋体" w:cs="Times New Roman"/>
      <w:b/>
      <w:kern w:val="44"/>
      <w:sz w:val="30"/>
      <w:szCs w:val="22"/>
    </w:rPr>
  </w:style>
  <w:style w:type="paragraph" w:customStyle="1" w:styleId="36">
    <w:name w:val="表格"/>
    <w:next w:val="1"/>
    <w:autoRedefine/>
    <w:qFormat/>
    <w:uiPriority w:val="0"/>
    <w:pPr>
      <w:jc w:val="center"/>
    </w:pPr>
    <w:rPr>
      <w:rFonts w:ascii="Times New Roman" w:hAnsi="Times New Roman" w:eastAsia="宋体" w:cs="Times New Roman"/>
      <w:sz w:val="21"/>
      <w:lang w:val="en-US" w:eastAsia="zh-CN" w:bidi="ar-SA"/>
    </w:rPr>
  </w:style>
  <w:style w:type="paragraph" w:customStyle="1" w:styleId="37">
    <w:name w:val="表头"/>
    <w:basedOn w:val="1"/>
    <w:next w:val="1"/>
    <w:autoRedefine/>
    <w:qFormat/>
    <w:uiPriority w:val="0"/>
    <w:pPr>
      <w:widowControl/>
      <w:autoSpaceDE w:val="0"/>
      <w:autoSpaceDN w:val="0"/>
      <w:adjustRightInd w:val="0"/>
      <w:snapToGrid w:val="0"/>
      <w:spacing w:line="240" w:lineRule="auto"/>
      <w:ind w:firstLine="0" w:firstLineChars="0"/>
      <w:jc w:val="center"/>
    </w:pPr>
    <w:rPr>
      <w:rFonts w:ascii="Times New Roman" w:hAnsi="Times New Roman" w:eastAsia="宋体" w:cs="Times New Roman"/>
      <w:b/>
      <w:spacing w:val="10"/>
      <w:kern w:val="0"/>
      <w:sz w:val="21"/>
      <w:szCs w:val="20"/>
    </w:rPr>
  </w:style>
  <w:style w:type="paragraph" w:customStyle="1" w:styleId="38">
    <w:name w:val="表题"/>
    <w:basedOn w:val="1"/>
    <w:next w:val="1"/>
    <w:autoRedefine/>
    <w:qFormat/>
    <w:uiPriority w:val="0"/>
    <w:pPr>
      <w:widowControl/>
      <w:autoSpaceDE w:val="0"/>
      <w:autoSpaceDN w:val="0"/>
      <w:adjustRightInd w:val="0"/>
      <w:snapToGrid w:val="0"/>
      <w:spacing w:line="240" w:lineRule="auto"/>
      <w:ind w:firstLine="0" w:firstLineChars="0"/>
      <w:jc w:val="center"/>
    </w:pPr>
    <w:rPr>
      <w:rFonts w:ascii="Times New Roman" w:hAnsi="Times New Roman" w:eastAsia="宋体"/>
      <w:b/>
      <w:spacing w:val="11"/>
      <w:kern w:val="0"/>
      <w:sz w:val="21"/>
      <w:szCs w:val="20"/>
    </w:rPr>
  </w:style>
  <w:style w:type="paragraph" w:customStyle="1" w:styleId="39">
    <w:name w:val="图题"/>
    <w:basedOn w:val="1"/>
    <w:next w:val="1"/>
    <w:autoRedefine/>
    <w:qFormat/>
    <w:uiPriority w:val="0"/>
    <w:pPr>
      <w:spacing w:line="360" w:lineRule="auto"/>
      <w:jc w:val="center"/>
    </w:pPr>
    <w:rPr>
      <w:rFonts w:ascii="Times New Roman" w:hAnsi="Times New Roman" w:eastAsia="宋体" w:cs="Times New Roman"/>
      <w:b/>
      <w:sz w:val="21"/>
      <w:szCs w:val="22"/>
    </w:rPr>
  </w:style>
  <w:style w:type="paragraph" w:customStyle="1" w:styleId="40">
    <w:name w:val="表格格式"/>
    <w:basedOn w:val="22"/>
    <w:next w:val="1"/>
    <w:autoRedefine/>
    <w:qFormat/>
    <w:uiPriority w:val="0"/>
    <w:pPr>
      <w:pBdr>
        <w:top w:val="none" w:color="auto" w:sz="0" w:space="1"/>
        <w:left w:val="none" w:color="auto" w:sz="0" w:space="4"/>
        <w:bottom w:val="none" w:color="auto" w:sz="0" w:space="1"/>
        <w:right w:val="none" w:color="auto" w:sz="0" w:space="4"/>
      </w:pBdr>
      <w:spacing w:line="240" w:lineRule="auto"/>
      <w:ind w:left="0" w:firstLine="0" w:firstLineChars="0"/>
      <w:jc w:val="center"/>
    </w:pPr>
    <w:rPr>
      <w:sz w:val="21"/>
      <w:szCs w:val="21"/>
    </w:rPr>
  </w:style>
  <w:style w:type="paragraph" w:customStyle="1" w:styleId="41">
    <w:name w:val="正   文"/>
    <w:basedOn w:val="1"/>
    <w:autoRedefine/>
    <w:qFormat/>
    <w:uiPriority w:val="0"/>
    <w:pPr>
      <w:spacing w:line="360" w:lineRule="auto"/>
      <w:ind w:firstLine="200" w:firstLineChars="200"/>
    </w:pPr>
    <w:rPr>
      <w:rFonts w:ascii="Times New Roman" w:hAnsi="Times New Roman"/>
      <w:color w:val="000000"/>
    </w:rPr>
  </w:style>
  <w:style w:type="paragraph" w:customStyle="1" w:styleId="42">
    <w:name w:val="表格1"/>
    <w:basedOn w:val="1"/>
    <w:autoRedefine/>
    <w:qFormat/>
    <w:uiPriority w:val="0"/>
    <w:pPr>
      <w:adjustRightInd w:val="0"/>
      <w:snapToGrid w:val="0"/>
      <w:spacing w:line="240" w:lineRule="auto"/>
      <w:ind w:firstLine="0" w:firstLineChars="0"/>
      <w:jc w:val="center"/>
    </w:pPr>
    <w:rPr>
      <w:rFonts w:ascii="Times New Roman" w:hAnsi="Times New Roman" w:eastAsia="宋体" w:cs="仿宋"/>
      <w:bCs/>
      <w:spacing w:val="11"/>
      <w:sz w:val="21"/>
      <w:szCs w:val="24"/>
    </w:rPr>
  </w:style>
  <w:style w:type="paragraph" w:customStyle="1" w:styleId="43">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44">
    <w:name w:val="Table Paragraph"/>
    <w:basedOn w:val="1"/>
    <w:autoRedefine/>
    <w:qFormat/>
    <w:uiPriority w:val="1"/>
  </w:style>
  <w:style w:type="paragraph" w:customStyle="1" w:styleId="45">
    <w:name w:val="1024-表格文字"/>
    <w:basedOn w:val="14"/>
    <w:next w:val="1"/>
    <w:autoRedefine/>
    <w:qFormat/>
    <w:uiPriority w:val="0"/>
    <w:pPr>
      <w:adjustRightInd w:val="0"/>
      <w:snapToGrid w:val="0"/>
      <w:jc w:val="center"/>
    </w:pPr>
    <w:rPr>
      <w:rFonts w:hAnsi="Times New Roman" w:cs="Times New Roman"/>
      <w:color w:val="000000"/>
      <w:kern w:val="0"/>
    </w:rPr>
  </w:style>
  <w:style w:type="paragraph" w:customStyle="1" w:styleId="46">
    <w:name w:val="正文1"/>
    <w:basedOn w:val="1"/>
    <w:autoRedefine/>
    <w:qFormat/>
    <w:uiPriority w:val="0"/>
    <w:pPr>
      <w:keepNext w:val="0"/>
      <w:keepLines w:val="0"/>
      <w:widowControl w:val="0"/>
      <w:suppressLineNumbers w:val="0"/>
      <w:adjustRightInd w:val="0"/>
      <w:spacing w:before="0" w:beforeAutospacing="0" w:after="0" w:afterAutospacing="0" w:line="315" w:lineRule="atLeast"/>
      <w:ind w:left="0" w:right="0"/>
      <w:jc w:val="both"/>
    </w:pPr>
    <w:rPr>
      <w:rFonts w:hint="eastAsia" w:ascii="宋体" w:hAnsi="Times New Roman" w:eastAsia="宋体" w:cs="Times New Roman"/>
      <w:kern w:val="0"/>
      <w:sz w:val="24"/>
      <w:szCs w:val="22"/>
      <w:lang w:val="en-US" w:eastAsia="zh-CN" w:bidi="ar"/>
    </w:rPr>
  </w:style>
  <w:style w:type="paragraph" w:customStyle="1" w:styleId="47">
    <w:name w:val="表头样式"/>
    <w:basedOn w:val="1"/>
    <w:next w:val="1"/>
    <w:autoRedefine/>
    <w:qFormat/>
    <w:uiPriority w:val="0"/>
    <w:pPr>
      <w:spacing w:line="240" w:lineRule="auto"/>
      <w:ind w:firstLine="0" w:firstLineChars="0"/>
      <w:jc w:val="center"/>
    </w:pPr>
    <w:rPr>
      <w:rFonts w:ascii="Times New Roman" w:hAnsi="Times New Roman" w:eastAsia="宋体"/>
      <w:b/>
      <w:bCs/>
      <w:sz w:val="21"/>
      <w:szCs w:val="21"/>
    </w:rPr>
  </w:style>
  <w:style w:type="paragraph" w:customStyle="1" w:styleId="48">
    <w:name w:val="无间隔1"/>
    <w:basedOn w:val="12"/>
    <w:next w:val="12"/>
    <w:autoRedefine/>
    <w:qFormat/>
    <w:uiPriority w:val="1"/>
    <w:pPr>
      <w:spacing w:after="0" w:line="360" w:lineRule="exact"/>
      <w:ind w:firstLine="0" w:firstLineChars="0"/>
      <w:jc w:val="center"/>
    </w:pPr>
    <w:rPr>
      <w:rFonts w:eastAsia="黑体"/>
      <w:sz w:val="21"/>
    </w:rPr>
  </w:style>
  <w:style w:type="paragraph" w:customStyle="1" w:styleId="49">
    <w:name w:val="样式 样式 样式 小四 左 首行缩进:  2 字符 + 首行缩进:  2 字符 Char + 右  0 字符1"/>
    <w:basedOn w:val="1"/>
    <w:autoRedefine/>
    <w:qFormat/>
    <w:uiPriority w:val="0"/>
    <w:pPr>
      <w:adjustRightInd w:val="0"/>
      <w:spacing w:line="360" w:lineRule="auto"/>
      <w:ind w:firstLine="200" w:firstLineChars="200"/>
      <w:jc w:val="left"/>
    </w:pPr>
    <w:rPr>
      <w:sz w:val="24"/>
      <w:szCs w:val="20"/>
    </w:rPr>
  </w:style>
  <w:style w:type="paragraph" w:customStyle="1" w:styleId="50">
    <w:name w:val="3图表标题"/>
    <w:basedOn w:val="51"/>
    <w:autoRedefine/>
    <w:qFormat/>
    <w:uiPriority w:val="0"/>
    <w:pPr>
      <w:spacing w:line="240" w:lineRule="auto"/>
      <w:ind w:firstLine="0" w:firstLineChars="0"/>
      <w:jc w:val="center"/>
    </w:pPr>
    <w:rPr>
      <w:rFonts w:eastAsia="黑体"/>
      <w:bCs w:val="0"/>
      <w:kern w:val="44"/>
    </w:rPr>
  </w:style>
  <w:style w:type="paragraph" w:customStyle="1" w:styleId="51">
    <w:name w:val="1正文"/>
    <w:basedOn w:val="1"/>
    <w:autoRedefine/>
    <w:qFormat/>
    <w:uiPriority w:val="0"/>
    <w:pPr>
      <w:adjustRightInd w:val="0"/>
      <w:snapToGrid w:val="0"/>
      <w:spacing w:line="360" w:lineRule="auto"/>
      <w:ind w:firstLine="200" w:firstLineChars="200"/>
    </w:pPr>
    <w:rPr>
      <w:bCs/>
      <w:sz w:val="24"/>
    </w:rPr>
  </w:style>
  <w:style w:type="paragraph" w:customStyle="1" w:styleId="52">
    <w:name w:val="4表内内容"/>
    <w:basedOn w:val="53"/>
    <w:autoRedefine/>
    <w:qFormat/>
    <w:uiPriority w:val="0"/>
    <w:pPr>
      <w:adjustRightInd w:val="0"/>
      <w:snapToGrid w:val="0"/>
    </w:pPr>
  </w:style>
  <w:style w:type="paragraph" w:customStyle="1" w:styleId="53">
    <w:name w:val="表内内容"/>
    <w:basedOn w:val="1"/>
    <w:autoRedefine/>
    <w:qFormat/>
    <w:uiPriority w:val="0"/>
    <w:pPr>
      <w:jc w:val="center"/>
    </w:pPr>
  </w:style>
  <w:style w:type="paragraph" w:customStyle="1" w:styleId="54">
    <w:name w:val="中文报告书"/>
    <w:basedOn w:val="1"/>
    <w:autoRedefine/>
    <w:qFormat/>
    <w:uiPriority w:val="0"/>
    <w:pPr>
      <w:adjustRightInd w:val="0"/>
      <w:spacing w:after="80" w:line="420" w:lineRule="atLeast"/>
      <w:jc w:val="left"/>
      <w:textAlignment w:val="baseline"/>
    </w:pPr>
    <w:rPr>
      <w:kern w:val="0"/>
      <w:sz w:val="24"/>
    </w:rPr>
  </w:style>
  <w:style w:type="character" w:customStyle="1" w:styleId="55">
    <w:name w:val="font11"/>
    <w:basedOn w:val="30"/>
    <w:autoRedefine/>
    <w:qFormat/>
    <w:uiPriority w:val="0"/>
    <w:rPr>
      <w:rFonts w:hint="default" w:ascii="Times New Roman" w:hAnsi="Times New Roman" w:cs="Times New Roman"/>
      <w:color w:val="000000"/>
      <w:sz w:val="21"/>
      <w:szCs w:val="21"/>
      <w:u w:val="none"/>
    </w:rPr>
  </w:style>
  <w:style w:type="character" w:customStyle="1" w:styleId="56">
    <w:name w:val="font41"/>
    <w:basedOn w:val="30"/>
    <w:autoRedefine/>
    <w:qFormat/>
    <w:uiPriority w:val="0"/>
    <w:rPr>
      <w:rFonts w:hint="default" w:ascii="Times New Roman" w:hAnsi="Times New Roman" w:cs="Times New Roman"/>
      <w:color w:val="000000"/>
      <w:sz w:val="21"/>
      <w:szCs w:val="21"/>
      <w:u w:val="none"/>
      <w:vertAlign w:val="subscript"/>
    </w:rPr>
  </w:style>
  <w:style w:type="character" w:customStyle="1" w:styleId="57">
    <w:name w:val="font31"/>
    <w:basedOn w:val="30"/>
    <w:autoRedefine/>
    <w:qFormat/>
    <w:uiPriority w:val="0"/>
    <w:rPr>
      <w:rFonts w:hint="eastAsia" w:ascii="宋体" w:hAnsi="宋体" w:eastAsia="宋体" w:cs="宋体"/>
      <w:color w:val="000000"/>
      <w:sz w:val="21"/>
      <w:szCs w:val="21"/>
      <w:u w:val="none"/>
    </w:rPr>
  </w:style>
  <w:style w:type="character" w:customStyle="1" w:styleId="58">
    <w:name w:val="font21"/>
    <w:basedOn w:val="30"/>
    <w:autoRedefine/>
    <w:qFormat/>
    <w:uiPriority w:val="0"/>
    <w:rPr>
      <w:rFonts w:hint="default" w:ascii="Times New Roman" w:hAnsi="Times New Roman" w:cs="Times New Roman"/>
      <w:color w:val="000000"/>
      <w:sz w:val="21"/>
      <w:szCs w:val="21"/>
      <w:u w:val="none"/>
    </w:rPr>
  </w:style>
  <w:style w:type="paragraph" w:customStyle="1" w:styleId="59">
    <w:name w:val="表格_段落"/>
    <w:basedOn w:val="1"/>
    <w:autoRedefine/>
    <w:qFormat/>
    <w:uiPriority w:val="0"/>
    <w:pPr>
      <w:spacing w:after="50" w:afterLines="50" w:line="300" w:lineRule="auto"/>
      <w:ind w:firstLine="482" w:firstLineChars="200"/>
    </w:pPr>
    <w:rPr>
      <w:rFonts w:ascii="Times New Roman" w:hAnsi="Times New Roman" w:eastAsia="仿宋_GB2312"/>
      <w:sz w:val="24"/>
    </w:rPr>
  </w:style>
  <w:style w:type="paragraph" w:customStyle="1" w:styleId="60">
    <w:name w:val="样式1"/>
    <w:basedOn w:val="1"/>
    <w:qFormat/>
    <w:uiPriority w:val="0"/>
    <w:pPr>
      <w:widowControl/>
      <w:spacing w:line="360" w:lineRule="auto"/>
      <w:ind w:firstLine="480" w:firstLineChars="200"/>
    </w:pPr>
    <w:rPr>
      <w:rFonts w:ascii="Times New Roman" w:hAnsi="Times New Roman"/>
      <w:color w:val="auto"/>
      <w:kern w:val="0"/>
      <w:sz w:val="24"/>
      <w:lang w:bidi="ar"/>
    </w:rPr>
  </w:style>
  <w:style w:type="table" w:customStyle="1" w:styleId="61">
    <w:name w:val="Table Normal"/>
    <w:semiHidden/>
    <w:unhideWhenUsed/>
    <w:qFormat/>
    <w:uiPriority w:val="0"/>
    <w:tblPr>
      <w:tblCellMar>
        <w:top w:w="0" w:type="dxa"/>
        <w:left w:w="0" w:type="dxa"/>
        <w:bottom w:w="0" w:type="dxa"/>
        <w:right w:w="0" w:type="dxa"/>
      </w:tblCellMar>
    </w:tblPr>
  </w:style>
  <w:style w:type="paragraph" w:customStyle="1" w:styleId="62">
    <w:name w:val="正文标准"/>
    <w:basedOn w:val="1"/>
    <w:qFormat/>
    <w:uiPriority w:val="0"/>
    <w:pPr>
      <w:spacing w:before="130" w:line="360" w:lineRule="auto"/>
      <w:ind w:left="23" w:right="11" w:firstLine="420" w:firstLineChars="200"/>
      <w:jc w:val="both"/>
    </w:pPr>
    <w:rPr>
      <w:rFonts w:ascii="Times New Roman" w:hAnsi="Times New Roman" w:eastAsia="宋体" w:cs="宋体"/>
      <w:spacing w:val="-3"/>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0.wmf"/><Relationship Id="rId21" Type="http://schemas.openxmlformats.org/officeDocument/2006/relationships/oleObject" Target="embeddings/oleObject4.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3.bin"/><Relationship Id="rId15" Type="http://schemas.openxmlformats.org/officeDocument/2006/relationships/image" Target="media/image5.png"/><Relationship Id="rId14" Type="http://schemas.openxmlformats.org/officeDocument/2006/relationships/image" Target="media/image4.emf"/><Relationship Id="rId13" Type="http://schemas.openxmlformats.org/officeDocument/2006/relationships/oleObject" Target="embeddings/oleObject2.bin"/><Relationship Id="rId12" Type="http://schemas.openxmlformats.org/officeDocument/2006/relationships/image" Target="media/image3.emf"/><Relationship Id="rId11" Type="http://schemas.openxmlformats.org/officeDocument/2006/relationships/oleObject" Target="embeddings/oleObject1.bin"/><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050" textRotate="1"/>
  </customShpExts>
</s:customData>
</file>

<file path=customXml/item2.xml><?xml version="1.0" encoding="utf-8"?>
<contractReview xmlns="http://schemas.wps.cn/vas-ai-hub/contract-review">
  <reviewItems>
    <reviewItem>
      <errorID>16e7e26a-9855-4d2a-97d6-a8902a593fea</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1979954C</paraID>
      <start>14</start>
      <end>17</end>
      <status>ignored</status>
      <modifiedWord/>
      <trackRevisions>false</trackRevisions>
    </reviewItem>
    <reviewItem>
      <errorID>105d92cc-b92e-4140-8abe-039650262f2a</errorID>
      <errorWord>污水厂</errorWord>
      <group>L1_Word</group>
      <groupName>字词问题</groupName>
      <ability>L2_Typo</ability>
      <abilityName>字词错误</abilityName>
      <candidateList>
        <item>污水处理厂</item>
      </candidateList>
      <explain/>
      <paraID>4EE759D6</paraID>
      <start>29</start>
      <end>32</end>
      <status>ignored</status>
      <modifiedWord/>
      <trackRevisions>false</trackRevisions>
    </reviewItem>
    <reviewItem>
      <errorID>c279751e-3eb9-4a3e-aa2b-80e2feea3dec</errorID>
      <errorWord>程</errorWord>
      <group>L1_Word</group>
      <groupName>字词问题</groupName>
      <ability>L2_Typo</ability>
      <abilityName>字词错误</abilityName>
      <candidateList>
        <item>程中</item>
      </candidateList>
      <explain/>
      <paraID> 6158206</paraID>
      <start>50</start>
      <end>51</end>
      <status>ignored</status>
      <modifiedWord/>
      <trackRevisions>false</trackRevisions>
    </reviewItem>
    <reviewItem>
      <errorID>58b3b1ef-7e52-4df1-ba47-d8b1b46c67d9</errorID>
      <errorWord>后与</errorWord>
      <group>L1_Word</group>
      <groupName>字词问题</groupName>
      <ability>L2_Typo</ability>
      <abilityName>字词错误</abilityName>
      <candidateList>
        <item>后</item>
      </candidateList>
      <explain/>
      <paraID> 6158206</paraID>
      <start>221</start>
      <end>223</end>
      <status>ignored</status>
      <modifiedWord/>
      <trackRevisions>false</trackRevisions>
    </reviewItem>
    <reviewItem>
      <errorID>bd264ad3-9488-4580-b86e-6aae08e4f4c0</errorID>
      <errorWord>城乡结合部</errorWord>
      <group>L1_Knowledge</group>
      <groupName>知识性问题</groupName>
      <ability>L2_Knowledge</ability>
      <abilityName>其他知识</abilityName>
      <candidateList>
        <item>城乡接合部</item>
      </candidateList>
      <explain/>
      <paraID>462BEDBB</paraID>
      <start>15</start>
      <end>20</end>
      <status>ignored</status>
      <modifiedWord/>
      <trackRevisions>false</trackRevisions>
    </reviewItem>
    <reviewItem>
      <errorID>552881e9-180a-438a-86c1-6a52ac3208c3</errorID>
      <errorWord>协调治理</errorWord>
      <group>L1_Political</group>
      <groupName>政治性问题</groupName>
      <ability>L2_Unpolitical</ability>
      <abilityName>政治敏感错误</abilityName>
      <candidateList>
        <item>协同治理</item>
      </candidateList>
      <explain/>
      <paraID>7249E4A3</paraID>
      <start>66</start>
      <end>70</end>
      <status>ignored</status>
      <modifiedWord/>
      <trackRevisions>false</trackRevisions>
    </reviewItem>
    <reviewItem>
      <errorID>fde43c5a-3fb2-4d51-b976-36d3f0e99331</errorID>
      <errorWord>程</errorWord>
      <group>L1_Word</group>
      <groupName>字词问题</groupName>
      <ability>L2_Typo</ability>
      <abilityName>字词错误</abilityName>
      <candidateList>
        <item>程中</item>
      </candidateList>
      <explain/>
      <paraID>55A60264</paraID>
      <start>50</start>
      <end>51</end>
      <status>ignored</status>
      <modifiedWord/>
      <trackRevisions>false</trackRevisions>
    </reviewItem>
    <reviewItem>
      <errorID>74bef14c-ed39-47f0-b5a5-6fd652dbcc9d</errorID>
      <errorWord>加强</errorWord>
      <group>L1_Grammar</group>
      <groupName>语法问题</groupName>
      <ability>L2_Grammar</ability>
      <abilityName>语法错误</abilityName>
      <candidateList>
        <item>加大</item>
      </candidateList>
      <explain>“加强～力度”搭配不当，建议修改为“加大～力度”。</explain>
      <paraID>4F208A66</paraID>
      <start>1</start>
      <end>3</end>
      <status>ignored</status>
      <modifiedWord/>
      <trackRevisions>false</trackRevisions>
    </reviewItem>
    <reviewItem>
      <errorID>e09d2475-9596-42d0-bd8f-f94e3d48aa33</errorID>
      <errorWord>程</errorWord>
      <group>L1_Word</group>
      <groupName>字词问题</groupName>
      <ability>L2_Typo</ability>
      <abilityName>字词错误</abilityName>
      <candidateList>
        <item>程中</item>
      </candidateList>
      <explain/>
      <paraID>5A08961D</paraID>
      <start>61</start>
      <end>62</end>
      <status>ignored</status>
      <modifiedWord/>
      <trackRevisions>false</trackRevisions>
    </reviewItem>
    <reviewItem>
      <errorID>4faef19f-48a2-410e-9c64-f88c8a38d78b</errorID>
      <errorWord>程</errorWord>
      <group>L1_Word</group>
      <groupName>字词问题</groupName>
      <ability>L2_Typo</ability>
      <abilityName>字词错误</abilityName>
      <candidateList>
        <item>程中</item>
      </candidateList>
      <explain/>
      <paraID>4AE8D781</paraID>
      <start>61</start>
      <end>62</end>
      <status>ignored</status>
      <modifiedWord/>
      <trackRevisions>false</trackRevisions>
    </reviewItem>
    <reviewItem>
      <errorID>c50738fa-bb56-4599-84fc-6b25fd014735</errorID>
      <errorWord>位</errorWord>
      <group>L1_Word</group>
      <groupName>字词问题</groupName>
      <ability>L2_Typo</ability>
      <abilityName>字词错误</abilityName>
      <candidateList>
        <item>位在</item>
      </candidateList>
      <explain/>
      <paraID>247B91C5</paraID>
      <start>8</start>
      <end>9</end>
      <status>ignored</status>
      <modifiedWord/>
      <trackRevisions>false</trackRevisions>
    </reviewItem>
    <reviewItem>
      <errorID>f96e08ea-d2e9-46a7-82a3-820f9f55be2b</errorID>
      <errorWord>人均为</errorWord>
      <group>L1_Word</group>
      <groupName>字词问题</groupName>
      <ability>L2_Typo</ability>
      <abilityName>字词错误</abilityName>
      <candidateList>
        <item>人均</item>
      </candidateList>
      <explain/>
      <paraID>40088CF1</paraID>
      <start>31</start>
      <end>34</end>
      <status>ignored</status>
      <modifiedWord/>
      <trackRevisions>false</trackRevisions>
    </reviewItem>
    <reviewItem>
      <errorID>d7710ad1-79cb-4595-aa80-4bf795fdcbc7</errorID>
      <errorWord>双组份</errorWord>
      <group>L1_Word</group>
      <groupName>字词问题</groupName>
      <ability>L2_Typo</ability>
      <abilityName>字词错误</abilityName>
      <candidateList>
        <item>双组分</item>
      </candidateList>
      <explain>存在发音相同字词的误用。</explain>
      <paraID>16390C58</paraID>
      <start>22</start>
      <end>25</end>
      <status>ignored</status>
      <modifiedWord/>
      <trackRevisions>false</trackRevisions>
    </reviewItem>
    <reviewItem>
      <errorID>a656ece4-d733-42f1-8cf9-97a146598688</errorID>
      <errorWord>结</errorWord>
      <group>L1_Word</group>
      <groupName>字词问题</groupName>
      <ability>L2_Typo</ability>
      <abilityName>字词错误</abilityName>
      <candidateList>
        <item>结果</item>
      </candidateList>
      <explain/>
      <paraID>7AE72877</paraID>
      <start>17</start>
      <end>18</end>
      <status>ignored</status>
      <modifiedWord/>
      <trackRevisions>false</trackRevisions>
    </reviewItem>
    <reviewItem>
      <errorID>baa42336-2df7-460a-8c7c-e39f8343ef02</errorID>
      <errorWord>总</errorWord>
      <group>L1_Word</group>
      <groupName>字词问题</groupName>
      <ability>L2_Typo</ability>
      <abilityName>字词错误</abilityName>
      <candidateList>
        <item>中</item>
      </candidateList>
      <explain/>
      <paraID>18531AAC</paraID>
      <start>6</start>
      <end>7</end>
      <status>ignored</status>
      <modifiedWord/>
      <trackRevisions>false</trackRevisions>
    </reviewItem>
    <reviewItem>
      <errorID>2b1e353a-9abb-4f44-8ecb-560e04f2bb4f</errorID>
      <errorWord>防止</errorWord>
      <group>L1_Word</group>
      <groupName>字词问题</groupName>
      <ability>L2_Typo</ability>
      <abilityName>字词错误</abilityName>
      <candidateList>
        <item>防治</item>
      </candidateList>
      <explain/>
      <paraID>2D9B4854</paraID>
      <start>3</start>
      <end>5</end>
      <status>ignored</status>
      <modifiedWord/>
      <trackRevisions>false</trackRevisions>
    </reviewItem>
    <reviewItem>
      <errorID>ee2e37c9-a3dc-433a-924a-a78ed5166e58</errorID>
      <errorWord>工地</errorWord>
      <group>L1_Word</group>
      <groupName>字词问题</groupName>
      <ability>L2_Typo</ability>
      <abilityName>字词错误</abilityName>
      <candidateList>
        <item>场地</item>
      </candidateList>
      <explain/>
      <paraID>27BE9F54</paraID>
      <start>35</start>
      <end>37</end>
      <status>ignored</status>
      <modifiedWord/>
      <trackRevisions>false</trackRevisions>
    </reviewItem>
    <reviewItem>
      <errorID>e48bdd4b-3ed5-467f-a5dd-7aa7295112e5</errorID>
      <errorWord>余泥</errorWord>
      <group>L1_Word</group>
      <groupName>字词问题</groupName>
      <ability>L2_Typo</ability>
      <abilityName>字词错误</abilityName>
      <candidateList>
        <item>淤泥</item>
      </candidateList>
      <explain/>
      <paraID>7D042211</paraID>
      <start>3</start>
      <end>5</end>
      <status>ignored</status>
      <modifiedWord/>
      <trackRevisions>false</trackRevisions>
    </reviewItem>
    <reviewItem>
      <errorID>6911df9a-08b7-478e-8c46-39560eb010a9</errorID>
      <errorWord>对</errorWord>
      <group>L1_Word</group>
      <groupName>字词问题</groupName>
      <ability>L2_Typo</ability>
      <abilityName>字词错误</abilityName>
      <candidateList>
        <item>对较</item>
      </candidateList>
      <explain/>
      <paraID>7582758C</paraID>
      <start>55</start>
      <end>56</end>
      <status>ignored</status>
      <modifiedWord/>
      <trackRevisions>false</trackRevisions>
    </reviewItem>
    <reviewItem>
      <errorID>c0f45f93-8d72-4b9e-a5f0-6deed3f0c84f</errorID>
      <errorWord>中</errorWord>
      <group>L1_Word</group>
      <groupName>字词问题</groupName>
      <ability>L2_Typo</ability>
      <abilityName>字词错误</abilityName>
      <candidateList>
        <item>于</item>
      </candidateList>
      <explain>存在字形相近字词的误用。</explain>
      <paraID>2167308B</paraID>
      <start>40</start>
      <end>41</end>
      <status>ignored</status>
      <modifiedWord/>
      <trackRevisions>false</trackRevisions>
    </reviewItem>
    <reviewItem>
      <errorID>f61d0ed5-f478-4840-a52f-90723f649cdf</errorID>
      <errorWord>噪音</errorWord>
      <group>L1_Word</group>
      <groupName>字词问题</groupName>
      <ability>L2_Alias</ability>
      <abilityName>也作/曾用词</abilityName>
      <candidateList>
        <item>噪声</item>
      </candidateList>
      <explain>词汇[噪音]为不规范表述或旧称，其规范书面表述为[噪声]。</explain>
      <paraID> 4424794</paraID>
      <start>32</start>
      <end>34</end>
      <status>ignored</status>
      <modifiedWord/>
      <trackRevisions>false</trackRevisions>
    </reviewItem>
    <reviewItem>
      <errorID>a00f7122-8e6e-4fd7-94f9-9fcf1993ddf4</errorID>
      <errorWord>设在</errorWord>
      <group>L1_Word</group>
      <groupName>字词问题</groupName>
      <ability>L2_Typo</ability>
      <abilityName>字词错误</abilityName>
      <candidateList>
        <item>在</item>
      </candidateList>
      <explain/>
      <paraID>4D3742F2</paraID>
      <start>26</start>
      <end>28</end>
      <status>ignored</status>
      <modifiedWord/>
      <trackRevisions>false</trackRevisions>
    </reviewItem>
    <reviewItem>
      <errorID>8eeaa325-394d-4103-9b21-b54291780806</errorID>
      <errorWord>多口</errorWord>
      <group>L1_Word</group>
      <groupName>字词问题</groupName>
      <ability>L2_Typo</ability>
      <abilityName>字词错误</abilityName>
      <candidateList>
        <item>多孔</item>
      </candidateList>
      <explain/>
      <paraID>4D3742F2</paraID>
      <start>132</start>
      <end>134</end>
      <status>ignored</status>
      <modifiedWord/>
      <trackRevisions>false</trackRevisions>
    </reviewItem>
    <reviewItem>
      <errorID>0b34882b-222b-4dfd-8028-e90de3123c1f</errorID>
      <errorWord>作</errorWord>
      <group>L1_Word</group>
      <groupName>字词问题</groupName>
      <ability>L2_Typo</ability>
      <abilityName>字词错误</abilityName>
      <candidateList>
        <item>做</item>
      </candidateList>
      <explain>存在发音相同字词的误用。</explain>
      <paraID>4D3742F2</paraID>
      <start>142</start>
      <end>143</end>
      <status>ignored</status>
      <modifiedWord/>
      <trackRevisions>false</trackRevisions>
    </reviewItem>
    <reviewItem>
      <errorID>dd7f88d7-095f-4f0f-ad23-0b507874fd09</errorID>
      <errorWord>程</errorWord>
      <group>L1_Word</group>
      <groupName>字词问题</groupName>
      <ability>L2_Typo</ability>
      <abilityName>字词错误</abilityName>
      <candidateList>
        <item>程中</item>
      </candidateList>
      <explain/>
      <paraID>724D5501</paraID>
      <start>49</start>
      <end>50</end>
      <status>ignored</status>
      <modifiedWord/>
      <trackRevisions>false</trackRevisions>
    </reviewItem>
    <reviewItem>
      <errorID>6e3c978d-d81e-4636-bd3f-faa29545bee0</errorID>
      <errorWord>计</errorWord>
      <group>L1_Word</group>
      <groupName>字词问题</groupName>
      <ability>L2_Typo</ability>
      <abilityName>字词错误</abilityName>
      <candidateList>
        <item>计算</item>
      </candidateList>
      <explain/>
      <paraID>16A4E8C8</paraID>
      <start>164</start>
      <end>165</end>
      <status>ignored</status>
      <modifiedWord/>
      <trackRevisions>false</trackRevisions>
    </reviewItem>
    <reviewItem>
      <errorID>d1910e0c-871d-4427-8525-2667fb0c0e9c</errorID>
      <errorWord>程</errorWord>
      <group>L1_Word</group>
      <groupName>字词问题</groupName>
      <ability>L2_Typo</ability>
      <abilityName>字词错误</abilityName>
      <candidateList>
        <item>程中</item>
      </candidateList>
      <explain/>
      <paraID>66D9B87F</paraID>
      <start>54</start>
      <end>55</end>
      <status>ignored</status>
      <modifiedWord/>
      <trackRevisions>false</trackRevisions>
    </reviewItem>
    <reviewItem>
      <errorID>e9937b00-79be-4b7d-b8a7-2a5c633b5b4f</errorID>
      <errorWord>程</errorWord>
      <group>L1_Word</group>
      <groupName>字词问题</groupName>
      <ability>L2_Typo</ability>
      <abilityName>字词错误</abilityName>
      <candidateList>
        <item>程中</item>
      </candidateList>
      <explain/>
      <paraID>5D5C1A14</paraID>
      <start>49</start>
      <end>50</end>
      <status>ignored</status>
      <modifiedWord/>
      <trackRevisions>false</trackRevisions>
    </reviewItem>
    <reviewItem>
      <errorID>6a6e1f4a-e43d-42ee-b49b-5c12ebe7c631</errorID>
      <errorWord>程</errorWord>
      <group>L1_Word</group>
      <groupName>字词问题</groupName>
      <ability>L2_Typo</ability>
      <abilityName>字词错误</abilityName>
      <candidateList>
        <item>程中</item>
      </candidateList>
      <explain/>
      <paraID>709EE777</paraID>
      <start>3</start>
      <end>4</end>
      <status>ignored</status>
      <modifiedWord/>
      <trackRevisions>false</trackRevisions>
    </reviewItem>
    <reviewItem>
      <errorID>17fc1702-a3fe-4c9c-9236-6beb69254717</errorID>
      <errorWord>污水厂</errorWord>
      <group>L1_Word</group>
      <groupName>字词问题</groupName>
      <ability>L2_Typo</ability>
      <abilityName>字词错误</abilityName>
      <candidateList>
        <item>污水处理厂</item>
      </candidateList>
      <explain/>
      <paraID>514674DD</paraID>
      <start>177</start>
      <end>180</end>
      <status>ignored</status>
      <modifiedWord/>
      <trackRevisions>false</trackRevisions>
    </reviewItem>
    <reviewItem>
      <errorID>31cab27e-c44e-40a6-a4c1-62d00e63aefa</errorID>
      <errorWord>程</errorWord>
      <group>L1_Word</group>
      <groupName>字词问题</groupName>
      <ability>L2_Typo</ability>
      <abilityName>字词错误</abilityName>
      <candidateList>
        <item>程中</item>
      </candidateList>
      <explain/>
      <paraID>6FE29376</paraID>
      <start>5</start>
      <end>6</end>
      <status>ignored</status>
      <modifiedWord/>
      <trackRevisions>false</trackRevisions>
    </reviewItem>
    <reviewItem>
      <errorID>5312ce68-76c1-4983-bf82-6bb66ea167b5</errorID>
      <errorWord>各</errorWord>
      <group>L1_Word</group>
      <groupName>字词问题</groupName>
      <ability>L2_Typo</ability>
      <abilityName>字词错误</abilityName>
      <candidateList>
        <item>各类</item>
      </candidateList>
      <explain/>
      <paraID>64F69F83</paraID>
      <start>11</start>
      <end>12</end>
      <status>ignored</status>
      <modifiedWord/>
      <trackRevisions>false</trackRevisions>
    </reviewItem>
    <reviewItem>
      <errorID>6a7a37b3-f733-45c4-832a-ebb14c5d9e89</errorID>
      <errorWord>，</errorWord>
      <group>L1_Word</group>
      <groupName>字词问题</groupName>
      <ability>L2_Typo</ability>
      <abilityName>字词错误</abilityName>
      <candidateList>
        <item>，作</item>
      </candidateList>
      <explain/>
      <paraID>64F69F83</paraID>
      <start>141</start>
      <end>142</end>
      <status>ignored</status>
      <modifiedWord/>
      <trackRevisions>false</trackRevisions>
    </reviewItem>
    <reviewItem>
      <errorID>4ead4e87-536b-4377-b2f1-06ba435dbd3f</errorID>
      <errorWord>移</errorWord>
      <group>L1_Word</group>
      <groupName>字词问题</groupName>
      <ability>L2_Typo</ability>
      <abilityName>字词错误</abilityName>
      <candidateList>
        <item>移等</item>
      </candidateList>
      <explain/>
      <paraID>70A011BB</paraID>
      <start>71</start>
      <end>72</end>
      <status>ignored</status>
      <modifiedWord/>
      <trackRevisions>false</trackRevisions>
    </reviewItem>
    <reviewItem>
      <errorID>c5d9c04f-cc21-4142-9c01-4e3d180ec8cd</errorID>
      <errorWord>并应</errorWord>
      <group>L1_Word</group>
      <groupName>字词问题</groupName>
      <ability>L2_Typo</ability>
      <abilityName>字词错误</abilityName>
      <candidateList>
        <item>并</item>
      </candidateList>
      <explain/>
      <paraID>4FC31ED7</paraID>
      <start>61</start>
      <end>63</end>
      <status>ignored</status>
      <modifiedWord/>
      <trackRevisions>false</trackRevisions>
    </reviewItem>
    <reviewItem>
      <errorID>4088aff2-1fd4-49a5-ba0f-c0fd086e2c95</errorID>
      <errorWord>人</errorWord>
      <group>L1_Word</group>
      <groupName>字词问题</groupName>
      <ability>L2_Typo</ability>
      <abilityName>字词错误</abilityName>
      <candidateList>
        <item>人员</item>
      </candidateList>
      <explain/>
      <paraID>4FC31ED7</paraID>
      <start>66</start>
      <end>67</end>
      <status>ignored</status>
      <modifiedWord/>
      <trackRevisions>false</trackRevisions>
    </reviewItem>
    <reviewItem>
      <errorID>6a4d9396-2702-4fc3-adb3-256686875879</errorID>
      <errorWord>表明</errorWord>
      <group>L1_Word</group>
      <groupName>字词问题</groupName>
      <ability>L2_Typo</ability>
      <abilityName>字词错误</abilityName>
      <candidateList>
        <item>标明</item>
      </candidateList>
      <explain/>
      <paraID>45F6C5B9</paraID>
      <start>68</start>
      <end>70</end>
      <status>ignored</status>
      <modifiedWord/>
      <trackRevisions>false</trackRevisions>
    </reviewItem>
    <reviewItem>
      <errorID>e7166cfe-abda-4e70-830f-be88f1358254</errorID>
      <errorWord>成份</errorWord>
      <group>L1_Word</group>
      <groupName>字词问题</groupName>
      <ability>L2_Typo</ability>
      <abilityName>字词错误</abilityName>
      <candidateList>
        <item>成分</item>
      </candidateList>
      <explain/>
      <paraID>45F6C5B9</paraID>
      <start>79</start>
      <end>81</end>
      <status>ignored</status>
      <modifiedWord/>
      <trackRevisions>false</trackRevisions>
    </reviewItem>
    <reviewItem>
      <errorID>e0c99df4-befa-48f2-a0b5-15b3171e9ef0</errorID>
      <errorWord>作</errorWord>
      <group>L1_Word</group>
      <groupName>字词问题</groupName>
      <ability>L2_Typo</ability>
      <abilityName>字词错误</abilityName>
      <candidateList>
        <item>做</item>
      </candidateList>
      <explain>存在发音相同字词的误用。</explain>
      <paraID>7A08A915</paraID>
      <start>79</start>
      <end>80</end>
      <status>ignored</status>
      <modifiedWord/>
      <trackRevisions>false</trackRevisions>
    </reviewItem>
    <reviewItem>
      <errorID>84738eaa-fabf-4c07-8dd1-6e1eb2a3cd40</errorID>
      <errorWord>圾</errorWord>
      <group>L1_Word</group>
      <groupName>字词问题</groupName>
      <ability>L2_Typo</ability>
      <abilityName>字词错误</abilityName>
      <candidateList>
        <item>圾在</item>
      </candidateList>
      <explain/>
      <paraID>70892376</paraID>
      <start>3</start>
      <end>4</end>
      <status>ignored</status>
      <modifiedWord/>
      <trackRevisions>false</trackRevisions>
    </reviewItem>
    <reviewItem>
      <errorID>cd2062c1-aad0-4235-838e-45fe8d689e27</errorID>
      <errorWord>等地</errorWord>
      <group>L1_Word</group>
      <groupName>字词问题</groupName>
      <ability>L2_Typo</ability>
      <abilityName>字词错误</abilityName>
      <candidateList>
        <item>等</item>
      </candidateList>
      <explain/>
      <paraID>147B3E89</paraID>
      <start>108</start>
      <end>110</end>
      <status>ignored</status>
      <modifiedWord/>
      <trackRevisions>false</trackRevisions>
    </reviewItem>
    <reviewItem>
      <errorID>4fd9fe87-7d1a-43bc-8600-ff4f57f2d478</errorID>
      <errorWord>泄露</errorWord>
      <group>L1_Word</group>
      <groupName>字词问题</groupName>
      <ability>L2_Typo</ability>
      <abilityName>字词错误</abilityName>
      <candidateList>
        <item>泄漏</item>
      </candidateList>
      <explain/>
      <paraID>23B2083F</paraID>
      <start>10</start>
      <end>12</end>
      <status>ignored</status>
      <modifiedWord/>
      <trackRevisions>false</trackRevisions>
    </reviewItem>
    <reviewItem>
      <errorID>4c8dd111-3fd7-4ef3-94a6-7836cc0cc122</errorID>
      <errorWord>嘛</errorWord>
      <group>L1_Word</group>
      <groupName>字词问题</groupName>
      <ability>L2_Typo</ability>
      <abilityName>字词错误</abilityName>
      <candidateList>
        <item>吗</item>
      </candidateList>
      <explain>存在发音相同字词的误用。</explain>
      <paraID>53018BA9</paraID>
      <start>257</start>
      <end>258</end>
      <status>modified</status>
      <modifiedWord>吗</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4bb46f-27bc-4209-8d2e-c3d566378081}">
  <ds:schemaRefs/>
</ds:datastoreItem>
</file>

<file path=docProps/app.xml><?xml version="1.0" encoding="utf-8"?>
<Properties xmlns="http://schemas.openxmlformats.org/officeDocument/2006/extended-properties" xmlns:vt="http://schemas.openxmlformats.org/officeDocument/2006/docPropsVTypes">
  <Template>Normal.dotm</Template>
  <Pages>61</Pages>
  <Words>4520</Words>
  <Characters>4786</Characters>
  <Lines>0</Lines>
  <Paragraphs>0</Paragraphs>
  <TotalTime>108</TotalTime>
  <ScaleCrop>false</ScaleCrop>
  <LinksUpToDate>false</LinksUpToDate>
  <CharactersWithSpaces>4851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2023-12-18T08:33:00Z</dcterms:created>
  <dc:creator>WPS_1668738390</dc:creator>
  <cp:lastModifiedBy>future</cp:lastModifiedBy>
  <dcterms:modified xsi:type="dcterms:W3CDTF">2026-08-31T09:02:47Z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45BF7F80967749A4BF670E1C757AB2AE_13</vt:lpwstr>
  </property>
  <property fmtid="{D5CDD505-2E9C-101B-9397-08002B2CF9AE}" pid="4" name="KSOTemplateDocerSaveRecord">
    <vt:lpwstr>eyJoZGlkIjoiMjM0MDNmY2FkZjFhMWE0OWUyOTVhYjQzMDRkYzc4NWUiLCJ1c2VySWQiOiIxMjA3ODgyNzc3In0=</vt:lpwstr>
  </property>
</Properties>
</file>