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D423F">
      <w:pPr>
        <w:rPr>
          <w:rFonts w:hint="default" w:ascii="Times New Roman" w:hAnsi="Times New Roman" w:eastAsia="仿宋_GB2312" w:cs="Times New Roman"/>
          <w:color w:val="auto"/>
          <w:sz w:val="36"/>
          <w:szCs w:val="36"/>
        </w:rPr>
      </w:pPr>
    </w:p>
    <w:p w14:paraId="271618D1">
      <w:pPr>
        <w:rPr>
          <w:rFonts w:hint="default" w:ascii="Times New Roman" w:hAnsi="Times New Roman" w:eastAsia="仿宋_GB2312" w:cs="Times New Roman"/>
          <w:color w:val="auto"/>
          <w:sz w:val="36"/>
          <w:szCs w:val="36"/>
        </w:rPr>
      </w:pPr>
    </w:p>
    <w:p w14:paraId="021C0377">
      <w:pPr>
        <w:rPr>
          <w:rFonts w:hint="default" w:ascii="Times New Roman" w:hAnsi="Times New Roman" w:eastAsia="仿宋_GB2312" w:cs="Times New Roman"/>
          <w:color w:val="auto"/>
          <w:sz w:val="36"/>
          <w:szCs w:val="36"/>
        </w:rPr>
      </w:pPr>
    </w:p>
    <w:p w14:paraId="60061068">
      <w:pPr>
        <w:rPr>
          <w:rFonts w:hint="default" w:ascii="Times New Roman" w:hAnsi="Times New Roman" w:eastAsia="仿宋_GB2312" w:cs="Times New Roman"/>
          <w:color w:val="auto"/>
          <w:sz w:val="36"/>
          <w:szCs w:val="36"/>
        </w:rPr>
      </w:pPr>
    </w:p>
    <w:p w14:paraId="3E91A484">
      <w:pPr>
        <w:rPr>
          <w:rFonts w:hint="default" w:ascii="Times New Roman" w:hAnsi="Times New Roman" w:eastAsia="仿宋_GB2312" w:cs="Times New Roman"/>
          <w:color w:val="auto"/>
          <w:sz w:val="36"/>
          <w:szCs w:val="36"/>
        </w:rPr>
      </w:pPr>
    </w:p>
    <w:p w14:paraId="627DA8A4">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4C4E8B52">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675E1D33">
      <w:pPr>
        <w:adjustRightInd w:val="0"/>
        <w:snapToGrid w:val="0"/>
        <w:spacing w:line="288" w:lineRule="auto"/>
        <w:jc w:val="center"/>
        <w:outlineLvl w:val="9"/>
        <w:rPr>
          <w:rFonts w:hint="default" w:ascii="Times New Roman" w:hAnsi="Times New Roman" w:eastAsia="华文仿宋" w:cs="Times New Roman"/>
          <w:color w:val="auto"/>
          <w:kern w:val="44"/>
          <w:sz w:val="44"/>
          <w:szCs w:val="44"/>
        </w:rPr>
      </w:pPr>
    </w:p>
    <w:p w14:paraId="263666EA">
      <w:pPr>
        <w:jc w:val="center"/>
        <w:rPr>
          <w:rFonts w:hint="default" w:ascii="Times New Roman" w:hAnsi="Times New Roman" w:eastAsia="仿宋" w:cs="Times New Roman"/>
          <w:color w:val="auto"/>
          <w:sz w:val="52"/>
          <w:szCs w:val="52"/>
        </w:rPr>
      </w:pPr>
    </w:p>
    <w:p w14:paraId="7F2C1B20">
      <w:pPr>
        <w:ind w:firstLine="1040"/>
        <w:rPr>
          <w:rFonts w:hint="default" w:ascii="Times New Roman" w:hAnsi="Times New Roman" w:eastAsia="仿宋" w:cs="Times New Roman"/>
          <w:color w:val="auto"/>
          <w:sz w:val="44"/>
          <w:szCs w:val="44"/>
        </w:rPr>
      </w:pPr>
    </w:p>
    <w:p w14:paraId="7CE27FAF">
      <w:pPr>
        <w:ind w:firstLine="1040"/>
        <w:rPr>
          <w:rFonts w:hint="default" w:ascii="Times New Roman" w:hAnsi="Times New Roman" w:eastAsia="仿宋" w:cs="Times New Roman"/>
          <w:color w:val="auto"/>
          <w:sz w:val="44"/>
          <w:szCs w:val="44"/>
        </w:rPr>
      </w:pPr>
    </w:p>
    <w:p w14:paraId="6FA9355D">
      <w:pPr>
        <w:ind w:firstLine="1040"/>
        <w:rPr>
          <w:rFonts w:hint="default" w:ascii="Times New Roman" w:hAnsi="Times New Roman" w:eastAsia="仿宋" w:cs="Times New Roman"/>
          <w:color w:val="auto"/>
          <w:sz w:val="44"/>
          <w:szCs w:val="44"/>
        </w:rPr>
      </w:pPr>
    </w:p>
    <w:p w14:paraId="686ECAF2">
      <w:pPr>
        <w:adjustRightInd w:val="0"/>
        <w:snapToGrid w:val="0"/>
        <w:spacing w:line="360" w:lineRule="auto"/>
        <w:rPr>
          <w:rFonts w:hint="default" w:ascii="Times New Roman" w:hAnsi="Times New Roman" w:eastAsia="仿宋_GB2312" w:cs="Times New Roman"/>
          <w:color w:val="auto"/>
          <w:sz w:val="32"/>
          <w:szCs w:val="32"/>
        </w:rPr>
      </w:pPr>
    </w:p>
    <w:p w14:paraId="6DB1199B">
      <w:pPr>
        <w:adjustRightInd w:val="0"/>
        <w:snapToGrid w:val="0"/>
        <w:spacing w:line="360" w:lineRule="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项</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目</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名</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称：</w:t>
      </w:r>
      <w:r>
        <w:rPr>
          <w:rFonts w:hint="eastAsia" w:eastAsia="仿宋_GB2312" w:cs="Times New Roman"/>
          <w:color w:val="auto"/>
          <w:sz w:val="32"/>
          <w:szCs w:val="32"/>
          <w:u w:val="single"/>
          <w:lang w:val="en-US" w:eastAsia="zh-CN"/>
        </w:rPr>
        <w:t xml:space="preserve">       中药实</w:t>
      </w:r>
      <w:r>
        <w:rPr>
          <w:rFonts w:hint="default" w:ascii="Times New Roman" w:hAnsi="Times New Roman" w:eastAsia="仿宋_GB2312" w:cs="Times New Roman"/>
          <w:color w:val="auto"/>
          <w:sz w:val="32"/>
          <w:szCs w:val="32"/>
          <w:u w:val="single"/>
          <w:lang w:val="en-US" w:eastAsia="zh-CN"/>
        </w:rPr>
        <w:t>验室项目</w:t>
      </w:r>
      <w:r>
        <w:rPr>
          <w:rFonts w:hint="eastAsia" w:eastAsia="仿宋_GB2312" w:cs="Times New Roman"/>
          <w:color w:val="auto"/>
          <w:sz w:val="32"/>
          <w:szCs w:val="32"/>
          <w:u w:val="single"/>
          <w:lang w:val="en-US" w:eastAsia="zh-CN"/>
        </w:rPr>
        <w:t xml:space="preserve">            </w:t>
      </w:r>
    </w:p>
    <w:p w14:paraId="6168893B">
      <w:pPr>
        <w:adjustRightInd w:val="0"/>
        <w:snapToGrid w:val="0"/>
        <w:spacing w:line="360" w:lineRule="auto"/>
        <w:ind w:left="6400" w:hanging="6400" w:hangingChars="2000"/>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建设单位（盖</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章）：</w:t>
      </w:r>
      <w:r>
        <w:rPr>
          <w:rFonts w:hint="eastAsia" w:ascii="Times New Roman" w:hAnsi="Times New Roman" w:eastAsia="仿宋_GB2312" w:cs="Times New Roman"/>
          <w:color w:val="auto"/>
          <w:sz w:val="32"/>
          <w:szCs w:val="32"/>
          <w:u w:val="single"/>
          <w:lang w:val="en-US" w:eastAsia="zh-CN"/>
        </w:rPr>
        <w:t xml:space="preserve">陕西圣济康泽中药研究科技有限公司 </w:t>
      </w:r>
    </w:p>
    <w:p w14:paraId="40BEFA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937" w:firstLineChars="918"/>
        <w:textAlignment w:val="auto"/>
        <w:rPr>
          <w:rFonts w:hint="default" w:ascii="Times New Roman" w:hAnsi="Times New Roman" w:eastAsia="仿宋_GB2312" w:cs="Times New Roman"/>
          <w:color w:val="auto"/>
          <w:sz w:val="32"/>
          <w:szCs w:val="32"/>
          <w:u w:val="single"/>
          <w:lang w:val="en-US" w:eastAsia="zh-CN"/>
        </w:rPr>
      </w:pPr>
      <w:r>
        <w:rPr>
          <w:rFonts w:hint="eastAsia" w:ascii="Times New Roman" w:hAnsi="Times New Roman" w:eastAsia="仿宋_GB2312" w:cs="Times New Roman"/>
          <w:color w:val="auto"/>
          <w:sz w:val="32"/>
          <w:szCs w:val="32"/>
          <w:u w:val="single"/>
          <w:lang w:val="en-US" w:eastAsia="zh-CN"/>
        </w:rPr>
        <w:t xml:space="preserve">         西咸新区分公司          </w:t>
      </w:r>
    </w:p>
    <w:p w14:paraId="4A5DE703">
      <w:pPr>
        <w:adjustRightInd w:val="0"/>
        <w:snapToGrid w:val="0"/>
        <w:spacing w:line="360" w:lineRule="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编</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制</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期：</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202</w:t>
      </w:r>
      <w:r>
        <w:rPr>
          <w:rFonts w:hint="eastAsia"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rPr>
        <w:t>年</w:t>
      </w:r>
      <w:r>
        <w:rPr>
          <w:rFonts w:hint="eastAsia" w:eastAsia="仿宋_GB2312" w:cs="Times New Roman"/>
          <w:color w:val="auto"/>
          <w:sz w:val="32"/>
          <w:szCs w:val="32"/>
          <w:u w:val="single"/>
          <w:lang w:val="en-US" w:eastAsia="zh-CN"/>
        </w:rPr>
        <w:t>3</w:t>
      </w:r>
      <w:r>
        <w:rPr>
          <w:rFonts w:hint="default" w:ascii="Times New Roman" w:hAnsi="Times New Roman" w:eastAsia="仿宋_GB2312" w:cs="Times New Roman"/>
          <w:color w:val="auto"/>
          <w:sz w:val="32"/>
          <w:szCs w:val="32"/>
          <w:u w:val="single"/>
        </w:rPr>
        <w:t>月</w:t>
      </w:r>
      <w:r>
        <w:rPr>
          <w:rFonts w:hint="default" w:ascii="Times New Roman" w:hAnsi="Times New Roman" w:eastAsia="仿宋_GB2312" w:cs="Times New Roman"/>
          <w:color w:val="auto"/>
          <w:sz w:val="32"/>
          <w:szCs w:val="32"/>
          <w:u w:val="single"/>
          <w:lang w:val="en-US" w:eastAsia="zh-CN"/>
        </w:rPr>
        <w:t xml:space="preserve">             </w:t>
      </w:r>
    </w:p>
    <w:p w14:paraId="772B668D">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14:paraId="6D86C40C">
      <w:pPr>
        <w:adjustRightInd w:val="0"/>
        <w:snapToGrid w:val="0"/>
        <w:spacing w:line="288" w:lineRule="auto"/>
        <w:ind w:firstLine="1040"/>
        <w:rPr>
          <w:rFonts w:hint="default" w:ascii="Times New Roman" w:hAnsi="Times New Roman" w:eastAsia="仿宋_GB2312" w:cs="Times New Roman"/>
          <w:color w:val="auto"/>
          <w:sz w:val="36"/>
          <w:szCs w:val="36"/>
        </w:rPr>
      </w:pPr>
    </w:p>
    <w:p w14:paraId="5C89C507">
      <w:pPr>
        <w:adjustRightInd w:val="0"/>
        <w:snapToGrid w:val="0"/>
        <w:spacing w:line="288" w:lineRule="auto"/>
        <w:ind w:firstLine="1040"/>
        <w:rPr>
          <w:rFonts w:hint="default" w:ascii="Times New Roman" w:hAnsi="Times New Roman" w:eastAsia="仿宋_GB2312" w:cs="Times New Roman"/>
          <w:color w:val="auto"/>
          <w:sz w:val="36"/>
          <w:szCs w:val="36"/>
        </w:rPr>
      </w:pPr>
    </w:p>
    <w:p w14:paraId="26E33EEE">
      <w:pPr>
        <w:adjustRightInd w:val="0"/>
        <w:snapToGrid w:val="0"/>
        <w:spacing w:line="288" w:lineRule="auto"/>
        <w:ind w:firstLine="1040"/>
        <w:rPr>
          <w:rFonts w:hint="default" w:ascii="Times New Roman" w:hAnsi="Times New Roman" w:eastAsia="仿宋_GB2312" w:cs="Times New Roman"/>
          <w:color w:val="auto"/>
          <w:sz w:val="36"/>
          <w:szCs w:val="36"/>
        </w:rPr>
      </w:pPr>
    </w:p>
    <w:p w14:paraId="16ADEAF1">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14:paraId="3066BC9A">
      <w:pPr>
        <w:adjustRightInd w:val="0"/>
        <w:snapToGrid w:val="0"/>
        <w:spacing w:line="288" w:lineRule="auto"/>
        <w:jc w:val="center"/>
        <w:rPr>
          <w:rFonts w:hint="default" w:ascii="Times New Roman" w:hAnsi="Times New Roman" w:eastAsia="楷体_GB2312" w:cs="Times New Roman"/>
          <w:color w:val="auto"/>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r>
        <w:rPr>
          <w:rFonts w:hint="default" w:ascii="Times New Roman" w:hAnsi="Times New Roman" w:eastAsia="楷体_GB2312" w:cs="Times New Roman"/>
          <w:color w:val="auto"/>
          <w:sz w:val="36"/>
          <w:szCs w:val="36"/>
        </w:rPr>
        <w:t>中华人民共和国生态环境部制</w:t>
      </w:r>
    </w:p>
    <w:p w14:paraId="2FF26B41">
      <w:pPr>
        <w:pStyle w:val="24"/>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8"/>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7"/>
        <w:gridCol w:w="375"/>
        <w:gridCol w:w="946"/>
        <w:gridCol w:w="1624"/>
        <w:gridCol w:w="2024"/>
        <w:gridCol w:w="3454"/>
      </w:tblGrid>
      <w:tr w14:paraId="5EB27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1768" w:type="dxa"/>
            <w:gridSpan w:val="3"/>
            <w:tcMar>
              <w:top w:w="16" w:type="dxa"/>
              <w:left w:w="16" w:type="dxa"/>
              <w:right w:w="16" w:type="dxa"/>
            </w:tcMar>
            <w:vAlign w:val="center"/>
          </w:tcPr>
          <w:p w14:paraId="0EF4B6FA">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建设项目名称</w:t>
            </w:r>
          </w:p>
        </w:tc>
        <w:tc>
          <w:tcPr>
            <w:tcW w:w="7102" w:type="dxa"/>
            <w:gridSpan w:val="3"/>
            <w:vAlign w:val="center"/>
          </w:tcPr>
          <w:p w14:paraId="39EBD93A">
            <w:pPr>
              <w:adjustRightInd w:val="0"/>
              <w:snapToGrid w:val="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sz w:val="24"/>
                <w:szCs w:val="24"/>
                <w:lang w:val="en-US" w:eastAsia="zh-CN"/>
              </w:rPr>
              <w:t>中药实验室</w:t>
            </w:r>
            <w:r>
              <w:rPr>
                <w:rFonts w:hint="default" w:ascii="Times New Roman" w:hAnsi="Times New Roman" w:cs="Times New Roman"/>
                <w:color w:val="auto"/>
                <w:sz w:val="24"/>
                <w:szCs w:val="24"/>
                <w:lang w:val="en-US" w:eastAsia="zh-CN"/>
              </w:rPr>
              <w:t>项目</w:t>
            </w:r>
          </w:p>
        </w:tc>
      </w:tr>
      <w:tr w14:paraId="37560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768" w:type="dxa"/>
            <w:gridSpan w:val="3"/>
            <w:tcMar>
              <w:top w:w="16" w:type="dxa"/>
              <w:left w:w="16" w:type="dxa"/>
              <w:right w:w="16" w:type="dxa"/>
            </w:tcMar>
            <w:vAlign w:val="center"/>
          </w:tcPr>
          <w:p w14:paraId="49ECD673">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项目代码</w:t>
            </w:r>
          </w:p>
        </w:tc>
        <w:tc>
          <w:tcPr>
            <w:tcW w:w="7102" w:type="dxa"/>
            <w:gridSpan w:val="3"/>
            <w:vAlign w:val="center"/>
          </w:tcPr>
          <w:p w14:paraId="65A6B3F5">
            <w:pPr>
              <w:adjustRightInd w:val="0"/>
              <w:snapToGrid w:val="0"/>
              <w:jc w:val="center"/>
              <w:rPr>
                <w:rFonts w:hint="default" w:ascii="Times New Roman" w:hAnsi="Times New Roman" w:cs="Times New Roman"/>
                <w:color w:val="auto"/>
                <w:sz w:val="24"/>
                <w:szCs w:val="24"/>
                <w:lang w:val="en-US"/>
              </w:rPr>
            </w:pPr>
            <w:r>
              <w:rPr>
                <w:rFonts w:hint="eastAsia" w:cs="Times New Roman"/>
                <w:color w:val="auto"/>
                <w:sz w:val="24"/>
                <w:szCs w:val="24"/>
                <w:lang w:val="en-US" w:eastAsia="zh-CN"/>
              </w:rPr>
              <w:t>/</w:t>
            </w:r>
          </w:p>
        </w:tc>
      </w:tr>
      <w:tr w14:paraId="78FD8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68" w:type="dxa"/>
            <w:gridSpan w:val="3"/>
            <w:tcMar>
              <w:top w:w="16" w:type="dxa"/>
              <w:left w:w="16" w:type="dxa"/>
              <w:right w:w="16" w:type="dxa"/>
            </w:tcMar>
            <w:vAlign w:val="center"/>
          </w:tcPr>
          <w:p w14:paraId="75A8B817">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建设单位联系人</w:t>
            </w:r>
          </w:p>
        </w:tc>
        <w:tc>
          <w:tcPr>
            <w:tcW w:w="1624" w:type="dxa"/>
            <w:vAlign w:val="center"/>
          </w:tcPr>
          <w:p w14:paraId="05E04EFE">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郭建星</w:t>
            </w:r>
          </w:p>
        </w:tc>
        <w:tc>
          <w:tcPr>
            <w:tcW w:w="2024" w:type="dxa"/>
            <w:vAlign w:val="center"/>
          </w:tcPr>
          <w:p w14:paraId="11B08ECF">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联系方式</w:t>
            </w:r>
          </w:p>
        </w:tc>
        <w:tc>
          <w:tcPr>
            <w:tcW w:w="3454" w:type="dxa"/>
            <w:vAlign w:val="center"/>
          </w:tcPr>
          <w:p w14:paraId="4D919AB4">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15389099548</w:t>
            </w:r>
          </w:p>
        </w:tc>
      </w:tr>
      <w:tr w14:paraId="45DB5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68" w:type="dxa"/>
            <w:gridSpan w:val="3"/>
            <w:tcMar>
              <w:top w:w="16" w:type="dxa"/>
              <w:left w:w="16" w:type="dxa"/>
              <w:right w:w="16" w:type="dxa"/>
            </w:tcMar>
            <w:vAlign w:val="center"/>
          </w:tcPr>
          <w:p w14:paraId="07C1D04A">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w:t>
            </w:r>
          </w:p>
        </w:tc>
        <w:tc>
          <w:tcPr>
            <w:tcW w:w="7102" w:type="dxa"/>
            <w:gridSpan w:val="3"/>
            <w:vAlign w:val="center"/>
          </w:tcPr>
          <w:p w14:paraId="696ACD87">
            <w:pPr>
              <w:adjustRightInd w:val="0"/>
              <w:snapToGrid w:val="0"/>
              <w:jc w:val="center"/>
              <w:rPr>
                <w:rFonts w:hint="default" w:ascii="Times New Roman" w:hAnsi="Times New Roman" w:cs="Times New Roman"/>
                <w:color w:val="auto"/>
                <w:sz w:val="24"/>
                <w:szCs w:val="24"/>
                <w:lang w:val="en-US"/>
              </w:rPr>
            </w:pPr>
            <w:r>
              <w:rPr>
                <w:rFonts w:hint="eastAsia" w:ascii="Times New Roman" w:hAnsi="Times New Roman" w:eastAsia="宋体" w:cs="Times New Roman"/>
                <w:color w:val="auto"/>
                <w:sz w:val="24"/>
                <w:szCs w:val="24"/>
                <w:lang w:val="en-US" w:eastAsia="zh-CN"/>
              </w:rPr>
              <w:t>陕西省西咸新区沣西新城钓台街道</w:t>
            </w:r>
            <w:r>
              <w:rPr>
                <w:rFonts w:hint="eastAsia" w:ascii="Times New Roman" w:hAnsi="Times New Roman" w:eastAsia="宋体" w:cs="Times New Roman"/>
                <w:color w:val="auto"/>
                <w:sz w:val="24"/>
                <w:szCs w:val="24"/>
                <w:highlight w:val="none"/>
                <w:lang w:val="en-US" w:eastAsia="zh-CN"/>
              </w:rPr>
              <w:t>隆桥瑞苑12号楼商业三</w:t>
            </w:r>
            <w:r>
              <w:rPr>
                <w:rFonts w:hint="eastAsia" w:cs="Times New Roman"/>
                <w:color w:val="auto"/>
                <w:sz w:val="24"/>
                <w:szCs w:val="24"/>
                <w:highlight w:val="none"/>
                <w:lang w:val="en-US" w:eastAsia="zh-CN"/>
              </w:rPr>
              <w:t>层北侧</w:t>
            </w:r>
          </w:p>
        </w:tc>
      </w:tr>
      <w:tr w14:paraId="633CD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68" w:type="dxa"/>
            <w:gridSpan w:val="3"/>
            <w:tcMar>
              <w:top w:w="16" w:type="dxa"/>
              <w:left w:w="16" w:type="dxa"/>
              <w:right w:w="16" w:type="dxa"/>
            </w:tcMar>
            <w:vAlign w:val="center"/>
          </w:tcPr>
          <w:p w14:paraId="45844442">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地理坐标</w:t>
            </w:r>
          </w:p>
        </w:tc>
        <w:tc>
          <w:tcPr>
            <w:tcW w:w="7102" w:type="dxa"/>
            <w:gridSpan w:val="3"/>
            <w:vAlign w:val="center"/>
          </w:tcPr>
          <w:p w14:paraId="1E05351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rPr>
              <w:t>108</w:t>
            </w:r>
            <w:r>
              <w:rPr>
                <w:rFonts w:hint="default" w:ascii="Times New Roman" w:hAnsi="Times New Roman" w:cs="Times New Roman"/>
                <w:color w:val="auto"/>
                <w:sz w:val="24"/>
                <w:szCs w:val="24"/>
              </w:rPr>
              <w:t>度</w:t>
            </w:r>
            <w:r>
              <w:rPr>
                <w:rFonts w:hint="eastAsia" w:cs="Times New Roman"/>
                <w:color w:val="auto"/>
                <w:sz w:val="24"/>
                <w:szCs w:val="24"/>
                <w:u w:val="single"/>
                <w:lang w:val="en-US" w:eastAsia="zh-CN"/>
              </w:rPr>
              <w:t>44</w:t>
            </w:r>
            <w:r>
              <w:rPr>
                <w:rFonts w:hint="default" w:ascii="Times New Roman" w:hAnsi="Times New Roman" w:cs="Times New Roman"/>
                <w:color w:val="auto"/>
                <w:sz w:val="24"/>
                <w:szCs w:val="24"/>
              </w:rPr>
              <w:t>分</w:t>
            </w:r>
            <w:r>
              <w:rPr>
                <w:rFonts w:hint="eastAsia" w:cs="Times New Roman"/>
                <w:color w:val="auto"/>
                <w:sz w:val="24"/>
                <w:szCs w:val="24"/>
                <w:u w:val="single"/>
                <w:lang w:val="en-US" w:eastAsia="zh-CN"/>
              </w:rPr>
              <w:t>1.753</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rPr>
              <w:t>34</w:t>
            </w:r>
            <w:r>
              <w:rPr>
                <w:rFonts w:hint="default" w:ascii="Times New Roman" w:hAnsi="Times New Roman" w:cs="Times New Roman"/>
                <w:color w:val="auto"/>
                <w:sz w:val="24"/>
                <w:szCs w:val="24"/>
              </w:rPr>
              <w:t>度</w:t>
            </w:r>
            <w:r>
              <w:rPr>
                <w:rFonts w:hint="eastAsia" w:cs="Times New Roman"/>
                <w:color w:val="auto"/>
                <w:sz w:val="24"/>
                <w:szCs w:val="24"/>
                <w:u w:val="single"/>
                <w:lang w:val="en-US" w:eastAsia="zh-CN"/>
              </w:rPr>
              <w:t>1</w:t>
            </w:r>
            <w:r>
              <w:rPr>
                <w:rFonts w:hint="default" w:ascii="Times New Roman" w:hAnsi="Times New Roman" w:cs="Times New Roman"/>
                <w:color w:val="auto"/>
                <w:sz w:val="24"/>
                <w:szCs w:val="24"/>
                <w:u w:val="single"/>
                <w:lang w:val="en-US" w:eastAsia="zh-CN"/>
              </w:rPr>
              <w:t>7</w:t>
            </w:r>
            <w:r>
              <w:rPr>
                <w:rFonts w:hint="default" w:ascii="Times New Roman" w:hAnsi="Times New Roman" w:cs="Times New Roman"/>
                <w:color w:val="auto"/>
                <w:sz w:val="24"/>
                <w:szCs w:val="24"/>
              </w:rPr>
              <w:t>分</w:t>
            </w:r>
            <w:r>
              <w:rPr>
                <w:rFonts w:hint="eastAsia" w:cs="Times New Roman"/>
                <w:color w:val="auto"/>
                <w:sz w:val="24"/>
                <w:szCs w:val="24"/>
                <w:u w:val="single"/>
                <w:lang w:val="en-US" w:eastAsia="zh-CN"/>
              </w:rPr>
              <w:t>31.30</w:t>
            </w:r>
            <w:r>
              <w:rPr>
                <w:rFonts w:hint="default" w:ascii="Times New Roman" w:hAnsi="Times New Roman" w:eastAsia="宋体" w:cs="Times New Roman"/>
                <w:color w:val="auto"/>
                <w:sz w:val="24"/>
                <w:szCs w:val="24"/>
                <w:u w:val="single"/>
                <w:lang w:val="en-US" w:eastAsia="zh-CN"/>
              </w:rPr>
              <w:t>7</w:t>
            </w:r>
            <w:r>
              <w:rPr>
                <w:rFonts w:hint="default" w:ascii="Times New Roman" w:hAnsi="Times New Roman" w:cs="Times New Roman"/>
                <w:color w:val="auto"/>
                <w:sz w:val="24"/>
                <w:szCs w:val="24"/>
              </w:rPr>
              <w:t>秒）</w:t>
            </w:r>
          </w:p>
        </w:tc>
      </w:tr>
      <w:tr w14:paraId="2926E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68" w:type="dxa"/>
            <w:gridSpan w:val="3"/>
            <w:tcMar>
              <w:top w:w="16" w:type="dxa"/>
              <w:left w:w="16" w:type="dxa"/>
              <w:right w:w="16" w:type="dxa"/>
            </w:tcMar>
            <w:vAlign w:val="center"/>
          </w:tcPr>
          <w:p w14:paraId="4630FDA6">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国民经济</w:t>
            </w:r>
          </w:p>
          <w:p w14:paraId="35A59CB8">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w:t>
            </w:r>
          </w:p>
        </w:tc>
        <w:tc>
          <w:tcPr>
            <w:tcW w:w="1624" w:type="dxa"/>
            <w:vAlign w:val="center"/>
          </w:tcPr>
          <w:p w14:paraId="1F2A0655">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M7452检测服务</w:t>
            </w:r>
          </w:p>
        </w:tc>
        <w:tc>
          <w:tcPr>
            <w:tcW w:w="2024" w:type="dxa"/>
            <w:vAlign w:val="center"/>
          </w:tcPr>
          <w:p w14:paraId="71014C24">
            <w:pPr>
              <w:adjustRightInd w:val="0"/>
              <w:snapToGrid w:val="0"/>
              <w:jc w:val="center"/>
              <w:rPr>
                <w:rFonts w:hint="default" w:ascii="Times New Roman" w:hAnsi="Times New Roman" w:cs="Times New Roman"/>
                <w:color w:val="auto"/>
                <w:sz w:val="24"/>
                <w:szCs w:val="24"/>
              </w:rPr>
            </w:pPr>
            <w:bookmarkStart w:id="1" w:name="_Hlk49843745"/>
            <w:r>
              <w:rPr>
                <w:rFonts w:hint="default" w:ascii="Times New Roman" w:hAnsi="Times New Roman" w:cs="Times New Roman"/>
                <w:color w:val="auto"/>
                <w:sz w:val="24"/>
                <w:szCs w:val="24"/>
              </w:rPr>
              <w:t>建设项目</w:t>
            </w:r>
          </w:p>
          <w:p w14:paraId="5137DBDA">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w:t>
            </w:r>
            <w:bookmarkEnd w:id="1"/>
            <w:bookmarkStart w:id="18" w:name="_GoBack"/>
            <w:bookmarkEnd w:id="18"/>
          </w:p>
        </w:tc>
        <w:tc>
          <w:tcPr>
            <w:tcW w:w="3454" w:type="dxa"/>
            <w:vAlign w:val="center"/>
          </w:tcPr>
          <w:p w14:paraId="6CFE36E9">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四十五、研究和试验发展</w:t>
            </w:r>
          </w:p>
          <w:p w14:paraId="18B3D307">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—98、专业实验室、研发（试</w:t>
            </w:r>
          </w:p>
          <w:p w14:paraId="4E06F069">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验）基地—其他</w:t>
            </w:r>
          </w:p>
        </w:tc>
      </w:tr>
      <w:tr w14:paraId="02FB7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68" w:type="dxa"/>
            <w:gridSpan w:val="3"/>
            <w:tcMar>
              <w:top w:w="16" w:type="dxa"/>
              <w:left w:w="16" w:type="dxa"/>
              <w:right w:w="16" w:type="dxa"/>
            </w:tcMar>
            <w:vAlign w:val="center"/>
          </w:tcPr>
          <w:p w14:paraId="1D00EE0B">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建设性质</w:t>
            </w:r>
          </w:p>
        </w:tc>
        <w:tc>
          <w:tcPr>
            <w:tcW w:w="1624" w:type="dxa"/>
            <w:vAlign w:val="center"/>
          </w:tcPr>
          <w:p w14:paraId="08523DF7">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rPr>
              <w:t>新建（迁建）</w:t>
            </w:r>
          </w:p>
          <w:p w14:paraId="288E9F73">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改建</w:t>
            </w:r>
          </w:p>
          <w:p w14:paraId="7D86AD9A">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扩建</w:t>
            </w:r>
          </w:p>
          <w:p w14:paraId="541F7E35">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技术改造</w:t>
            </w:r>
          </w:p>
        </w:tc>
        <w:tc>
          <w:tcPr>
            <w:tcW w:w="2024" w:type="dxa"/>
            <w:vAlign w:val="center"/>
          </w:tcPr>
          <w:p w14:paraId="4F058658">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w:t>
            </w:r>
          </w:p>
          <w:p w14:paraId="419B050B">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申报情形</w:t>
            </w:r>
          </w:p>
        </w:tc>
        <w:tc>
          <w:tcPr>
            <w:tcW w:w="3454" w:type="dxa"/>
            <w:vAlign w:val="center"/>
          </w:tcPr>
          <w:p w14:paraId="56ABB756">
            <w:pPr>
              <w:jc w:val="lef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sym w:font="Wingdings" w:char="00FE"/>
            </w:r>
            <w:r>
              <w:rPr>
                <w:rFonts w:hint="default" w:ascii="Times New Roman" w:hAnsi="Times New Roman" w:cs="Times New Roman"/>
                <w:color w:val="auto"/>
                <w:sz w:val="24"/>
                <w:szCs w:val="24"/>
              </w:rPr>
              <w:t>首次申报项目</w:t>
            </w:r>
          </w:p>
          <w:p w14:paraId="1D3CAC7E">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不予批准后再次申报项目</w:t>
            </w:r>
          </w:p>
          <w:p w14:paraId="4DC08CF0">
            <w:pPr>
              <w:jc w:val="lef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超五年重新审核项目</w:t>
            </w:r>
          </w:p>
          <w:p w14:paraId="0AC7F789">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重大变动重新报批项目</w:t>
            </w:r>
          </w:p>
        </w:tc>
      </w:tr>
      <w:tr w14:paraId="561FA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768" w:type="dxa"/>
            <w:gridSpan w:val="3"/>
            <w:tcMar>
              <w:top w:w="16" w:type="dxa"/>
              <w:left w:w="16" w:type="dxa"/>
              <w:right w:w="16" w:type="dxa"/>
            </w:tcMar>
            <w:vAlign w:val="center"/>
          </w:tcPr>
          <w:p w14:paraId="5EE31EFC">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项目审批（核准/</w:t>
            </w:r>
          </w:p>
          <w:p w14:paraId="329D9F98">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备案）部门（选填）</w:t>
            </w:r>
          </w:p>
        </w:tc>
        <w:tc>
          <w:tcPr>
            <w:tcW w:w="1624" w:type="dxa"/>
            <w:vAlign w:val="center"/>
          </w:tcPr>
          <w:p w14:paraId="4890F464">
            <w:pPr>
              <w:jc w:val="center"/>
              <w:rPr>
                <w:rFonts w:hint="default" w:ascii="Times New Roman" w:hAnsi="Times New Roman" w:cs="Times New Roman"/>
                <w:color w:val="auto"/>
                <w:sz w:val="24"/>
                <w:szCs w:val="24"/>
              </w:rPr>
            </w:pPr>
            <w:r>
              <w:rPr>
                <w:rFonts w:hint="eastAsia" w:cs="Times New Roman"/>
                <w:color w:val="auto"/>
                <w:sz w:val="24"/>
                <w:szCs w:val="24"/>
                <w:lang w:val="en-US" w:eastAsia="zh-CN"/>
              </w:rPr>
              <w:t>/</w:t>
            </w:r>
          </w:p>
        </w:tc>
        <w:tc>
          <w:tcPr>
            <w:tcW w:w="2024" w:type="dxa"/>
            <w:vAlign w:val="center"/>
          </w:tcPr>
          <w:p w14:paraId="730FA809">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项目审批（核准/</w:t>
            </w:r>
          </w:p>
          <w:p w14:paraId="1519B852">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备案）文号（选填）</w:t>
            </w:r>
          </w:p>
        </w:tc>
        <w:tc>
          <w:tcPr>
            <w:tcW w:w="3454" w:type="dxa"/>
            <w:vAlign w:val="center"/>
          </w:tcPr>
          <w:p w14:paraId="40F0EABE">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14:paraId="437C8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768" w:type="dxa"/>
            <w:gridSpan w:val="3"/>
            <w:tcMar>
              <w:top w:w="16" w:type="dxa"/>
              <w:left w:w="16" w:type="dxa"/>
              <w:right w:w="16" w:type="dxa"/>
            </w:tcMar>
            <w:vAlign w:val="center"/>
          </w:tcPr>
          <w:p w14:paraId="55AF517E">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总投资（万元）</w:t>
            </w:r>
          </w:p>
        </w:tc>
        <w:tc>
          <w:tcPr>
            <w:tcW w:w="1624" w:type="dxa"/>
            <w:vAlign w:val="center"/>
          </w:tcPr>
          <w:p w14:paraId="2E8025EB">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330</w:t>
            </w:r>
          </w:p>
        </w:tc>
        <w:tc>
          <w:tcPr>
            <w:tcW w:w="2024" w:type="dxa"/>
            <w:tcMar>
              <w:top w:w="16" w:type="dxa"/>
              <w:left w:w="16" w:type="dxa"/>
              <w:right w:w="16" w:type="dxa"/>
            </w:tcMar>
            <w:vAlign w:val="center"/>
          </w:tcPr>
          <w:p w14:paraId="1DCD70DC">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环保投资（万元）</w:t>
            </w:r>
          </w:p>
        </w:tc>
        <w:tc>
          <w:tcPr>
            <w:tcW w:w="3454" w:type="dxa"/>
            <w:vAlign w:val="center"/>
          </w:tcPr>
          <w:p w14:paraId="39331156">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27.5</w:t>
            </w:r>
          </w:p>
        </w:tc>
      </w:tr>
      <w:tr w14:paraId="1B1AF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68" w:type="dxa"/>
            <w:gridSpan w:val="3"/>
            <w:tcMar>
              <w:top w:w="16" w:type="dxa"/>
              <w:left w:w="16" w:type="dxa"/>
              <w:right w:w="16" w:type="dxa"/>
            </w:tcMar>
            <w:vAlign w:val="center"/>
          </w:tcPr>
          <w:p w14:paraId="71A51E63">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环保投资占比（%）</w:t>
            </w:r>
          </w:p>
        </w:tc>
        <w:tc>
          <w:tcPr>
            <w:tcW w:w="1624" w:type="dxa"/>
            <w:vAlign w:val="center"/>
          </w:tcPr>
          <w:p w14:paraId="5CDE09F1">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8.33</w:t>
            </w:r>
          </w:p>
        </w:tc>
        <w:tc>
          <w:tcPr>
            <w:tcW w:w="2024" w:type="dxa"/>
            <w:tcMar>
              <w:top w:w="16" w:type="dxa"/>
              <w:left w:w="16" w:type="dxa"/>
              <w:right w:w="16" w:type="dxa"/>
            </w:tcMar>
            <w:vAlign w:val="center"/>
          </w:tcPr>
          <w:p w14:paraId="436D266B">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施工工期</w:t>
            </w:r>
          </w:p>
        </w:tc>
        <w:tc>
          <w:tcPr>
            <w:tcW w:w="3454" w:type="dxa"/>
            <w:vAlign w:val="center"/>
          </w:tcPr>
          <w:p w14:paraId="6E049BE4">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个月</w:t>
            </w:r>
          </w:p>
        </w:tc>
      </w:tr>
      <w:tr w14:paraId="212F0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68" w:type="dxa"/>
            <w:gridSpan w:val="3"/>
            <w:tcMar>
              <w:top w:w="16" w:type="dxa"/>
              <w:left w:w="16" w:type="dxa"/>
              <w:right w:w="16" w:type="dxa"/>
            </w:tcMar>
            <w:vAlign w:val="center"/>
          </w:tcPr>
          <w:p w14:paraId="184377BF">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是否开工建设</w:t>
            </w:r>
          </w:p>
        </w:tc>
        <w:tc>
          <w:tcPr>
            <w:tcW w:w="1624" w:type="dxa"/>
            <w:vAlign w:val="center"/>
          </w:tcPr>
          <w:p w14:paraId="6DDC2FC6">
            <w:pPr>
              <w:adjustRightInd w:val="0"/>
              <w:snapToGrid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w:char="00FE"/>
            </w:r>
            <w:r>
              <w:rPr>
                <w:rFonts w:hint="default" w:ascii="Times New Roman" w:hAnsi="Times New Roman" w:cs="Times New Roman"/>
                <w:color w:val="auto"/>
                <w:sz w:val="24"/>
                <w:szCs w:val="24"/>
              </w:rPr>
              <w:t>否</w:t>
            </w:r>
          </w:p>
          <w:p w14:paraId="2F333E4F">
            <w:pPr>
              <w:adjustRightInd w:val="0"/>
              <w:snapToGrid w:val="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p>
        </w:tc>
        <w:tc>
          <w:tcPr>
            <w:tcW w:w="2024" w:type="dxa"/>
            <w:tcMar>
              <w:top w:w="16" w:type="dxa"/>
              <w:left w:w="16" w:type="dxa"/>
              <w:right w:w="16" w:type="dxa"/>
            </w:tcMar>
            <w:vAlign w:val="center"/>
          </w:tcPr>
          <w:p w14:paraId="0D95A9ED">
            <w:pPr>
              <w:adjustRightInd w:val="0"/>
              <w:snapToGrid w:val="0"/>
              <w:jc w:val="center"/>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用地（用海）</w:t>
            </w:r>
          </w:p>
          <w:p w14:paraId="5CE976B8">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面积（m</w:t>
            </w:r>
            <w:r>
              <w:rPr>
                <w:rFonts w:hint="default" w:ascii="Times New Roman" w:hAnsi="Times New Roman" w:cs="Times New Roman"/>
                <w:color w:val="auto"/>
                <w:spacing w:val="-6"/>
                <w:sz w:val="24"/>
                <w:szCs w:val="24"/>
                <w:vertAlign w:val="superscript"/>
              </w:rPr>
              <w:t>2</w:t>
            </w:r>
            <w:r>
              <w:rPr>
                <w:rFonts w:hint="default" w:ascii="Times New Roman" w:hAnsi="Times New Roman" w:cs="Times New Roman"/>
                <w:color w:val="auto"/>
                <w:spacing w:val="-6"/>
                <w:sz w:val="24"/>
                <w:szCs w:val="24"/>
              </w:rPr>
              <w:t>）</w:t>
            </w:r>
          </w:p>
        </w:tc>
        <w:tc>
          <w:tcPr>
            <w:tcW w:w="3454" w:type="dxa"/>
            <w:vAlign w:val="center"/>
          </w:tcPr>
          <w:p w14:paraId="5133D364">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highlight w:val="none"/>
                <w:lang w:val="en-US" w:eastAsia="zh-CN"/>
              </w:rPr>
              <w:t>684.15</w:t>
            </w:r>
          </w:p>
        </w:tc>
      </w:tr>
      <w:tr w14:paraId="7D799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768" w:type="dxa"/>
            <w:gridSpan w:val="3"/>
            <w:vAlign w:val="center"/>
          </w:tcPr>
          <w:p w14:paraId="279B106B">
            <w:pPr>
              <w:autoSpaceDE w:val="0"/>
              <w:autoSpaceDN w:val="0"/>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专项评价设置情况</w:t>
            </w:r>
          </w:p>
        </w:tc>
        <w:tc>
          <w:tcPr>
            <w:tcW w:w="7102" w:type="dxa"/>
            <w:gridSpan w:val="3"/>
            <w:vAlign w:val="center"/>
          </w:tcPr>
          <w:p w14:paraId="4FF98DD1">
            <w:pPr>
              <w:pStyle w:val="64"/>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color w:val="auto"/>
                <w:lang w:val="en-US" w:eastAsia="zh-CN"/>
              </w:rPr>
            </w:pPr>
            <w:r>
              <w:rPr>
                <w:rFonts w:hint="eastAsia"/>
                <w:color w:val="auto"/>
                <w:lang w:val="en-US" w:eastAsia="zh-CN"/>
              </w:rPr>
              <w:t>表1-1  专项评价判定表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3342"/>
              <w:gridCol w:w="1549"/>
              <w:gridCol w:w="836"/>
            </w:tblGrid>
            <w:tr w14:paraId="620B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65D682A0">
                  <w:pPr>
                    <w:pStyle w:val="85"/>
                    <w:bidi w:val="0"/>
                    <w:rPr>
                      <w:color w:val="auto"/>
                      <w:highlight w:val="none"/>
                    </w:rPr>
                  </w:pPr>
                  <w:r>
                    <w:rPr>
                      <w:color w:val="auto"/>
                      <w:highlight w:val="none"/>
                    </w:rPr>
                    <w:t>专项评价的类别</w:t>
                  </w:r>
                </w:p>
              </w:tc>
              <w:tc>
                <w:tcPr>
                  <w:tcW w:w="2431" w:type="pct"/>
                  <w:noWrap w:val="0"/>
                  <w:vAlign w:val="center"/>
                </w:tcPr>
                <w:p w14:paraId="4E142950">
                  <w:pPr>
                    <w:pStyle w:val="85"/>
                    <w:bidi w:val="0"/>
                    <w:rPr>
                      <w:color w:val="auto"/>
                      <w:highlight w:val="none"/>
                    </w:rPr>
                  </w:pPr>
                  <w:r>
                    <w:rPr>
                      <w:color w:val="auto"/>
                      <w:highlight w:val="none"/>
                    </w:rPr>
                    <w:t>设置原则</w:t>
                  </w:r>
                </w:p>
              </w:tc>
              <w:tc>
                <w:tcPr>
                  <w:tcW w:w="1127" w:type="pct"/>
                  <w:noWrap w:val="0"/>
                  <w:vAlign w:val="center"/>
                </w:tcPr>
                <w:p w14:paraId="62B5E900">
                  <w:pPr>
                    <w:pStyle w:val="85"/>
                    <w:bidi w:val="0"/>
                    <w:rPr>
                      <w:color w:val="auto"/>
                      <w:highlight w:val="none"/>
                    </w:rPr>
                  </w:pPr>
                  <w:r>
                    <w:rPr>
                      <w:color w:val="auto"/>
                      <w:highlight w:val="none"/>
                    </w:rPr>
                    <w:t>本项目情况</w:t>
                  </w:r>
                </w:p>
              </w:tc>
              <w:tc>
                <w:tcPr>
                  <w:tcW w:w="608" w:type="pct"/>
                  <w:noWrap w:val="0"/>
                  <w:vAlign w:val="center"/>
                </w:tcPr>
                <w:p w14:paraId="49F47781">
                  <w:pPr>
                    <w:pStyle w:val="85"/>
                    <w:bidi w:val="0"/>
                    <w:rPr>
                      <w:color w:val="auto"/>
                      <w:highlight w:val="none"/>
                    </w:rPr>
                  </w:pPr>
                  <w:r>
                    <w:rPr>
                      <w:color w:val="auto"/>
                      <w:highlight w:val="none"/>
                    </w:rPr>
                    <w:t>是否设置</w:t>
                  </w:r>
                </w:p>
              </w:tc>
            </w:tr>
            <w:tr w14:paraId="4F19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5C1E98DC">
                  <w:pPr>
                    <w:pStyle w:val="85"/>
                    <w:bidi w:val="0"/>
                    <w:rPr>
                      <w:color w:val="auto"/>
                      <w:highlight w:val="none"/>
                    </w:rPr>
                  </w:pPr>
                  <w:r>
                    <w:rPr>
                      <w:color w:val="auto"/>
                      <w:highlight w:val="none"/>
                    </w:rPr>
                    <w:t>大气</w:t>
                  </w:r>
                </w:p>
              </w:tc>
              <w:tc>
                <w:tcPr>
                  <w:tcW w:w="2431" w:type="pct"/>
                  <w:noWrap w:val="0"/>
                  <w:vAlign w:val="center"/>
                </w:tcPr>
                <w:p w14:paraId="63C047A0">
                  <w:pPr>
                    <w:pStyle w:val="85"/>
                    <w:bidi w:val="0"/>
                    <w:rPr>
                      <w:color w:val="auto"/>
                      <w:highlight w:val="none"/>
                    </w:rPr>
                  </w:pPr>
                  <w:r>
                    <w:rPr>
                      <w:color w:val="auto"/>
                      <w:highlight w:val="none"/>
                    </w:rPr>
                    <w:t>排放废气含有毒有害污染物、二噁英、苯并[a]芘、氰化物、氯气且厂界外500米范围内有环境空气保护目标的建设项目</w:t>
                  </w:r>
                </w:p>
              </w:tc>
              <w:tc>
                <w:tcPr>
                  <w:tcW w:w="1127" w:type="pct"/>
                  <w:noWrap w:val="0"/>
                  <w:vAlign w:val="center"/>
                </w:tcPr>
                <w:p w14:paraId="063B750A">
                  <w:pPr>
                    <w:pStyle w:val="85"/>
                    <w:bidi w:val="0"/>
                    <w:rPr>
                      <w:color w:val="auto"/>
                      <w:highlight w:val="none"/>
                    </w:rPr>
                  </w:pPr>
                  <w:r>
                    <w:rPr>
                      <w:color w:val="auto"/>
                      <w:highlight w:val="none"/>
                    </w:rPr>
                    <w:t>项目不排放有毒有害污染物</w:t>
                  </w:r>
                </w:p>
              </w:tc>
              <w:tc>
                <w:tcPr>
                  <w:tcW w:w="608" w:type="pct"/>
                  <w:noWrap w:val="0"/>
                  <w:vAlign w:val="center"/>
                </w:tcPr>
                <w:p w14:paraId="7432EB5D">
                  <w:pPr>
                    <w:pStyle w:val="85"/>
                    <w:bidi w:val="0"/>
                    <w:rPr>
                      <w:color w:val="auto"/>
                      <w:highlight w:val="none"/>
                    </w:rPr>
                  </w:pPr>
                  <w:r>
                    <w:rPr>
                      <w:color w:val="auto"/>
                      <w:highlight w:val="none"/>
                    </w:rPr>
                    <w:t>否</w:t>
                  </w:r>
                </w:p>
              </w:tc>
            </w:tr>
            <w:tr w14:paraId="478E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1B3F0E5C">
                  <w:pPr>
                    <w:pStyle w:val="85"/>
                    <w:bidi w:val="0"/>
                    <w:rPr>
                      <w:color w:val="auto"/>
                      <w:highlight w:val="none"/>
                    </w:rPr>
                  </w:pPr>
                  <w:r>
                    <w:rPr>
                      <w:color w:val="auto"/>
                      <w:highlight w:val="none"/>
                    </w:rPr>
                    <w:t>地表水</w:t>
                  </w:r>
                </w:p>
              </w:tc>
              <w:tc>
                <w:tcPr>
                  <w:tcW w:w="2431" w:type="pct"/>
                  <w:noWrap w:val="0"/>
                  <w:vAlign w:val="center"/>
                </w:tcPr>
                <w:p w14:paraId="6AFFD754">
                  <w:pPr>
                    <w:pStyle w:val="85"/>
                    <w:bidi w:val="0"/>
                    <w:rPr>
                      <w:color w:val="auto"/>
                      <w:highlight w:val="none"/>
                    </w:rPr>
                  </w:pPr>
                  <w:r>
                    <w:rPr>
                      <w:color w:val="auto"/>
                      <w:highlight w:val="none"/>
                    </w:rPr>
                    <w:t>新增工业废水直排建设项目（槽罐车外送污水处理厂的除外）；新增废水直排的污水集中处理厂</w:t>
                  </w:r>
                </w:p>
              </w:tc>
              <w:tc>
                <w:tcPr>
                  <w:tcW w:w="1127" w:type="pct"/>
                  <w:noWrap w:val="0"/>
                  <w:vAlign w:val="center"/>
                </w:tcPr>
                <w:p w14:paraId="7B291236">
                  <w:pPr>
                    <w:pStyle w:val="85"/>
                    <w:bidi w:val="0"/>
                    <w:rPr>
                      <w:color w:val="auto"/>
                      <w:highlight w:val="none"/>
                    </w:rPr>
                  </w:pPr>
                  <w:r>
                    <w:rPr>
                      <w:color w:val="auto"/>
                      <w:highlight w:val="none"/>
                    </w:rPr>
                    <w:t>经市政污水管网进入</w:t>
                  </w:r>
                  <w:r>
                    <w:rPr>
                      <w:rFonts w:hint="eastAsia"/>
                      <w:color w:val="auto"/>
                      <w:highlight w:val="none"/>
                      <w:lang w:val="en-US" w:eastAsia="zh-CN"/>
                    </w:rPr>
                    <w:t>沣西新城沣河</w:t>
                  </w:r>
                  <w:r>
                    <w:rPr>
                      <w:rFonts w:hint="eastAsia"/>
                      <w:color w:val="auto"/>
                      <w:highlight w:val="none"/>
                      <w:lang w:eastAsia="zh-CN"/>
                    </w:rPr>
                    <w:t>污水处理厂</w:t>
                  </w:r>
                </w:p>
              </w:tc>
              <w:tc>
                <w:tcPr>
                  <w:tcW w:w="608" w:type="pct"/>
                  <w:noWrap w:val="0"/>
                  <w:vAlign w:val="center"/>
                </w:tcPr>
                <w:p w14:paraId="27C9E1F4">
                  <w:pPr>
                    <w:pStyle w:val="85"/>
                    <w:bidi w:val="0"/>
                    <w:rPr>
                      <w:color w:val="auto"/>
                      <w:highlight w:val="none"/>
                    </w:rPr>
                  </w:pPr>
                  <w:r>
                    <w:rPr>
                      <w:color w:val="auto"/>
                      <w:highlight w:val="none"/>
                    </w:rPr>
                    <w:t>否</w:t>
                  </w:r>
                </w:p>
              </w:tc>
            </w:tr>
            <w:tr w14:paraId="0397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6A727A83">
                  <w:pPr>
                    <w:pStyle w:val="85"/>
                    <w:bidi w:val="0"/>
                    <w:rPr>
                      <w:color w:val="auto"/>
                      <w:highlight w:val="none"/>
                    </w:rPr>
                  </w:pPr>
                  <w:r>
                    <w:rPr>
                      <w:color w:val="auto"/>
                      <w:highlight w:val="none"/>
                    </w:rPr>
                    <w:t>环境风险</w:t>
                  </w:r>
                </w:p>
              </w:tc>
              <w:tc>
                <w:tcPr>
                  <w:tcW w:w="2431" w:type="pct"/>
                  <w:noWrap w:val="0"/>
                  <w:vAlign w:val="center"/>
                </w:tcPr>
                <w:p w14:paraId="1B45EE74">
                  <w:pPr>
                    <w:pStyle w:val="85"/>
                    <w:bidi w:val="0"/>
                    <w:rPr>
                      <w:color w:val="auto"/>
                      <w:highlight w:val="none"/>
                    </w:rPr>
                  </w:pPr>
                  <w:r>
                    <w:rPr>
                      <w:color w:val="auto"/>
                      <w:highlight w:val="none"/>
                    </w:rPr>
                    <w:t>有毒有害和易燃易爆危险物质存储量超过临界量的建设项目</w:t>
                  </w:r>
                </w:p>
              </w:tc>
              <w:tc>
                <w:tcPr>
                  <w:tcW w:w="1127" w:type="pct"/>
                  <w:noWrap w:val="0"/>
                  <w:vAlign w:val="center"/>
                </w:tcPr>
                <w:p w14:paraId="38EB845B">
                  <w:pPr>
                    <w:pStyle w:val="85"/>
                    <w:bidi w:val="0"/>
                    <w:rPr>
                      <w:color w:val="auto"/>
                      <w:highlight w:val="none"/>
                    </w:rPr>
                  </w:pPr>
                  <w:r>
                    <w:rPr>
                      <w:color w:val="auto"/>
                      <w:highlight w:val="none"/>
                    </w:rPr>
                    <w:t>经计算，风险物质储存量未超过临界量</w:t>
                  </w:r>
                </w:p>
              </w:tc>
              <w:tc>
                <w:tcPr>
                  <w:tcW w:w="608" w:type="pct"/>
                  <w:noWrap w:val="0"/>
                  <w:vAlign w:val="center"/>
                </w:tcPr>
                <w:p w14:paraId="57895DF8">
                  <w:pPr>
                    <w:pStyle w:val="85"/>
                    <w:bidi w:val="0"/>
                    <w:rPr>
                      <w:color w:val="auto"/>
                      <w:highlight w:val="none"/>
                    </w:rPr>
                  </w:pPr>
                  <w:r>
                    <w:rPr>
                      <w:color w:val="auto"/>
                      <w:highlight w:val="none"/>
                    </w:rPr>
                    <w:t>否</w:t>
                  </w:r>
                </w:p>
              </w:tc>
            </w:tr>
            <w:tr w14:paraId="61DB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0B98992E">
                  <w:pPr>
                    <w:pStyle w:val="85"/>
                    <w:bidi w:val="0"/>
                    <w:rPr>
                      <w:color w:val="auto"/>
                      <w:highlight w:val="none"/>
                    </w:rPr>
                  </w:pPr>
                  <w:r>
                    <w:rPr>
                      <w:color w:val="auto"/>
                      <w:highlight w:val="none"/>
                    </w:rPr>
                    <w:t>生态</w:t>
                  </w:r>
                </w:p>
              </w:tc>
              <w:tc>
                <w:tcPr>
                  <w:tcW w:w="2431" w:type="pct"/>
                  <w:noWrap w:val="0"/>
                  <w:vAlign w:val="center"/>
                </w:tcPr>
                <w:p w14:paraId="122D9C1F">
                  <w:pPr>
                    <w:pStyle w:val="85"/>
                    <w:bidi w:val="0"/>
                    <w:rPr>
                      <w:color w:val="auto"/>
                      <w:highlight w:val="none"/>
                    </w:rPr>
                  </w:pPr>
                  <w:r>
                    <w:rPr>
                      <w:color w:val="auto"/>
                      <w:highlight w:val="none"/>
                    </w:rPr>
                    <w:t>取水口下游500米范围内有重要水生生物的自然产卵场、索饵场、越冬场和洄游通道的新增河道取水的污染类建设项目</w:t>
                  </w:r>
                </w:p>
              </w:tc>
              <w:tc>
                <w:tcPr>
                  <w:tcW w:w="1127" w:type="pct"/>
                  <w:noWrap w:val="0"/>
                  <w:vAlign w:val="center"/>
                </w:tcPr>
                <w:p w14:paraId="7EA4B09C">
                  <w:pPr>
                    <w:pStyle w:val="85"/>
                    <w:bidi w:val="0"/>
                    <w:rPr>
                      <w:color w:val="auto"/>
                      <w:highlight w:val="none"/>
                    </w:rPr>
                  </w:pPr>
                  <w:r>
                    <w:rPr>
                      <w:rFonts w:hint="eastAsia"/>
                      <w:color w:val="auto"/>
                      <w:highlight w:val="none"/>
                      <w:lang w:val="en-US" w:eastAsia="zh-CN"/>
                    </w:rPr>
                    <w:t>本项</w:t>
                  </w:r>
                  <w:r>
                    <w:rPr>
                      <w:color w:val="auto"/>
                      <w:highlight w:val="none"/>
                    </w:rPr>
                    <w:t>目不设取水口</w:t>
                  </w:r>
                </w:p>
              </w:tc>
              <w:tc>
                <w:tcPr>
                  <w:tcW w:w="608" w:type="pct"/>
                  <w:noWrap w:val="0"/>
                  <w:vAlign w:val="center"/>
                </w:tcPr>
                <w:p w14:paraId="69200BDB">
                  <w:pPr>
                    <w:pStyle w:val="85"/>
                    <w:bidi w:val="0"/>
                    <w:rPr>
                      <w:color w:val="auto"/>
                      <w:highlight w:val="none"/>
                    </w:rPr>
                  </w:pPr>
                  <w:r>
                    <w:rPr>
                      <w:color w:val="auto"/>
                      <w:highlight w:val="none"/>
                    </w:rPr>
                    <w:t>否</w:t>
                  </w:r>
                </w:p>
              </w:tc>
            </w:tr>
          </w:tbl>
          <w:p w14:paraId="58E92907">
            <w:pPr>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w:t>
            </w:r>
            <w:r>
              <w:rPr>
                <w:rFonts w:hint="eastAsia" w:ascii="Times New Roman" w:hAnsi="Times New Roman" w:eastAsia="宋体" w:cs="Times New Roman"/>
                <w:color w:val="auto"/>
                <w:sz w:val="24"/>
                <w:szCs w:val="24"/>
                <w:lang w:val="en-US" w:eastAsia="zh-CN"/>
              </w:rPr>
              <w:t>以上分析，本项目</w:t>
            </w:r>
            <w:r>
              <w:rPr>
                <w:rFonts w:hint="default" w:ascii="Times New Roman" w:hAnsi="Times New Roman" w:eastAsia="宋体" w:cs="Times New Roman"/>
                <w:color w:val="auto"/>
                <w:sz w:val="24"/>
                <w:szCs w:val="24"/>
              </w:rPr>
              <w:t>不</w:t>
            </w:r>
            <w:r>
              <w:rPr>
                <w:rFonts w:hint="eastAsia" w:ascii="Times New Roman" w:hAnsi="Times New Roman" w:eastAsia="宋体" w:cs="Times New Roman"/>
                <w:color w:val="auto"/>
                <w:sz w:val="24"/>
                <w:szCs w:val="24"/>
                <w:lang w:val="en-US" w:eastAsia="zh-CN"/>
              </w:rPr>
              <w:t>需</w:t>
            </w:r>
            <w:r>
              <w:rPr>
                <w:rFonts w:hint="default" w:ascii="Times New Roman" w:hAnsi="Times New Roman" w:eastAsia="宋体" w:cs="Times New Roman"/>
                <w:color w:val="auto"/>
                <w:sz w:val="24"/>
                <w:szCs w:val="24"/>
              </w:rPr>
              <w:t>设置专项评价</w:t>
            </w:r>
            <w:r>
              <w:rPr>
                <w:rFonts w:hint="eastAsia" w:ascii="Times New Roman" w:hAnsi="Times New Roman" w:eastAsia="宋体" w:cs="Times New Roman"/>
                <w:color w:val="auto"/>
                <w:sz w:val="24"/>
                <w:szCs w:val="24"/>
                <w:lang w:eastAsia="zh-CN"/>
              </w:rPr>
              <w:t>。</w:t>
            </w:r>
          </w:p>
        </w:tc>
      </w:tr>
      <w:tr w14:paraId="6F52D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22" w:type="dxa"/>
            <w:gridSpan w:val="2"/>
            <w:vAlign w:val="center"/>
          </w:tcPr>
          <w:p w14:paraId="18AD9D13">
            <w:pPr>
              <w:autoSpaceDE w:val="0"/>
              <w:autoSpaceDN w:val="0"/>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规划情况</w:t>
            </w:r>
          </w:p>
        </w:tc>
        <w:tc>
          <w:tcPr>
            <w:tcW w:w="8048" w:type="dxa"/>
            <w:gridSpan w:val="4"/>
            <w:vAlign w:val="center"/>
          </w:tcPr>
          <w:p w14:paraId="267D726D">
            <w:pPr>
              <w:keepNext w:val="0"/>
              <w:keepLines w:val="0"/>
              <w:pageBreakBefore w:val="0"/>
              <w:kinsoku/>
              <w:wordWrap/>
              <w:overflowPunct/>
              <w:topLinePunct w:val="0"/>
              <w:autoSpaceDE w:val="0"/>
              <w:autoSpaceDN w:val="0"/>
              <w:bidi w:val="0"/>
              <w:adjustRightInd w:val="0"/>
              <w:snapToGrid w:val="0"/>
              <w:spacing w:line="360" w:lineRule="exact"/>
              <w:textAlignment w:val="auto"/>
              <w:rPr>
                <w:color w:val="auto"/>
                <w:kern w:val="0"/>
                <w:sz w:val="24"/>
              </w:rPr>
            </w:pPr>
            <w:r>
              <w:rPr>
                <w:color w:val="auto"/>
                <w:kern w:val="0"/>
                <w:sz w:val="24"/>
              </w:rPr>
              <w:t>规划名称：《西咸新区沣西新城分区规划（2016~2035年）》</w:t>
            </w:r>
            <w:r>
              <w:rPr>
                <w:rFonts w:hint="eastAsia"/>
                <w:color w:val="auto"/>
                <w:kern w:val="0"/>
                <w:sz w:val="24"/>
              </w:rPr>
              <w:t>；</w:t>
            </w:r>
          </w:p>
          <w:p w14:paraId="4ED1B910">
            <w:pPr>
              <w:keepNext w:val="0"/>
              <w:keepLines w:val="0"/>
              <w:pageBreakBefore w:val="0"/>
              <w:kinsoku/>
              <w:wordWrap/>
              <w:overflowPunct/>
              <w:topLinePunct w:val="0"/>
              <w:autoSpaceDE w:val="0"/>
              <w:autoSpaceDN w:val="0"/>
              <w:bidi w:val="0"/>
              <w:adjustRightInd w:val="0"/>
              <w:snapToGrid w:val="0"/>
              <w:spacing w:line="360" w:lineRule="exact"/>
              <w:textAlignment w:val="auto"/>
              <w:rPr>
                <w:color w:val="auto"/>
                <w:kern w:val="0"/>
                <w:sz w:val="24"/>
              </w:rPr>
            </w:pPr>
            <w:r>
              <w:rPr>
                <w:color w:val="auto"/>
                <w:kern w:val="0"/>
                <w:sz w:val="24"/>
              </w:rPr>
              <w:t>规划审批机关：陕西省西咸新区开发建设管理委员会</w:t>
            </w:r>
            <w:r>
              <w:rPr>
                <w:rFonts w:hint="eastAsia"/>
                <w:color w:val="auto"/>
                <w:kern w:val="0"/>
                <w:sz w:val="24"/>
              </w:rPr>
              <w:t>；</w:t>
            </w:r>
          </w:p>
          <w:p w14:paraId="634DFEAE">
            <w:pPr>
              <w:keepNext w:val="0"/>
              <w:keepLines w:val="0"/>
              <w:pageBreakBefore w:val="0"/>
              <w:kinsoku/>
              <w:wordWrap/>
              <w:overflowPunct/>
              <w:topLinePunct w:val="0"/>
              <w:autoSpaceDE w:val="0"/>
              <w:autoSpaceDN w:val="0"/>
              <w:bidi w:val="0"/>
              <w:adjustRightInd w:val="0"/>
              <w:snapToGrid w:val="0"/>
              <w:spacing w:line="360" w:lineRule="exact"/>
              <w:textAlignment w:val="auto"/>
              <w:rPr>
                <w:rFonts w:hint="default" w:ascii="Times New Roman" w:hAnsi="Times New Roman" w:eastAsia="宋体" w:cs="Times New Roman"/>
                <w:color w:val="auto"/>
                <w:sz w:val="24"/>
                <w:szCs w:val="24"/>
              </w:rPr>
            </w:pPr>
            <w:r>
              <w:rPr>
                <w:color w:val="auto"/>
                <w:kern w:val="0"/>
                <w:sz w:val="24"/>
              </w:rPr>
              <w:t>审批文件名称及文号：关于《西咸新区沣西新城分区规划》的批复（陕西咸函</w:t>
            </w:r>
            <w:r>
              <w:rPr>
                <w:rFonts w:hint="eastAsia"/>
                <w:color w:val="auto"/>
                <w:kern w:val="0"/>
                <w:sz w:val="24"/>
              </w:rPr>
              <w:t>〔2011〕</w:t>
            </w:r>
            <w:r>
              <w:rPr>
                <w:color w:val="auto"/>
                <w:kern w:val="0"/>
                <w:sz w:val="24"/>
              </w:rPr>
              <w:t>123号）</w:t>
            </w:r>
            <w:r>
              <w:rPr>
                <w:rFonts w:hint="eastAsia"/>
                <w:color w:val="auto"/>
                <w:kern w:val="0"/>
                <w:sz w:val="24"/>
              </w:rPr>
              <w:t>。</w:t>
            </w:r>
          </w:p>
        </w:tc>
      </w:tr>
      <w:tr w14:paraId="77E3E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gridSpan w:val="2"/>
            <w:vAlign w:val="center"/>
          </w:tcPr>
          <w:p w14:paraId="6BC0991D">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规划环境影响</w:t>
            </w:r>
          </w:p>
          <w:p w14:paraId="4F58C022">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评价情况</w:t>
            </w:r>
          </w:p>
        </w:tc>
        <w:tc>
          <w:tcPr>
            <w:tcW w:w="8048" w:type="dxa"/>
            <w:gridSpan w:val="4"/>
            <w:vAlign w:val="center"/>
          </w:tcPr>
          <w:p w14:paraId="340CB252">
            <w:pPr>
              <w:keepNext w:val="0"/>
              <w:keepLines w:val="0"/>
              <w:pageBreakBefore w:val="0"/>
              <w:widowControl/>
              <w:kinsoku/>
              <w:wordWrap/>
              <w:overflowPunct/>
              <w:topLinePunct w:val="0"/>
              <w:bidi w:val="0"/>
              <w:adjustRightInd w:val="0"/>
              <w:spacing w:line="360" w:lineRule="exact"/>
              <w:textAlignment w:val="auto"/>
              <w:rPr>
                <w:color w:val="auto"/>
                <w:kern w:val="0"/>
                <w:sz w:val="24"/>
              </w:rPr>
            </w:pPr>
            <w:r>
              <w:rPr>
                <w:color w:val="auto"/>
                <w:kern w:val="0"/>
                <w:sz w:val="24"/>
              </w:rPr>
              <w:t>规划文件名称：《西咸新区沣西新城分区规划（2016~2035）环境影响报告书》；</w:t>
            </w:r>
          </w:p>
          <w:p w14:paraId="62D038DA">
            <w:pPr>
              <w:keepNext w:val="0"/>
              <w:keepLines w:val="0"/>
              <w:pageBreakBefore w:val="0"/>
              <w:widowControl/>
              <w:kinsoku/>
              <w:wordWrap/>
              <w:overflowPunct/>
              <w:topLinePunct w:val="0"/>
              <w:bidi w:val="0"/>
              <w:adjustRightInd w:val="0"/>
              <w:spacing w:line="360" w:lineRule="exact"/>
              <w:textAlignment w:val="auto"/>
              <w:rPr>
                <w:color w:val="auto"/>
                <w:kern w:val="0"/>
                <w:sz w:val="24"/>
              </w:rPr>
            </w:pPr>
            <w:r>
              <w:rPr>
                <w:rFonts w:hint="eastAsia"/>
                <w:color w:val="auto"/>
                <w:kern w:val="0"/>
                <w:sz w:val="24"/>
              </w:rPr>
              <w:t>召集</w:t>
            </w:r>
            <w:r>
              <w:rPr>
                <w:color w:val="auto"/>
                <w:kern w:val="0"/>
                <w:sz w:val="24"/>
              </w:rPr>
              <w:t>审查机关：</w:t>
            </w:r>
            <w:r>
              <w:rPr>
                <w:color w:val="auto"/>
                <w:sz w:val="24"/>
              </w:rPr>
              <w:t>陕西省西咸新区环境保护局</w:t>
            </w:r>
            <w:r>
              <w:rPr>
                <w:color w:val="auto"/>
                <w:kern w:val="0"/>
                <w:sz w:val="24"/>
              </w:rPr>
              <w:t>；</w:t>
            </w:r>
          </w:p>
          <w:p w14:paraId="7061F52D">
            <w:pPr>
              <w:keepNext w:val="0"/>
              <w:keepLines w:val="0"/>
              <w:pageBreakBefore w:val="0"/>
              <w:kinsoku/>
              <w:wordWrap/>
              <w:overflowPunct/>
              <w:topLinePunct w:val="0"/>
              <w:autoSpaceDE w:val="0"/>
              <w:autoSpaceDN w:val="0"/>
              <w:bidi w:val="0"/>
              <w:adjustRightInd w:val="0"/>
              <w:snapToGrid w:val="0"/>
              <w:spacing w:line="360" w:lineRule="exact"/>
              <w:textAlignment w:val="auto"/>
              <w:rPr>
                <w:rFonts w:hint="default" w:ascii="Times New Roman" w:hAnsi="Times New Roman" w:cs="Times New Roman"/>
                <w:color w:val="auto"/>
                <w:sz w:val="24"/>
                <w:szCs w:val="24"/>
              </w:rPr>
            </w:pPr>
            <w:r>
              <w:rPr>
                <w:color w:val="auto"/>
                <w:sz w:val="24"/>
              </w:rPr>
              <w:t>审查文件名称及文号：关于《西咸新区沣西新城分区规划（2016-2035）环境影响报告书》审查意见的函（陕西咸环函</w:t>
            </w:r>
            <w:r>
              <w:rPr>
                <w:rFonts w:hint="eastAsia"/>
                <w:color w:val="auto"/>
                <w:sz w:val="24"/>
              </w:rPr>
              <w:t>〔2018〕</w:t>
            </w:r>
            <w:r>
              <w:rPr>
                <w:color w:val="auto"/>
                <w:sz w:val="24"/>
              </w:rPr>
              <w:t>61号）</w:t>
            </w:r>
          </w:p>
        </w:tc>
      </w:tr>
      <w:tr w14:paraId="5263D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22" w:type="dxa"/>
            <w:gridSpan w:val="2"/>
            <w:vAlign w:val="center"/>
          </w:tcPr>
          <w:p w14:paraId="0005C4CD">
            <w:pPr>
              <w:autoSpaceDE w:val="0"/>
              <w:autoSpaceDN w:val="0"/>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规划及规划环境影响评价符合性分析</w:t>
            </w:r>
          </w:p>
        </w:tc>
        <w:tc>
          <w:tcPr>
            <w:tcW w:w="8048" w:type="dxa"/>
            <w:gridSpan w:val="4"/>
            <w:vAlign w:val="center"/>
          </w:tcPr>
          <w:p w14:paraId="2A95798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本项目规划及规划环境影响评价符合性分析见表1-</w:t>
            </w:r>
            <w:r>
              <w:rPr>
                <w:rFonts w:hint="eastAsia"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w:t>
            </w:r>
          </w:p>
          <w:p w14:paraId="68A16338">
            <w:pPr>
              <w:snapToGrid w:val="0"/>
              <w:jc w:val="center"/>
              <w:rPr>
                <w:b/>
                <w:snapToGrid w:val="0"/>
                <w:color w:val="auto"/>
                <w:sz w:val="21"/>
                <w:szCs w:val="21"/>
              </w:rPr>
            </w:pPr>
            <w:r>
              <w:rPr>
                <w:b/>
                <w:snapToGrid w:val="0"/>
                <w:color w:val="auto"/>
                <w:sz w:val="21"/>
                <w:szCs w:val="21"/>
              </w:rPr>
              <w:t>表1</w:t>
            </w:r>
            <w:r>
              <w:rPr>
                <w:rFonts w:hint="eastAsia"/>
                <w:b/>
                <w:snapToGrid w:val="0"/>
                <w:color w:val="auto"/>
                <w:sz w:val="21"/>
                <w:szCs w:val="21"/>
              </w:rPr>
              <w:t>-</w:t>
            </w:r>
            <w:r>
              <w:rPr>
                <w:rFonts w:hint="eastAsia"/>
                <w:b/>
                <w:snapToGrid w:val="0"/>
                <w:color w:val="auto"/>
                <w:sz w:val="21"/>
                <w:szCs w:val="21"/>
                <w:lang w:val="en-US" w:eastAsia="zh-CN"/>
              </w:rPr>
              <w:t xml:space="preserve">2  </w:t>
            </w:r>
            <w:r>
              <w:rPr>
                <w:b/>
                <w:snapToGrid w:val="0"/>
                <w:color w:val="auto"/>
                <w:sz w:val="21"/>
                <w:szCs w:val="21"/>
              </w:rPr>
              <w:t>规划符合性分析</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46"/>
              <w:gridCol w:w="3930"/>
              <w:gridCol w:w="2415"/>
              <w:gridCol w:w="741"/>
            </w:tblGrid>
            <w:tr w14:paraId="3A218F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76" w:type="pct"/>
                  <w:tcBorders>
                    <w:tl2br w:val="nil"/>
                    <w:tr2bl w:val="nil"/>
                  </w:tcBorders>
                  <w:noWrap w:val="0"/>
                  <w:vAlign w:val="center"/>
                </w:tcPr>
                <w:p w14:paraId="5B438B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6"/>
                      <w:sz w:val="21"/>
                      <w:szCs w:val="21"/>
                    </w:rPr>
                  </w:pPr>
                  <w:r>
                    <w:rPr>
                      <w:rFonts w:hint="default" w:ascii="Times New Roman" w:hAnsi="Times New Roman" w:eastAsia="宋体" w:cs="Times New Roman"/>
                      <w:b/>
                      <w:bCs/>
                      <w:color w:val="auto"/>
                      <w:spacing w:val="-6"/>
                      <w:sz w:val="21"/>
                      <w:szCs w:val="21"/>
                    </w:rPr>
                    <w:t>相关规划</w:t>
                  </w:r>
                </w:p>
              </w:tc>
              <w:tc>
                <w:tcPr>
                  <w:tcW w:w="2508" w:type="pct"/>
                  <w:tcBorders>
                    <w:tl2br w:val="nil"/>
                    <w:tr2bl w:val="nil"/>
                  </w:tcBorders>
                  <w:noWrap w:val="0"/>
                  <w:vAlign w:val="center"/>
                </w:tcPr>
                <w:p w14:paraId="5A874E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6"/>
                      <w:sz w:val="21"/>
                      <w:szCs w:val="21"/>
                    </w:rPr>
                  </w:pPr>
                  <w:r>
                    <w:rPr>
                      <w:rFonts w:hint="default" w:ascii="Times New Roman" w:hAnsi="Times New Roman" w:eastAsia="宋体" w:cs="Times New Roman"/>
                      <w:b/>
                      <w:bCs/>
                      <w:color w:val="auto"/>
                      <w:spacing w:val="-6"/>
                      <w:sz w:val="21"/>
                      <w:szCs w:val="21"/>
                    </w:rPr>
                    <w:t>规划要求</w:t>
                  </w:r>
                </w:p>
              </w:tc>
              <w:tc>
                <w:tcPr>
                  <w:tcW w:w="1541" w:type="pct"/>
                  <w:tcBorders>
                    <w:tl2br w:val="nil"/>
                    <w:tr2bl w:val="nil"/>
                  </w:tcBorders>
                  <w:noWrap w:val="0"/>
                  <w:vAlign w:val="center"/>
                </w:tcPr>
                <w:p w14:paraId="34B49F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6"/>
                      <w:sz w:val="21"/>
                      <w:szCs w:val="21"/>
                    </w:rPr>
                  </w:pPr>
                  <w:r>
                    <w:rPr>
                      <w:rFonts w:hint="default" w:ascii="Times New Roman" w:hAnsi="Times New Roman" w:eastAsia="宋体" w:cs="Times New Roman"/>
                      <w:b/>
                      <w:bCs/>
                      <w:color w:val="auto"/>
                      <w:spacing w:val="-6"/>
                      <w:sz w:val="21"/>
                      <w:szCs w:val="21"/>
                    </w:rPr>
                    <w:t>本项目情况</w:t>
                  </w:r>
                </w:p>
              </w:tc>
              <w:tc>
                <w:tcPr>
                  <w:tcW w:w="473" w:type="pct"/>
                  <w:tcBorders>
                    <w:tl2br w:val="nil"/>
                    <w:tr2bl w:val="nil"/>
                  </w:tcBorders>
                  <w:noWrap w:val="0"/>
                  <w:vAlign w:val="center"/>
                </w:tcPr>
                <w:p w14:paraId="2AC5EE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6"/>
                      <w:sz w:val="21"/>
                      <w:szCs w:val="21"/>
                    </w:rPr>
                  </w:pPr>
                  <w:r>
                    <w:rPr>
                      <w:rFonts w:hint="default" w:ascii="Times New Roman" w:hAnsi="Times New Roman" w:eastAsia="宋体" w:cs="Times New Roman"/>
                      <w:b/>
                      <w:bCs/>
                      <w:color w:val="auto"/>
                      <w:spacing w:val="-6"/>
                      <w:sz w:val="21"/>
                      <w:szCs w:val="21"/>
                    </w:rPr>
                    <w:t>符合性</w:t>
                  </w:r>
                </w:p>
              </w:tc>
            </w:tr>
            <w:tr w14:paraId="4B3FF6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76" w:type="pct"/>
                  <w:tcBorders>
                    <w:tl2br w:val="nil"/>
                    <w:tr2bl w:val="nil"/>
                  </w:tcBorders>
                  <w:noWrap w:val="0"/>
                  <w:vAlign w:val="center"/>
                </w:tcPr>
                <w:p w14:paraId="007B39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《西咸新区沣西新城分区规划（2016-2035年）》</w:t>
                  </w:r>
                </w:p>
              </w:tc>
              <w:tc>
                <w:tcPr>
                  <w:tcW w:w="2508" w:type="pct"/>
                  <w:tcBorders>
                    <w:tl2br w:val="nil"/>
                    <w:tr2bl w:val="nil"/>
                  </w:tcBorders>
                  <w:noWrap w:val="0"/>
                  <w:vAlign w:val="center"/>
                </w:tcPr>
                <w:p w14:paraId="3CCAB6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6"/>
                      <w:sz w:val="21"/>
                      <w:szCs w:val="21"/>
                    </w:rPr>
                    <w:t>沣西新城位于西安市与咸阳市接壤部，包括户县的大王镇，长安区的马王街道、高桥乡，秦都区的钓台、陈杨寨街道，总面积142.77平方千米，其中西安市占地91.1</w:t>
                  </w:r>
                  <w:r>
                    <w:rPr>
                      <w:rFonts w:hint="eastAsia" w:ascii="Times New Roman" w:hAnsi="Times New Roman" w:eastAsia="宋体" w:cs="Times New Roman"/>
                      <w:color w:val="auto"/>
                      <w:spacing w:val="-6"/>
                      <w:sz w:val="21"/>
                      <w:szCs w:val="21"/>
                      <w:lang w:val="en-US" w:eastAsia="zh-CN"/>
                    </w:rPr>
                    <w:t>km2</w:t>
                  </w:r>
                  <w:r>
                    <w:rPr>
                      <w:rFonts w:hint="default" w:ascii="Times New Roman" w:hAnsi="Times New Roman" w:eastAsia="宋体" w:cs="Times New Roman"/>
                      <w:color w:val="auto"/>
                      <w:spacing w:val="-6"/>
                      <w:sz w:val="21"/>
                      <w:szCs w:val="21"/>
                    </w:rPr>
                    <w:t>、咸阳市占地51.7</w:t>
                  </w:r>
                  <w:r>
                    <w:rPr>
                      <w:rFonts w:hint="eastAsia" w:ascii="Times New Roman" w:hAnsi="Times New Roman" w:eastAsia="宋体" w:cs="Times New Roman"/>
                      <w:color w:val="auto"/>
                      <w:spacing w:val="-6"/>
                      <w:sz w:val="21"/>
                      <w:szCs w:val="21"/>
                      <w:lang w:val="en-US" w:eastAsia="zh-CN"/>
                    </w:rPr>
                    <w:t>km2</w:t>
                  </w:r>
                  <w:r>
                    <w:rPr>
                      <w:rFonts w:hint="default" w:ascii="Times New Roman" w:hAnsi="Times New Roman" w:eastAsia="宋体" w:cs="Times New Roman"/>
                      <w:color w:val="auto"/>
                      <w:spacing w:val="-6"/>
                      <w:sz w:val="21"/>
                      <w:szCs w:val="21"/>
                    </w:rPr>
                    <w:t>。规划范围东至沣河，南至大王镇及马王街办南端，西至户县大王东村路口到保西村以东（规划中的西咸环线），北至渭河中心。沣西新城定位为丝绸之路信息港，国家海绵城市建设示范区、西部科技创新引领区，以信</w:t>
                  </w:r>
                  <w:r>
                    <w:rPr>
                      <w:rFonts w:hint="default" w:ascii="Times New Roman" w:hAnsi="Times New Roman" w:eastAsia="宋体" w:cs="Times New Roman"/>
                      <w:color w:val="auto"/>
                      <w:spacing w:val="-6"/>
                      <w:sz w:val="21"/>
                      <w:szCs w:val="21"/>
                      <w:lang w:val="en-US" w:eastAsia="zh-CN"/>
                    </w:rPr>
                    <w:t>息</w:t>
                  </w:r>
                  <w:r>
                    <w:rPr>
                      <w:rFonts w:hint="default" w:ascii="Times New Roman" w:hAnsi="Times New Roman" w:eastAsia="宋体" w:cs="Times New Roman"/>
                      <w:color w:val="auto"/>
                      <w:spacing w:val="-6"/>
                      <w:sz w:val="21"/>
                      <w:szCs w:val="21"/>
                    </w:rPr>
                    <w:t>产业、大数据、国际文化交流为主的大西安新中心重要组成部分。中心片区：现代服务业主导，包括科技创新、总部经济、科技服务业、科技金融、会议会展、都市农业等。</w:t>
                  </w:r>
                </w:p>
              </w:tc>
              <w:tc>
                <w:tcPr>
                  <w:tcW w:w="1541" w:type="pct"/>
                  <w:tcBorders>
                    <w:tl2br w:val="nil"/>
                    <w:tr2bl w:val="nil"/>
                  </w:tcBorders>
                  <w:noWrap w:val="0"/>
                  <w:vAlign w:val="center"/>
                </w:tcPr>
                <w:p w14:paraId="139A81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lang w:val="en-US" w:eastAsia="zh-CN"/>
                    </w:rPr>
                    <w:t>本项目</w:t>
                  </w:r>
                  <w:r>
                    <w:rPr>
                      <w:rFonts w:hint="default" w:ascii="Times New Roman" w:hAnsi="Times New Roman" w:eastAsia="宋体" w:cs="Times New Roman"/>
                      <w:color w:val="auto"/>
                      <w:spacing w:val="-6"/>
                      <w:sz w:val="21"/>
                      <w:szCs w:val="21"/>
                    </w:rPr>
                    <w:t>位于</w:t>
                  </w:r>
                  <w:r>
                    <w:rPr>
                      <w:rFonts w:hint="eastAsia" w:ascii="Times New Roman" w:hAnsi="Times New Roman" w:eastAsia="宋体" w:cs="Times New Roman"/>
                      <w:color w:val="auto"/>
                      <w:spacing w:val="-6"/>
                      <w:sz w:val="21"/>
                      <w:szCs w:val="21"/>
                      <w:lang w:val="en-US" w:eastAsia="zh-CN"/>
                    </w:rPr>
                    <w:t>沣西新城钓台街道</w:t>
                  </w:r>
                  <w:r>
                    <w:rPr>
                      <w:rFonts w:hint="default" w:ascii="Times New Roman" w:hAnsi="Times New Roman" w:eastAsia="宋体" w:cs="Times New Roman"/>
                      <w:color w:val="auto"/>
                      <w:spacing w:val="-6"/>
                      <w:sz w:val="21"/>
                      <w:szCs w:val="21"/>
                    </w:rPr>
                    <w:t>，</w:t>
                  </w:r>
                  <w:r>
                    <w:rPr>
                      <w:rFonts w:hint="eastAsia" w:ascii="Times New Roman" w:hAnsi="Times New Roman" w:eastAsia="宋体" w:cs="Times New Roman"/>
                      <w:color w:val="auto"/>
                      <w:spacing w:val="-6"/>
                      <w:sz w:val="21"/>
                      <w:szCs w:val="21"/>
                      <w:lang w:val="en-US" w:eastAsia="zh-CN"/>
                    </w:rPr>
                    <w:t>为中药实验室</w:t>
                  </w:r>
                  <w:r>
                    <w:rPr>
                      <w:rFonts w:hint="eastAsia" w:cs="Times New Roman"/>
                      <w:color w:val="auto"/>
                      <w:spacing w:val="-6"/>
                      <w:sz w:val="21"/>
                      <w:szCs w:val="21"/>
                      <w:lang w:val="en-US" w:eastAsia="zh-CN"/>
                    </w:rPr>
                    <w:t>项目</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为中药研发与生产提供前端技术支持，</w:t>
                  </w:r>
                  <w:r>
                    <w:rPr>
                      <w:rFonts w:hint="default" w:ascii="Times New Roman" w:hAnsi="Times New Roman" w:eastAsia="宋体" w:cs="Times New Roman"/>
                      <w:color w:val="auto"/>
                      <w:sz w:val="21"/>
                      <w:szCs w:val="21"/>
                      <w:lang w:val="en-US" w:eastAsia="zh-CN"/>
                    </w:rPr>
                    <w:t>符合规划</w:t>
                  </w:r>
                  <w:r>
                    <w:rPr>
                      <w:rFonts w:hint="default" w:ascii="Times New Roman" w:hAnsi="Times New Roman" w:eastAsia="宋体" w:cs="Times New Roman"/>
                      <w:color w:val="auto"/>
                      <w:spacing w:val="-6"/>
                      <w:sz w:val="21"/>
                      <w:szCs w:val="21"/>
                    </w:rPr>
                    <w:t>。</w:t>
                  </w:r>
                </w:p>
              </w:tc>
              <w:tc>
                <w:tcPr>
                  <w:tcW w:w="473" w:type="pct"/>
                  <w:tcBorders>
                    <w:tl2br w:val="nil"/>
                    <w:tr2bl w:val="nil"/>
                  </w:tcBorders>
                  <w:noWrap w:val="0"/>
                  <w:vAlign w:val="center"/>
                </w:tcPr>
                <w:p w14:paraId="179983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符合</w:t>
                  </w:r>
                </w:p>
              </w:tc>
            </w:tr>
            <w:tr w14:paraId="5501C9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76" w:type="pct"/>
                  <w:tcBorders>
                    <w:tl2br w:val="nil"/>
                    <w:tr2bl w:val="nil"/>
                  </w:tcBorders>
                  <w:noWrap w:val="0"/>
                  <w:vAlign w:val="center"/>
                </w:tcPr>
                <w:p w14:paraId="0E0913DE">
                  <w:pPr>
                    <w:pStyle w:val="80"/>
                    <w:keepNext w:val="0"/>
                    <w:keepLines w:val="0"/>
                    <w:pageBreakBefore w:val="0"/>
                    <w:widowControl w:val="0"/>
                    <w:kinsoku/>
                    <w:wordWrap/>
                    <w:overflowPunct/>
                    <w:topLinePunct w:val="0"/>
                    <w:autoSpaceDE/>
                    <w:autoSpaceDN/>
                    <w:bidi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《西咸新区沣西新城分区规划(2016~2035年)环境影响报告书》</w:t>
                  </w:r>
                </w:p>
              </w:tc>
              <w:tc>
                <w:tcPr>
                  <w:tcW w:w="2508" w:type="pct"/>
                  <w:tcBorders>
                    <w:tl2br w:val="nil"/>
                    <w:tr2bl w:val="nil"/>
                  </w:tcBorders>
                  <w:noWrap w:val="0"/>
                  <w:vAlign w:val="center"/>
                </w:tcPr>
                <w:p w14:paraId="5DFB924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①对产业的引入采取“底线控制、优势相关、鼓励创新”的原则，底线控制即淘汰三高（高污染、高耗能、高耗水，如铸造、化工等），凡是非三高企业都可引入；</w:t>
                  </w:r>
                </w:p>
                <w:p w14:paraId="2640C31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②评价要求严禁高耗水、高排水企业入驻区内，严格控制污水外排；</w:t>
                  </w:r>
                </w:p>
                <w:p w14:paraId="479E5AD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③推行生活垃圾分类收集，提高生活垃圾无害化处理率和固体废物的综合利用率。固废须按照《一般工业固体废物贮存、处置场污染控制标准》（GB18599-2001）要求，进行贮存和处置，危废的产生和管理按照陕西省环境保护厅颁发的《危险废物转移联单管理办法》等有关规定文件的要求，收集后送往危废处理处置中心。</w:t>
                  </w:r>
                </w:p>
              </w:tc>
              <w:tc>
                <w:tcPr>
                  <w:tcW w:w="1541" w:type="pct"/>
                  <w:tcBorders>
                    <w:tl2br w:val="nil"/>
                    <w:tr2bl w:val="nil"/>
                  </w:tcBorders>
                  <w:noWrap w:val="0"/>
                  <w:vAlign w:val="center"/>
                </w:tcPr>
                <w:p w14:paraId="0A7381DC">
                  <w:pPr>
                    <w:keepNext w:val="0"/>
                    <w:keepLines w:val="0"/>
                    <w:pageBreakBefore w:val="0"/>
                    <w:widowControl w:val="0"/>
                    <w:kinsoku/>
                    <w:wordWrap/>
                    <w:overflowPunct/>
                    <w:topLinePunct w:val="0"/>
                    <w:autoSpaceDE/>
                    <w:autoSpaceDN/>
                    <w:bidi w:val="0"/>
                    <w:snapToGrid w:val="0"/>
                    <w:textAlignment w:val="auto"/>
                    <w:rPr>
                      <w:rFonts w:hint="default" w:ascii="Times New Roman" w:hAnsi="Times New Roman" w:cs="Times New Roman"/>
                      <w:color w:val="auto"/>
                      <w:vertAlign w:val="baseline"/>
                      <w:lang w:val="en-US" w:eastAsia="zh-CN"/>
                    </w:rPr>
                  </w:pPr>
                  <w:r>
                    <w:rPr>
                      <w:rFonts w:hint="default" w:ascii="Times New Roman" w:hAnsi="Times New Roman" w:eastAsia="宋体" w:cs="Times New Roman"/>
                      <w:color w:val="auto"/>
                      <w:sz w:val="21"/>
                      <w:szCs w:val="21"/>
                      <w:lang w:val="en-US" w:eastAsia="zh-CN"/>
                    </w:rPr>
                    <w:t>①本项目为</w:t>
                  </w:r>
                  <w:r>
                    <w:rPr>
                      <w:rFonts w:hint="eastAsia" w:ascii="Times New Roman" w:hAnsi="Times New Roman" w:cs="Times New Roman"/>
                      <w:color w:val="auto"/>
                      <w:lang w:val="en-US" w:eastAsia="zh-CN"/>
                    </w:rPr>
                    <w:t>实验室</w:t>
                  </w:r>
                  <w:r>
                    <w:rPr>
                      <w:rFonts w:hint="default" w:ascii="Times New Roman" w:hAnsi="Times New Roman" w:cs="Times New Roman"/>
                      <w:color w:val="auto"/>
                      <w:vertAlign w:val="baseline"/>
                      <w:lang w:val="en-US" w:eastAsia="zh-CN"/>
                    </w:rPr>
                    <w:t>项目，不属于“三高”企业；</w:t>
                  </w:r>
                </w:p>
                <w:p w14:paraId="28B12145">
                  <w:pPr>
                    <w:keepNext w:val="0"/>
                    <w:keepLines w:val="0"/>
                    <w:pageBreakBefore w:val="0"/>
                    <w:widowControl w:val="0"/>
                    <w:kinsoku/>
                    <w:wordWrap/>
                    <w:overflowPunct/>
                    <w:topLinePunct w:val="0"/>
                    <w:autoSpaceDE/>
                    <w:autoSpaceDN/>
                    <w:bidi w:val="0"/>
                    <w:snapToGrid w:val="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②</w:t>
                  </w:r>
                  <w:r>
                    <w:rPr>
                      <w:rFonts w:hint="default" w:ascii="Times New Roman" w:hAnsi="Times New Roman" w:eastAsia="宋体" w:cs="Times New Roman"/>
                      <w:color w:val="auto"/>
                      <w:sz w:val="21"/>
                      <w:szCs w:val="21"/>
                      <w:lang w:val="en-US" w:eastAsia="zh-CN"/>
                    </w:rPr>
                    <w:t>项目耗水量较小，</w:t>
                  </w:r>
                  <w:r>
                    <w:rPr>
                      <w:rFonts w:hint="eastAsia" w:ascii="Times New Roman" w:hAnsi="Times New Roman" w:eastAsia="宋体" w:cs="Times New Roman"/>
                      <w:color w:val="auto"/>
                      <w:sz w:val="21"/>
                      <w:szCs w:val="21"/>
                      <w:lang w:val="en-US" w:eastAsia="zh-CN"/>
                    </w:rPr>
                    <w:t>产生的废水主要为药材洗润、浸泡、蒸煮废水，实验器皿清洗废水，设备清洗废水、纯水制备产生的浓水、实验台及地面清洗用水、生活污水，产生量较小</w:t>
                  </w:r>
                  <w:r>
                    <w:rPr>
                      <w:rFonts w:hint="default" w:ascii="Times New Roman" w:hAnsi="Times New Roman" w:eastAsia="宋体" w:cs="Times New Roman"/>
                      <w:color w:val="auto"/>
                      <w:sz w:val="21"/>
                      <w:szCs w:val="21"/>
                      <w:lang w:val="en-US" w:eastAsia="zh-CN"/>
                    </w:rPr>
                    <w:t>；</w:t>
                  </w:r>
                </w:p>
                <w:p w14:paraId="1C35D4F9">
                  <w:pPr>
                    <w:pStyle w:val="80"/>
                    <w:keepNext w:val="0"/>
                    <w:keepLines w:val="0"/>
                    <w:pageBreakBefore w:val="0"/>
                    <w:widowControl w:val="0"/>
                    <w:kinsoku/>
                    <w:wordWrap/>
                    <w:overflowPunct/>
                    <w:topLinePunct w:val="0"/>
                    <w:autoSpaceDE/>
                    <w:autoSpaceDN/>
                    <w:bidi w:val="0"/>
                    <w:snapToGrid w:val="0"/>
                    <w:spacing w:after="0" w:line="240" w:lineRule="auto"/>
                    <w:jc w:val="both"/>
                    <w:textAlignment w:val="auto"/>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③本项目</w:t>
                  </w:r>
                  <w:r>
                    <w:rPr>
                      <w:rFonts w:hint="default" w:ascii="Times New Roman" w:hAnsi="Times New Roman" w:eastAsia="宋体" w:cs="Times New Roman"/>
                      <w:color w:val="auto"/>
                      <w:sz w:val="21"/>
                      <w:szCs w:val="21"/>
                      <w:lang w:val="en-US" w:eastAsia="zh-CN"/>
                    </w:rPr>
                    <w:t>产生的一般</w:t>
                  </w:r>
                  <w:r>
                    <w:rPr>
                      <w:rFonts w:hint="default" w:ascii="Times New Roman" w:hAnsi="Times New Roman" w:eastAsia="宋体" w:cs="Times New Roman"/>
                      <w:color w:val="auto"/>
                      <w:sz w:val="21"/>
                      <w:szCs w:val="21"/>
                    </w:rPr>
                    <w:t>固废按照《一般工业固体废物贮存和填埋污染控制标准》（GB18599-2020）要求，进行贮存和处置；危险废物按照《危险废物贮存污染控制标准》（GB18597-2023）要求进行贮存，定期交由有资质单位处置。</w:t>
                  </w:r>
                </w:p>
              </w:tc>
              <w:tc>
                <w:tcPr>
                  <w:tcW w:w="473" w:type="pct"/>
                  <w:tcBorders>
                    <w:tl2br w:val="nil"/>
                    <w:tr2bl w:val="nil"/>
                  </w:tcBorders>
                  <w:noWrap w:val="0"/>
                  <w:vAlign w:val="center"/>
                </w:tcPr>
                <w:p w14:paraId="6B84DCA7">
                  <w:pPr>
                    <w:pStyle w:val="80"/>
                    <w:keepNext w:val="0"/>
                    <w:keepLines w:val="0"/>
                    <w:pageBreakBefore w:val="0"/>
                    <w:widowControl w:val="0"/>
                    <w:kinsoku/>
                    <w:wordWrap/>
                    <w:overflowPunct/>
                    <w:topLinePunct w:val="0"/>
                    <w:autoSpaceDE/>
                    <w:autoSpaceDN/>
                    <w:bidi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770C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76" w:type="pct"/>
                  <w:tcBorders>
                    <w:tl2br w:val="nil"/>
                    <w:tr2bl w:val="nil"/>
                  </w:tcBorders>
                  <w:noWrap w:val="0"/>
                  <w:vAlign w:val="center"/>
                </w:tcPr>
                <w:p w14:paraId="260E69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lang w:eastAsia="zh-CN"/>
                    </w:rPr>
                  </w:pPr>
                  <w:r>
                    <w:rPr>
                      <w:rFonts w:hint="default" w:ascii="Times New Roman" w:hAnsi="Times New Roman" w:eastAsia="宋体" w:cs="Times New Roman"/>
                      <w:color w:val="auto"/>
                      <w:spacing w:val="-6"/>
                      <w:sz w:val="21"/>
                      <w:szCs w:val="21"/>
                    </w:rPr>
                    <w:t>《西咸新区沣西新城分区规划（2016-2035年）环境影响报告书》审查意见</w:t>
                  </w:r>
                  <w:r>
                    <w:rPr>
                      <w:rFonts w:hint="default" w:ascii="Times New Roman" w:hAnsi="Times New Roman" w:eastAsia="宋体" w:cs="Times New Roman"/>
                      <w:color w:val="auto"/>
                      <w:spacing w:val="-6"/>
                      <w:sz w:val="21"/>
                      <w:szCs w:val="21"/>
                      <w:lang w:eastAsia="zh-CN"/>
                    </w:rPr>
                    <w:t>（</w:t>
                  </w:r>
                  <w:r>
                    <w:rPr>
                      <w:rFonts w:hint="default" w:ascii="Times New Roman" w:hAnsi="Times New Roman" w:eastAsia="宋体" w:cs="Times New Roman"/>
                      <w:color w:val="auto"/>
                      <w:spacing w:val="-6"/>
                      <w:sz w:val="21"/>
                      <w:szCs w:val="21"/>
                      <w:lang w:val="en-US" w:eastAsia="zh-CN"/>
                    </w:rPr>
                    <w:t>陕西咸环函〔2018〕61号</w:t>
                  </w:r>
                  <w:r>
                    <w:rPr>
                      <w:rFonts w:hint="default" w:ascii="Times New Roman" w:hAnsi="Times New Roman" w:eastAsia="宋体" w:cs="Times New Roman"/>
                      <w:color w:val="auto"/>
                      <w:spacing w:val="-6"/>
                      <w:sz w:val="21"/>
                      <w:szCs w:val="21"/>
                      <w:lang w:eastAsia="zh-CN"/>
                    </w:rPr>
                    <w:t>）</w:t>
                  </w:r>
                </w:p>
              </w:tc>
              <w:tc>
                <w:tcPr>
                  <w:tcW w:w="2508" w:type="pct"/>
                  <w:tcBorders>
                    <w:tl2br w:val="nil"/>
                    <w:tr2bl w:val="nil"/>
                  </w:tcBorders>
                  <w:noWrap w:val="0"/>
                  <w:vAlign w:val="center"/>
                </w:tcPr>
                <w:p w14:paraId="5FD6E8E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①加强规划引导，坚持生态优先绿色集约发展，突出城市与产业协调发展的理念。严格落实生态保护红线、环境质量底线、资源利用上线和环境准入负面清单管控要求。强化“三线一单”在优布局、控规模及对项目环境准入的强制约束作用。严禁“三高一低”项目入区</w:t>
                  </w:r>
                  <w:r>
                    <w:rPr>
                      <w:rFonts w:hint="eastAsia" w:cs="Times New Roman"/>
                      <w:color w:val="auto"/>
                      <w:spacing w:val="-6"/>
                      <w:sz w:val="21"/>
                      <w:szCs w:val="21"/>
                      <w:lang w:val="en-US" w:eastAsia="zh-CN"/>
                    </w:rPr>
                    <w:t>，</w:t>
                  </w:r>
                  <w:r>
                    <w:rPr>
                      <w:rFonts w:hint="default" w:ascii="Times New Roman" w:hAnsi="Times New Roman" w:eastAsia="宋体" w:cs="Times New Roman"/>
                      <w:color w:val="auto"/>
                      <w:spacing w:val="-6"/>
                      <w:sz w:val="21"/>
                      <w:szCs w:val="21"/>
                    </w:rPr>
                    <w:t>采用总量控制方式，限制大气污染物及水污染物排放量大的项目入区。引进项目的生产工艺、设备、污染治理技术，以及单位产品能耗、物耗、污染物排放和资源利用率等均需达到同行业国际先进水平，落实《报告书》提出的环境要求；</w:t>
                  </w:r>
                </w:p>
                <w:p w14:paraId="6CAC5D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②严守环境质量底线，落实污染物总量管控要求。根据国家、陕西省、西</w:t>
                  </w:r>
                  <w:r>
                    <w:rPr>
                      <w:rFonts w:hint="eastAsia" w:cs="Times New Roman"/>
                      <w:color w:val="auto"/>
                      <w:spacing w:val="-6"/>
                      <w:sz w:val="21"/>
                      <w:szCs w:val="21"/>
                      <w:lang w:eastAsia="zh-CN"/>
                    </w:rPr>
                    <w:t>咸</w:t>
                  </w:r>
                  <w:r>
                    <w:rPr>
                      <w:rFonts w:hint="default" w:ascii="Times New Roman" w:hAnsi="Times New Roman" w:eastAsia="宋体" w:cs="Times New Roman"/>
                      <w:color w:val="auto"/>
                      <w:spacing w:val="-6"/>
                      <w:sz w:val="21"/>
                      <w:szCs w:val="21"/>
                    </w:rPr>
                    <w:t>新区有关大气、水、土壤污染防治行动计划相关要求，制定区域污染物减排方案，采取有效措施减少主要污染物和挥发性有机物等排放总量，实现区域环境质量改善目标；</w:t>
                  </w:r>
                </w:p>
                <w:p w14:paraId="5B74000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③结合区域大气环境质量改善目标要求，明确无煤化城市建设阶段性目标，进一步优化能源结构，加大无</w:t>
                  </w:r>
                  <w:r>
                    <w:rPr>
                      <w:rFonts w:hint="default" w:ascii="Times New Roman" w:hAnsi="Times New Roman" w:eastAsia="宋体" w:cs="Times New Roman"/>
                      <w:color w:val="auto"/>
                      <w:spacing w:val="-6"/>
                      <w:sz w:val="21"/>
                      <w:szCs w:val="21"/>
                      <w:lang w:val="en-US" w:eastAsia="zh-CN"/>
                    </w:rPr>
                    <w:t>干</w:t>
                  </w:r>
                  <w:r>
                    <w:rPr>
                      <w:rFonts w:hint="default" w:ascii="Times New Roman" w:hAnsi="Times New Roman" w:eastAsia="宋体" w:cs="Times New Roman"/>
                      <w:color w:val="auto"/>
                      <w:spacing w:val="-6"/>
                      <w:sz w:val="21"/>
                      <w:szCs w:val="21"/>
                    </w:rPr>
                    <w:t>扰干热岩供热技术的应用推广。加强挥发性有机物产生企业监督管理，强化移动源污染防治；</w:t>
                  </w:r>
                </w:p>
                <w:p w14:paraId="25A87D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④结合区域水环境质量改善目标的要求，提高再生水回用率，提高污水厂管理标准；落实畜禽养殖禁养、景观水体建设等措施；</w:t>
                  </w:r>
                </w:p>
                <w:p w14:paraId="1A3F70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⑤结合规划及水源地保护相关法律法规，加强水源地保护，全力保障饮用水安全；</w:t>
                  </w:r>
                </w:p>
                <w:p w14:paraId="5A527A2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⑥积极开展垃圾分类试点建设，加强固体废弃物特别是危险废物的集中处理处置。</w:t>
                  </w:r>
                </w:p>
              </w:tc>
              <w:tc>
                <w:tcPr>
                  <w:tcW w:w="1541" w:type="pct"/>
                  <w:tcBorders>
                    <w:tl2br w:val="nil"/>
                    <w:tr2bl w:val="nil"/>
                  </w:tcBorders>
                  <w:noWrap w:val="0"/>
                  <w:vAlign w:val="center"/>
                </w:tcPr>
                <w:p w14:paraId="53330D47">
                  <w:pPr>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rPr>
                    <w:t>①</w:t>
                  </w:r>
                  <w:r>
                    <w:rPr>
                      <w:rFonts w:hint="default" w:ascii="Times New Roman" w:hAnsi="Times New Roman" w:eastAsia="宋体" w:cs="Times New Roman"/>
                      <w:color w:val="auto"/>
                      <w:sz w:val="21"/>
                      <w:szCs w:val="21"/>
                    </w:rPr>
                    <w:t>本项目位于</w:t>
                  </w:r>
                  <w:r>
                    <w:rPr>
                      <w:rFonts w:hint="default" w:ascii="Times New Roman" w:hAnsi="Times New Roman" w:eastAsia="宋体" w:cs="Times New Roman"/>
                      <w:color w:val="auto"/>
                      <w:spacing w:val="-6"/>
                      <w:sz w:val="21"/>
                      <w:szCs w:val="21"/>
                    </w:rPr>
                    <w:t>陕西省西咸新区沣西新城</w:t>
                  </w:r>
                  <w:r>
                    <w:rPr>
                      <w:rFonts w:hint="eastAsia" w:ascii="Times New Roman" w:hAnsi="Times New Roman" w:eastAsia="宋体" w:cs="Times New Roman"/>
                      <w:color w:val="auto"/>
                      <w:spacing w:val="-6"/>
                      <w:sz w:val="21"/>
                      <w:szCs w:val="21"/>
                      <w:lang w:val="en-US" w:eastAsia="zh-CN"/>
                    </w:rPr>
                    <w:t>钓台</w:t>
                  </w:r>
                  <w:r>
                    <w:rPr>
                      <w:rFonts w:hint="default" w:ascii="Times New Roman" w:hAnsi="Times New Roman" w:eastAsia="宋体" w:cs="Times New Roman"/>
                      <w:color w:val="auto"/>
                      <w:spacing w:val="-6"/>
                      <w:sz w:val="21"/>
                      <w:szCs w:val="21"/>
                      <w:lang w:val="en-US" w:eastAsia="zh-CN"/>
                    </w:rPr>
                    <w:t>街道</w:t>
                  </w:r>
                  <w:r>
                    <w:rPr>
                      <w:rFonts w:hint="default" w:ascii="Times New Roman" w:hAnsi="Times New Roman" w:eastAsia="宋体" w:cs="Times New Roman"/>
                      <w:color w:val="auto"/>
                      <w:sz w:val="21"/>
                      <w:szCs w:val="21"/>
                    </w:rPr>
                    <w:t>，位于西安市生态环境分区管控重点管控单元内，</w:t>
                  </w:r>
                  <w:r>
                    <w:rPr>
                      <w:rFonts w:hint="eastAsia" w:ascii="Times New Roman" w:hAnsi="Times New Roman" w:eastAsia="宋体" w:cs="Times New Roman"/>
                      <w:color w:val="auto"/>
                      <w:sz w:val="21"/>
                      <w:szCs w:val="21"/>
                      <w:lang w:val="en-US" w:eastAsia="zh-CN"/>
                    </w:rPr>
                    <w:t>投运后</w:t>
                  </w:r>
                  <w:r>
                    <w:rPr>
                      <w:rFonts w:hint="default" w:ascii="Times New Roman" w:hAnsi="Times New Roman" w:eastAsia="宋体" w:cs="Times New Roman"/>
                      <w:color w:val="auto"/>
                      <w:sz w:val="21"/>
                      <w:szCs w:val="21"/>
                    </w:rPr>
                    <w:t>产生的各污染物采取相应环保措施</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符合西安市“三线一单”生态环境分区管控方案的要求。</w:t>
                  </w:r>
                  <w:r>
                    <w:rPr>
                      <w:rFonts w:hint="default" w:ascii="Times New Roman" w:hAnsi="Times New Roman" w:eastAsia="宋体" w:cs="Times New Roman"/>
                      <w:color w:val="auto"/>
                      <w:sz w:val="21"/>
                      <w:szCs w:val="21"/>
                      <w:lang w:val="en-US" w:eastAsia="zh-CN"/>
                    </w:rPr>
                    <w:t>项目不属于</w:t>
                  </w:r>
                  <w:r>
                    <w:rPr>
                      <w:rFonts w:hint="default" w:ascii="Times New Roman" w:hAnsi="Times New Roman" w:eastAsia="宋体" w:cs="Times New Roman"/>
                      <w:color w:val="auto"/>
                      <w:spacing w:val="-6"/>
                      <w:sz w:val="21"/>
                      <w:szCs w:val="21"/>
                    </w:rPr>
                    <w:t>“三高一低”</w:t>
                  </w:r>
                  <w:r>
                    <w:rPr>
                      <w:rFonts w:hint="default" w:ascii="Times New Roman" w:hAnsi="Times New Roman" w:eastAsia="宋体" w:cs="Times New Roman"/>
                      <w:color w:val="auto"/>
                      <w:spacing w:val="-6"/>
                      <w:sz w:val="21"/>
                      <w:szCs w:val="21"/>
                      <w:lang w:val="en-US" w:eastAsia="zh-CN"/>
                    </w:rPr>
                    <w:t>项目，</w:t>
                  </w:r>
                  <w:r>
                    <w:rPr>
                      <w:rFonts w:hint="default" w:ascii="Times New Roman" w:hAnsi="Times New Roman" w:cs="Times New Roman"/>
                      <w:color w:val="auto"/>
                      <w:szCs w:val="21"/>
                    </w:rPr>
                    <w:t>不属于大气污染物和水污染物排放量大的项目。</w:t>
                  </w:r>
                </w:p>
                <w:p w14:paraId="5CAB312B">
                  <w:pPr>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②本项目</w:t>
                  </w:r>
                  <w:r>
                    <w:rPr>
                      <w:rFonts w:hint="eastAsia" w:ascii="Times New Roman" w:hAnsi="Times New Roman" w:eastAsia="宋体" w:cs="Times New Roman"/>
                      <w:color w:val="auto"/>
                      <w:spacing w:val="-6"/>
                      <w:sz w:val="21"/>
                      <w:szCs w:val="21"/>
                      <w:lang w:val="en-US" w:eastAsia="zh-CN"/>
                    </w:rPr>
                    <w:t>理化</w:t>
                  </w:r>
                  <w:r>
                    <w:rPr>
                      <w:rFonts w:hint="eastAsia" w:ascii="Times New Roman" w:hAnsi="Times New Roman" w:eastAsia="宋体" w:cs="Times New Roman"/>
                      <w:color w:val="auto"/>
                      <w:szCs w:val="21"/>
                      <w:lang w:val="en-US" w:eastAsia="zh-CN"/>
                    </w:rPr>
                    <w:t>室产生的有机废气经活性炭吸附装置</w:t>
                  </w:r>
                  <w:r>
                    <w:rPr>
                      <w:rFonts w:hint="default" w:ascii="Times New Roman" w:hAnsi="Times New Roman" w:cs="Times New Roman"/>
                      <w:color w:val="auto"/>
                      <w:szCs w:val="21"/>
                    </w:rPr>
                    <w:t>处理</w:t>
                  </w:r>
                  <w:r>
                    <w:rPr>
                      <w:rFonts w:hint="default" w:ascii="Times New Roman" w:hAnsi="Times New Roman" w:eastAsia="宋体" w:cs="Times New Roman"/>
                      <w:color w:val="auto"/>
                      <w:spacing w:val="-6"/>
                      <w:sz w:val="21"/>
                      <w:szCs w:val="21"/>
                    </w:rPr>
                    <w:t>后通过</w:t>
                  </w:r>
                  <w:r>
                    <w:rPr>
                      <w:rFonts w:hint="default" w:ascii="Times New Roman" w:hAnsi="Times New Roman" w:eastAsia="宋体" w:cs="Times New Roman"/>
                      <w:color w:val="auto"/>
                      <w:spacing w:val="-6"/>
                      <w:sz w:val="21"/>
                      <w:szCs w:val="21"/>
                      <w:highlight w:val="none"/>
                    </w:rPr>
                    <w:t>15m高</w:t>
                  </w:r>
                  <w:r>
                    <w:rPr>
                      <w:rFonts w:hint="default" w:ascii="Times New Roman" w:hAnsi="Times New Roman" w:eastAsia="宋体" w:cs="Times New Roman"/>
                      <w:color w:val="auto"/>
                      <w:spacing w:val="-6"/>
                      <w:sz w:val="21"/>
                      <w:szCs w:val="21"/>
                    </w:rPr>
                    <w:t>排气筒排放；</w:t>
                  </w:r>
                  <w:r>
                    <w:rPr>
                      <w:rFonts w:hint="eastAsia" w:cs="Times New Roman"/>
                      <w:color w:val="auto"/>
                      <w:spacing w:val="-6"/>
                      <w:sz w:val="21"/>
                      <w:szCs w:val="21"/>
                      <w:lang w:val="en-US" w:eastAsia="zh-CN"/>
                    </w:rPr>
                    <w:t>实验废水</w:t>
                  </w:r>
                  <w:r>
                    <w:rPr>
                      <w:rFonts w:hint="eastAsia" w:ascii="Times New Roman" w:hAnsi="Times New Roman" w:eastAsia="宋体" w:cs="Times New Roman"/>
                      <w:color w:val="auto"/>
                      <w:spacing w:val="-6"/>
                      <w:sz w:val="21"/>
                      <w:szCs w:val="21"/>
                      <w:lang w:val="en-US" w:eastAsia="zh-CN"/>
                    </w:rPr>
                    <w:t>经沉淀</w:t>
                  </w:r>
                  <w:r>
                    <w:rPr>
                      <w:rFonts w:hint="eastAsia" w:cs="Times New Roman"/>
                      <w:color w:val="auto"/>
                      <w:spacing w:val="-6"/>
                      <w:sz w:val="21"/>
                      <w:szCs w:val="21"/>
                      <w:lang w:val="en-US" w:eastAsia="zh-CN"/>
                    </w:rPr>
                    <w:t>、消毒</w:t>
                  </w:r>
                  <w:r>
                    <w:rPr>
                      <w:rFonts w:hint="eastAsia" w:ascii="Times New Roman" w:hAnsi="Times New Roman" w:eastAsia="宋体" w:cs="Times New Roman"/>
                      <w:color w:val="auto"/>
                      <w:spacing w:val="-6"/>
                      <w:sz w:val="21"/>
                      <w:szCs w:val="21"/>
                      <w:lang w:val="en-US" w:eastAsia="zh-CN"/>
                    </w:rPr>
                    <w:t>处理后排入</w:t>
                  </w:r>
                  <w:r>
                    <w:rPr>
                      <w:rFonts w:hint="eastAsia" w:cs="Times New Roman"/>
                      <w:color w:val="auto"/>
                      <w:spacing w:val="-6"/>
                      <w:sz w:val="21"/>
                      <w:szCs w:val="21"/>
                      <w:lang w:val="en-US" w:eastAsia="zh-CN"/>
                    </w:rPr>
                    <w:t>沣西新城</w:t>
                  </w:r>
                  <w:r>
                    <w:rPr>
                      <w:rFonts w:hint="eastAsia" w:ascii="Times New Roman" w:hAnsi="Times New Roman" w:eastAsia="宋体" w:cs="Times New Roman"/>
                      <w:color w:val="auto"/>
                      <w:spacing w:val="-6"/>
                      <w:sz w:val="21"/>
                      <w:szCs w:val="21"/>
                      <w:lang w:val="en-US" w:eastAsia="zh-CN"/>
                    </w:rPr>
                    <w:t>沣河污水处理厂进一步处理</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pacing w:val="-6"/>
                      <w:sz w:val="21"/>
                      <w:szCs w:val="21"/>
                    </w:rPr>
                    <w:t>固废均</w:t>
                  </w:r>
                  <w:r>
                    <w:rPr>
                      <w:rFonts w:hint="default" w:ascii="Times New Roman" w:hAnsi="Times New Roman" w:eastAsia="宋体" w:cs="Times New Roman"/>
                      <w:color w:val="auto"/>
                      <w:spacing w:val="-6"/>
                      <w:sz w:val="21"/>
                      <w:szCs w:val="21"/>
                      <w:lang w:val="en-US" w:eastAsia="zh-CN"/>
                    </w:rPr>
                    <w:t>得到合理处置</w:t>
                  </w:r>
                  <w:r>
                    <w:rPr>
                      <w:rFonts w:hint="default" w:ascii="Times New Roman" w:hAnsi="Times New Roman" w:eastAsia="宋体" w:cs="Times New Roman"/>
                      <w:color w:val="auto"/>
                      <w:spacing w:val="-6"/>
                      <w:sz w:val="21"/>
                      <w:szCs w:val="21"/>
                    </w:rPr>
                    <w:t>；</w:t>
                  </w:r>
                </w:p>
                <w:p w14:paraId="591BFB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③本项目</w:t>
                  </w:r>
                  <w:r>
                    <w:rPr>
                      <w:rFonts w:hint="eastAsia" w:ascii="Times New Roman" w:hAnsi="Times New Roman" w:eastAsia="宋体" w:cs="Times New Roman"/>
                      <w:color w:val="auto"/>
                      <w:spacing w:val="-6"/>
                      <w:sz w:val="21"/>
                      <w:szCs w:val="21"/>
                      <w:lang w:val="en-US" w:eastAsia="zh-CN"/>
                    </w:rPr>
                    <w:t>化学试剂密封保存，产生的少量挥发性有机物经活性炭处理后达标排放</w:t>
                  </w:r>
                  <w:r>
                    <w:rPr>
                      <w:rFonts w:hint="default" w:ascii="Times New Roman" w:hAnsi="Times New Roman" w:eastAsia="宋体" w:cs="Times New Roman"/>
                      <w:color w:val="auto"/>
                      <w:spacing w:val="-6"/>
                      <w:sz w:val="21"/>
                      <w:szCs w:val="21"/>
                    </w:rPr>
                    <w:t>；</w:t>
                  </w:r>
                </w:p>
                <w:p w14:paraId="6F9BEF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④</w:t>
                  </w:r>
                  <w:r>
                    <w:rPr>
                      <w:rFonts w:hint="eastAsia" w:ascii="Times New Roman" w:hAnsi="Times New Roman" w:eastAsia="宋体" w:cs="Times New Roman"/>
                      <w:color w:val="auto"/>
                      <w:spacing w:val="-6"/>
                      <w:sz w:val="21"/>
                      <w:szCs w:val="21"/>
                      <w:lang w:val="en-US" w:eastAsia="zh-CN"/>
                    </w:rPr>
                    <w:t>本项目</w:t>
                  </w:r>
                  <w:r>
                    <w:rPr>
                      <w:rFonts w:hint="eastAsia" w:cs="Times New Roman"/>
                      <w:color w:val="auto"/>
                      <w:spacing w:val="-6"/>
                      <w:sz w:val="21"/>
                      <w:szCs w:val="21"/>
                      <w:lang w:val="en-US" w:eastAsia="zh-CN"/>
                    </w:rPr>
                    <w:t>实验废水</w:t>
                  </w:r>
                  <w:r>
                    <w:rPr>
                      <w:rFonts w:hint="eastAsia" w:ascii="Times New Roman" w:hAnsi="Times New Roman" w:eastAsia="宋体" w:cs="Times New Roman"/>
                      <w:color w:val="auto"/>
                      <w:sz w:val="21"/>
                      <w:szCs w:val="21"/>
                      <w:lang w:val="en-US" w:eastAsia="zh-CN"/>
                    </w:rPr>
                    <w:t>、生活污水</w:t>
                  </w:r>
                  <w:r>
                    <w:rPr>
                      <w:rFonts w:hint="eastAsia" w:ascii="Times New Roman" w:hAnsi="Times New Roman" w:eastAsia="宋体" w:cs="Times New Roman"/>
                      <w:color w:val="auto"/>
                      <w:spacing w:val="-6"/>
                      <w:sz w:val="21"/>
                      <w:szCs w:val="21"/>
                      <w:lang w:val="en-US" w:eastAsia="zh-CN"/>
                    </w:rPr>
                    <w:t>处理后排入</w:t>
                  </w:r>
                  <w:r>
                    <w:rPr>
                      <w:rFonts w:hint="eastAsia" w:cs="Times New Roman"/>
                      <w:color w:val="auto"/>
                      <w:spacing w:val="-6"/>
                      <w:sz w:val="21"/>
                      <w:szCs w:val="21"/>
                      <w:lang w:val="en-US" w:eastAsia="zh-CN"/>
                    </w:rPr>
                    <w:t>沣西新城</w:t>
                  </w:r>
                  <w:r>
                    <w:rPr>
                      <w:rFonts w:hint="eastAsia" w:ascii="Times New Roman" w:hAnsi="Times New Roman" w:eastAsia="宋体" w:cs="Times New Roman"/>
                      <w:color w:val="auto"/>
                      <w:spacing w:val="-6"/>
                      <w:sz w:val="21"/>
                      <w:szCs w:val="21"/>
                      <w:lang w:val="en-US" w:eastAsia="zh-CN"/>
                    </w:rPr>
                    <w:t>沣河污水处理厂进一步处理</w:t>
                  </w:r>
                  <w:r>
                    <w:rPr>
                      <w:rFonts w:hint="default" w:ascii="Times New Roman" w:hAnsi="Times New Roman" w:eastAsia="宋体" w:cs="Times New Roman"/>
                      <w:color w:val="auto"/>
                      <w:sz w:val="21"/>
                      <w:szCs w:val="21"/>
                    </w:rPr>
                    <w:t>；</w:t>
                  </w:r>
                </w:p>
                <w:p w14:paraId="259E74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⑤本项目不涉及水源保护区；</w:t>
                  </w:r>
                </w:p>
                <w:p w14:paraId="3EF1558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⑥本项目</w:t>
                  </w:r>
                  <w:r>
                    <w:rPr>
                      <w:rFonts w:hint="default" w:ascii="Times New Roman" w:hAnsi="Times New Roman" w:eastAsia="宋体" w:cs="Times New Roman"/>
                      <w:color w:val="auto"/>
                      <w:sz w:val="21"/>
                      <w:szCs w:val="21"/>
                    </w:rPr>
                    <w:t>一般固体废物收集后分类</w:t>
                  </w:r>
                  <w:r>
                    <w:rPr>
                      <w:rFonts w:hint="default" w:ascii="Times New Roman" w:hAnsi="Times New Roman" w:eastAsia="宋体" w:cs="Times New Roman"/>
                      <w:color w:val="auto"/>
                      <w:sz w:val="21"/>
                      <w:szCs w:val="21"/>
                      <w:lang w:val="en-US" w:eastAsia="zh-CN"/>
                    </w:rPr>
                    <w:t>收集</w:t>
                  </w:r>
                  <w:r>
                    <w:rPr>
                      <w:rFonts w:hint="default" w:ascii="Times New Roman" w:hAnsi="Times New Roman" w:eastAsia="宋体" w:cs="Times New Roman"/>
                      <w:color w:val="auto"/>
                      <w:sz w:val="21"/>
                      <w:szCs w:val="21"/>
                    </w:rPr>
                    <w:t>；危险废物分类收集后暂存于危废贮存库，</w:t>
                  </w:r>
                  <w:r>
                    <w:rPr>
                      <w:rFonts w:hint="default" w:ascii="Times New Roman" w:hAnsi="Times New Roman" w:eastAsia="宋体" w:cs="Times New Roman"/>
                      <w:color w:val="auto"/>
                      <w:sz w:val="21"/>
                      <w:szCs w:val="21"/>
                      <w:lang w:val="en-US" w:eastAsia="zh-CN"/>
                    </w:rPr>
                    <w:t>定期</w:t>
                  </w:r>
                  <w:r>
                    <w:rPr>
                      <w:rFonts w:hint="default" w:ascii="Times New Roman" w:hAnsi="Times New Roman" w:eastAsia="宋体" w:cs="Times New Roman"/>
                      <w:color w:val="auto"/>
                      <w:sz w:val="21"/>
                      <w:szCs w:val="21"/>
                    </w:rPr>
                    <w:t>交由有资质单位处置</w:t>
                  </w:r>
                  <w:r>
                    <w:rPr>
                      <w:rFonts w:hint="default" w:ascii="Times New Roman" w:hAnsi="Times New Roman" w:eastAsia="宋体" w:cs="Times New Roman"/>
                      <w:color w:val="auto"/>
                      <w:spacing w:val="-6"/>
                      <w:sz w:val="21"/>
                      <w:szCs w:val="21"/>
                    </w:rPr>
                    <w:t>。</w:t>
                  </w:r>
                </w:p>
              </w:tc>
              <w:tc>
                <w:tcPr>
                  <w:tcW w:w="473" w:type="pct"/>
                  <w:tcBorders>
                    <w:tl2br w:val="nil"/>
                    <w:tr2bl w:val="nil"/>
                  </w:tcBorders>
                  <w:noWrap w:val="0"/>
                  <w:vAlign w:val="center"/>
                </w:tcPr>
                <w:p w14:paraId="1E7FD8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符合</w:t>
                  </w:r>
                </w:p>
              </w:tc>
            </w:tr>
          </w:tbl>
          <w:p w14:paraId="5977A9AE">
            <w:pPr>
              <w:adjustRightInd w:val="0"/>
              <w:spacing w:line="360" w:lineRule="auto"/>
              <w:rPr>
                <w:rFonts w:hint="default" w:ascii="Times New Roman" w:hAnsi="Times New Roman" w:cs="Times New Roman"/>
                <w:color w:val="auto"/>
                <w:kern w:val="0"/>
                <w:sz w:val="24"/>
                <w:szCs w:val="24"/>
              </w:rPr>
            </w:pPr>
          </w:p>
        </w:tc>
      </w:tr>
      <w:tr w14:paraId="0590F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447" w:type="dxa"/>
            <w:vAlign w:val="center"/>
          </w:tcPr>
          <w:p w14:paraId="3A011EAC">
            <w:pPr>
              <w:autoSpaceDE w:val="0"/>
              <w:autoSpaceDN w:val="0"/>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其他符合性分析</w:t>
            </w:r>
          </w:p>
        </w:tc>
        <w:tc>
          <w:tcPr>
            <w:tcW w:w="8423" w:type="dxa"/>
            <w:gridSpan w:val="5"/>
            <w:vAlign w:val="center"/>
          </w:tcPr>
          <w:p w14:paraId="75E3161B">
            <w:pPr>
              <w:spacing w:line="36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1、产业政策符合性分析</w:t>
            </w:r>
          </w:p>
          <w:p w14:paraId="6D2468F8">
            <w:pPr>
              <w:spacing w:line="360" w:lineRule="auto"/>
              <w:ind w:firstLine="480" w:firstLineChars="200"/>
              <w:jc w:val="both"/>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本项目为</w:t>
            </w:r>
            <w:r>
              <w:rPr>
                <w:rFonts w:hint="eastAsia" w:cs="Times New Roman"/>
                <w:bCs/>
                <w:color w:val="auto"/>
                <w:sz w:val="24"/>
                <w:szCs w:val="24"/>
                <w:lang w:val="en-US" w:eastAsia="zh-CN"/>
              </w:rPr>
              <w:t>中药实</w:t>
            </w:r>
            <w:r>
              <w:rPr>
                <w:rFonts w:hint="default" w:ascii="Times New Roman" w:hAnsi="Times New Roman" w:cs="Times New Roman"/>
                <w:bCs/>
                <w:color w:val="auto"/>
                <w:sz w:val="24"/>
                <w:szCs w:val="24"/>
                <w:lang w:val="en-US" w:eastAsia="zh-CN"/>
              </w:rPr>
              <w:t>验室</w:t>
            </w:r>
            <w:r>
              <w:rPr>
                <w:rFonts w:hint="default" w:ascii="Times New Roman" w:hAnsi="Times New Roman" w:eastAsia="宋体" w:cs="Times New Roman"/>
                <w:bCs/>
                <w:color w:val="auto"/>
                <w:sz w:val="24"/>
                <w:szCs w:val="24"/>
                <w:lang w:val="en-US" w:eastAsia="zh-CN"/>
              </w:rPr>
              <w:t>项目，根据《产业结构调整指导目录》（2</w:t>
            </w:r>
            <w:r>
              <w:rPr>
                <w:rFonts w:hint="default" w:ascii="Times New Roman" w:hAnsi="Times New Roman" w:cs="Times New Roman"/>
                <w:bCs/>
                <w:color w:val="auto"/>
                <w:sz w:val="24"/>
                <w:szCs w:val="24"/>
                <w:lang w:val="en-US" w:eastAsia="zh-CN"/>
              </w:rPr>
              <w:t>024</w:t>
            </w:r>
            <w:r>
              <w:rPr>
                <w:rFonts w:hint="default" w:ascii="Times New Roman" w:hAnsi="Times New Roman" w:eastAsia="宋体" w:cs="Times New Roman"/>
                <w:bCs/>
                <w:color w:val="auto"/>
                <w:sz w:val="24"/>
                <w:szCs w:val="24"/>
                <w:lang w:val="en-US" w:eastAsia="zh-CN"/>
              </w:rPr>
              <w:t>年本），本项目</w:t>
            </w:r>
            <w:r>
              <w:rPr>
                <w:rFonts w:hint="default" w:ascii="Times New Roman" w:hAnsi="Times New Roman" w:cs="Times New Roman"/>
                <w:bCs/>
                <w:color w:val="auto"/>
                <w:sz w:val="24"/>
                <w:szCs w:val="24"/>
                <w:lang w:val="en-US" w:eastAsia="zh-CN"/>
              </w:rPr>
              <w:t>不属于</w:t>
            </w:r>
            <w:r>
              <w:rPr>
                <w:rFonts w:hint="default" w:ascii="Times New Roman" w:hAnsi="Times New Roman" w:eastAsia="宋体" w:cs="Times New Roman"/>
                <w:bCs/>
                <w:color w:val="auto"/>
                <w:sz w:val="24"/>
                <w:szCs w:val="24"/>
                <w:lang w:val="en-US" w:eastAsia="zh-CN"/>
              </w:rPr>
              <w:t>限制类和淘汰类项目</w:t>
            </w:r>
            <w:r>
              <w:rPr>
                <w:rFonts w:hint="default" w:ascii="Times New Roman" w:hAnsi="Times New Roman" w:cs="Times New Roman"/>
                <w:bCs/>
                <w:color w:val="auto"/>
                <w:sz w:val="24"/>
                <w:szCs w:val="24"/>
                <w:lang w:val="en-US" w:eastAsia="zh-CN"/>
              </w:rPr>
              <w:t>，为允许类项目</w:t>
            </w:r>
            <w:r>
              <w:rPr>
                <w:rFonts w:hint="default" w:ascii="Times New Roman" w:hAnsi="Times New Roman" w:eastAsia="宋体" w:cs="Times New Roman"/>
                <w:bCs/>
                <w:color w:val="auto"/>
                <w:sz w:val="24"/>
                <w:szCs w:val="24"/>
                <w:lang w:val="en-US" w:eastAsia="zh-CN"/>
              </w:rPr>
              <w:t>。根据《市场准入负面清单》（2022年版），本项目不属于禁止准入类及许可准入类事项，可视为允许类。</w:t>
            </w:r>
          </w:p>
          <w:p w14:paraId="7EB8AC0B">
            <w:pPr>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因此，本项目符合</w:t>
            </w:r>
            <w:r>
              <w:rPr>
                <w:rFonts w:hint="eastAsia" w:cs="Times New Roman"/>
                <w:bCs/>
                <w:color w:val="auto"/>
                <w:sz w:val="24"/>
                <w:szCs w:val="24"/>
                <w:lang w:val="en-US" w:eastAsia="zh-CN"/>
              </w:rPr>
              <w:t>相关</w:t>
            </w:r>
            <w:r>
              <w:rPr>
                <w:rFonts w:hint="default" w:ascii="Times New Roman" w:hAnsi="Times New Roman" w:eastAsia="宋体" w:cs="Times New Roman"/>
                <w:bCs/>
                <w:color w:val="auto"/>
                <w:sz w:val="24"/>
                <w:szCs w:val="24"/>
              </w:rPr>
              <w:t>产业政策要求。</w:t>
            </w:r>
          </w:p>
          <w:p w14:paraId="72C939BF">
            <w:pPr>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“三线一单”符合性分析</w:t>
            </w:r>
          </w:p>
          <w:p w14:paraId="5BA71730">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（1）“三线一单”符合性分析</w:t>
            </w:r>
          </w:p>
          <w:p w14:paraId="3D944E77">
            <w:pPr>
              <w:adjustRightInd w:val="0"/>
              <w:spacing w:line="360" w:lineRule="auto"/>
              <w:ind w:firstLine="480" w:firstLineChars="200"/>
              <w:rPr>
                <w:rFonts w:hint="eastAsia"/>
                <w:color w:val="auto"/>
                <w:sz w:val="24"/>
              </w:rPr>
            </w:pPr>
            <w:r>
              <w:rPr>
                <w:rFonts w:hint="eastAsia"/>
                <w:color w:val="auto"/>
                <w:sz w:val="24"/>
              </w:rPr>
              <w:t>根据</w:t>
            </w:r>
            <w:r>
              <w:rPr>
                <w:rFonts w:hint="eastAsia"/>
                <w:color w:val="auto"/>
                <w:sz w:val="24"/>
                <w:lang w:eastAsia="zh-CN"/>
              </w:rPr>
              <w:t>生态环境部</w:t>
            </w:r>
            <w:r>
              <w:rPr>
                <w:rFonts w:hint="eastAsia"/>
                <w:color w:val="auto"/>
                <w:sz w:val="24"/>
              </w:rPr>
              <w:t>《关于以改善环境质量为核心加强环境影响评价管理的通知</w:t>
            </w:r>
            <w:r>
              <w:rPr>
                <w:rFonts w:hint="eastAsia"/>
                <w:color w:val="auto"/>
                <w:sz w:val="24"/>
                <w:lang w:eastAsia="zh-CN"/>
              </w:rPr>
              <w:t>》的</w:t>
            </w:r>
            <w:r>
              <w:rPr>
                <w:rFonts w:hint="eastAsia"/>
                <w:color w:val="auto"/>
                <w:sz w:val="24"/>
              </w:rPr>
              <w:t>要求，切实加强环境管理，落实“生态保护红线、环境质量底线、资源利用上线和环境准入负面清单”（简称“三线一单”）约束，建立项目环评审批与规划环评、现有项目环境管理、区域环境质量联动机制，更好</w:t>
            </w:r>
            <w:r>
              <w:rPr>
                <w:rFonts w:hint="eastAsia"/>
                <w:color w:val="auto"/>
                <w:sz w:val="24"/>
                <w:lang w:eastAsia="zh-CN"/>
              </w:rPr>
              <w:t>地</w:t>
            </w:r>
            <w:r>
              <w:rPr>
                <w:rFonts w:hint="eastAsia"/>
                <w:color w:val="auto"/>
                <w:sz w:val="24"/>
              </w:rPr>
              <w:t>发挥环评制度从源头防范环境污染和生态破坏的作用，加快推进改善环境质量。本项目与“三线一单”符合性分析见表</w:t>
            </w:r>
            <w:r>
              <w:rPr>
                <w:rFonts w:hint="eastAsia"/>
                <w:color w:val="auto"/>
                <w:sz w:val="24"/>
                <w:lang w:val="en-US" w:eastAsia="zh-CN"/>
              </w:rPr>
              <w:t>1-3</w:t>
            </w:r>
            <w:r>
              <w:rPr>
                <w:rFonts w:hint="eastAsia"/>
                <w:color w:val="auto"/>
                <w:sz w:val="24"/>
              </w:rPr>
              <w:t>。</w:t>
            </w:r>
          </w:p>
          <w:p w14:paraId="3DAF4C8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1-</w:t>
            </w:r>
            <w:r>
              <w:rPr>
                <w:rFonts w:hint="eastAsia" w:cs="Times New Roman"/>
                <w:b/>
                <w:bCs/>
                <w:color w:val="auto"/>
                <w:sz w:val="21"/>
                <w:szCs w:val="21"/>
                <w:lang w:val="en-US" w:eastAsia="zh-CN"/>
              </w:rPr>
              <w:t xml:space="preserve">3  </w:t>
            </w:r>
            <w:r>
              <w:rPr>
                <w:rFonts w:hint="default" w:ascii="Times New Roman" w:hAnsi="Times New Roman" w:eastAsia="宋体" w:cs="Times New Roman"/>
                <w:b/>
                <w:bCs/>
                <w:color w:val="auto"/>
                <w:sz w:val="21"/>
                <w:szCs w:val="21"/>
              </w:rPr>
              <w:t>项目建设与</w:t>
            </w:r>
            <w:r>
              <w:rPr>
                <w:rFonts w:hint="default" w:ascii="Times New Roman" w:hAnsi="Times New Roman" w:eastAsia="宋体" w:cs="Times New Roman"/>
                <w:b/>
                <w:bCs/>
                <w:color w:val="auto"/>
                <w:sz w:val="21"/>
                <w:szCs w:val="21"/>
                <w:lang w:eastAsia="zh-CN"/>
              </w:rPr>
              <w:t>陕西省“三线一单”</w:t>
            </w:r>
            <w:r>
              <w:rPr>
                <w:rFonts w:hint="default" w:ascii="Times New Roman" w:hAnsi="Times New Roman" w:eastAsia="宋体" w:cs="Times New Roman"/>
                <w:b/>
                <w:bCs/>
                <w:color w:val="auto"/>
                <w:sz w:val="21"/>
                <w:szCs w:val="21"/>
              </w:rPr>
              <w:t>符合性分析表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20"/>
              <w:gridCol w:w="1955"/>
              <w:gridCol w:w="665"/>
            </w:tblGrid>
            <w:tr w14:paraId="17D201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l2br w:val="nil"/>
                    <w:tr2bl w:val="nil"/>
                  </w:tcBorders>
                  <w:noWrap w:val="0"/>
                  <w:vAlign w:val="center"/>
                </w:tcPr>
                <w:p w14:paraId="7865FB33">
                  <w:pPr>
                    <w:ind w:left="-105" w:leftChars="-50" w:right="-105" w:rightChars="-50"/>
                    <w:jc w:val="center"/>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“三线一单”</w:t>
                  </w:r>
                </w:p>
              </w:tc>
              <w:tc>
                <w:tcPr>
                  <w:tcW w:w="2876" w:type="pct"/>
                  <w:tcBorders>
                    <w:tl2br w:val="nil"/>
                    <w:tr2bl w:val="nil"/>
                  </w:tcBorders>
                  <w:noWrap w:val="0"/>
                  <w:vAlign w:val="center"/>
                </w:tcPr>
                <w:p w14:paraId="0B77A46B">
                  <w:pPr>
                    <w:pStyle w:val="65"/>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相关要求</w:t>
                  </w:r>
                </w:p>
              </w:tc>
              <w:tc>
                <w:tcPr>
                  <w:tcW w:w="1191" w:type="pct"/>
                  <w:tcBorders>
                    <w:tl2br w:val="nil"/>
                    <w:tr2bl w:val="nil"/>
                  </w:tcBorders>
                  <w:noWrap w:val="0"/>
                  <w:vAlign w:val="center"/>
                </w:tcPr>
                <w:p w14:paraId="09068CC4">
                  <w:pPr>
                    <w:adjustRightInd w:val="0"/>
                    <w:snapToGrid w:val="0"/>
                    <w:spacing w:line="36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本项目情况</w:t>
                  </w:r>
                </w:p>
              </w:tc>
              <w:tc>
                <w:tcPr>
                  <w:tcW w:w="405" w:type="pct"/>
                  <w:tcBorders>
                    <w:tl2br w:val="nil"/>
                    <w:tr2bl w:val="nil"/>
                  </w:tcBorders>
                  <w:noWrap w:val="0"/>
                  <w:vAlign w:val="center"/>
                </w:tcPr>
                <w:p w14:paraId="38FF7EEC">
                  <w:pPr>
                    <w:adjustRightInd w:val="0"/>
                    <w:snapToGrid w:val="0"/>
                    <w:ind w:left="-105" w:leftChars="-50" w:right="-105" w:rightChars="-5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判定</w:t>
                  </w:r>
                </w:p>
                <w:p w14:paraId="23F46801">
                  <w:pPr>
                    <w:adjustRightInd w:val="0"/>
                    <w:snapToGrid w:val="0"/>
                    <w:ind w:left="-105" w:leftChars="-50" w:right="-105" w:rightChars="-5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结论</w:t>
                  </w:r>
                </w:p>
              </w:tc>
            </w:tr>
            <w:tr w14:paraId="4DC4C8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l2br w:val="nil"/>
                    <w:tr2bl w:val="nil"/>
                  </w:tcBorders>
                  <w:noWrap w:val="0"/>
                  <w:vAlign w:val="center"/>
                </w:tcPr>
                <w:p w14:paraId="19EF172C">
                  <w:pPr>
                    <w:ind w:left="-105" w:leftChars="-50" w:right="-105" w:rightChars="-50"/>
                    <w:jc w:val="center"/>
                    <w:rPr>
                      <w:rFonts w:hint="default" w:ascii="Times New Roman" w:hAnsi="Times New Roman" w:eastAsia="宋体" w:cs="Times New Roman"/>
                      <w:b/>
                      <w:color w:val="auto"/>
                      <w:sz w:val="21"/>
                      <w:szCs w:val="21"/>
                      <w:lang w:eastAsia="zh-CN"/>
                    </w:rPr>
                  </w:pPr>
                  <w:r>
                    <w:rPr>
                      <w:rFonts w:hint="default" w:ascii="Times New Roman" w:hAnsi="Times New Roman" w:cs="Times New Roman"/>
                      <w:b w:val="0"/>
                      <w:bCs/>
                      <w:color w:val="auto"/>
                      <w:sz w:val="21"/>
                      <w:szCs w:val="21"/>
                      <w:lang w:eastAsia="zh-CN"/>
                    </w:rPr>
                    <w:t>生态保护红线</w:t>
                  </w:r>
                </w:p>
              </w:tc>
              <w:tc>
                <w:tcPr>
                  <w:tcW w:w="2876" w:type="pct"/>
                  <w:tcBorders>
                    <w:tl2br w:val="nil"/>
                    <w:tr2bl w:val="nil"/>
                  </w:tcBorders>
                  <w:noWrap w:val="0"/>
                  <w:vAlign w:val="center"/>
                </w:tcPr>
                <w:p w14:paraId="2777FBB8">
                  <w:pPr>
                    <w:pStyle w:val="81"/>
                    <w:jc w:val="left"/>
                    <w:rPr>
                      <w:rFonts w:hint="default" w:ascii="Times New Roman" w:hAnsi="Times New Roman" w:eastAsia="宋体" w:cs="Times New Roman"/>
                      <w:color w:val="auto"/>
                      <w:sz w:val="21"/>
                      <w:lang w:val="en-US" w:eastAsia="zh-CN" w:bidi="ar-SA"/>
                    </w:rPr>
                  </w:pPr>
                  <w:r>
                    <w:rPr>
                      <w:rFonts w:hint="default" w:ascii="Times New Roman" w:hAnsi="Times New Roman" w:cs="Times New Roman"/>
                      <w:color w:val="auto"/>
                      <w:szCs w:val="21"/>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p>
              </w:tc>
              <w:tc>
                <w:tcPr>
                  <w:tcW w:w="1191" w:type="pct"/>
                  <w:tcBorders>
                    <w:tl2br w:val="nil"/>
                    <w:tr2bl w:val="nil"/>
                  </w:tcBorders>
                  <w:noWrap w:val="0"/>
                  <w:vAlign w:val="center"/>
                </w:tcPr>
                <w:p w14:paraId="4C5DA3D7">
                  <w:pPr>
                    <w:spacing w:beforeLines="0" w:afterLines="0"/>
                    <w:jc w:val="both"/>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color w:val="auto"/>
                      <w:sz w:val="21"/>
                      <w:szCs w:val="24"/>
                    </w:rPr>
                    <w:t>项目位于西咸新区</w:t>
                  </w:r>
                  <w:r>
                    <w:rPr>
                      <w:rFonts w:hint="eastAsia" w:cs="Times New Roman"/>
                      <w:color w:val="auto"/>
                      <w:sz w:val="21"/>
                      <w:szCs w:val="24"/>
                      <w:lang w:val="en-US" w:eastAsia="zh-CN"/>
                    </w:rPr>
                    <w:t>沣西新城钓台街道</w:t>
                  </w:r>
                  <w:r>
                    <w:rPr>
                      <w:rFonts w:hint="default" w:ascii="Times New Roman" w:hAnsi="Times New Roman" w:eastAsia="宋体" w:cs="Times New Roman"/>
                      <w:color w:val="auto"/>
                      <w:sz w:val="21"/>
                      <w:szCs w:val="24"/>
                    </w:rPr>
                    <w:t>，</w:t>
                  </w:r>
                  <w:r>
                    <w:rPr>
                      <w:rFonts w:hint="default" w:ascii="Times New Roman" w:hAnsi="Times New Roman" w:eastAsia="宋体" w:cs="Times New Roman"/>
                      <w:color w:val="auto"/>
                      <w:sz w:val="21"/>
                      <w:szCs w:val="24"/>
                      <w:lang w:eastAsia="zh-CN"/>
                    </w:rPr>
                    <w:t>位于重点管控单元范围内（</w:t>
                  </w:r>
                  <w:r>
                    <w:rPr>
                      <w:rFonts w:hint="default" w:ascii="Times New Roman" w:hAnsi="Times New Roman" w:eastAsia="宋体" w:cs="Times New Roman"/>
                      <w:color w:val="auto"/>
                      <w:sz w:val="21"/>
                      <w:szCs w:val="24"/>
                      <w:lang w:val="en-US" w:eastAsia="zh-CN"/>
                    </w:rPr>
                    <w:t>见图</w:t>
                  </w:r>
                  <w:r>
                    <w:rPr>
                      <w:rFonts w:hint="eastAsia" w:cs="Times New Roman"/>
                      <w:color w:val="auto"/>
                      <w:sz w:val="21"/>
                      <w:szCs w:val="24"/>
                      <w:lang w:val="en-US" w:eastAsia="zh-CN"/>
                    </w:rPr>
                    <w:t>1-</w:t>
                  </w:r>
                  <w:r>
                    <w:rPr>
                      <w:rFonts w:hint="default" w:ascii="Times New Roman" w:hAnsi="Times New Roman" w:cs="Times New Roman"/>
                      <w:color w:val="auto"/>
                      <w:sz w:val="21"/>
                      <w:szCs w:val="24"/>
                      <w:lang w:val="en-US" w:eastAsia="zh-CN"/>
                    </w:rPr>
                    <w:t>1</w:t>
                  </w:r>
                  <w:r>
                    <w:rPr>
                      <w:rFonts w:hint="default" w:ascii="Times New Roman" w:hAnsi="Times New Roman" w:eastAsia="宋体" w:cs="Times New Roman"/>
                      <w:color w:val="auto"/>
                      <w:sz w:val="21"/>
                      <w:szCs w:val="24"/>
                      <w:lang w:eastAsia="zh-CN"/>
                    </w:rPr>
                    <w:t>）</w:t>
                  </w:r>
                  <w:r>
                    <w:rPr>
                      <w:rFonts w:hint="default" w:ascii="Times New Roman" w:hAnsi="Times New Roman" w:eastAsia="宋体" w:cs="Times New Roman"/>
                      <w:color w:val="auto"/>
                      <w:sz w:val="21"/>
                      <w:szCs w:val="24"/>
                      <w:lang w:val="en-US" w:eastAsia="zh-CN"/>
                    </w:rPr>
                    <w:t>，</w:t>
                  </w:r>
                  <w:r>
                    <w:rPr>
                      <w:rFonts w:hint="default" w:ascii="Times New Roman" w:hAnsi="Times New Roman" w:eastAsia="宋体" w:cs="Times New Roman"/>
                      <w:color w:val="auto"/>
                      <w:sz w:val="21"/>
                      <w:szCs w:val="24"/>
                    </w:rPr>
                    <w:t>不涉及</w:t>
                  </w:r>
                  <w:r>
                    <w:rPr>
                      <w:rFonts w:hint="default" w:ascii="Times New Roman" w:hAnsi="Times New Roman" w:eastAsia="宋体" w:cs="Times New Roman"/>
                      <w:color w:val="auto"/>
                      <w:sz w:val="21"/>
                      <w:szCs w:val="24"/>
                      <w:lang w:eastAsia="zh-CN"/>
                    </w:rPr>
                    <w:t>优先保护单元中的</w:t>
                  </w:r>
                  <w:r>
                    <w:rPr>
                      <w:rFonts w:hint="default" w:ascii="Times New Roman" w:hAnsi="Times New Roman" w:eastAsia="宋体" w:cs="Times New Roman"/>
                      <w:color w:val="auto"/>
                      <w:sz w:val="21"/>
                      <w:szCs w:val="24"/>
                    </w:rPr>
                    <w:t>生态保护红线</w:t>
                  </w:r>
                  <w:r>
                    <w:rPr>
                      <w:rFonts w:hint="default" w:ascii="Times New Roman" w:hAnsi="Times New Roman" w:cs="Times New Roman"/>
                      <w:color w:val="auto"/>
                      <w:sz w:val="21"/>
                      <w:szCs w:val="24"/>
                      <w:lang w:eastAsia="zh-CN"/>
                    </w:rPr>
                    <w:t>。</w:t>
                  </w:r>
                </w:p>
              </w:tc>
              <w:tc>
                <w:tcPr>
                  <w:tcW w:w="405" w:type="pct"/>
                  <w:tcBorders>
                    <w:tl2br w:val="nil"/>
                    <w:tr2bl w:val="nil"/>
                  </w:tcBorders>
                  <w:noWrap w:val="0"/>
                  <w:vAlign w:val="center"/>
                </w:tcPr>
                <w:p w14:paraId="1E4A8B40">
                  <w:pPr>
                    <w:adjustRightInd w:val="0"/>
                    <w:snapToGrid w:val="0"/>
                    <w:ind w:left="-105" w:leftChars="-50" w:right="-105" w:rightChars="-5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lang w:eastAsia="zh-CN"/>
                    </w:rPr>
                    <w:t>符合</w:t>
                  </w:r>
                </w:p>
              </w:tc>
            </w:tr>
            <w:tr w14:paraId="2B1786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l2br w:val="nil"/>
                    <w:tr2bl w:val="nil"/>
                  </w:tcBorders>
                  <w:noWrap w:val="0"/>
                  <w:vAlign w:val="center"/>
                </w:tcPr>
                <w:p w14:paraId="2616BAB4">
                  <w:pPr>
                    <w:keepNext w:val="0"/>
                    <w:keepLines w:val="0"/>
                    <w:pageBreakBefore w:val="0"/>
                    <w:widowControl w:val="0"/>
                    <w:tabs>
                      <w:tab w:val="left" w:pos="3739"/>
                    </w:tabs>
                    <w:kinsoku/>
                    <w:wordWrap/>
                    <w:overflowPunct/>
                    <w:topLinePunct w:val="0"/>
                    <w:autoSpaceDE/>
                    <w:autoSpaceDN/>
                    <w:bidi w:val="0"/>
                    <w:adjustRightInd w:val="0"/>
                    <w:snapToGrid w:val="0"/>
                    <w:spacing w:line="360" w:lineRule="exact"/>
                    <w:ind w:left="-105" w:leftChars="-50" w:right="-105" w:rightChars="-5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环境质量底线</w:t>
                  </w:r>
                </w:p>
              </w:tc>
              <w:tc>
                <w:tcPr>
                  <w:tcW w:w="2876" w:type="pct"/>
                  <w:tcBorders>
                    <w:tl2br w:val="nil"/>
                    <w:tr2bl w:val="nil"/>
                  </w:tcBorders>
                  <w:noWrap w:val="0"/>
                  <w:vAlign w:val="center"/>
                </w:tcPr>
                <w:p w14:paraId="40FD3EC2">
                  <w:pPr>
                    <w:pStyle w:val="81"/>
                    <w:jc w:val="left"/>
                    <w:rPr>
                      <w:rFonts w:hint="default" w:ascii="Times New Roman" w:hAnsi="Times New Roman" w:eastAsia="宋体" w:cs="Times New Roman"/>
                      <w:color w:val="auto"/>
                      <w:sz w:val="21"/>
                      <w:lang w:val="en-US" w:eastAsia="zh-CN" w:bidi="ar-SA"/>
                    </w:rPr>
                  </w:pPr>
                  <w:r>
                    <w:rPr>
                      <w:rFonts w:hint="default" w:ascii="Times New Roman" w:hAnsi="Times New Roman" w:cs="Times New Roman"/>
                      <w:color w:val="auto"/>
                      <w:szCs w:val="21"/>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191" w:type="pct"/>
                  <w:tcBorders>
                    <w:tl2br w:val="nil"/>
                    <w:tr2bl w:val="nil"/>
                  </w:tcBorders>
                  <w:noWrap w:val="0"/>
                  <w:vAlign w:val="center"/>
                </w:tcPr>
                <w:p w14:paraId="26EDE042">
                  <w:pPr>
                    <w:spacing w:beforeLines="0" w:afterLines="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4"/>
                    </w:rPr>
                    <w:t>项目配备完善的环保设施，污染物均可达标排放，不会对区域环境质量产生明显影响</w:t>
                  </w:r>
                  <w:r>
                    <w:rPr>
                      <w:rFonts w:hint="default" w:ascii="Times New Roman" w:hAnsi="Times New Roman" w:cs="Times New Roman"/>
                      <w:color w:val="auto"/>
                      <w:sz w:val="21"/>
                      <w:szCs w:val="24"/>
                      <w:lang w:eastAsia="zh-CN"/>
                    </w:rPr>
                    <w:t>。</w:t>
                  </w:r>
                </w:p>
              </w:tc>
              <w:tc>
                <w:tcPr>
                  <w:tcW w:w="405" w:type="pct"/>
                  <w:tcBorders>
                    <w:tl2br w:val="nil"/>
                    <w:tr2bl w:val="nil"/>
                  </w:tcBorders>
                  <w:noWrap w:val="0"/>
                  <w:vAlign w:val="center"/>
                </w:tcPr>
                <w:p w14:paraId="4FCED09D">
                  <w:pPr>
                    <w:keepNext w:val="0"/>
                    <w:keepLines w:val="0"/>
                    <w:pageBreakBefore w:val="0"/>
                    <w:widowControl w:val="0"/>
                    <w:tabs>
                      <w:tab w:val="left" w:pos="3739"/>
                    </w:tabs>
                    <w:kinsoku/>
                    <w:wordWrap/>
                    <w:overflowPunct/>
                    <w:topLinePunct w:val="0"/>
                    <w:autoSpaceDE/>
                    <w:autoSpaceDN/>
                    <w:bidi w:val="0"/>
                    <w:adjustRightInd w:val="0"/>
                    <w:snapToGrid w:val="0"/>
                    <w:spacing w:line="360" w:lineRule="exact"/>
                    <w:ind w:left="-105" w:leftChars="-50" w:right="-105" w:rightChars="-5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b w:val="0"/>
                      <w:bCs/>
                      <w:color w:val="auto"/>
                      <w:sz w:val="21"/>
                      <w:szCs w:val="21"/>
                      <w:lang w:eastAsia="zh-CN"/>
                    </w:rPr>
                    <w:t>符合</w:t>
                  </w:r>
                </w:p>
              </w:tc>
            </w:tr>
            <w:tr w14:paraId="3C2C4A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l2br w:val="nil"/>
                    <w:tr2bl w:val="nil"/>
                  </w:tcBorders>
                  <w:noWrap w:val="0"/>
                  <w:vAlign w:val="center"/>
                </w:tcPr>
                <w:p w14:paraId="4913D297">
                  <w:pPr>
                    <w:adjustRightInd w:val="0"/>
                    <w:snapToGrid w:val="0"/>
                    <w:spacing w:before="100" w:beforeAutospacing="1"/>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资源利用上线</w:t>
                  </w:r>
                </w:p>
              </w:tc>
              <w:tc>
                <w:tcPr>
                  <w:tcW w:w="2876" w:type="pct"/>
                  <w:tcBorders>
                    <w:tl2br w:val="nil"/>
                    <w:tr2bl w:val="nil"/>
                  </w:tcBorders>
                  <w:noWrap w:val="0"/>
                  <w:vAlign w:val="center"/>
                </w:tcPr>
                <w:p w14:paraId="3687E3A3">
                  <w:pPr>
                    <w:pStyle w:val="81"/>
                    <w:jc w:val="left"/>
                    <w:rPr>
                      <w:rFonts w:hint="default" w:ascii="Times New Roman" w:hAnsi="Times New Roman" w:eastAsia="宋体" w:cs="Times New Roman"/>
                      <w:color w:val="auto"/>
                      <w:sz w:val="21"/>
                      <w:lang w:val="en-US" w:eastAsia="zh-CN" w:bidi="ar-SA"/>
                    </w:rPr>
                  </w:pPr>
                  <w:r>
                    <w:rPr>
                      <w:rFonts w:hint="default" w:ascii="Times New Roman" w:hAnsi="Times New Roman" w:cs="Times New Roman"/>
                      <w:color w:val="auto"/>
                      <w:szCs w:val="21"/>
                    </w:rPr>
                    <w:t>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191" w:type="pct"/>
                  <w:tcBorders>
                    <w:tl2br w:val="nil"/>
                    <w:tr2bl w:val="nil"/>
                  </w:tcBorders>
                  <w:noWrap w:val="0"/>
                  <w:vAlign w:val="center"/>
                </w:tcPr>
                <w:p w14:paraId="7B99ECD8">
                  <w:pPr>
                    <w:spacing w:beforeLines="0" w:afterLines="0"/>
                    <w:jc w:val="left"/>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2"/>
                      <w:sz w:val="21"/>
                      <w:szCs w:val="21"/>
                      <w:highlight w:val="none"/>
                      <w:lang w:val="en-US" w:eastAsia="zh-CN" w:bidi="ar-SA"/>
                    </w:rPr>
                    <w:t>本项目为新建项目，主要使用的资源包括电、水，</w:t>
                  </w:r>
                  <w:r>
                    <w:rPr>
                      <w:rFonts w:hint="default" w:ascii="Times New Roman" w:hAnsi="Times New Roman" w:eastAsia="宋体" w:cs="Times New Roman"/>
                      <w:color w:val="auto"/>
                      <w:kern w:val="2"/>
                      <w:sz w:val="21"/>
                      <w:szCs w:val="21"/>
                      <w:highlight w:val="none"/>
                      <w:lang w:val="zh-CN" w:eastAsia="zh-CN" w:bidi="ar-SA"/>
                    </w:rPr>
                    <w:t>资源利用量相对较小，</w:t>
                  </w:r>
                  <w:r>
                    <w:rPr>
                      <w:rFonts w:hint="default" w:ascii="Times New Roman" w:hAnsi="Times New Roman" w:eastAsia="宋体" w:cs="Times New Roman"/>
                      <w:color w:val="auto"/>
                      <w:sz w:val="21"/>
                      <w:szCs w:val="24"/>
                    </w:rPr>
                    <w:t>项目不触及资源利用上</w:t>
                  </w:r>
                  <w:r>
                    <w:rPr>
                      <w:rFonts w:hint="eastAsia" w:cs="Times New Roman"/>
                      <w:color w:val="auto"/>
                      <w:sz w:val="21"/>
                      <w:szCs w:val="24"/>
                      <w:lang w:val="en-US" w:eastAsia="zh-CN"/>
                    </w:rPr>
                    <w:t>限</w:t>
                  </w:r>
                  <w:r>
                    <w:rPr>
                      <w:rFonts w:hint="default" w:ascii="Times New Roman" w:hAnsi="Times New Roman" w:cs="Times New Roman"/>
                      <w:color w:val="auto"/>
                      <w:sz w:val="21"/>
                      <w:szCs w:val="24"/>
                      <w:lang w:eastAsia="zh-CN"/>
                    </w:rPr>
                    <w:t>。</w:t>
                  </w:r>
                </w:p>
              </w:tc>
              <w:tc>
                <w:tcPr>
                  <w:tcW w:w="405" w:type="pct"/>
                  <w:tcBorders>
                    <w:tl2br w:val="nil"/>
                    <w:tr2bl w:val="nil"/>
                  </w:tcBorders>
                  <w:noWrap w:val="0"/>
                  <w:vAlign w:val="center"/>
                </w:tcPr>
                <w:p w14:paraId="65EA56C5">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105" w:rightChars="-50"/>
                    <w:jc w:val="center"/>
                    <w:textAlignment w:val="auto"/>
                    <w:rPr>
                      <w:rFonts w:hint="default" w:ascii="Times New Roman" w:hAnsi="Times New Roman" w:cs="Times New Roman"/>
                      <w:color w:val="auto"/>
                      <w:sz w:val="21"/>
                      <w:szCs w:val="21"/>
                    </w:rPr>
                  </w:pPr>
                  <w:r>
                    <w:rPr>
                      <w:rFonts w:hint="default" w:ascii="Times New Roman" w:hAnsi="Times New Roman" w:cs="Times New Roman"/>
                      <w:b w:val="0"/>
                      <w:bCs/>
                      <w:color w:val="auto"/>
                      <w:sz w:val="21"/>
                      <w:szCs w:val="21"/>
                      <w:lang w:eastAsia="zh-CN"/>
                    </w:rPr>
                    <w:t>符合</w:t>
                  </w:r>
                </w:p>
              </w:tc>
            </w:tr>
            <w:tr w14:paraId="62DB9C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l2br w:val="nil"/>
                    <w:tr2bl w:val="nil"/>
                  </w:tcBorders>
                  <w:noWrap w:val="0"/>
                  <w:vAlign w:val="center"/>
                </w:tcPr>
                <w:p w14:paraId="4221CB06">
                  <w:pPr>
                    <w:adjustRightInd w:val="0"/>
                    <w:snapToGrid w:val="0"/>
                    <w:spacing w:before="100" w:beforeAutospacing="1"/>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生态环境准入清单</w:t>
                  </w:r>
                </w:p>
              </w:tc>
              <w:tc>
                <w:tcPr>
                  <w:tcW w:w="2876" w:type="pct"/>
                  <w:tcBorders>
                    <w:tl2br w:val="nil"/>
                    <w:tr2bl w:val="nil"/>
                  </w:tcBorders>
                  <w:noWrap w:val="0"/>
                  <w:vAlign w:val="center"/>
                </w:tcPr>
                <w:p w14:paraId="52DDF08F">
                  <w:pPr>
                    <w:pStyle w:val="81"/>
                    <w:jc w:val="left"/>
                    <w:rPr>
                      <w:rFonts w:hint="default" w:ascii="Times New Roman" w:hAnsi="Times New Roman" w:eastAsia="宋体" w:cs="Times New Roman"/>
                      <w:color w:val="auto"/>
                      <w:sz w:val="21"/>
                      <w:lang w:val="en-US" w:eastAsia="zh-CN" w:bidi="ar-SA"/>
                    </w:rPr>
                  </w:pPr>
                  <w:r>
                    <w:rPr>
                      <w:rFonts w:hint="default" w:ascii="Times New Roman" w:hAnsi="Times New Roman" w:cs="Times New Roman"/>
                      <w:color w:val="auto"/>
                      <w:szCs w:val="21"/>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191" w:type="pct"/>
                  <w:tcBorders>
                    <w:tl2br w:val="nil"/>
                    <w:tr2bl w:val="nil"/>
                  </w:tcBorders>
                  <w:noWrap w:val="0"/>
                  <w:vAlign w:val="center"/>
                </w:tcPr>
                <w:p w14:paraId="3B28298A">
                  <w:pPr>
                    <w:spacing w:beforeLines="0" w:afterLines="0"/>
                    <w:jc w:val="left"/>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lang w:val="en-US" w:eastAsia="zh-CN"/>
                    </w:rPr>
                    <w:t>经对照，本项目位于</w:t>
                  </w:r>
                  <w:r>
                    <w:rPr>
                      <w:rFonts w:hint="eastAsia" w:cs="Times New Roman"/>
                      <w:color w:val="auto"/>
                      <w:sz w:val="21"/>
                      <w:szCs w:val="21"/>
                      <w:lang w:val="en-US" w:eastAsia="zh-CN"/>
                    </w:rPr>
                    <w:t>沣西</w:t>
                  </w:r>
                  <w:r>
                    <w:rPr>
                      <w:rFonts w:hint="default" w:ascii="Times New Roman" w:hAnsi="Times New Roman" w:cs="Times New Roman"/>
                      <w:color w:val="auto"/>
                      <w:sz w:val="21"/>
                      <w:szCs w:val="21"/>
                      <w:lang w:val="en-US" w:eastAsia="zh-CN"/>
                    </w:rPr>
                    <w:t>新城，不属于《陕西省国家重点生态功能区产业准入负面清单（试行）》中划定的区县。</w:t>
                  </w:r>
                </w:p>
              </w:tc>
              <w:tc>
                <w:tcPr>
                  <w:tcW w:w="405" w:type="pct"/>
                  <w:tcBorders>
                    <w:tl2br w:val="nil"/>
                    <w:tr2bl w:val="nil"/>
                  </w:tcBorders>
                  <w:noWrap w:val="0"/>
                  <w:vAlign w:val="center"/>
                </w:tcPr>
                <w:p w14:paraId="7E46327C">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105" w:rightChars="-50"/>
                    <w:jc w:val="center"/>
                    <w:textAlignment w:val="auto"/>
                    <w:rPr>
                      <w:rFonts w:hint="default" w:ascii="Times New Roman" w:hAnsi="Times New Roman" w:cs="Times New Roman"/>
                      <w:color w:val="auto"/>
                      <w:sz w:val="21"/>
                      <w:szCs w:val="21"/>
                    </w:rPr>
                  </w:pPr>
                  <w:r>
                    <w:rPr>
                      <w:rFonts w:hint="default" w:ascii="Times New Roman" w:hAnsi="Times New Roman" w:cs="Times New Roman"/>
                      <w:b w:val="0"/>
                      <w:bCs/>
                      <w:color w:val="auto"/>
                      <w:sz w:val="21"/>
                      <w:szCs w:val="21"/>
                      <w:lang w:eastAsia="zh-CN"/>
                    </w:rPr>
                    <w:t>符合</w:t>
                  </w:r>
                </w:p>
              </w:tc>
            </w:tr>
          </w:tbl>
          <w:p w14:paraId="3AB86652">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与</w:t>
            </w:r>
            <w:r>
              <w:rPr>
                <w:rFonts w:ascii="Times New Roman" w:hAnsi="Times New Roman" w:eastAsia="宋体"/>
                <w:color w:val="auto"/>
                <w:sz w:val="24"/>
              </w:rPr>
              <w:t>《2023年西安市生态环境分区管控调整方案》（市生态委办发〔2024〕16号）</w:t>
            </w:r>
            <w:r>
              <w:rPr>
                <w:rFonts w:hint="default" w:ascii="Times New Roman" w:hAnsi="Times New Roman" w:cs="Times New Roman"/>
                <w:color w:val="auto"/>
                <w:sz w:val="24"/>
              </w:rPr>
              <w:t>符合性分析</w:t>
            </w:r>
          </w:p>
          <w:p w14:paraId="54E4A52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1）“一图”</w:t>
            </w:r>
          </w:p>
          <w:p w14:paraId="702574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根据陕西省“三线一单”数据应用系统及</w:t>
            </w:r>
            <w:r>
              <w:rPr>
                <w:rFonts w:hint="default" w:ascii="Times New Roman" w:hAnsi="Times New Roman" w:cs="Times New Roman"/>
                <w:color w:val="auto"/>
                <w:kern w:val="0"/>
                <w:sz w:val="24"/>
                <w:lang w:val="en-US" w:eastAsia="zh-CN"/>
              </w:rPr>
              <w:t>西安</w:t>
            </w:r>
            <w:r>
              <w:rPr>
                <w:rFonts w:hint="default" w:ascii="Times New Roman" w:hAnsi="Times New Roman" w:cs="Times New Roman"/>
                <w:color w:val="auto"/>
                <w:kern w:val="0"/>
                <w:sz w:val="24"/>
              </w:rPr>
              <w:t>市生态环境管控单元分布示意图（附图</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），本项目</w:t>
            </w:r>
            <w:r>
              <w:rPr>
                <w:rFonts w:hint="default" w:ascii="Times New Roman" w:hAnsi="Times New Roman" w:cs="Times New Roman"/>
                <w:color w:val="auto"/>
                <w:kern w:val="0"/>
                <w:sz w:val="24"/>
                <w:lang w:val="en-US" w:eastAsia="zh-CN"/>
              </w:rPr>
              <w:t>位于</w:t>
            </w:r>
            <w:r>
              <w:rPr>
                <w:rFonts w:hint="default" w:ascii="Times New Roman" w:hAnsi="Times New Roman" w:cs="Times New Roman"/>
                <w:color w:val="auto"/>
                <w:kern w:val="0"/>
                <w:sz w:val="24"/>
              </w:rPr>
              <w:t>重点管控单元内，环境管控单元涉及情况如下：</w:t>
            </w:r>
          </w:p>
          <w:p w14:paraId="33ACE0D5">
            <w:pPr>
              <w:pStyle w:val="82"/>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default" w:ascii="Times New Roman" w:hAnsi="Times New Roman" w:eastAsia="宋体" w:cs="Times New Roman"/>
                <w:color w:val="auto"/>
                <w:spacing w:val="2"/>
                <w:lang w:val="en-US" w:eastAsia="zh-CN"/>
              </w:rPr>
            </w:pPr>
            <w:r>
              <w:rPr>
                <w:rFonts w:hint="default" w:ascii="Times New Roman" w:hAnsi="Times New Roman" w:eastAsia="宋体" w:cs="Times New Roman"/>
                <w:color w:val="auto"/>
                <w:spacing w:val="2"/>
                <w:lang w:val="en-US" w:eastAsia="zh-CN"/>
              </w:rPr>
              <w:t>2）“一表”</w:t>
            </w:r>
          </w:p>
          <w:p w14:paraId="2E061E0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根据《陕西省“三线一单”生态环境分区管控应用技术指南：环境影响评价（试行）》的通知（陕环办</w:t>
            </w:r>
            <w:r>
              <w:rPr>
                <w:rFonts w:hint="default" w:ascii="Times New Roman" w:hAnsi="Times New Roman" w:eastAsia="宋体" w:cs="Times New Roman"/>
                <w:color w:val="auto"/>
                <w:kern w:val="0"/>
                <w:sz w:val="24"/>
                <w:lang w:val="en-US" w:eastAsia="zh-CN"/>
              </w:rPr>
              <w:t>〔2022〕76</w:t>
            </w:r>
            <w:r>
              <w:rPr>
                <w:rFonts w:hint="eastAsia" w:ascii="Times New Roman" w:hAnsi="Times New Roman" w:eastAsia="宋体" w:cs="Times New Roman"/>
                <w:color w:val="auto"/>
                <w:kern w:val="0"/>
                <w:sz w:val="24"/>
                <w:lang w:val="en-US" w:eastAsia="zh-CN"/>
              </w:rPr>
              <w:t>号）进行本项目环境管控单元对照分析，本项目范围涉及的生态环境管控单元准入清单见表1-4。</w:t>
            </w:r>
          </w:p>
          <w:p w14:paraId="561B9C64">
            <w:pPr>
              <w:pStyle w:val="82"/>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pacing w:val="2"/>
                <w:lang w:val="en-US" w:eastAsia="zh-CN"/>
              </w:rPr>
              <w:t>3</w:t>
            </w:r>
            <w:r>
              <w:rPr>
                <w:rFonts w:hint="default" w:ascii="Times New Roman" w:hAnsi="Times New Roman" w:eastAsia="宋体" w:cs="Times New Roman"/>
                <w:color w:val="auto"/>
                <w:spacing w:val="2"/>
                <w:lang w:val="en-US" w:eastAsia="zh-CN"/>
              </w:rPr>
              <w:t>）</w:t>
            </w:r>
            <w:r>
              <w:rPr>
                <w:rFonts w:hint="default" w:ascii="Times New Roman" w:hAnsi="Times New Roman" w:eastAsia="宋体" w:cs="Times New Roman"/>
                <w:color w:val="auto"/>
                <w:sz w:val="24"/>
              </w:rPr>
              <w:t>“一说明”</w:t>
            </w:r>
          </w:p>
          <w:p w14:paraId="4F482C6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本项目涉及重点管控单元（包括水环境城镇污染重点管控区、大气环境受体敏感重点管控区、高污染燃料禁燃区），符合“三线一单”生态环境分区管控要求</w:t>
            </w:r>
            <w:r>
              <w:rPr>
                <w:rFonts w:hint="eastAsia" w:ascii="Times New Roman" w:hAnsi="Times New Roman" w:eastAsia="宋体" w:cs="Times New Roman"/>
                <w:color w:val="auto"/>
                <w:kern w:val="0"/>
                <w:sz w:val="24"/>
                <w:lang w:val="en-US" w:eastAsia="zh-CN"/>
              </w:rPr>
              <w:t>，见附件5</w:t>
            </w:r>
            <w:r>
              <w:rPr>
                <w:rFonts w:hint="default" w:ascii="Times New Roman" w:hAnsi="Times New Roman" w:eastAsia="宋体" w:cs="Times New Roman"/>
                <w:color w:val="auto"/>
                <w:kern w:val="0"/>
                <w:sz w:val="24"/>
                <w:lang w:val="en-US" w:eastAsia="zh-CN"/>
              </w:rPr>
              <w:t>。</w:t>
            </w:r>
          </w:p>
          <w:p w14:paraId="7E0C8F94">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color w:val="auto"/>
              </w:rPr>
            </w:pPr>
            <w:r>
              <w:rPr>
                <w:color w:val="auto"/>
              </w:rPr>
              <w:drawing>
                <wp:inline distT="0" distB="0" distL="114300" distR="114300">
                  <wp:extent cx="4370705" cy="46424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l="8142" r="21397"/>
                          <a:stretch>
                            <a:fillRect/>
                          </a:stretch>
                        </pic:blipFill>
                        <pic:spPr>
                          <a:xfrm>
                            <a:off x="0" y="0"/>
                            <a:ext cx="4370705" cy="4642485"/>
                          </a:xfrm>
                          <a:prstGeom prst="rect">
                            <a:avLst/>
                          </a:prstGeom>
                          <a:noFill/>
                          <a:ln>
                            <a:noFill/>
                          </a:ln>
                        </pic:spPr>
                      </pic:pic>
                    </a:graphicData>
                  </a:graphic>
                </wp:inline>
              </w:drawing>
            </w:r>
          </w:p>
          <w:p w14:paraId="54BC7CFA">
            <w:pPr>
              <w:pStyle w:val="4"/>
              <w:keepNext/>
              <w:keepLines/>
              <w:pageBreakBefore w:val="0"/>
              <w:widowControl w:val="0"/>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default" w:ascii="Times New Roman" w:hAnsi="Times New Roman" w:eastAsia="宋体" w:cs="Times New Roman"/>
                <w:b/>
                <w:bCs/>
                <w:color w:val="auto"/>
                <w:spacing w:val="2"/>
                <w:sz w:val="21"/>
                <w:szCs w:val="18"/>
                <w:lang w:val="en-US" w:eastAsia="zh-CN"/>
              </w:rPr>
            </w:pPr>
            <w:r>
              <w:rPr>
                <w:rFonts w:hint="default" w:ascii="Times New Roman" w:hAnsi="Times New Roman" w:eastAsia="宋体" w:cs="Times New Roman"/>
                <w:b/>
                <w:bCs/>
                <w:color w:val="auto"/>
                <w:spacing w:val="2"/>
                <w:sz w:val="21"/>
                <w:szCs w:val="18"/>
                <w:lang w:val="en-US" w:eastAsia="zh-CN"/>
              </w:rPr>
              <w:t>图1-1</w:t>
            </w:r>
            <w:r>
              <w:rPr>
                <w:rFonts w:hint="eastAsia" w:hAnsi="Times New Roman" w:cs="Times New Roman"/>
                <w:b/>
                <w:bCs/>
                <w:color w:val="auto"/>
                <w:spacing w:val="2"/>
                <w:sz w:val="21"/>
                <w:szCs w:val="18"/>
                <w:lang w:val="en-US" w:eastAsia="zh-CN"/>
              </w:rPr>
              <w:t xml:space="preserve">  </w:t>
            </w:r>
            <w:r>
              <w:rPr>
                <w:rFonts w:hint="default" w:ascii="Times New Roman" w:hAnsi="Times New Roman" w:eastAsia="宋体" w:cs="Times New Roman"/>
                <w:b/>
                <w:bCs/>
                <w:color w:val="auto"/>
                <w:spacing w:val="2"/>
                <w:sz w:val="21"/>
                <w:szCs w:val="18"/>
                <w:lang w:val="en-US" w:eastAsia="zh-CN"/>
              </w:rPr>
              <w:t>“三线一单”空间冲突分析图</w:t>
            </w:r>
          </w:p>
          <w:p w14:paraId="43F37B4A">
            <w:pPr>
              <w:pStyle w:val="22"/>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来源说明：项目</w:t>
            </w:r>
            <w:r>
              <w:rPr>
                <w:rFonts w:hint="default" w:ascii="Times New Roman" w:hAnsi="Times New Roman" w:eastAsia="宋体" w:cs="Times New Roman"/>
                <w:b/>
                <w:bCs/>
                <w:color w:val="auto"/>
                <w:sz w:val="21"/>
                <w:szCs w:val="21"/>
              </w:rPr>
              <w:t>空间冲突分析图</w:t>
            </w:r>
            <w:r>
              <w:rPr>
                <w:rFonts w:hint="default" w:ascii="Times New Roman" w:hAnsi="Times New Roman" w:eastAsia="宋体" w:cs="Times New Roman"/>
                <w:b/>
                <w:bCs/>
                <w:color w:val="auto"/>
                <w:sz w:val="21"/>
                <w:szCs w:val="21"/>
                <w:lang w:val="en-US" w:eastAsia="zh-CN"/>
              </w:rPr>
              <w:t>来源于陕西省生态环境厅官网陕西省“三线一单”数据应用系统（V1.0）</w:t>
            </w:r>
            <w:r>
              <w:rPr>
                <w:rFonts w:hint="default" w:ascii="Times New Roman" w:hAnsi="Times New Roman" w:eastAsia="宋体" w:cs="Times New Roman"/>
                <w:b/>
                <w:bCs/>
                <w:color w:val="auto"/>
                <w:sz w:val="21"/>
                <w:szCs w:val="21"/>
                <w:lang w:eastAsia="zh-CN"/>
              </w:rPr>
              <w:t>）</w:t>
            </w:r>
          </w:p>
        </w:tc>
      </w:tr>
    </w:tbl>
    <w:p w14:paraId="695BA23A">
      <w:pPr>
        <w:rPr>
          <w:rFonts w:hint="default" w:ascii="Times New Roman" w:hAnsi="Times New Roman" w:cs="Times New Roman"/>
          <w:color w:val="auto"/>
        </w:rPr>
        <w:sectPr>
          <w:footerReference r:id="rId4" w:type="default"/>
          <w:pgSz w:w="11906" w:h="16838"/>
          <w:pgMar w:top="1440" w:right="1800" w:bottom="1440" w:left="1800" w:header="907" w:footer="907" w:gutter="0"/>
          <w:pgBorders>
            <w:top w:val="none" w:sz="0" w:space="0"/>
            <w:left w:val="none" w:sz="0" w:space="0"/>
            <w:bottom w:val="none" w:sz="0" w:space="0"/>
            <w:right w:val="none" w:sz="0" w:space="0"/>
          </w:pgBorders>
          <w:pgNumType w:fmt="decimal" w:start="1"/>
          <w:cols w:space="720" w:num="1"/>
          <w:docGrid w:linePitch="312" w:charSpace="0"/>
        </w:sectPr>
      </w:pPr>
    </w:p>
    <w:p w14:paraId="00421E22">
      <w:pPr>
        <w:pStyle w:val="83"/>
        <w:adjustRightInd w:val="0"/>
        <w:spacing w:before="0" w:afterLines="0"/>
        <w:ind w:firstLine="0"/>
        <w:rPr>
          <w:rFonts w:hint="default" w:ascii="Times New Roman" w:hAnsi="Times New Roman" w:eastAsia="宋体" w:cs="Times New Roman"/>
          <w:b/>
          <w:color w:val="auto"/>
        </w:rPr>
      </w:pPr>
      <w:r>
        <w:rPr>
          <w:rFonts w:hint="default" w:ascii="Times New Roman" w:hAnsi="Times New Roman" w:eastAsia="宋体" w:cs="Times New Roman"/>
          <w:b/>
          <w:color w:val="auto"/>
          <w:kern w:val="0"/>
          <w:szCs w:val="21"/>
        </w:rPr>
        <w:t>表</w:t>
      </w:r>
      <w:r>
        <w:rPr>
          <w:rFonts w:hint="default" w:ascii="Times New Roman" w:hAnsi="Times New Roman" w:eastAsia="宋体" w:cs="Times New Roman"/>
          <w:b/>
          <w:color w:val="auto"/>
          <w:kern w:val="0"/>
          <w:szCs w:val="21"/>
          <w:lang w:val="en-US" w:eastAsia="zh-CN"/>
        </w:rPr>
        <w:t>1-</w:t>
      </w:r>
      <w:r>
        <w:rPr>
          <w:rFonts w:hint="eastAsia" w:ascii="Times New Roman" w:hAnsi="Times New Roman" w:eastAsia="宋体" w:cs="Times New Roman"/>
          <w:b/>
          <w:color w:val="auto"/>
          <w:kern w:val="0"/>
          <w:szCs w:val="21"/>
          <w:lang w:val="en-US" w:eastAsia="zh-CN"/>
        </w:rPr>
        <w:t xml:space="preserve">4  </w:t>
      </w:r>
      <w:r>
        <w:rPr>
          <w:rFonts w:hint="default" w:ascii="Times New Roman" w:hAnsi="Times New Roman" w:eastAsia="宋体" w:cs="Times New Roman"/>
          <w:b/>
          <w:color w:val="auto"/>
        </w:rPr>
        <w:t>项目与《</w:t>
      </w:r>
      <w:r>
        <w:rPr>
          <w:rFonts w:hint="default" w:ascii="Times New Roman" w:hAnsi="Times New Roman" w:eastAsia="宋体" w:cs="Times New Roman"/>
          <w:b/>
          <w:color w:val="auto"/>
          <w:lang w:val="en-US"/>
        </w:rPr>
        <w:t>西安</w:t>
      </w:r>
      <w:r>
        <w:rPr>
          <w:rFonts w:hint="default" w:ascii="Times New Roman" w:hAnsi="Times New Roman" w:eastAsia="宋体" w:cs="Times New Roman"/>
          <w:b/>
          <w:color w:val="auto"/>
        </w:rPr>
        <w:t>市“三线一单”生态环境分区管控方案》相符性分析</w:t>
      </w:r>
    </w:p>
    <w:tbl>
      <w:tblPr>
        <w:tblStyle w:val="29"/>
        <w:tblW w:w="134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52"/>
        <w:gridCol w:w="384"/>
        <w:gridCol w:w="924"/>
        <w:gridCol w:w="900"/>
        <w:gridCol w:w="852"/>
        <w:gridCol w:w="1177"/>
        <w:gridCol w:w="4631"/>
        <w:gridCol w:w="996"/>
        <w:gridCol w:w="2550"/>
      </w:tblGrid>
      <w:tr w14:paraId="29850A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dxa"/>
            <w:tcBorders>
              <w:tl2br w:val="nil"/>
              <w:tr2bl w:val="nil"/>
            </w:tcBorders>
            <w:vAlign w:val="center"/>
          </w:tcPr>
          <w:p w14:paraId="1558AA90">
            <w:pPr>
              <w:jc w:val="center"/>
              <w:rPr>
                <w:b/>
                <w:color w:val="auto"/>
                <w:sz w:val="21"/>
                <w:szCs w:val="21"/>
                <w:highlight w:val="none"/>
              </w:rPr>
            </w:pPr>
            <w:r>
              <w:rPr>
                <w:b/>
                <w:bCs/>
                <w:color w:val="auto"/>
                <w:sz w:val="21"/>
                <w:szCs w:val="21"/>
                <w:highlight w:val="none"/>
                <w:lang w:bidi="ar"/>
              </w:rPr>
              <w:t>序号</w:t>
            </w:r>
          </w:p>
        </w:tc>
        <w:tc>
          <w:tcPr>
            <w:tcW w:w="652" w:type="dxa"/>
            <w:tcBorders>
              <w:tl2br w:val="nil"/>
              <w:tr2bl w:val="nil"/>
            </w:tcBorders>
            <w:vAlign w:val="center"/>
          </w:tcPr>
          <w:p w14:paraId="2F98C358">
            <w:pPr>
              <w:jc w:val="center"/>
              <w:rPr>
                <w:b/>
                <w:color w:val="auto"/>
                <w:sz w:val="21"/>
                <w:szCs w:val="21"/>
                <w:highlight w:val="none"/>
              </w:rPr>
            </w:pPr>
            <w:r>
              <w:rPr>
                <w:b/>
                <w:bCs/>
                <w:color w:val="auto"/>
                <w:sz w:val="21"/>
                <w:szCs w:val="21"/>
                <w:highlight w:val="none"/>
                <w:lang w:bidi="ar"/>
              </w:rPr>
              <w:t>市</w:t>
            </w:r>
            <w:r>
              <w:rPr>
                <w:rFonts w:hint="eastAsia"/>
                <w:b/>
                <w:bCs/>
                <w:color w:val="auto"/>
                <w:sz w:val="21"/>
                <w:szCs w:val="21"/>
                <w:highlight w:val="none"/>
                <w:lang w:val="en-US" w:eastAsia="zh-CN" w:bidi="ar"/>
              </w:rPr>
              <w:t>/</w:t>
            </w:r>
            <w:r>
              <w:rPr>
                <w:b/>
                <w:bCs/>
                <w:color w:val="auto"/>
                <w:sz w:val="21"/>
                <w:szCs w:val="21"/>
                <w:highlight w:val="none"/>
                <w:lang w:bidi="ar"/>
              </w:rPr>
              <w:t>区</w:t>
            </w:r>
          </w:p>
        </w:tc>
        <w:tc>
          <w:tcPr>
            <w:tcW w:w="384" w:type="dxa"/>
            <w:tcBorders>
              <w:tl2br w:val="nil"/>
              <w:tr2bl w:val="nil"/>
            </w:tcBorders>
            <w:vAlign w:val="center"/>
          </w:tcPr>
          <w:p w14:paraId="6051164D">
            <w:pPr>
              <w:jc w:val="center"/>
              <w:rPr>
                <w:b/>
                <w:color w:val="auto"/>
                <w:sz w:val="21"/>
                <w:szCs w:val="21"/>
                <w:highlight w:val="none"/>
              </w:rPr>
            </w:pPr>
            <w:r>
              <w:rPr>
                <w:b/>
                <w:bCs/>
                <w:color w:val="auto"/>
                <w:sz w:val="21"/>
                <w:szCs w:val="21"/>
                <w:highlight w:val="none"/>
                <w:lang w:bidi="ar"/>
              </w:rPr>
              <w:t>区县</w:t>
            </w:r>
          </w:p>
        </w:tc>
        <w:tc>
          <w:tcPr>
            <w:tcW w:w="924" w:type="dxa"/>
            <w:tcBorders>
              <w:tl2br w:val="nil"/>
              <w:tr2bl w:val="nil"/>
            </w:tcBorders>
            <w:vAlign w:val="center"/>
          </w:tcPr>
          <w:p w14:paraId="2380C27C">
            <w:pPr>
              <w:jc w:val="center"/>
              <w:rPr>
                <w:b/>
                <w:bCs/>
                <w:color w:val="auto"/>
                <w:sz w:val="21"/>
                <w:szCs w:val="21"/>
                <w:highlight w:val="none"/>
                <w:lang w:bidi="ar"/>
              </w:rPr>
            </w:pPr>
            <w:r>
              <w:rPr>
                <w:b/>
                <w:bCs/>
                <w:color w:val="auto"/>
                <w:sz w:val="21"/>
                <w:szCs w:val="21"/>
                <w:highlight w:val="none"/>
                <w:lang w:bidi="ar"/>
              </w:rPr>
              <w:t>环境管控单元名称</w:t>
            </w:r>
          </w:p>
        </w:tc>
        <w:tc>
          <w:tcPr>
            <w:tcW w:w="900" w:type="dxa"/>
            <w:tcBorders>
              <w:tl2br w:val="nil"/>
              <w:tr2bl w:val="nil"/>
            </w:tcBorders>
            <w:vAlign w:val="center"/>
          </w:tcPr>
          <w:p w14:paraId="1CAC1F10">
            <w:pPr>
              <w:jc w:val="center"/>
              <w:rPr>
                <w:b/>
                <w:color w:val="auto"/>
                <w:sz w:val="21"/>
                <w:szCs w:val="21"/>
                <w:highlight w:val="none"/>
              </w:rPr>
            </w:pPr>
            <w:r>
              <w:rPr>
                <w:b/>
                <w:bCs/>
                <w:color w:val="auto"/>
                <w:sz w:val="21"/>
                <w:szCs w:val="21"/>
                <w:highlight w:val="none"/>
                <w:lang w:bidi="ar"/>
              </w:rPr>
              <w:t>单元要素属性</w:t>
            </w:r>
          </w:p>
        </w:tc>
        <w:tc>
          <w:tcPr>
            <w:tcW w:w="852" w:type="dxa"/>
            <w:tcBorders>
              <w:tl2br w:val="nil"/>
              <w:tr2bl w:val="nil"/>
            </w:tcBorders>
            <w:vAlign w:val="center"/>
          </w:tcPr>
          <w:p w14:paraId="3E6F3A9C">
            <w:pPr>
              <w:jc w:val="center"/>
              <w:rPr>
                <w:b/>
                <w:color w:val="auto"/>
                <w:sz w:val="21"/>
                <w:szCs w:val="21"/>
                <w:highlight w:val="none"/>
              </w:rPr>
            </w:pPr>
            <w:r>
              <w:rPr>
                <w:b/>
                <w:bCs/>
                <w:color w:val="auto"/>
                <w:sz w:val="21"/>
                <w:szCs w:val="21"/>
                <w:highlight w:val="none"/>
                <w:lang w:bidi="ar"/>
              </w:rPr>
              <w:t>管控单元分类</w:t>
            </w:r>
          </w:p>
        </w:tc>
        <w:tc>
          <w:tcPr>
            <w:tcW w:w="5808" w:type="dxa"/>
            <w:gridSpan w:val="2"/>
            <w:tcBorders>
              <w:tl2br w:val="nil"/>
              <w:tr2bl w:val="nil"/>
            </w:tcBorders>
            <w:vAlign w:val="center"/>
          </w:tcPr>
          <w:p w14:paraId="3EE57C70">
            <w:pPr>
              <w:jc w:val="center"/>
              <w:rPr>
                <w:b/>
                <w:color w:val="auto"/>
                <w:sz w:val="21"/>
                <w:szCs w:val="21"/>
                <w:highlight w:val="none"/>
              </w:rPr>
            </w:pPr>
            <w:r>
              <w:rPr>
                <w:b/>
                <w:bCs/>
                <w:color w:val="auto"/>
                <w:sz w:val="21"/>
                <w:szCs w:val="21"/>
                <w:highlight w:val="none"/>
                <w:lang w:bidi="ar"/>
              </w:rPr>
              <w:t>管控要求</w:t>
            </w:r>
          </w:p>
        </w:tc>
        <w:tc>
          <w:tcPr>
            <w:tcW w:w="996" w:type="dxa"/>
            <w:tcBorders>
              <w:tl2br w:val="nil"/>
              <w:tr2bl w:val="nil"/>
            </w:tcBorders>
            <w:vAlign w:val="center"/>
          </w:tcPr>
          <w:p w14:paraId="46612570">
            <w:pPr>
              <w:jc w:val="center"/>
              <w:rPr>
                <w:b/>
                <w:color w:val="auto"/>
                <w:sz w:val="21"/>
                <w:szCs w:val="21"/>
                <w:highlight w:val="none"/>
              </w:rPr>
            </w:pPr>
            <w:r>
              <w:rPr>
                <w:b/>
                <w:bCs/>
                <w:color w:val="auto"/>
                <w:sz w:val="21"/>
                <w:szCs w:val="21"/>
                <w:highlight w:val="none"/>
                <w:lang w:bidi="ar"/>
              </w:rPr>
              <w:t>面积/长度</w:t>
            </w:r>
          </w:p>
        </w:tc>
        <w:tc>
          <w:tcPr>
            <w:tcW w:w="2550" w:type="dxa"/>
            <w:tcBorders>
              <w:tl2br w:val="nil"/>
              <w:tr2bl w:val="nil"/>
            </w:tcBorders>
            <w:vAlign w:val="center"/>
          </w:tcPr>
          <w:p w14:paraId="29BD0CEE">
            <w:pPr>
              <w:jc w:val="center"/>
              <w:rPr>
                <w:b/>
                <w:color w:val="auto"/>
                <w:sz w:val="21"/>
                <w:szCs w:val="21"/>
                <w:highlight w:val="none"/>
              </w:rPr>
            </w:pPr>
            <w:r>
              <w:rPr>
                <w:b/>
                <w:bCs/>
                <w:color w:val="auto"/>
                <w:sz w:val="21"/>
                <w:szCs w:val="21"/>
                <w:highlight w:val="none"/>
                <w:lang w:bidi="ar"/>
              </w:rPr>
              <w:t>符合性</w:t>
            </w:r>
          </w:p>
        </w:tc>
      </w:tr>
      <w:tr w14:paraId="16C167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402" w:type="dxa"/>
            <w:vMerge w:val="restart"/>
            <w:tcBorders>
              <w:tl2br w:val="nil"/>
              <w:tr2bl w:val="nil"/>
            </w:tcBorders>
            <w:vAlign w:val="center"/>
          </w:tcPr>
          <w:p w14:paraId="61D6544B">
            <w:pPr>
              <w:jc w:val="center"/>
              <w:rPr>
                <w:b/>
                <w:bCs/>
                <w:color w:val="auto"/>
                <w:sz w:val="21"/>
                <w:szCs w:val="21"/>
                <w:highlight w:val="none"/>
                <w:lang w:bidi="ar"/>
              </w:rPr>
            </w:pPr>
            <w:r>
              <w:rPr>
                <w:b/>
                <w:bCs/>
                <w:color w:val="auto"/>
                <w:sz w:val="21"/>
                <w:szCs w:val="21"/>
                <w:highlight w:val="none"/>
                <w:lang w:bidi="ar"/>
              </w:rPr>
              <w:t>1</w:t>
            </w:r>
          </w:p>
        </w:tc>
        <w:tc>
          <w:tcPr>
            <w:tcW w:w="652" w:type="dxa"/>
            <w:vMerge w:val="restart"/>
            <w:tcBorders>
              <w:tl2br w:val="nil"/>
              <w:tr2bl w:val="nil"/>
            </w:tcBorders>
            <w:vAlign w:val="center"/>
          </w:tcPr>
          <w:p w14:paraId="25123900">
            <w:pPr>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咸阳市</w:t>
            </w:r>
          </w:p>
        </w:tc>
        <w:tc>
          <w:tcPr>
            <w:tcW w:w="384" w:type="dxa"/>
            <w:vMerge w:val="restart"/>
            <w:tcBorders>
              <w:tl2br w:val="nil"/>
              <w:tr2bl w:val="nil"/>
            </w:tcBorders>
            <w:vAlign w:val="center"/>
          </w:tcPr>
          <w:p w14:paraId="247EFDBB">
            <w:pPr>
              <w:jc w:val="center"/>
              <w:rPr>
                <w:rFonts w:hint="eastAsia" w:eastAsia="宋体"/>
                <w:color w:val="auto"/>
                <w:sz w:val="21"/>
                <w:szCs w:val="21"/>
                <w:highlight w:val="none"/>
                <w:lang w:eastAsia="zh-CN" w:bidi="ar"/>
              </w:rPr>
            </w:pPr>
            <w:r>
              <w:rPr>
                <w:rFonts w:hint="eastAsia"/>
                <w:color w:val="auto"/>
                <w:sz w:val="21"/>
                <w:szCs w:val="21"/>
                <w:highlight w:val="none"/>
                <w:lang w:val="en-US" w:eastAsia="zh-CN" w:bidi="ar"/>
              </w:rPr>
              <w:t>秦都区</w:t>
            </w:r>
          </w:p>
        </w:tc>
        <w:tc>
          <w:tcPr>
            <w:tcW w:w="924" w:type="dxa"/>
            <w:vMerge w:val="restart"/>
            <w:tcBorders>
              <w:tl2br w:val="nil"/>
              <w:tr2bl w:val="nil"/>
            </w:tcBorders>
            <w:vAlign w:val="center"/>
          </w:tcPr>
          <w:p w14:paraId="286FF0A6">
            <w:pPr>
              <w:widowControl/>
              <w:jc w:val="center"/>
              <w:rPr>
                <w:color w:val="auto"/>
                <w:sz w:val="21"/>
                <w:szCs w:val="21"/>
                <w:highlight w:val="none"/>
                <w:lang w:bidi="ar"/>
              </w:rPr>
            </w:pPr>
            <w:r>
              <w:rPr>
                <w:rFonts w:hint="eastAsia" w:ascii="Times New Roman" w:hAnsi="Times New Roman" w:eastAsia="宋体" w:cs="Times New Roman"/>
                <w:color w:val="auto"/>
                <w:sz w:val="21"/>
                <w:szCs w:val="21"/>
                <w:highlight w:val="none"/>
                <w:lang w:val="en-US" w:eastAsia="zh-CN" w:bidi="ar"/>
              </w:rPr>
              <w:t>陕西省咸阳市秦都区重点管控单元</w:t>
            </w:r>
            <w:r>
              <w:rPr>
                <w:rFonts w:ascii="Times New Roman" w:hAnsi="Times New Roman" w:eastAsia="宋体" w:cs="Times New Roman"/>
                <w:color w:val="auto"/>
                <w:sz w:val="21"/>
                <w:szCs w:val="21"/>
                <w:highlight w:val="none"/>
                <w:lang w:val="en-US" w:eastAsia="zh-CN" w:bidi="ar"/>
              </w:rPr>
              <w:t>6</w:t>
            </w:r>
            <w:r>
              <w:rPr>
                <w:rFonts w:hint="eastAsia" w:ascii="Times New Roman" w:hAnsi="Times New Roman" w:eastAsia="宋体" w:cs="Times New Roman"/>
                <w:color w:val="auto"/>
                <w:sz w:val="21"/>
                <w:szCs w:val="21"/>
                <w:highlight w:val="none"/>
                <w:lang w:val="en-US" w:eastAsia="zh-CN" w:bidi="ar"/>
              </w:rPr>
              <w:t>（西咸新区）</w:t>
            </w:r>
          </w:p>
        </w:tc>
        <w:tc>
          <w:tcPr>
            <w:tcW w:w="900" w:type="dxa"/>
            <w:vMerge w:val="restart"/>
            <w:tcBorders>
              <w:tl2br w:val="nil"/>
              <w:tr2bl w:val="nil"/>
            </w:tcBorders>
            <w:vAlign w:val="center"/>
          </w:tcPr>
          <w:p w14:paraId="08E47269">
            <w:pPr>
              <w:widowControl/>
              <w:jc w:val="center"/>
              <w:rPr>
                <w:color w:val="auto"/>
                <w:sz w:val="21"/>
                <w:szCs w:val="21"/>
                <w:highlight w:val="none"/>
                <w:lang w:bidi="ar"/>
              </w:rPr>
            </w:pPr>
            <w:r>
              <w:rPr>
                <w:color w:val="auto"/>
                <w:sz w:val="21"/>
                <w:szCs w:val="21"/>
                <w:highlight w:val="none"/>
                <w:lang w:bidi="ar"/>
              </w:rPr>
              <w:t>水环境城镇</w:t>
            </w:r>
            <w:r>
              <w:rPr>
                <w:rFonts w:hint="eastAsia"/>
                <w:color w:val="auto"/>
                <w:sz w:val="21"/>
                <w:szCs w:val="21"/>
                <w:highlight w:val="none"/>
                <w:lang w:val="en-US" w:eastAsia="zh-CN" w:bidi="ar"/>
              </w:rPr>
              <w:t>生活</w:t>
            </w:r>
            <w:r>
              <w:rPr>
                <w:color w:val="auto"/>
                <w:sz w:val="21"/>
                <w:szCs w:val="21"/>
                <w:highlight w:val="none"/>
                <w:lang w:bidi="ar"/>
              </w:rPr>
              <w:t>污染重点管控区</w:t>
            </w:r>
            <w:r>
              <w:rPr>
                <w:rFonts w:hint="eastAsia"/>
                <w:color w:val="auto"/>
                <w:sz w:val="21"/>
                <w:szCs w:val="21"/>
                <w:highlight w:val="none"/>
                <w:lang w:eastAsia="zh-CN" w:bidi="ar"/>
              </w:rPr>
              <w:t>、</w:t>
            </w:r>
            <w:r>
              <w:rPr>
                <w:color w:val="auto"/>
                <w:sz w:val="21"/>
                <w:szCs w:val="21"/>
                <w:highlight w:val="none"/>
                <w:lang w:bidi="ar"/>
              </w:rPr>
              <w:t>大气环境</w:t>
            </w:r>
            <w:r>
              <w:rPr>
                <w:rFonts w:hint="eastAsia"/>
                <w:color w:val="auto"/>
                <w:sz w:val="21"/>
                <w:szCs w:val="21"/>
                <w:highlight w:val="none"/>
                <w:lang w:val="en-US" w:eastAsia="zh-CN" w:bidi="ar"/>
              </w:rPr>
              <w:t>布局</w:t>
            </w:r>
            <w:r>
              <w:rPr>
                <w:color w:val="auto"/>
                <w:sz w:val="21"/>
                <w:szCs w:val="21"/>
                <w:highlight w:val="none"/>
                <w:lang w:bidi="ar"/>
              </w:rPr>
              <w:t>敏感重点管控区</w:t>
            </w:r>
            <w:r>
              <w:rPr>
                <w:rFonts w:hint="eastAsia"/>
                <w:color w:val="auto"/>
                <w:sz w:val="21"/>
                <w:szCs w:val="21"/>
                <w:highlight w:val="none"/>
                <w:lang w:eastAsia="zh-CN" w:bidi="ar"/>
              </w:rPr>
              <w:t>、</w:t>
            </w:r>
            <w:r>
              <w:rPr>
                <w:color w:val="auto"/>
                <w:sz w:val="21"/>
                <w:szCs w:val="21"/>
                <w:highlight w:val="none"/>
                <w:lang w:bidi="ar"/>
              </w:rPr>
              <w:t>高污染燃料禁燃区</w:t>
            </w:r>
          </w:p>
        </w:tc>
        <w:tc>
          <w:tcPr>
            <w:tcW w:w="852" w:type="dxa"/>
            <w:vMerge w:val="restart"/>
            <w:tcBorders>
              <w:tl2br w:val="nil"/>
              <w:tr2bl w:val="nil"/>
            </w:tcBorders>
            <w:vAlign w:val="center"/>
          </w:tcPr>
          <w:p w14:paraId="6260C603">
            <w:pPr>
              <w:jc w:val="center"/>
              <w:rPr>
                <w:color w:val="auto"/>
                <w:sz w:val="21"/>
                <w:szCs w:val="21"/>
                <w:highlight w:val="none"/>
                <w:lang w:bidi="ar"/>
              </w:rPr>
            </w:pPr>
            <w:r>
              <w:rPr>
                <w:color w:val="auto"/>
                <w:sz w:val="21"/>
                <w:szCs w:val="21"/>
                <w:highlight w:val="none"/>
                <w:lang w:bidi="ar"/>
              </w:rPr>
              <w:t>重点管控单元</w:t>
            </w:r>
          </w:p>
        </w:tc>
        <w:tc>
          <w:tcPr>
            <w:tcW w:w="1177" w:type="dxa"/>
            <w:tcBorders>
              <w:tl2br w:val="nil"/>
              <w:tr2bl w:val="nil"/>
            </w:tcBorders>
            <w:vAlign w:val="center"/>
          </w:tcPr>
          <w:p w14:paraId="137E6A97">
            <w:pPr>
              <w:jc w:val="center"/>
              <w:rPr>
                <w:color w:val="auto"/>
                <w:sz w:val="21"/>
                <w:szCs w:val="21"/>
                <w:highlight w:val="none"/>
                <w:lang w:bidi="ar"/>
              </w:rPr>
            </w:pPr>
            <w:r>
              <w:rPr>
                <w:color w:val="auto"/>
                <w:sz w:val="21"/>
                <w:szCs w:val="21"/>
                <w:highlight w:val="none"/>
                <w:lang w:bidi="ar"/>
              </w:rPr>
              <w:t>空间约束要求</w:t>
            </w:r>
          </w:p>
        </w:tc>
        <w:tc>
          <w:tcPr>
            <w:tcW w:w="4631" w:type="dxa"/>
            <w:tcBorders>
              <w:tl2br w:val="nil"/>
              <w:tr2bl w:val="nil"/>
            </w:tcBorders>
            <w:vAlign w:val="center"/>
          </w:tcPr>
          <w:p w14:paraId="66B555AD">
            <w:pPr>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大气环境布局敏感重点管控区：</w:t>
            </w:r>
          </w:p>
          <w:p w14:paraId="02B4D6B5">
            <w:pPr>
              <w:numPr>
                <w:ilvl w:val="0"/>
                <w:numId w:val="3"/>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严格控制新增《陕西省</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两高</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项目管理暂行目录》行业项目（民生等项目除外，后续对</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两高</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范围国家如有新规定的，从其规定）。</w:t>
            </w:r>
          </w:p>
          <w:p w14:paraId="41F9D68B">
            <w:pPr>
              <w:numPr>
                <w:ilvl w:val="0"/>
                <w:numId w:val="3"/>
              </w:numPr>
              <w:rPr>
                <w:color w:val="auto"/>
                <w:sz w:val="21"/>
                <w:szCs w:val="21"/>
                <w:highlight w:val="none"/>
                <w:lang w:bidi="ar"/>
              </w:rPr>
            </w:pPr>
            <w:r>
              <w:rPr>
                <w:rFonts w:hint="eastAsia" w:ascii="宋体" w:hAnsi="宋体" w:eastAsia="宋体" w:cs="宋体"/>
                <w:color w:val="auto"/>
                <w:sz w:val="21"/>
                <w:szCs w:val="21"/>
                <w:highlight w:val="none"/>
                <w:lang w:val="en-US" w:eastAsia="zh-CN"/>
              </w:rPr>
              <w:t>推动重污染企业搬迁入园或依法关闭。</w:t>
            </w:r>
          </w:p>
        </w:tc>
        <w:tc>
          <w:tcPr>
            <w:tcW w:w="996" w:type="dxa"/>
            <w:vMerge w:val="restart"/>
            <w:tcBorders>
              <w:tl2br w:val="nil"/>
              <w:tr2bl w:val="nil"/>
            </w:tcBorders>
            <w:vAlign w:val="center"/>
          </w:tcPr>
          <w:p w14:paraId="24C4070B">
            <w:pPr>
              <w:jc w:val="center"/>
              <w:rPr>
                <w:rFonts w:hint="eastAsia"/>
                <w:color w:val="auto"/>
                <w:sz w:val="21"/>
                <w:szCs w:val="21"/>
                <w:highlight w:val="none"/>
                <w:lang w:val="en-US" w:eastAsia="zh-CN" w:bidi="ar"/>
              </w:rPr>
            </w:pPr>
            <w:r>
              <w:rPr>
                <w:rFonts w:hint="eastAsia"/>
                <w:color w:val="auto"/>
                <w:sz w:val="21"/>
                <w:szCs w:val="21"/>
                <w:highlight w:val="none"/>
                <w:lang w:val="en-US" w:eastAsia="zh-CN" w:bidi="ar"/>
              </w:rPr>
              <w:t>684.15</w:t>
            </w:r>
          </w:p>
          <w:p w14:paraId="6E6CAB44">
            <w:pPr>
              <w:jc w:val="center"/>
              <w:rPr>
                <w:b/>
                <w:bCs/>
                <w:color w:val="auto"/>
                <w:sz w:val="21"/>
                <w:szCs w:val="21"/>
                <w:highlight w:val="none"/>
                <w:lang w:bidi="ar"/>
              </w:rPr>
            </w:pPr>
            <w:r>
              <w:rPr>
                <w:color w:val="auto"/>
                <w:sz w:val="21"/>
                <w:szCs w:val="21"/>
                <w:highlight w:val="none"/>
              </w:rPr>
              <w:t>m²</w:t>
            </w:r>
          </w:p>
        </w:tc>
        <w:tc>
          <w:tcPr>
            <w:tcW w:w="2550" w:type="dxa"/>
            <w:tcBorders>
              <w:tl2br w:val="nil"/>
              <w:tr2bl w:val="nil"/>
            </w:tcBorders>
            <w:vAlign w:val="center"/>
          </w:tcPr>
          <w:p w14:paraId="565C5399">
            <w:pPr>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大气环境布局敏感重点管控区：</w:t>
            </w:r>
          </w:p>
          <w:p w14:paraId="74BDEE91">
            <w:pPr>
              <w:numPr>
                <w:ilvl w:val="0"/>
                <w:numId w:val="4"/>
              </w:numPr>
              <w:rPr>
                <w:rFonts w:hint="eastAsia"/>
                <w:color w:val="auto"/>
                <w:sz w:val="21"/>
                <w:szCs w:val="21"/>
                <w:highlight w:val="none"/>
              </w:rPr>
            </w:pPr>
            <w:r>
              <w:rPr>
                <w:color w:val="auto"/>
                <w:sz w:val="21"/>
                <w:szCs w:val="21"/>
                <w:highlight w:val="none"/>
                <w:lang w:bidi="ar"/>
              </w:rPr>
              <w:t>本项目不属于高耗水、高污染项目</w:t>
            </w:r>
            <w:r>
              <w:rPr>
                <w:rFonts w:hint="eastAsia"/>
                <w:color w:val="auto"/>
                <w:sz w:val="21"/>
                <w:szCs w:val="21"/>
                <w:highlight w:val="none"/>
                <w:lang w:eastAsia="zh-CN" w:bidi="ar"/>
              </w:rPr>
              <w:t>；</w:t>
            </w:r>
          </w:p>
          <w:p w14:paraId="7DC3DE2F">
            <w:pPr>
              <w:numPr>
                <w:ilvl w:val="0"/>
                <w:numId w:val="4"/>
              </w:numPr>
              <w:rPr>
                <w:rFonts w:hint="eastAsia"/>
                <w:color w:val="auto"/>
                <w:sz w:val="21"/>
                <w:szCs w:val="21"/>
                <w:highlight w:val="none"/>
              </w:rPr>
            </w:pPr>
            <w:r>
              <w:rPr>
                <w:rFonts w:hint="eastAsia"/>
                <w:color w:val="auto"/>
                <w:sz w:val="21"/>
                <w:szCs w:val="21"/>
                <w:highlight w:val="none"/>
                <w:lang w:val="en-US" w:eastAsia="zh-CN" w:bidi="ar"/>
              </w:rPr>
              <w:t>不属于重污染企业</w:t>
            </w:r>
            <w:r>
              <w:rPr>
                <w:rFonts w:hint="eastAsia"/>
                <w:color w:val="auto"/>
                <w:sz w:val="21"/>
                <w:szCs w:val="21"/>
                <w:highlight w:val="none"/>
              </w:rPr>
              <w:t>。</w:t>
            </w:r>
          </w:p>
        </w:tc>
      </w:tr>
      <w:tr w14:paraId="126F4A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2" w:type="dxa"/>
            <w:vMerge w:val="continue"/>
            <w:tcBorders>
              <w:tl2br w:val="nil"/>
              <w:tr2bl w:val="nil"/>
            </w:tcBorders>
            <w:vAlign w:val="center"/>
          </w:tcPr>
          <w:p w14:paraId="2C110D47">
            <w:pPr>
              <w:jc w:val="center"/>
              <w:rPr>
                <w:b/>
                <w:bCs/>
                <w:color w:val="auto"/>
                <w:sz w:val="21"/>
                <w:szCs w:val="21"/>
                <w:highlight w:val="none"/>
                <w:lang w:bidi="ar"/>
              </w:rPr>
            </w:pPr>
          </w:p>
        </w:tc>
        <w:tc>
          <w:tcPr>
            <w:tcW w:w="652" w:type="dxa"/>
            <w:vMerge w:val="continue"/>
            <w:tcBorders>
              <w:tl2br w:val="nil"/>
              <w:tr2bl w:val="nil"/>
            </w:tcBorders>
            <w:vAlign w:val="center"/>
          </w:tcPr>
          <w:p w14:paraId="6914D6D0">
            <w:pPr>
              <w:jc w:val="center"/>
              <w:rPr>
                <w:b/>
                <w:bCs/>
                <w:color w:val="auto"/>
                <w:sz w:val="21"/>
                <w:szCs w:val="21"/>
                <w:highlight w:val="none"/>
                <w:lang w:bidi="ar"/>
              </w:rPr>
            </w:pPr>
          </w:p>
        </w:tc>
        <w:tc>
          <w:tcPr>
            <w:tcW w:w="384" w:type="dxa"/>
            <w:vMerge w:val="continue"/>
            <w:tcBorders>
              <w:tl2br w:val="nil"/>
              <w:tr2bl w:val="nil"/>
            </w:tcBorders>
            <w:vAlign w:val="center"/>
          </w:tcPr>
          <w:p w14:paraId="6108487A">
            <w:pPr>
              <w:jc w:val="center"/>
              <w:rPr>
                <w:b/>
                <w:bCs/>
                <w:color w:val="auto"/>
                <w:sz w:val="21"/>
                <w:szCs w:val="21"/>
                <w:highlight w:val="none"/>
                <w:lang w:bidi="ar"/>
              </w:rPr>
            </w:pPr>
          </w:p>
        </w:tc>
        <w:tc>
          <w:tcPr>
            <w:tcW w:w="924" w:type="dxa"/>
            <w:vMerge w:val="continue"/>
            <w:tcBorders>
              <w:tl2br w:val="nil"/>
              <w:tr2bl w:val="nil"/>
            </w:tcBorders>
            <w:vAlign w:val="center"/>
          </w:tcPr>
          <w:p w14:paraId="3637C09D">
            <w:pPr>
              <w:jc w:val="center"/>
              <w:rPr>
                <w:b/>
                <w:bCs/>
                <w:color w:val="auto"/>
                <w:sz w:val="21"/>
                <w:szCs w:val="21"/>
                <w:highlight w:val="none"/>
                <w:lang w:bidi="ar"/>
              </w:rPr>
            </w:pPr>
          </w:p>
        </w:tc>
        <w:tc>
          <w:tcPr>
            <w:tcW w:w="900" w:type="dxa"/>
            <w:vMerge w:val="continue"/>
            <w:tcBorders>
              <w:tl2br w:val="nil"/>
              <w:tr2bl w:val="nil"/>
            </w:tcBorders>
            <w:vAlign w:val="center"/>
          </w:tcPr>
          <w:p w14:paraId="1FA98B51">
            <w:pPr>
              <w:widowControl/>
              <w:jc w:val="center"/>
              <w:rPr>
                <w:color w:val="auto"/>
                <w:sz w:val="21"/>
                <w:szCs w:val="21"/>
                <w:highlight w:val="none"/>
                <w:lang w:bidi="ar"/>
              </w:rPr>
            </w:pPr>
          </w:p>
        </w:tc>
        <w:tc>
          <w:tcPr>
            <w:tcW w:w="852" w:type="dxa"/>
            <w:vMerge w:val="continue"/>
            <w:tcBorders>
              <w:tl2br w:val="nil"/>
              <w:tr2bl w:val="nil"/>
            </w:tcBorders>
            <w:vAlign w:val="center"/>
          </w:tcPr>
          <w:p w14:paraId="3AC77516">
            <w:pPr>
              <w:jc w:val="center"/>
              <w:rPr>
                <w:color w:val="auto"/>
                <w:sz w:val="21"/>
                <w:szCs w:val="21"/>
                <w:highlight w:val="none"/>
                <w:lang w:bidi="ar"/>
              </w:rPr>
            </w:pPr>
          </w:p>
        </w:tc>
        <w:tc>
          <w:tcPr>
            <w:tcW w:w="1177" w:type="dxa"/>
            <w:tcBorders>
              <w:tl2br w:val="nil"/>
              <w:tr2bl w:val="nil"/>
            </w:tcBorders>
            <w:shd w:val="clear" w:color="auto" w:fill="auto"/>
            <w:vAlign w:val="center"/>
          </w:tcPr>
          <w:p w14:paraId="7FD42ABA">
            <w:pPr>
              <w:jc w:val="center"/>
              <w:rPr>
                <w:rFonts w:ascii="Times New Roman" w:hAnsi="Times New Roman" w:eastAsia="宋体" w:cs="Times New Roman"/>
                <w:color w:val="auto"/>
                <w:kern w:val="2"/>
                <w:sz w:val="21"/>
                <w:szCs w:val="21"/>
                <w:highlight w:val="none"/>
                <w:lang w:val="en-US" w:eastAsia="zh-CN" w:bidi="ar"/>
              </w:rPr>
            </w:pPr>
            <w:r>
              <w:rPr>
                <w:color w:val="auto"/>
                <w:sz w:val="21"/>
                <w:szCs w:val="21"/>
                <w:highlight w:val="none"/>
                <w:lang w:bidi="ar"/>
              </w:rPr>
              <w:t>污染物排放管控</w:t>
            </w:r>
          </w:p>
        </w:tc>
        <w:tc>
          <w:tcPr>
            <w:tcW w:w="4631" w:type="dxa"/>
            <w:tcBorders>
              <w:tl2br w:val="nil"/>
              <w:tr2bl w:val="nil"/>
            </w:tcBorders>
            <w:shd w:val="clear" w:color="auto" w:fill="auto"/>
            <w:vAlign w:val="center"/>
          </w:tcPr>
          <w:p w14:paraId="43122129">
            <w:pPr>
              <w:rPr>
                <w:rFonts w:ascii="宋体" w:hAnsi="宋体" w:eastAsia="宋体" w:cs="宋体"/>
                <w:b/>
                <w:bCs/>
                <w:color w:val="auto"/>
                <w:sz w:val="21"/>
                <w:szCs w:val="21"/>
                <w:highlight w:val="none"/>
              </w:rPr>
            </w:pPr>
            <w:bookmarkStart w:id="2" w:name="OLE_LINK11"/>
            <w:r>
              <w:rPr>
                <w:rFonts w:ascii="宋体" w:hAnsi="宋体" w:eastAsia="宋体" w:cs="宋体"/>
                <w:b/>
                <w:bCs/>
                <w:color w:val="auto"/>
                <w:sz w:val="21"/>
                <w:szCs w:val="21"/>
                <w:highlight w:val="none"/>
              </w:rPr>
              <w:t>大气环境布局敏感重点管控区</w:t>
            </w:r>
          </w:p>
          <w:bookmarkEnd w:id="2"/>
          <w:p w14:paraId="7414C48D">
            <w:pPr>
              <w:adjustRightInd w:val="0"/>
              <w:snapToGrid w:val="0"/>
              <w:jc w:val="center"/>
              <w:rPr>
                <w:rFonts w:hint="eastAsia"/>
                <w:bCs/>
                <w:snapToGrid w:val="0"/>
                <w:color w:val="auto"/>
                <w:kern w:val="0"/>
                <w:szCs w:val="21"/>
                <w:highlight w:val="none"/>
                <w:lang w:val="en-US" w:eastAsia="zh-CN"/>
              </w:rPr>
            </w:pPr>
            <w:r>
              <w:rPr>
                <w:bCs/>
                <w:snapToGrid w:val="0"/>
                <w:color w:val="auto"/>
                <w:kern w:val="0"/>
                <w:szCs w:val="21"/>
                <w:highlight w:val="none"/>
                <w:lang w:val="en-US" w:eastAsia="zh-CN"/>
              </w:rPr>
              <w:t>1.</w:t>
            </w:r>
            <w:r>
              <w:rPr>
                <w:rFonts w:hint="eastAsia"/>
                <w:bCs/>
                <w:snapToGrid w:val="0"/>
                <w:color w:val="auto"/>
                <w:kern w:val="0"/>
                <w:szCs w:val="21"/>
                <w:highlight w:val="none"/>
                <w:lang w:val="en-US" w:eastAsia="zh-CN"/>
              </w:rPr>
              <w:t>城市建成区产生油烟的餐饮服务单位全部安装油烟净化装置并保持正常运行和定期维护。</w:t>
            </w:r>
            <w:r>
              <w:rPr>
                <w:rFonts w:hint="default"/>
                <w:bCs/>
                <w:snapToGrid w:val="0"/>
                <w:color w:val="auto"/>
                <w:kern w:val="0"/>
                <w:szCs w:val="21"/>
                <w:highlight w:val="none"/>
                <w:lang w:val="en-US" w:eastAsia="zh-CN"/>
              </w:rPr>
              <w:t>2.</w:t>
            </w:r>
            <w:r>
              <w:rPr>
                <w:rFonts w:hint="eastAsia"/>
                <w:bCs/>
                <w:snapToGrid w:val="0"/>
                <w:color w:val="auto"/>
                <w:kern w:val="0"/>
                <w:szCs w:val="21"/>
                <w:highlight w:val="none"/>
                <w:lang w:val="en-US" w:eastAsia="zh-CN"/>
              </w:rPr>
              <w:t>持续因地制宜实施</w:t>
            </w:r>
            <w:r>
              <w:rPr>
                <w:rFonts w:hint="default"/>
                <w:bCs/>
                <w:snapToGrid w:val="0"/>
                <w:color w:val="auto"/>
                <w:kern w:val="0"/>
                <w:szCs w:val="21"/>
                <w:highlight w:val="none"/>
                <w:lang w:val="en-US" w:eastAsia="zh-CN"/>
              </w:rPr>
              <w:t>“</w:t>
            </w:r>
            <w:r>
              <w:rPr>
                <w:rFonts w:hint="eastAsia"/>
                <w:bCs/>
                <w:snapToGrid w:val="0"/>
                <w:color w:val="auto"/>
                <w:kern w:val="0"/>
                <w:szCs w:val="21"/>
                <w:highlight w:val="none"/>
                <w:lang w:val="en-US" w:eastAsia="zh-CN"/>
              </w:rPr>
              <w:t>煤改气</w:t>
            </w:r>
            <w:r>
              <w:rPr>
                <w:rFonts w:hint="default"/>
                <w:bCs/>
                <w:snapToGrid w:val="0"/>
                <w:color w:val="auto"/>
                <w:kern w:val="0"/>
                <w:szCs w:val="21"/>
                <w:highlight w:val="none"/>
                <w:lang w:val="en-US" w:eastAsia="zh-CN"/>
              </w:rPr>
              <w:t>”</w:t>
            </w:r>
            <w:r>
              <w:rPr>
                <w:rFonts w:hint="eastAsia"/>
                <w:bCs/>
                <w:snapToGrid w:val="0"/>
                <w:color w:val="auto"/>
                <w:kern w:val="0"/>
                <w:szCs w:val="21"/>
                <w:highlight w:val="none"/>
                <w:lang w:val="en-US" w:eastAsia="zh-CN"/>
              </w:rPr>
              <w:t>、</w:t>
            </w:r>
            <w:r>
              <w:rPr>
                <w:rFonts w:hint="default"/>
                <w:bCs/>
                <w:snapToGrid w:val="0"/>
                <w:color w:val="auto"/>
                <w:kern w:val="0"/>
                <w:szCs w:val="21"/>
                <w:highlight w:val="none"/>
                <w:lang w:val="en-US" w:eastAsia="zh-CN"/>
              </w:rPr>
              <w:t>“</w:t>
            </w:r>
            <w:r>
              <w:rPr>
                <w:rFonts w:hint="eastAsia"/>
                <w:bCs/>
                <w:snapToGrid w:val="0"/>
                <w:color w:val="auto"/>
                <w:kern w:val="0"/>
                <w:szCs w:val="21"/>
                <w:highlight w:val="none"/>
                <w:lang w:val="en-US" w:eastAsia="zh-CN"/>
              </w:rPr>
              <w:t>油改气</w:t>
            </w:r>
            <w:r>
              <w:rPr>
                <w:rFonts w:hint="default"/>
                <w:bCs/>
                <w:snapToGrid w:val="0"/>
                <w:color w:val="auto"/>
                <w:kern w:val="0"/>
                <w:szCs w:val="21"/>
                <w:highlight w:val="none"/>
                <w:lang w:val="en-US" w:eastAsia="zh-CN"/>
              </w:rPr>
              <w:t>”</w:t>
            </w:r>
            <w:r>
              <w:rPr>
                <w:rFonts w:hint="eastAsia"/>
                <w:bCs/>
                <w:snapToGrid w:val="0"/>
                <w:color w:val="auto"/>
                <w:kern w:val="0"/>
                <w:szCs w:val="21"/>
                <w:highlight w:val="none"/>
                <w:lang w:val="en-US" w:eastAsia="zh-CN"/>
              </w:rPr>
              <w:t>、电能、地热、生物质等清洁能源取暖措施。</w:t>
            </w:r>
            <w:r>
              <w:rPr>
                <w:rFonts w:hint="default"/>
                <w:bCs/>
                <w:snapToGrid w:val="0"/>
                <w:color w:val="auto"/>
                <w:kern w:val="0"/>
                <w:szCs w:val="21"/>
                <w:highlight w:val="none"/>
                <w:lang w:val="en-US" w:eastAsia="zh-CN"/>
              </w:rPr>
              <w:t xml:space="preserve">3. </w:t>
            </w:r>
            <w:r>
              <w:rPr>
                <w:rFonts w:hint="eastAsia"/>
                <w:bCs/>
                <w:snapToGrid w:val="0"/>
                <w:color w:val="auto"/>
                <w:kern w:val="0"/>
                <w:szCs w:val="21"/>
                <w:highlight w:val="none"/>
                <w:lang w:val="en-US" w:eastAsia="zh-CN"/>
              </w:rPr>
              <w:t>鼓励将老旧车辆和非道路移动机械替换为清洁能源车辆。推进新能源或清洁能源汽车使用。</w:t>
            </w:r>
            <w:r>
              <w:rPr>
                <w:rFonts w:hint="default"/>
                <w:bCs/>
                <w:snapToGrid w:val="0"/>
                <w:color w:val="auto"/>
                <w:kern w:val="0"/>
                <w:szCs w:val="21"/>
                <w:highlight w:val="none"/>
                <w:lang w:val="en-US" w:eastAsia="zh-CN"/>
              </w:rPr>
              <w:t>4.</w:t>
            </w:r>
            <w:r>
              <w:rPr>
                <w:rFonts w:hint="eastAsia"/>
                <w:bCs/>
                <w:snapToGrid w:val="0"/>
                <w:color w:val="auto"/>
                <w:kern w:val="0"/>
                <w:szCs w:val="21"/>
                <w:highlight w:val="none"/>
                <w:lang w:val="en-US" w:eastAsia="zh-CN"/>
              </w:rPr>
              <w:t>位于大气污染防治重点区域的汾渭平原，特别排放限值行业（钢铁、水泥、焦化、石化、化工、有色等行业）现有企业 全面执行二氧化硫、氮氧化物、颗粒物、挥发性有机物（</w:t>
            </w:r>
            <w:r>
              <w:rPr>
                <w:rFonts w:hint="default"/>
                <w:bCs/>
                <w:snapToGrid w:val="0"/>
                <w:color w:val="auto"/>
                <w:kern w:val="0"/>
                <w:szCs w:val="21"/>
                <w:highlight w:val="none"/>
                <w:lang w:val="en-US" w:eastAsia="zh-CN"/>
              </w:rPr>
              <w:t>VOCs</w:t>
            </w:r>
            <w:r>
              <w:rPr>
                <w:rFonts w:hint="eastAsia"/>
                <w:bCs/>
                <w:snapToGrid w:val="0"/>
                <w:color w:val="auto"/>
                <w:kern w:val="0"/>
                <w:szCs w:val="21"/>
                <w:highlight w:val="none"/>
                <w:lang w:val="en-US" w:eastAsia="zh-CN"/>
              </w:rPr>
              <w:t>）特别排放限值。</w:t>
            </w:r>
          </w:p>
          <w:p w14:paraId="48022258">
            <w:pPr>
              <w:numPr>
                <w:ilvl w:val="0"/>
                <w:numId w:val="0"/>
              </w:numPr>
              <w:rPr>
                <w:rFonts w:ascii="宋体" w:hAnsi="宋体" w:eastAsia="宋体" w:cs="宋体"/>
                <w:b/>
                <w:bCs/>
                <w:color w:val="auto"/>
                <w:sz w:val="21"/>
                <w:szCs w:val="21"/>
                <w:highlight w:val="none"/>
              </w:rPr>
            </w:pPr>
            <w:bookmarkStart w:id="3" w:name="OLE_LINK12"/>
            <w:r>
              <w:rPr>
                <w:rFonts w:ascii="宋体" w:hAnsi="宋体" w:eastAsia="宋体" w:cs="宋体"/>
                <w:b/>
                <w:bCs/>
                <w:color w:val="auto"/>
                <w:sz w:val="21"/>
                <w:szCs w:val="21"/>
                <w:highlight w:val="none"/>
              </w:rPr>
              <w:t>水环境城镇生活污染重点管控区</w:t>
            </w:r>
          </w:p>
          <w:bookmarkEnd w:id="3"/>
          <w:p w14:paraId="63C0053E">
            <w:pPr>
              <w:adjustRightInd w:val="0"/>
              <w:snapToGrid w:val="0"/>
              <w:jc w:val="center"/>
              <w:rPr>
                <w:rFonts w:ascii="Times New Roman" w:hAnsi="Times New Roman" w:eastAsia="宋体" w:cs="Times New Roman"/>
                <w:color w:val="auto"/>
                <w:kern w:val="2"/>
                <w:sz w:val="21"/>
                <w:szCs w:val="21"/>
                <w:highlight w:val="none"/>
                <w:lang w:val="en-US" w:eastAsia="zh-CN" w:bidi="ar"/>
              </w:rPr>
            </w:pPr>
            <w:r>
              <w:rPr>
                <w:rFonts w:hint="default"/>
                <w:bCs/>
                <w:snapToGrid w:val="0"/>
                <w:color w:val="auto"/>
                <w:kern w:val="0"/>
                <w:szCs w:val="21"/>
                <w:highlight w:val="none"/>
                <w:lang w:val="en-US" w:eastAsia="zh-CN"/>
              </w:rPr>
              <w:t>1.</w:t>
            </w:r>
            <w:r>
              <w:rPr>
                <w:rFonts w:hint="eastAsia"/>
                <w:bCs/>
                <w:snapToGrid w:val="0"/>
                <w:color w:val="auto"/>
                <w:kern w:val="0"/>
                <w:szCs w:val="21"/>
                <w:highlight w:val="none"/>
                <w:lang w:val="en-US" w:eastAsia="zh-CN"/>
              </w:rPr>
              <w:t>加强城镇污水收集处理设施建设与提标改造。全省黄河流域城镇生活污水处理达到《陕西省黄河流域污水综合排放标准》（</w:t>
            </w:r>
            <w:r>
              <w:rPr>
                <w:rFonts w:hint="default"/>
                <w:bCs/>
                <w:snapToGrid w:val="0"/>
                <w:color w:val="auto"/>
                <w:kern w:val="0"/>
                <w:szCs w:val="21"/>
                <w:highlight w:val="none"/>
                <w:lang w:val="en-US" w:eastAsia="zh-CN"/>
              </w:rPr>
              <w:t>DB61/224-2018</w:t>
            </w:r>
            <w:r>
              <w:rPr>
                <w:rFonts w:hint="eastAsia"/>
                <w:bCs/>
                <w:snapToGrid w:val="0"/>
                <w:color w:val="auto"/>
                <w:kern w:val="0"/>
                <w:szCs w:val="21"/>
                <w:highlight w:val="none"/>
                <w:lang w:val="en-US" w:eastAsia="zh-CN"/>
              </w:rPr>
              <w:t>）排放限值要求。</w:t>
            </w:r>
            <w:r>
              <w:rPr>
                <w:rFonts w:hint="default"/>
                <w:bCs/>
                <w:snapToGrid w:val="0"/>
                <w:color w:val="auto"/>
                <w:kern w:val="0"/>
                <w:szCs w:val="21"/>
                <w:highlight w:val="none"/>
                <w:lang w:val="en-US" w:eastAsia="zh-CN"/>
              </w:rPr>
              <w:t>2.</w:t>
            </w:r>
            <w:r>
              <w:rPr>
                <w:rFonts w:hint="eastAsia"/>
                <w:bCs/>
                <w:snapToGrid w:val="0"/>
                <w:color w:val="auto"/>
                <w:kern w:val="0"/>
                <w:szCs w:val="21"/>
                <w:highlight w:val="none"/>
                <w:lang w:val="en-US" w:eastAsia="zh-CN"/>
              </w:rPr>
              <w:t>城镇新区管网建设及老旧城区管网升级改造中实行雨污分流，鼓励推进初期雨水收集、处理和资源化利用，建设人工湿地水质净化工程，对处理达标后的尾水进一步净化。</w:t>
            </w:r>
            <w:r>
              <w:rPr>
                <w:rFonts w:hint="default"/>
                <w:bCs/>
                <w:snapToGrid w:val="0"/>
                <w:color w:val="auto"/>
                <w:kern w:val="0"/>
                <w:szCs w:val="21"/>
                <w:highlight w:val="none"/>
                <w:lang w:val="en-US" w:eastAsia="zh-CN"/>
              </w:rPr>
              <w:t>3.</w:t>
            </w:r>
            <w:r>
              <w:rPr>
                <w:rFonts w:hint="eastAsia"/>
                <w:bCs/>
                <w:snapToGrid w:val="0"/>
                <w:color w:val="auto"/>
                <w:kern w:val="0"/>
                <w:szCs w:val="21"/>
                <w:highlight w:val="none"/>
                <w:lang w:val="en-US" w:eastAsia="zh-CN"/>
              </w:rPr>
              <w:t>污水处理厂出水用于绿化、农灌等用途的，合理确定管控要求，确保达到相应污水再生利用标准。</w:t>
            </w:r>
            <w:r>
              <w:rPr>
                <w:rFonts w:hint="default"/>
                <w:bCs/>
                <w:snapToGrid w:val="0"/>
                <w:color w:val="auto"/>
                <w:kern w:val="0"/>
                <w:szCs w:val="21"/>
                <w:highlight w:val="none"/>
                <w:lang w:val="en-US" w:eastAsia="zh-CN"/>
              </w:rPr>
              <w:t>4.</w:t>
            </w:r>
            <w:r>
              <w:rPr>
                <w:rFonts w:hint="eastAsia"/>
                <w:bCs/>
                <w:snapToGrid w:val="0"/>
                <w:color w:val="auto"/>
                <w:kern w:val="0"/>
                <w:szCs w:val="21"/>
                <w:highlight w:val="none"/>
                <w:lang w:val="en-US" w:eastAsia="zh-CN"/>
              </w:rPr>
              <w:t>加强城镇污水收集处理设施建设与提标改造，推进渭河南岸西部污水处理厂建设，提升污水处理能力，因地制宜在污水处理厂出水口处建设人工水质净化工程。推进新建污水处理设施与配套管网的同步设计、同步建设、同步投运，加快污水管网建设与雨污分流改造，完成市区老旧城区管网升级改造。</w:t>
            </w:r>
          </w:p>
        </w:tc>
        <w:tc>
          <w:tcPr>
            <w:tcW w:w="996" w:type="dxa"/>
            <w:vMerge w:val="continue"/>
            <w:tcBorders>
              <w:tl2br w:val="nil"/>
              <w:tr2bl w:val="nil"/>
            </w:tcBorders>
            <w:vAlign w:val="center"/>
          </w:tcPr>
          <w:p w14:paraId="71259B5A">
            <w:pPr>
              <w:jc w:val="center"/>
              <w:rPr>
                <w:b/>
                <w:bCs/>
                <w:color w:val="auto"/>
                <w:sz w:val="21"/>
                <w:szCs w:val="21"/>
                <w:highlight w:val="none"/>
                <w:lang w:bidi="ar"/>
              </w:rPr>
            </w:pPr>
          </w:p>
        </w:tc>
        <w:tc>
          <w:tcPr>
            <w:tcW w:w="2550" w:type="dxa"/>
            <w:tcBorders>
              <w:tl2br w:val="nil"/>
              <w:tr2bl w:val="nil"/>
            </w:tcBorders>
            <w:vAlign w:val="center"/>
          </w:tcPr>
          <w:p w14:paraId="618BB174">
            <w:pPr>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大气环境布局敏感重点管控区</w:t>
            </w:r>
          </w:p>
          <w:p w14:paraId="138527B4">
            <w:pPr>
              <w:rPr>
                <w:rFonts w:hint="eastAsia"/>
                <w:bCs/>
                <w:snapToGrid w:val="0"/>
                <w:color w:val="auto"/>
                <w:kern w:val="0"/>
                <w:szCs w:val="21"/>
                <w:highlight w:val="none"/>
                <w:lang w:val="en-US" w:eastAsia="zh-CN"/>
              </w:rPr>
            </w:pPr>
            <w:r>
              <w:rPr>
                <w:rFonts w:hint="eastAsia"/>
                <w:bCs/>
                <w:snapToGrid w:val="0"/>
                <w:color w:val="auto"/>
                <w:kern w:val="0"/>
                <w:szCs w:val="21"/>
                <w:highlight w:val="none"/>
              </w:rPr>
              <w:t>本项目</w:t>
            </w:r>
            <w:r>
              <w:rPr>
                <w:rFonts w:hint="eastAsia"/>
                <w:bCs/>
                <w:snapToGrid w:val="0"/>
                <w:color w:val="auto"/>
                <w:kern w:val="0"/>
                <w:szCs w:val="21"/>
                <w:highlight w:val="none"/>
                <w:lang w:val="en-US" w:eastAsia="zh-CN"/>
              </w:rPr>
              <w:t>不设</w:t>
            </w:r>
            <w:r>
              <w:rPr>
                <w:rFonts w:hint="eastAsia"/>
                <w:bCs/>
                <w:snapToGrid w:val="0"/>
                <w:color w:val="auto"/>
                <w:kern w:val="0"/>
                <w:szCs w:val="21"/>
                <w:highlight w:val="none"/>
              </w:rPr>
              <w:t>食堂，主要能源为电，</w:t>
            </w:r>
            <w:r>
              <w:rPr>
                <w:rFonts w:hint="eastAsia"/>
                <w:bCs/>
                <w:snapToGrid w:val="0"/>
                <w:color w:val="auto"/>
                <w:kern w:val="0"/>
                <w:szCs w:val="21"/>
                <w:highlight w:val="none"/>
                <w:lang w:val="en-US" w:eastAsia="zh-CN"/>
              </w:rPr>
              <w:t>不使用老旧车辆</w:t>
            </w:r>
            <w:r>
              <w:rPr>
                <w:rFonts w:hint="eastAsia"/>
                <w:bCs/>
                <w:snapToGrid w:val="0"/>
                <w:color w:val="auto"/>
                <w:kern w:val="0"/>
                <w:szCs w:val="21"/>
                <w:highlight w:val="none"/>
              </w:rPr>
              <w:t>运输。</w:t>
            </w:r>
            <w:r>
              <w:rPr>
                <w:rFonts w:hint="eastAsia"/>
                <w:bCs/>
                <w:snapToGrid w:val="0"/>
                <w:color w:val="auto"/>
                <w:kern w:val="0"/>
                <w:szCs w:val="21"/>
                <w:highlight w:val="none"/>
                <w:lang w:val="en-US" w:eastAsia="zh-CN"/>
              </w:rPr>
              <w:t>不属于其中执行特别排放限值的行业。</w:t>
            </w:r>
          </w:p>
          <w:p w14:paraId="2EBC7673">
            <w:pPr>
              <w:numPr>
                <w:ilvl w:val="0"/>
                <w:numId w:val="0"/>
              </w:numPr>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水环境城镇生活污染重点管控区</w:t>
            </w:r>
          </w:p>
          <w:p w14:paraId="45F5B6C8">
            <w:pPr>
              <w:rPr>
                <w:color w:val="auto"/>
                <w:sz w:val="21"/>
                <w:szCs w:val="21"/>
                <w:highlight w:val="none"/>
                <w:lang w:bidi="ar"/>
              </w:rPr>
            </w:pPr>
            <w:r>
              <w:rPr>
                <w:rFonts w:hint="eastAsia"/>
                <w:bCs/>
                <w:snapToGrid w:val="0"/>
                <w:color w:val="auto"/>
                <w:kern w:val="0"/>
                <w:szCs w:val="21"/>
                <w:highlight w:val="none"/>
                <w:lang w:val="en-US" w:eastAsia="zh-CN"/>
              </w:rPr>
              <w:t>项目周边市政污水管网已建设到位，本项目</w:t>
            </w:r>
            <w:r>
              <w:rPr>
                <w:rFonts w:hint="eastAsia" w:ascii="Times New Roman" w:hAnsi="Times New Roman" w:cs="Times New Roman"/>
                <w:color w:val="auto"/>
                <w:szCs w:val="21"/>
                <w:highlight w:val="none"/>
                <w:lang w:val="en-US" w:eastAsia="zh-CN"/>
              </w:rPr>
              <w:t>废水经</w:t>
            </w:r>
            <w:r>
              <w:rPr>
                <w:rFonts w:hint="eastAsia" w:ascii="Times New Roman" w:hAnsi="Times New Roman" w:cs="Times New Roman"/>
                <w:color w:val="auto"/>
                <w:szCs w:val="21"/>
                <w:highlight w:val="none"/>
              </w:rPr>
              <w:t>市政管网</w:t>
            </w:r>
            <w:r>
              <w:rPr>
                <w:rFonts w:hint="eastAsia" w:ascii="Times New Roman" w:hAnsi="Times New Roman" w:cs="Times New Roman"/>
                <w:color w:val="auto"/>
                <w:szCs w:val="21"/>
                <w:highlight w:val="none"/>
                <w:lang w:val="en-US" w:eastAsia="zh-CN"/>
              </w:rPr>
              <w:t>排入</w:t>
            </w:r>
            <w:r>
              <w:rPr>
                <w:rFonts w:hint="default" w:ascii="Times New Roman" w:hAnsi="Times New Roman" w:eastAsia="宋体" w:cs="Times New Roman"/>
                <w:color w:val="auto"/>
                <w:kern w:val="0"/>
                <w:sz w:val="21"/>
                <w:szCs w:val="21"/>
                <w:highlight w:val="none"/>
                <w:lang w:val="en-US" w:eastAsia="zh-CN" w:bidi="ar"/>
              </w:rPr>
              <w:t>沣西新城</w:t>
            </w:r>
            <w:r>
              <w:rPr>
                <w:rFonts w:hint="eastAsia" w:ascii="Times New Roman" w:hAnsi="Times New Roman" w:eastAsia="宋体" w:cs="Times New Roman"/>
                <w:color w:val="auto"/>
                <w:kern w:val="0"/>
                <w:sz w:val="21"/>
                <w:szCs w:val="21"/>
                <w:highlight w:val="none"/>
                <w:lang w:val="en-US" w:eastAsia="zh-CN" w:bidi="ar"/>
              </w:rPr>
              <w:t>沣</w:t>
            </w:r>
            <w:r>
              <w:rPr>
                <w:rFonts w:hint="default" w:ascii="Times New Roman" w:hAnsi="Times New Roman" w:eastAsia="宋体" w:cs="Times New Roman"/>
                <w:color w:val="auto"/>
                <w:kern w:val="0"/>
                <w:sz w:val="21"/>
                <w:szCs w:val="21"/>
                <w:highlight w:val="none"/>
                <w:lang w:val="en-US" w:eastAsia="zh-CN" w:bidi="ar"/>
              </w:rPr>
              <w:t>河污水处理厂</w:t>
            </w:r>
            <w:r>
              <w:rPr>
                <w:rFonts w:hint="eastAsia"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出水水质</w:t>
            </w:r>
            <w:r>
              <w:rPr>
                <w:rFonts w:hint="eastAsia" w:ascii="Times New Roman" w:hAnsi="Times New Roman" w:cs="Times New Roman"/>
                <w:color w:val="auto"/>
                <w:szCs w:val="21"/>
                <w:highlight w:val="none"/>
                <w:lang w:val="en-US" w:eastAsia="zh-CN"/>
              </w:rPr>
              <w:t>满足污水处理厂纳管标准要求，采取了有效措施减少了污染物排放</w:t>
            </w:r>
          </w:p>
        </w:tc>
      </w:tr>
      <w:tr w14:paraId="5FD11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02" w:type="dxa"/>
            <w:vMerge w:val="continue"/>
            <w:tcBorders>
              <w:tl2br w:val="nil"/>
              <w:tr2bl w:val="nil"/>
            </w:tcBorders>
            <w:vAlign w:val="center"/>
          </w:tcPr>
          <w:p w14:paraId="118E5760">
            <w:pPr>
              <w:jc w:val="center"/>
              <w:rPr>
                <w:rFonts w:hint="eastAsia"/>
                <w:b/>
                <w:bCs/>
                <w:color w:val="auto"/>
                <w:sz w:val="21"/>
                <w:szCs w:val="21"/>
                <w:highlight w:val="none"/>
                <w:lang w:bidi="ar"/>
              </w:rPr>
            </w:pPr>
          </w:p>
        </w:tc>
        <w:tc>
          <w:tcPr>
            <w:tcW w:w="652" w:type="dxa"/>
            <w:vMerge w:val="continue"/>
            <w:tcBorders>
              <w:tl2br w:val="nil"/>
              <w:tr2bl w:val="nil"/>
            </w:tcBorders>
            <w:vAlign w:val="center"/>
          </w:tcPr>
          <w:p w14:paraId="070D9808">
            <w:pPr>
              <w:jc w:val="center"/>
              <w:rPr>
                <w:b/>
                <w:bCs/>
                <w:color w:val="auto"/>
                <w:sz w:val="21"/>
                <w:szCs w:val="21"/>
                <w:highlight w:val="none"/>
                <w:lang w:bidi="ar"/>
              </w:rPr>
            </w:pPr>
          </w:p>
        </w:tc>
        <w:tc>
          <w:tcPr>
            <w:tcW w:w="384" w:type="dxa"/>
            <w:vMerge w:val="continue"/>
            <w:tcBorders>
              <w:tl2br w:val="nil"/>
              <w:tr2bl w:val="nil"/>
            </w:tcBorders>
            <w:vAlign w:val="center"/>
          </w:tcPr>
          <w:p w14:paraId="31A60EA8">
            <w:pPr>
              <w:jc w:val="center"/>
              <w:rPr>
                <w:b/>
                <w:bCs/>
                <w:color w:val="auto"/>
                <w:sz w:val="21"/>
                <w:szCs w:val="21"/>
                <w:highlight w:val="none"/>
                <w:lang w:bidi="ar"/>
              </w:rPr>
            </w:pPr>
          </w:p>
        </w:tc>
        <w:tc>
          <w:tcPr>
            <w:tcW w:w="924" w:type="dxa"/>
            <w:vMerge w:val="continue"/>
            <w:tcBorders>
              <w:tl2br w:val="nil"/>
              <w:tr2bl w:val="nil"/>
            </w:tcBorders>
            <w:vAlign w:val="center"/>
          </w:tcPr>
          <w:p w14:paraId="03521272">
            <w:pPr>
              <w:jc w:val="center"/>
              <w:rPr>
                <w:b/>
                <w:bCs/>
                <w:color w:val="auto"/>
                <w:sz w:val="21"/>
                <w:szCs w:val="21"/>
                <w:highlight w:val="none"/>
                <w:lang w:bidi="ar"/>
              </w:rPr>
            </w:pPr>
          </w:p>
        </w:tc>
        <w:tc>
          <w:tcPr>
            <w:tcW w:w="900" w:type="dxa"/>
            <w:vMerge w:val="continue"/>
            <w:tcBorders>
              <w:tl2br w:val="nil"/>
              <w:tr2bl w:val="nil"/>
            </w:tcBorders>
            <w:vAlign w:val="center"/>
          </w:tcPr>
          <w:p w14:paraId="0A17F672">
            <w:pPr>
              <w:widowControl/>
              <w:jc w:val="center"/>
              <w:rPr>
                <w:color w:val="auto"/>
                <w:sz w:val="21"/>
                <w:szCs w:val="21"/>
                <w:highlight w:val="none"/>
                <w:lang w:bidi="ar"/>
              </w:rPr>
            </w:pPr>
          </w:p>
        </w:tc>
        <w:tc>
          <w:tcPr>
            <w:tcW w:w="852" w:type="dxa"/>
            <w:vMerge w:val="continue"/>
            <w:tcBorders>
              <w:tl2br w:val="nil"/>
              <w:tr2bl w:val="nil"/>
            </w:tcBorders>
            <w:vAlign w:val="center"/>
          </w:tcPr>
          <w:p w14:paraId="541FC167">
            <w:pPr>
              <w:jc w:val="center"/>
              <w:rPr>
                <w:color w:val="auto"/>
                <w:sz w:val="21"/>
                <w:szCs w:val="21"/>
                <w:highlight w:val="none"/>
                <w:lang w:bidi="ar"/>
              </w:rPr>
            </w:pPr>
          </w:p>
        </w:tc>
        <w:tc>
          <w:tcPr>
            <w:tcW w:w="1177" w:type="dxa"/>
            <w:tcBorders>
              <w:tl2br w:val="nil"/>
              <w:tr2bl w:val="nil"/>
            </w:tcBorders>
            <w:shd w:val="clear" w:color="auto" w:fill="auto"/>
            <w:vAlign w:val="center"/>
          </w:tcPr>
          <w:p w14:paraId="6EE32E56">
            <w:pPr>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环境风险防控</w:t>
            </w:r>
          </w:p>
        </w:tc>
        <w:tc>
          <w:tcPr>
            <w:tcW w:w="4631" w:type="dxa"/>
            <w:tcBorders>
              <w:tl2br w:val="nil"/>
              <w:tr2bl w:val="nil"/>
            </w:tcBorders>
            <w:shd w:val="clear" w:color="auto" w:fill="auto"/>
            <w:vAlign w:val="center"/>
          </w:tcPr>
          <w:p w14:paraId="6F2C822C">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996" w:type="dxa"/>
            <w:vMerge w:val="continue"/>
            <w:tcBorders>
              <w:tl2br w:val="nil"/>
              <w:tr2bl w:val="nil"/>
            </w:tcBorders>
            <w:vAlign w:val="center"/>
          </w:tcPr>
          <w:p w14:paraId="442C4410">
            <w:pPr>
              <w:jc w:val="center"/>
              <w:rPr>
                <w:b/>
                <w:bCs/>
                <w:color w:val="auto"/>
                <w:sz w:val="21"/>
                <w:szCs w:val="21"/>
                <w:highlight w:val="none"/>
                <w:lang w:bidi="ar"/>
              </w:rPr>
            </w:pPr>
          </w:p>
        </w:tc>
        <w:tc>
          <w:tcPr>
            <w:tcW w:w="2550" w:type="dxa"/>
            <w:tcBorders>
              <w:tl2br w:val="nil"/>
              <w:tr2bl w:val="nil"/>
            </w:tcBorders>
            <w:vAlign w:val="center"/>
          </w:tcPr>
          <w:p w14:paraId="0250904E">
            <w:pPr>
              <w:jc w:val="center"/>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w:t>
            </w:r>
          </w:p>
        </w:tc>
      </w:tr>
      <w:tr w14:paraId="52D0A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02" w:type="dxa"/>
            <w:vMerge w:val="continue"/>
            <w:tcBorders>
              <w:tl2br w:val="nil"/>
              <w:tr2bl w:val="nil"/>
            </w:tcBorders>
            <w:vAlign w:val="center"/>
          </w:tcPr>
          <w:p w14:paraId="74CDF001">
            <w:pPr>
              <w:jc w:val="center"/>
              <w:rPr>
                <w:color w:val="auto"/>
                <w:sz w:val="21"/>
                <w:szCs w:val="21"/>
                <w:highlight w:val="none"/>
              </w:rPr>
            </w:pPr>
          </w:p>
        </w:tc>
        <w:tc>
          <w:tcPr>
            <w:tcW w:w="652" w:type="dxa"/>
            <w:vMerge w:val="continue"/>
            <w:tcBorders>
              <w:tl2br w:val="nil"/>
              <w:tr2bl w:val="nil"/>
            </w:tcBorders>
            <w:vAlign w:val="center"/>
          </w:tcPr>
          <w:p w14:paraId="541C06E8">
            <w:pPr>
              <w:jc w:val="center"/>
              <w:rPr>
                <w:color w:val="auto"/>
                <w:sz w:val="21"/>
                <w:szCs w:val="21"/>
                <w:highlight w:val="none"/>
              </w:rPr>
            </w:pPr>
          </w:p>
        </w:tc>
        <w:tc>
          <w:tcPr>
            <w:tcW w:w="384" w:type="dxa"/>
            <w:vMerge w:val="continue"/>
            <w:tcBorders>
              <w:tl2br w:val="nil"/>
              <w:tr2bl w:val="nil"/>
            </w:tcBorders>
            <w:vAlign w:val="center"/>
          </w:tcPr>
          <w:p w14:paraId="5F54F56A">
            <w:pPr>
              <w:jc w:val="center"/>
              <w:rPr>
                <w:color w:val="auto"/>
                <w:sz w:val="21"/>
                <w:szCs w:val="21"/>
                <w:highlight w:val="none"/>
              </w:rPr>
            </w:pPr>
          </w:p>
        </w:tc>
        <w:tc>
          <w:tcPr>
            <w:tcW w:w="924" w:type="dxa"/>
            <w:vMerge w:val="continue"/>
            <w:tcBorders>
              <w:tl2br w:val="nil"/>
              <w:tr2bl w:val="nil"/>
            </w:tcBorders>
            <w:vAlign w:val="center"/>
          </w:tcPr>
          <w:p w14:paraId="0618B1CA">
            <w:pPr>
              <w:jc w:val="center"/>
              <w:rPr>
                <w:color w:val="auto"/>
                <w:sz w:val="21"/>
                <w:szCs w:val="21"/>
                <w:highlight w:val="none"/>
              </w:rPr>
            </w:pPr>
          </w:p>
        </w:tc>
        <w:tc>
          <w:tcPr>
            <w:tcW w:w="900" w:type="dxa"/>
            <w:vMerge w:val="continue"/>
            <w:tcBorders>
              <w:tl2br w:val="nil"/>
              <w:tr2bl w:val="nil"/>
            </w:tcBorders>
            <w:vAlign w:val="center"/>
          </w:tcPr>
          <w:p w14:paraId="5B4FE3B6">
            <w:pPr>
              <w:jc w:val="center"/>
              <w:rPr>
                <w:color w:val="auto"/>
                <w:sz w:val="21"/>
                <w:szCs w:val="21"/>
                <w:highlight w:val="none"/>
                <w:lang w:bidi="ar"/>
              </w:rPr>
            </w:pPr>
          </w:p>
        </w:tc>
        <w:tc>
          <w:tcPr>
            <w:tcW w:w="852" w:type="dxa"/>
            <w:vMerge w:val="continue"/>
            <w:tcBorders>
              <w:tl2br w:val="nil"/>
              <w:tr2bl w:val="nil"/>
            </w:tcBorders>
            <w:vAlign w:val="center"/>
          </w:tcPr>
          <w:p w14:paraId="5825F006">
            <w:pPr>
              <w:jc w:val="center"/>
              <w:rPr>
                <w:color w:val="auto"/>
                <w:sz w:val="21"/>
                <w:szCs w:val="21"/>
                <w:highlight w:val="none"/>
                <w:lang w:bidi="ar"/>
              </w:rPr>
            </w:pPr>
          </w:p>
        </w:tc>
        <w:tc>
          <w:tcPr>
            <w:tcW w:w="1177" w:type="dxa"/>
            <w:tcBorders>
              <w:tl2br w:val="nil"/>
              <w:tr2bl w:val="nil"/>
            </w:tcBorders>
            <w:vAlign w:val="center"/>
          </w:tcPr>
          <w:p w14:paraId="6C50DA4A">
            <w:pPr>
              <w:widowControl/>
              <w:jc w:val="center"/>
              <w:rPr>
                <w:color w:val="auto"/>
                <w:sz w:val="21"/>
                <w:szCs w:val="21"/>
                <w:highlight w:val="none"/>
                <w:lang w:bidi="ar"/>
              </w:rPr>
            </w:pPr>
            <w:r>
              <w:rPr>
                <w:color w:val="auto"/>
                <w:sz w:val="21"/>
                <w:szCs w:val="21"/>
                <w:highlight w:val="none"/>
                <w:lang w:bidi="ar"/>
              </w:rPr>
              <w:t>资源利用效率</w:t>
            </w:r>
          </w:p>
        </w:tc>
        <w:tc>
          <w:tcPr>
            <w:tcW w:w="4631" w:type="dxa"/>
            <w:tcBorders>
              <w:tl2br w:val="nil"/>
              <w:tr2bl w:val="nil"/>
            </w:tcBorders>
            <w:vAlign w:val="center"/>
          </w:tcPr>
          <w:p w14:paraId="08AC8044">
            <w:pPr>
              <w:widowControl/>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高污染燃料禁燃区</w:t>
            </w:r>
          </w:p>
          <w:p w14:paraId="690BF817">
            <w:pPr>
              <w:widowControl/>
              <w:rPr>
                <w:color w:val="auto"/>
                <w:sz w:val="21"/>
                <w:szCs w:val="21"/>
                <w:highlight w:val="none"/>
                <w:lang w:bidi="ar"/>
              </w:rPr>
            </w:pPr>
            <w:r>
              <w:rPr>
                <w:rFonts w:hint="eastAsia"/>
                <w:bCs/>
                <w:snapToGrid w:val="0"/>
                <w:color w:val="auto"/>
                <w:kern w:val="0"/>
                <w:szCs w:val="21"/>
                <w:highlight w:val="none"/>
                <w:lang w:val="en-US" w:eastAsia="zh-CN"/>
              </w:rPr>
              <w:t>严格禁燃区管控。市区和南六县市全域及北五县市城镇周边划定为高污染燃料禁燃区，禁止销售、使用煤炭及其制品等高污染燃料（</w:t>
            </w:r>
            <w:r>
              <w:rPr>
                <w:bCs/>
                <w:snapToGrid w:val="0"/>
                <w:color w:val="auto"/>
                <w:kern w:val="0"/>
                <w:szCs w:val="21"/>
                <w:highlight w:val="none"/>
                <w:lang w:val="en-US" w:eastAsia="zh-CN"/>
              </w:rPr>
              <w:t xml:space="preserve">35 </w:t>
            </w:r>
            <w:r>
              <w:rPr>
                <w:rFonts w:hint="eastAsia"/>
                <w:bCs/>
                <w:snapToGrid w:val="0"/>
                <w:color w:val="auto"/>
                <w:kern w:val="0"/>
                <w:szCs w:val="21"/>
                <w:highlight w:val="none"/>
                <w:lang w:val="en-US" w:eastAsia="zh-CN"/>
              </w:rPr>
              <w:t>蒸吨及以上燃煤锅炉、火力发电企业、机组及水泥、砖瓦等原料煤使用企业除外）；各县市区全面退出禁燃区内洁净煤加工中心及配送网点，对配送网点及群众存量煤炭全部有偿回收。北五县市非禁燃区内可采用洁净煤或</w:t>
            </w:r>
            <w:r>
              <w:rPr>
                <w:rFonts w:hint="default"/>
                <w:bCs/>
                <w:snapToGrid w:val="0"/>
                <w:color w:val="auto"/>
                <w:kern w:val="0"/>
                <w:szCs w:val="21"/>
                <w:highlight w:val="none"/>
                <w:lang w:val="en-US" w:eastAsia="zh-CN"/>
              </w:rPr>
              <w:t>“</w:t>
            </w:r>
            <w:r>
              <w:rPr>
                <w:rFonts w:hint="eastAsia"/>
                <w:bCs/>
                <w:snapToGrid w:val="0"/>
                <w:color w:val="auto"/>
                <w:kern w:val="0"/>
                <w:szCs w:val="21"/>
                <w:highlight w:val="none"/>
                <w:lang w:val="en-US" w:eastAsia="zh-CN"/>
              </w:rPr>
              <w:t>生物质成型燃料</w:t>
            </w:r>
            <w:r>
              <w:rPr>
                <w:rFonts w:hint="default"/>
                <w:bCs/>
                <w:snapToGrid w:val="0"/>
                <w:color w:val="auto"/>
                <w:kern w:val="0"/>
                <w:szCs w:val="21"/>
                <w:highlight w:val="none"/>
                <w:lang w:val="en-US" w:eastAsia="zh-CN"/>
              </w:rPr>
              <w:t>+</w:t>
            </w:r>
            <w:r>
              <w:rPr>
                <w:rFonts w:hint="eastAsia"/>
                <w:bCs/>
                <w:snapToGrid w:val="0"/>
                <w:color w:val="auto"/>
                <w:kern w:val="0"/>
                <w:szCs w:val="21"/>
                <w:highlight w:val="none"/>
                <w:lang w:val="en-US" w:eastAsia="zh-CN"/>
              </w:rPr>
              <w:t>专用炉具</w:t>
            </w:r>
            <w:r>
              <w:rPr>
                <w:rFonts w:hint="default"/>
                <w:bCs/>
                <w:snapToGrid w:val="0"/>
                <w:color w:val="auto"/>
                <w:kern w:val="0"/>
                <w:szCs w:val="21"/>
                <w:highlight w:val="none"/>
                <w:lang w:val="en-US" w:eastAsia="zh-CN"/>
              </w:rPr>
              <w:t>”</w:t>
            </w:r>
            <w:r>
              <w:rPr>
                <w:rFonts w:hint="eastAsia"/>
                <w:bCs/>
                <w:snapToGrid w:val="0"/>
                <w:color w:val="auto"/>
                <w:kern w:val="0"/>
                <w:szCs w:val="21"/>
                <w:highlight w:val="none"/>
                <w:lang w:val="en-US" w:eastAsia="zh-CN"/>
              </w:rPr>
              <w:t xml:space="preserve">兜底。加强对直送、网络等方式销售散煤的监管，严厉打击违法销售行为，同时倒查上游企业责任，从源头杜绝散煤销售。 </w:t>
            </w:r>
          </w:p>
        </w:tc>
        <w:tc>
          <w:tcPr>
            <w:tcW w:w="996" w:type="dxa"/>
            <w:vMerge w:val="continue"/>
            <w:tcBorders>
              <w:tl2br w:val="nil"/>
              <w:tr2bl w:val="nil"/>
            </w:tcBorders>
            <w:vAlign w:val="center"/>
          </w:tcPr>
          <w:p w14:paraId="088EC219">
            <w:pPr>
              <w:jc w:val="center"/>
              <w:rPr>
                <w:color w:val="auto"/>
                <w:sz w:val="21"/>
                <w:szCs w:val="21"/>
                <w:highlight w:val="none"/>
              </w:rPr>
            </w:pPr>
          </w:p>
        </w:tc>
        <w:tc>
          <w:tcPr>
            <w:tcW w:w="2550" w:type="dxa"/>
            <w:tcBorders>
              <w:tl2br w:val="nil"/>
              <w:tr2bl w:val="nil"/>
            </w:tcBorders>
            <w:vAlign w:val="center"/>
          </w:tcPr>
          <w:p w14:paraId="27303BDC">
            <w:pPr>
              <w:widowControl/>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高污染燃料禁燃区</w:t>
            </w:r>
          </w:p>
          <w:p w14:paraId="7997F944">
            <w:pPr>
              <w:widowControl/>
              <w:rPr>
                <w:rFonts w:hint="default"/>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本项目使用的能源为电能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本项目不涉及</w:t>
            </w:r>
            <w:r>
              <w:rPr>
                <w:rFonts w:hint="eastAsia" w:ascii="宋体" w:hAnsi="宋体" w:cs="宋体"/>
                <w:color w:val="auto"/>
                <w:sz w:val="21"/>
                <w:szCs w:val="21"/>
                <w:highlight w:val="none"/>
                <w:lang w:val="en-US" w:eastAsia="zh-CN"/>
              </w:rPr>
              <w:t>高污染燃料</w:t>
            </w:r>
          </w:p>
        </w:tc>
      </w:tr>
    </w:tbl>
    <w:p w14:paraId="05B36763">
      <w:pPr>
        <w:pStyle w:val="64"/>
        <w:spacing w:before="0" w:beforeLines="0" w:line="240" w:lineRule="auto"/>
        <w:rPr>
          <w:rFonts w:hint="default" w:ascii="Times New Roman" w:hAnsi="Times New Roman" w:eastAsia="宋体" w:cs="Times New Roman"/>
          <w:b/>
          <w:color w:val="auto"/>
          <w:kern w:val="0"/>
          <w:szCs w:val="21"/>
        </w:rPr>
      </w:pPr>
    </w:p>
    <w:p w14:paraId="25D1ABF2">
      <w:pPr>
        <w:bidi w:val="0"/>
        <w:rPr>
          <w:rFonts w:hint="default" w:ascii="Times New Roman" w:hAnsi="Times New Roman" w:cs="Times New Roman"/>
          <w:color w:val="auto"/>
        </w:rPr>
        <w:sectPr>
          <w:pgSz w:w="16838" w:h="11906" w:orient="landscape"/>
          <w:pgMar w:top="1531" w:right="1701" w:bottom="1531" w:left="1701" w:header="907" w:footer="907" w:gutter="0"/>
          <w:pgBorders>
            <w:top w:val="none" w:sz="0" w:space="0"/>
            <w:left w:val="none" w:sz="0" w:space="0"/>
            <w:bottom w:val="none" w:sz="0" w:space="0"/>
            <w:right w:val="none" w:sz="0" w:space="0"/>
          </w:pgBorders>
          <w:pgNumType w:fmt="decimal"/>
          <w:cols w:space="720" w:num="1"/>
          <w:docGrid w:linePitch="312" w:charSpace="0"/>
        </w:sectPr>
      </w:pPr>
    </w:p>
    <w:tbl>
      <w:tblPr>
        <w:tblStyle w:val="28"/>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2"/>
        <w:gridCol w:w="8368"/>
      </w:tblGrid>
      <w:tr w14:paraId="460F2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21" w:hRule="atLeast"/>
          <w:jc w:val="center"/>
        </w:trPr>
        <w:tc>
          <w:tcPr>
            <w:tcW w:w="502" w:type="dxa"/>
            <w:vAlign w:val="center"/>
          </w:tcPr>
          <w:p w14:paraId="487C7DDE">
            <w:pPr>
              <w:autoSpaceDE w:val="0"/>
              <w:autoSpaceDN w:val="0"/>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其他符合性分析</w:t>
            </w:r>
          </w:p>
        </w:tc>
        <w:tc>
          <w:tcPr>
            <w:tcW w:w="8368" w:type="dxa"/>
            <w:vAlign w:val="center"/>
          </w:tcPr>
          <w:p w14:paraId="27EDB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b/>
                <w:color w:val="auto"/>
                <w:sz w:val="24"/>
                <w:szCs w:val="24"/>
              </w:rPr>
            </w:pPr>
            <w:r>
              <w:rPr>
                <w:rFonts w:hint="eastAsia" w:cs="Times New Roman"/>
                <w:b/>
                <w:color w:val="auto"/>
                <w:sz w:val="24"/>
                <w:szCs w:val="24"/>
                <w:lang w:val="en-US" w:eastAsia="zh-CN"/>
              </w:rPr>
              <w:t>3、</w:t>
            </w:r>
            <w:r>
              <w:rPr>
                <w:rFonts w:hint="default" w:ascii="Times New Roman" w:hAnsi="Times New Roman" w:cs="Times New Roman"/>
                <w:b/>
                <w:color w:val="auto"/>
                <w:sz w:val="24"/>
                <w:szCs w:val="24"/>
              </w:rPr>
              <w:t>本项目与相关政策、条例等符合性分析</w:t>
            </w:r>
          </w:p>
          <w:p w14:paraId="0714396F">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本项目与相关环境管理政策相符性分析见下表。</w:t>
            </w:r>
          </w:p>
          <w:p w14:paraId="613C1291">
            <w:pPr>
              <w:keepNext/>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表1-</w:t>
            </w:r>
            <w:r>
              <w:rPr>
                <w:rFonts w:hint="eastAsia" w:cs="Times New Roman"/>
                <w:b/>
                <w:bCs/>
                <w:color w:val="auto"/>
                <w:sz w:val="21"/>
                <w:szCs w:val="21"/>
                <w:lang w:val="en-US" w:eastAsia="zh-CN"/>
              </w:rPr>
              <w:t xml:space="preserve">5  </w:t>
            </w:r>
            <w:r>
              <w:rPr>
                <w:rFonts w:hint="default" w:ascii="Times New Roman" w:hAnsi="Times New Roman" w:cs="Times New Roman"/>
                <w:b/>
                <w:bCs/>
                <w:color w:val="auto"/>
                <w:sz w:val="21"/>
                <w:szCs w:val="21"/>
                <w:lang w:val="en-US" w:eastAsia="zh-CN"/>
              </w:rPr>
              <w:t>本项目与相关政策、条例等符合性分析</w:t>
            </w:r>
          </w:p>
          <w:tbl>
            <w:tblPr>
              <w:tblStyle w:val="28"/>
              <w:tblW w:w="809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908"/>
              <w:gridCol w:w="3203"/>
              <w:gridCol w:w="2109"/>
              <w:gridCol w:w="598"/>
            </w:tblGrid>
            <w:tr w14:paraId="1E3A9E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0613BCD4">
                  <w:pPr>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文件</w:t>
                  </w:r>
                </w:p>
              </w:tc>
              <w:tc>
                <w:tcPr>
                  <w:tcW w:w="4111" w:type="dxa"/>
                  <w:gridSpan w:val="2"/>
                  <w:tcBorders>
                    <w:tl2br w:val="nil"/>
                    <w:tr2bl w:val="nil"/>
                  </w:tcBorders>
                  <w:noWrap w:val="0"/>
                  <w:tcMar>
                    <w:left w:w="28" w:type="dxa"/>
                    <w:right w:w="28" w:type="dxa"/>
                  </w:tcMar>
                  <w:vAlign w:val="center"/>
                </w:tcPr>
                <w:p w14:paraId="6993100E">
                  <w:pPr>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政策要求</w:t>
                  </w:r>
                </w:p>
              </w:tc>
              <w:tc>
                <w:tcPr>
                  <w:tcW w:w="2109" w:type="dxa"/>
                  <w:tcBorders>
                    <w:tl2br w:val="nil"/>
                    <w:tr2bl w:val="nil"/>
                  </w:tcBorders>
                  <w:noWrap w:val="0"/>
                  <w:tcMar>
                    <w:left w:w="28" w:type="dxa"/>
                    <w:right w:w="28" w:type="dxa"/>
                  </w:tcMar>
                  <w:vAlign w:val="center"/>
                </w:tcPr>
                <w:p w14:paraId="09F5CBBF">
                  <w:pPr>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本项目情况</w:t>
                  </w:r>
                </w:p>
              </w:tc>
              <w:tc>
                <w:tcPr>
                  <w:tcW w:w="598" w:type="dxa"/>
                  <w:tcBorders>
                    <w:tl2br w:val="nil"/>
                    <w:tr2bl w:val="nil"/>
                  </w:tcBorders>
                  <w:noWrap w:val="0"/>
                  <w:tcMar>
                    <w:left w:w="28" w:type="dxa"/>
                    <w:right w:w="28" w:type="dxa"/>
                  </w:tcMar>
                  <w:vAlign w:val="center"/>
                </w:tcPr>
                <w:p w14:paraId="0E44EDB7">
                  <w:pPr>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相符性</w:t>
                  </w:r>
                </w:p>
              </w:tc>
            </w:tr>
            <w:tr w14:paraId="24FB6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053E086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zh-CN" w:eastAsia="zh-CN" w:bidi="ar-SA"/>
                    </w:rPr>
                    <w:t>《“十四五”</w:t>
                  </w:r>
                  <w:r>
                    <w:rPr>
                      <w:rFonts w:hint="default" w:ascii="Times New Roman" w:hAnsi="Times New Roman" w:eastAsia="宋体" w:cs="Times New Roman"/>
                      <w:b w:val="0"/>
                      <w:bCs/>
                      <w:color w:val="auto"/>
                      <w:kern w:val="2"/>
                      <w:sz w:val="21"/>
                      <w:szCs w:val="21"/>
                      <w:highlight w:val="none"/>
                      <w:lang w:val="en-US" w:eastAsia="zh-CN" w:bidi="ar-SA"/>
                    </w:rPr>
                    <w:t>挥</w:t>
                  </w:r>
                  <w:r>
                    <w:rPr>
                      <w:rFonts w:hint="default" w:ascii="Times New Roman" w:hAnsi="Times New Roman" w:eastAsia="宋体" w:cs="Times New Roman"/>
                      <w:b w:val="0"/>
                      <w:bCs/>
                      <w:color w:val="auto"/>
                      <w:kern w:val="2"/>
                      <w:sz w:val="21"/>
                      <w:szCs w:val="21"/>
                      <w:highlight w:val="none"/>
                      <w:lang w:val="zh-CN" w:eastAsia="zh-CN" w:bidi="ar-SA"/>
                    </w:rPr>
                    <w:t>发性有机物综合治理方案》</w:t>
                  </w:r>
                </w:p>
              </w:tc>
              <w:tc>
                <w:tcPr>
                  <w:tcW w:w="4111" w:type="dxa"/>
                  <w:gridSpan w:val="2"/>
                  <w:tcBorders>
                    <w:tl2br w:val="nil"/>
                    <w:tr2bl w:val="nil"/>
                  </w:tcBorders>
                  <w:noWrap w:val="0"/>
                  <w:tcMar>
                    <w:left w:w="28" w:type="dxa"/>
                    <w:right w:w="28" w:type="dxa"/>
                  </w:tcMar>
                  <w:vAlign w:val="center"/>
                </w:tcPr>
                <w:p w14:paraId="283AFF3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w:t>
                  </w:r>
                  <w:r>
                    <w:rPr>
                      <w:rFonts w:hint="default" w:ascii="Times New Roman" w:hAnsi="Times New Roman" w:eastAsia="宋体" w:cs="Times New Roman"/>
                      <w:b w:val="0"/>
                      <w:bCs/>
                      <w:color w:val="auto"/>
                      <w:kern w:val="2"/>
                      <w:sz w:val="21"/>
                      <w:szCs w:val="21"/>
                      <w:highlight w:val="none"/>
                      <w:lang w:val="en-US" w:eastAsia="zh-CN" w:bidi="ar-SA"/>
                    </w:rPr>
                    <w:t>三</w:t>
                  </w:r>
                  <w:r>
                    <w:rPr>
                      <w:rFonts w:hint="default" w:ascii="Times New Roman" w:hAnsi="Times New Roman" w:eastAsia="宋体" w:cs="Times New Roman"/>
                      <w:b w:val="0"/>
                      <w:bCs/>
                      <w:color w:val="auto"/>
                      <w:kern w:val="2"/>
                      <w:sz w:val="21"/>
                      <w:szCs w:val="21"/>
                      <w:highlight w:val="none"/>
                      <w:lang w:val="zh-CN" w:eastAsia="zh-CN" w:bidi="ar-SA"/>
                    </w:rPr>
                    <w:t>）严格生产环节控制，减少过程泄漏</w:t>
                  </w:r>
                </w:p>
                <w:p w14:paraId="6E012CB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zh-CN" w:eastAsia="zh-CN" w:bidi="ar-SA"/>
                    </w:rPr>
                    <w:t>6严格控制无组织排放。在保证安全前提下，加强含VOCs物料全方位、全链条、全环节密闭管理，做好VOCs物料储存、转移和输送、设备与管线组件泄漏、敞开液面逸散以及工艺过程等无组织排放环节的管理。生产应优先采用密闭设备、在密闭空间中操作或采用全密闭集气罩收集方式，原则上应保持微负压状态，并根据相关规范合理设置通风量；采用局部集气罩的，距集气罩开口面最远处的VOCs无组织排放位置控制风速应不</w:t>
                  </w:r>
                  <w:r>
                    <w:rPr>
                      <w:rFonts w:hint="default" w:ascii="Times New Roman" w:hAnsi="Times New Roman" w:eastAsia="宋体" w:cs="Times New Roman"/>
                      <w:b w:val="0"/>
                      <w:bCs/>
                      <w:color w:val="auto"/>
                      <w:kern w:val="2"/>
                      <w:sz w:val="21"/>
                      <w:szCs w:val="21"/>
                      <w:highlight w:val="none"/>
                      <w:lang w:val="en-US" w:eastAsia="zh-CN" w:bidi="ar-SA"/>
                    </w:rPr>
                    <w:t>低</w:t>
                  </w:r>
                  <w:r>
                    <w:rPr>
                      <w:rFonts w:hint="default" w:ascii="Times New Roman" w:hAnsi="Times New Roman" w:eastAsia="宋体" w:cs="Times New Roman"/>
                      <w:b w:val="0"/>
                      <w:bCs/>
                      <w:color w:val="auto"/>
                      <w:kern w:val="2"/>
                      <w:sz w:val="21"/>
                      <w:szCs w:val="21"/>
                      <w:highlight w:val="none"/>
                      <w:lang w:val="zh-CN" w:eastAsia="zh-CN" w:bidi="ar-SA"/>
                    </w:rPr>
                    <w:t>于0</w:t>
                  </w:r>
                  <w:r>
                    <w:rPr>
                      <w:rFonts w:hint="default"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zh-CN" w:eastAsia="zh-CN" w:bidi="ar-SA"/>
                    </w:rPr>
                    <w:t>3米/秒。对VOCs物料储罐和污水集输、储存、处理设施开展排查，督促企业按要求开展专项治理。</w:t>
                  </w:r>
                </w:p>
              </w:tc>
              <w:tc>
                <w:tcPr>
                  <w:tcW w:w="2109" w:type="dxa"/>
                  <w:tcBorders>
                    <w:tl2br w:val="nil"/>
                    <w:tr2bl w:val="nil"/>
                  </w:tcBorders>
                  <w:noWrap w:val="0"/>
                  <w:tcMar>
                    <w:left w:w="28" w:type="dxa"/>
                    <w:right w:w="28" w:type="dxa"/>
                  </w:tcMar>
                  <w:vAlign w:val="center"/>
                </w:tcPr>
                <w:p w14:paraId="6068B55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项目含VOCs原料主要是有机溶剂，项目实验操作过程中有机溶剂挥发会产生有机废气，由于各试剂用量较少，有机废气产生量较少，通过预测分析可知，污染物排放浓度满足《大气污染物综合排放标准》（GB16297-1996）中的</w:t>
                  </w:r>
                  <w:r>
                    <w:rPr>
                      <w:rFonts w:hint="default" w:ascii="Times New Roman" w:hAnsi="Times New Roman" w:eastAsia="宋体" w:cs="Times New Roman"/>
                      <w:b w:val="0"/>
                      <w:bCs/>
                      <w:color w:val="auto"/>
                      <w:kern w:val="2"/>
                      <w:sz w:val="21"/>
                      <w:szCs w:val="21"/>
                      <w:highlight w:val="none"/>
                      <w:lang w:val="zh-CN" w:eastAsia="zh-CN" w:bidi="ar-SA"/>
                    </w:rPr>
                    <w:t>浓度限值</w:t>
                  </w:r>
                  <w:r>
                    <w:rPr>
                      <w:rFonts w:hint="eastAsia" w:cs="Times New Roman"/>
                      <w:b w:val="0"/>
                      <w:bCs/>
                      <w:color w:val="auto"/>
                      <w:kern w:val="2"/>
                      <w:sz w:val="21"/>
                      <w:szCs w:val="21"/>
                      <w:highlight w:val="none"/>
                      <w:lang w:val="zh-CN" w:eastAsia="zh-CN" w:bidi="ar-SA"/>
                    </w:rPr>
                    <w:t>。</w:t>
                  </w:r>
                </w:p>
              </w:tc>
              <w:tc>
                <w:tcPr>
                  <w:tcW w:w="598" w:type="dxa"/>
                  <w:tcBorders>
                    <w:tl2br w:val="nil"/>
                    <w:tr2bl w:val="nil"/>
                  </w:tcBorders>
                  <w:noWrap w:val="0"/>
                  <w:tcMar>
                    <w:left w:w="28" w:type="dxa"/>
                    <w:right w:w="28" w:type="dxa"/>
                  </w:tcMar>
                  <w:vAlign w:val="center"/>
                </w:tcPr>
                <w:p w14:paraId="6B8DC76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77A89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restart"/>
                  <w:tcBorders>
                    <w:tl2br w:val="nil"/>
                    <w:tr2bl w:val="nil"/>
                  </w:tcBorders>
                  <w:noWrap w:val="0"/>
                  <w:tcMar>
                    <w:left w:w="28" w:type="dxa"/>
                    <w:right w:w="28" w:type="dxa"/>
                  </w:tcMar>
                  <w:vAlign w:val="center"/>
                </w:tcPr>
                <w:p w14:paraId="25A06BF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zh-CN" w:eastAsia="zh-CN" w:bidi="ar-SA"/>
                    </w:rPr>
                    <w:t>《挥发性有机物无组织排放控制标准》（GB37822-2019）</w:t>
                  </w:r>
                </w:p>
              </w:tc>
              <w:tc>
                <w:tcPr>
                  <w:tcW w:w="908" w:type="dxa"/>
                  <w:tcBorders>
                    <w:tl2br w:val="nil"/>
                    <w:tr2bl w:val="nil"/>
                  </w:tcBorders>
                  <w:noWrap w:val="0"/>
                  <w:tcMar>
                    <w:left w:w="28" w:type="dxa"/>
                    <w:right w:w="28" w:type="dxa"/>
                  </w:tcMar>
                  <w:vAlign w:val="center"/>
                </w:tcPr>
                <w:p w14:paraId="26C4726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VOCs物料储存无组织排放控制要求</w:t>
                  </w:r>
                </w:p>
              </w:tc>
              <w:tc>
                <w:tcPr>
                  <w:tcW w:w="3203" w:type="dxa"/>
                  <w:tcBorders>
                    <w:tl2br w:val="nil"/>
                    <w:tr2bl w:val="nil"/>
                  </w:tcBorders>
                  <w:noWrap w:val="0"/>
                  <w:tcMar>
                    <w:left w:w="28" w:type="dxa"/>
                    <w:right w:w="28" w:type="dxa"/>
                  </w:tcMar>
                  <w:vAlign w:val="center"/>
                </w:tcPr>
                <w:p w14:paraId="779CFB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①VOCs物料应储存于密闭的容器、包装袋、储罐、储库、料仓中。②盛装VOCs物料的容器或包装袋应存放在室内，或存放于设置有雨棚、遮阳和防渗设施的专用场地。盛装VOCs物料的容器或包装袋在非取用状态时应加盖、封口，保持密闭。</w:t>
                  </w:r>
                </w:p>
              </w:tc>
              <w:tc>
                <w:tcPr>
                  <w:tcW w:w="2109" w:type="dxa"/>
                  <w:tcBorders>
                    <w:tl2br w:val="nil"/>
                    <w:tr2bl w:val="nil"/>
                  </w:tcBorders>
                  <w:noWrap w:val="0"/>
                  <w:tcMar>
                    <w:left w:w="28" w:type="dxa"/>
                    <w:right w:w="28" w:type="dxa"/>
                  </w:tcMar>
                  <w:vAlign w:val="center"/>
                </w:tcPr>
                <w:p w14:paraId="5DB230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w:t>
                  </w:r>
                  <w:r>
                    <w:rPr>
                      <w:rFonts w:hint="default" w:ascii="Times New Roman" w:hAnsi="Times New Roman" w:cs="Times New Roman"/>
                      <w:b w:val="0"/>
                      <w:bCs/>
                      <w:color w:val="auto"/>
                      <w:kern w:val="2"/>
                      <w:sz w:val="21"/>
                      <w:szCs w:val="21"/>
                      <w:highlight w:val="none"/>
                      <w:lang w:val="en-US" w:eastAsia="zh-CN" w:bidi="ar-SA"/>
                    </w:rPr>
                    <w:t>所用的化学试剂位于试剂瓶内，</w:t>
                  </w:r>
                  <w:r>
                    <w:rPr>
                      <w:rFonts w:hint="default" w:ascii="Times New Roman" w:hAnsi="Times New Roman" w:eastAsia="宋体" w:cs="Times New Roman"/>
                      <w:b w:val="0"/>
                      <w:bCs/>
                      <w:color w:val="auto"/>
                      <w:kern w:val="2"/>
                      <w:sz w:val="21"/>
                      <w:szCs w:val="21"/>
                      <w:highlight w:val="none"/>
                      <w:lang w:val="zh-CN" w:eastAsia="zh-CN" w:bidi="ar-SA"/>
                    </w:rPr>
                    <w:t>贮存于</w:t>
                  </w:r>
                  <w:r>
                    <w:rPr>
                      <w:rFonts w:hint="eastAsia" w:cs="Times New Roman"/>
                      <w:b w:val="0"/>
                      <w:bCs/>
                      <w:color w:val="auto"/>
                      <w:kern w:val="2"/>
                      <w:sz w:val="21"/>
                      <w:szCs w:val="21"/>
                      <w:highlight w:val="none"/>
                      <w:lang w:val="en-US" w:eastAsia="zh-CN" w:bidi="ar-SA"/>
                    </w:rPr>
                    <w:t>试剂室内</w:t>
                  </w:r>
                  <w:r>
                    <w:rPr>
                      <w:rFonts w:hint="default" w:ascii="Times New Roman" w:hAnsi="Times New Roman" w:cs="Times New Roman"/>
                      <w:b w:val="0"/>
                      <w:bCs/>
                      <w:color w:val="auto"/>
                      <w:kern w:val="2"/>
                      <w:sz w:val="21"/>
                      <w:szCs w:val="21"/>
                      <w:highlight w:val="none"/>
                      <w:lang w:val="en-US" w:eastAsia="zh-CN" w:bidi="ar-SA"/>
                    </w:rPr>
                    <w:t>。</w:t>
                  </w:r>
                </w:p>
              </w:tc>
              <w:tc>
                <w:tcPr>
                  <w:tcW w:w="598" w:type="dxa"/>
                  <w:tcBorders>
                    <w:tl2br w:val="nil"/>
                    <w:tr2bl w:val="nil"/>
                  </w:tcBorders>
                  <w:noWrap w:val="0"/>
                  <w:tcMar>
                    <w:left w:w="28" w:type="dxa"/>
                    <w:right w:w="28" w:type="dxa"/>
                  </w:tcMar>
                  <w:vAlign w:val="center"/>
                </w:tcPr>
                <w:p w14:paraId="110861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18E870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46B6D25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908" w:type="dxa"/>
                  <w:tcBorders>
                    <w:tl2br w:val="nil"/>
                    <w:tr2bl w:val="nil"/>
                  </w:tcBorders>
                  <w:noWrap w:val="0"/>
                  <w:tcMar>
                    <w:left w:w="28" w:type="dxa"/>
                    <w:right w:w="28" w:type="dxa"/>
                  </w:tcMar>
                  <w:vAlign w:val="center"/>
                </w:tcPr>
                <w:p w14:paraId="284368D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VOCs物料转移和输送无组织排放控制要求</w:t>
                  </w:r>
                </w:p>
              </w:tc>
              <w:tc>
                <w:tcPr>
                  <w:tcW w:w="3203" w:type="dxa"/>
                  <w:tcBorders>
                    <w:tl2br w:val="nil"/>
                    <w:tr2bl w:val="nil"/>
                  </w:tcBorders>
                  <w:noWrap w:val="0"/>
                  <w:tcMar>
                    <w:left w:w="28" w:type="dxa"/>
                    <w:right w:w="28" w:type="dxa"/>
                  </w:tcMar>
                  <w:vAlign w:val="center"/>
                </w:tcPr>
                <w:p w14:paraId="75669D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液态VOCs物料应采用密闭管道输送。采用非管道输送方式转移液态VOCs物料时，应采取密闭容器、罐车。</w:t>
                  </w:r>
                </w:p>
              </w:tc>
              <w:tc>
                <w:tcPr>
                  <w:tcW w:w="2109" w:type="dxa"/>
                  <w:tcBorders>
                    <w:tl2br w:val="nil"/>
                    <w:tr2bl w:val="nil"/>
                  </w:tcBorders>
                  <w:noWrap w:val="0"/>
                  <w:tcMar>
                    <w:left w:w="28" w:type="dxa"/>
                    <w:right w:w="28" w:type="dxa"/>
                  </w:tcMar>
                  <w:vAlign w:val="center"/>
                </w:tcPr>
                <w:p w14:paraId="0D53CC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w:t>
                  </w:r>
                  <w:r>
                    <w:rPr>
                      <w:rFonts w:hint="default" w:ascii="Times New Roman" w:hAnsi="Times New Roman" w:cs="Times New Roman"/>
                      <w:b w:val="0"/>
                      <w:bCs/>
                      <w:color w:val="auto"/>
                      <w:kern w:val="2"/>
                      <w:sz w:val="21"/>
                      <w:szCs w:val="21"/>
                      <w:highlight w:val="none"/>
                      <w:lang w:val="en-US" w:eastAsia="zh-CN" w:bidi="ar-SA"/>
                    </w:rPr>
                    <w:t>化学试剂使用量较小，物料运输直接为瓶装试剂</w:t>
                  </w:r>
                  <w:r>
                    <w:rPr>
                      <w:rFonts w:hint="default" w:ascii="Times New Roman" w:hAnsi="Times New Roman" w:eastAsia="宋体" w:cs="Times New Roman"/>
                      <w:b w:val="0"/>
                      <w:bCs/>
                      <w:color w:val="auto"/>
                      <w:kern w:val="2"/>
                      <w:sz w:val="21"/>
                      <w:szCs w:val="21"/>
                      <w:highlight w:val="none"/>
                      <w:lang w:val="zh-CN" w:eastAsia="zh-CN" w:bidi="ar-SA"/>
                    </w:rPr>
                    <w:t>。</w:t>
                  </w:r>
                </w:p>
              </w:tc>
              <w:tc>
                <w:tcPr>
                  <w:tcW w:w="598" w:type="dxa"/>
                  <w:tcBorders>
                    <w:tl2br w:val="nil"/>
                    <w:tr2bl w:val="nil"/>
                  </w:tcBorders>
                  <w:noWrap w:val="0"/>
                  <w:tcMar>
                    <w:left w:w="28" w:type="dxa"/>
                    <w:right w:w="28" w:type="dxa"/>
                  </w:tcMar>
                  <w:vAlign w:val="center"/>
                </w:tcPr>
                <w:p w14:paraId="5B01C1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403699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5F56EC6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908" w:type="dxa"/>
                  <w:tcBorders>
                    <w:tl2br w:val="nil"/>
                    <w:tr2bl w:val="nil"/>
                  </w:tcBorders>
                  <w:noWrap w:val="0"/>
                  <w:tcMar>
                    <w:left w:w="28" w:type="dxa"/>
                    <w:right w:w="28" w:type="dxa"/>
                  </w:tcMar>
                  <w:vAlign w:val="center"/>
                </w:tcPr>
                <w:p w14:paraId="5097B96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工艺过程VOCs无组织排放控制要求</w:t>
                  </w:r>
                </w:p>
              </w:tc>
              <w:tc>
                <w:tcPr>
                  <w:tcW w:w="3203" w:type="dxa"/>
                  <w:tcBorders>
                    <w:tl2br w:val="nil"/>
                    <w:tr2bl w:val="nil"/>
                  </w:tcBorders>
                  <w:noWrap w:val="0"/>
                  <w:tcMar>
                    <w:left w:w="28" w:type="dxa"/>
                    <w:right w:w="28" w:type="dxa"/>
                  </w:tcMar>
                  <w:vAlign w:val="center"/>
                </w:tcPr>
                <w:p w14:paraId="6915CC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①液态VOCs物料应采用密闭管道输送方式或采用高位槽（罐）、桶泵等给料方式密闭投加，无法密闭投加的，应在密闭空间内操作，或进行局部气体收集，废气应排至VOCs废气收集处理系统。②VOCs物料卸料过程应密闭，卸料废气应排至VOCs废气收集系统处理；无法密闭的应采取局部气体收集措施，废气应排至VOCs废气收集处理系统。③VOCs质量占比大于等于10%的含VOCs产品，其使用过程中应采用密闭设备或在密闭空间内操作，废气应排至VOCs废气收集系统；无法密闭的，应采取局部气体收集措施，废气应排至VOCs废气收集处理系统。</w:t>
                  </w:r>
                </w:p>
              </w:tc>
              <w:tc>
                <w:tcPr>
                  <w:tcW w:w="2109" w:type="dxa"/>
                  <w:tcBorders>
                    <w:tl2br w:val="nil"/>
                    <w:tr2bl w:val="nil"/>
                  </w:tcBorders>
                  <w:noWrap w:val="0"/>
                  <w:tcMar>
                    <w:left w:w="28" w:type="dxa"/>
                    <w:right w:w="28" w:type="dxa"/>
                  </w:tcMar>
                  <w:vAlign w:val="center"/>
                </w:tcPr>
                <w:p w14:paraId="62EF31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本项目实验均在通风橱内进行，使用有机溶剂时挥发的废气经通风橱抽风系统输送至活性炭吸附装置进行处理</w:t>
                  </w:r>
                  <w:r>
                    <w:rPr>
                      <w:rFonts w:hint="eastAsia" w:cs="Times New Roman"/>
                      <w:b w:val="0"/>
                      <w:bCs/>
                      <w:color w:val="auto"/>
                      <w:kern w:val="2"/>
                      <w:sz w:val="21"/>
                      <w:szCs w:val="21"/>
                      <w:highlight w:val="none"/>
                      <w:lang w:val="en-US" w:eastAsia="zh-CN" w:bidi="ar-SA"/>
                    </w:rPr>
                    <w:t>后达标排放，</w:t>
                  </w:r>
                  <w:r>
                    <w:rPr>
                      <w:rFonts w:hint="default" w:ascii="Times New Roman" w:hAnsi="Times New Roman" w:eastAsia="宋体" w:cs="Times New Roman"/>
                      <w:b w:val="0"/>
                      <w:bCs/>
                      <w:color w:val="auto"/>
                      <w:kern w:val="2"/>
                      <w:sz w:val="21"/>
                      <w:szCs w:val="21"/>
                      <w:highlight w:val="none"/>
                      <w:lang w:val="zh-CN" w:eastAsia="zh-CN" w:bidi="ar-SA"/>
                    </w:rPr>
                    <w:t>对周围环境影响较小。</w:t>
                  </w:r>
                </w:p>
              </w:tc>
              <w:tc>
                <w:tcPr>
                  <w:tcW w:w="598" w:type="dxa"/>
                  <w:tcBorders>
                    <w:tl2br w:val="nil"/>
                    <w:tr2bl w:val="nil"/>
                  </w:tcBorders>
                  <w:noWrap w:val="0"/>
                  <w:tcMar>
                    <w:left w:w="28" w:type="dxa"/>
                    <w:right w:w="28" w:type="dxa"/>
                  </w:tcMar>
                  <w:vAlign w:val="center"/>
                </w:tcPr>
                <w:p w14:paraId="3DC83B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691727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747A30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908" w:type="dxa"/>
                  <w:vMerge w:val="restart"/>
                  <w:tcBorders>
                    <w:tl2br w:val="nil"/>
                    <w:tr2bl w:val="nil"/>
                  </w:tcBorders>
                  <w:noWrap w:val="0"/>
                  <w:tcMar>
                    <w:left w:w="28" w:type="dxa"/>
                    <w:right w:w="28" w:type="dxa"/>
                  </w:tcMar>
                  <w:vAlign w:val="center"/>
                </w:tcPr>
                <w:p w14:paraId="3171EFE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VOCs无组织排放废气收集处理系统要求</w:t>
                  </w:r>
                </w:p>
              </w:tc>
              <w:tc>
                <w:tcPr>
                  <w:tcW w:w="3203" w:type="dxa"/>
                  <w:tcBorders>
                    <w:tl2br w:val="nil"/>
                    <w:tr2bl w:val="nil"/>
                  </w:tcBorders>
                  <w:noWrap w:val="0"/>
                  <w:tcMar>
                    <w:left w:w="28" w:type="dxa"/>
                    <w:right w:w="28" w:type="dxa"/>
                  </w:tcMar>
                  <w:vAlign w:val="center"/>
                </w:tcPr>
                <w:p w14:paraId="22BF07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109" w:type="dxa"/>
                  <w:tcBorders>
                    <w:tl2br w:val="nil"/>
                    <w:tr2bl w:val="nil"/>
                  </w:tcBorders>
                  <w:noWrap w:val="0"/>
                  <w:tcMar>
                    <w:left w:w="28" w:type="dxa"/>
                    <w:right w:w="28" w:type="dxa"/>
                  </w:tcMar>
                  <w:vAlign w:val="center"/>
                </w:tcPr>
                <w:p w14:paraId="2AB2BA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本项目实验均在通风橱内进行，使用有机溶剂时挥发的废气经通风橱抽风系统输送至活性炭吸附装置进行处理，对周围环境影响较小。</w:t>
                  </w:r>
                </w:p>
              </w:tc>
              <w:tc>
                <w:tcPr>
                  <w:tcW w:w="598" w:type="dxa"/>
                  <w:tcBorders>
                    <w:tl2br w:val="nil"/>
                    <w:tr2bl w:val="nil"/>
                  </w:tcBorders>
                  <w:noWrap w:val="0"/>
                  <w:tcMar>
                    <w:left w:w="28" w:type="dxa"/>
                    <w:right w:w="28" w:type="dxa"/>
                  </w:tcMar>
                  <w:vAlign w:val="center"/>
                </w:tcPr>
                <w:p w14:paraId="743DD2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4A5611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5C6FBB6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908" w:type="dxa"/>
                  <w:vMerge w:val="continue"/>
                  <w:tcBorders>
                    <w:tl2br w:val="nil"/>
                    <w:tr2bl w:val="nil"/>
                  </w:tcBorders>
                  <w:noWrap w:val="0"/>
                  <w:tcMar>
                    <w:left w:w="28" w:type="dxa"/>
                    <w:right w:w="28" w:type="dxa"/>
                  </w:tcMar>
                  <w:vAlign w:val="center"/>
                </w:tcPr>
                <w:p w14:paraId="4D4846E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3203" w:type="dxa"/>
                  <w:tcBorders>
                    <w:tl2br w:val="nil"/>
                    <w:tr2bl w:val="nil"/>
                  </w:tcBorders>
                  <w:noWrap w:val="0"/>
                  <w:tcMar>
                    <w:left w:w="28" w:type="dxa"/>
                    <w:right w:w="28" w:type="dxa"/>
                  </w:tcMar>
                  <w:vAlign w:val="center"/>
                </w:tcPr>
                <w:p w14:paraId="33364E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废气收集系统排风罩（集气罩）的设置应符合GB/T16758的规定。</w:t>
                  </w:r>
                </w:p>
              </w:tc>
              <w:tc>
                <w:tcPr>
                  <w:tcW w:w="2109" w:type="dxa"/>
                  <w:tcBorders>
                    <w:tl2br w:val="nil"/>
                    <w:tr2bl w:val="nil"/>
                  </w:tcBorders>
                  <w:noWrap w:val="0"/>
                  <w:tcMar>
                    <w:left w:w="28" w:type="dxa"/>
                    <w:right w:w="28" w:type="dxa"/>
                  </w:tcMar>
                  <w:vAlign w:val="center"/>
                </w:tcPr>
                <w:p w14:paraId="5F6D84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本项目有机废气经</w:t>
                  </w:r>
                  <w:r>
                    <w:rPr>
                      <w:rFonts w:hint="eastAsia" w:cs="Times New Roman"/>
                      <w:b w:val="0"/>
                      <w:bCs/>
                      <w:color w:val="auto"/>
                      <w:kern w:val="2"/>
                      <w:sz w:val="21"/>
                      <w:szCs w:val="21"/>
                      <w:highlight w:val="none"/>
                      <w:lang w:val="en-US" w:eastAsia="zh-CN" w:bidi="ar-SA"/>
                    </w:rPr>
                    <w:t>通风橱</w:t>
                  </w:r>
                  <w:r>
                    <w:rPr>
                      <w:rFonts w:hint="default" w:ascii="Times New Roman" w:hAnsi="Times New Roman" w:cs="Times New Roman"/>
                      <w:b w:val="0"/>
                      <w:bCs/>
                      <w:color w:val="auto"/>
                      <w:kern w:val="2"/>
                      <w:sz w:val="21"/>
                      <w:szCs w:val="21"/>
                      <w:highlight w:val="none"/>
                      <w:lang w:val="en-US" w:eastAsia="zh-CN" w:bidi="ar-SA"/>
                    </w:rPr>
                    <w:t>、管道</w:t>
                  </w:r>
                  <w:r>
                    <w:rPr>
                      <w:rFonts w:hint="default" w:ascii="Times New Roman" w:hAnsi="Times New Roman" w:eastAsia="宋体" w:cs="Times New Roman"/>
                      <w:b w:val="0"/>
                      <w:bCs/>
                      <w:color w:val="auto"/>
                      <w:kern w:val="2"/>
                      <w:sz w:val="21"/>
                      <w:szCs w:val="21"/>
                      <w:highlight w:val="none"/>
                      <w:lang w:val="zh-CN" w:eastAsia="zh-CN" w:bidi="ar-SA"/>
                    </w:rPr>
                    <w:t>直接收集。</w:t>
                  </w:r>
                </w:p>
              </w:tc>
              <w:tc>
                <w:tcPr>
                  <w:tcW w:w="598" w:type="dxa"/>
                  <w:tcBorders>
                    <w:tl2br w:val="nil"/>
                    <w:tr2bl w:val="nil"/>
                  </w:tcBorders>
                  <w:noWrap w:val="0"/>
                  <w:tcMar>
                    <w:left w:w="28" w:type="dxa"/>
                    <w:right w:w="28" w:type="dxa"/>
                  </w:tcMar>
                  <w:vAlign w:val="center"/>
                </w:tcPr>
                <w:p w14:paraId="64B2AE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04DEE4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0E1AFD1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908" w:type="dxa"/>
                  <w:vMerge w:val="continue"/>
                  <w:tcBorders>
                    <w:tl2br w:val="nil"/>
                    <w:tr2bl w:val="nil"/>
                  </w:tcBorders>
                  <w:noWrap w:val="0"/>
                  <w:tcMar>
                    <w:left w:w="28" w:type="dxa"/>
                    <w:right w:w="28" w:type="dxa"/>
                  </w:tcMar>
                  <w:vAlign w:val="center"/>
                </w:tcPr>
                <w:p w14:paraId="69E411A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3203" w:type="dxa"/>
                  <w:tcBorders>
                    <w:tl2br w:val="nil"/>
                    <w:tr2bl w:val="nil"/>
                  </w:tcBorders>
                  <w:noWrap w:val="0"/>
                  <w:tcMar>
                    <w:left w:w="28" w:type="dxa"/>
                    <w:right w:w="28" w:type="dxa"/>
                  </w:tcMar>
                  <w:vAlign w:val="center"/>
                </w:tcPr>
                <w:p w14:paraId="7EAD1F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废气收集系统的输送管道应密闭。</w:t>
                  </w:r>
                </w:p>
              </w:tc>
              <w:tc>
                <w:tcPr>
                  <w:tcW w:w="2109" w:type="dxa"/>
                  <w:tcBorders>
                    <w:tl2br w:val="nil"/>
                    <w:tr2bl w:val="nil"/>
                  </w:tcBorders>
                  <w:noWrap w:val="0"/>
                  <w:tcMar>
                    <w:left w:w="28" w:type="dxa"/>
                    <w:right w:w="28" w:type="dxa"/>
                  </w:tcMar>
                  <w:vAlign w:val="center"/>
                </w:tcPr>
                <w:p w14:paraId="34D81F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本项目有机废气收集系统的管道密闭。</w:t>
                  </w:r>
                </w:p>
              </w:tc>
              <w:tc>
                <w:tcPr>
                  <w:tcW w:w="598" w:type="dxa"/>
                  <w:tcBorders>
                    <w:tl2br w:val="nil"/>
                    <w:tr2bl w:val="nil"/>
                  </w:tcBorders>
                  <w:noWrap w:val="0"/>
                  <w:tcMar>
                    <w:left w:w="28" w:type="dxa"/>
                    <w:right w:w="28" w:type="dxa"/>
                  </w:tcMar>
                  <w:vAlign w:val="center"/>
                </w:tcPr>
                <w:p w14:paraId="053478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0464A8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0A47A27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908" w:type="dxa"/>
                  <w:vMerge w:val="continue"/>
                  <w:tcBorders>
                    <w:tl2br w:val="nil"/>
                    <w:tr2bl w:val="nil"/>
                  </w:tcBorders>
                  <w:noWrap w:val="0"/>
                  <w:tcMar>
                    <w:left w:w="28" w:type="dxa"/>
                    <w:right w:w="28" w:type="dxa"/>
                  </w:tcMar>
                  <w:vAlign w:val="center"/>
                </w:tcPr>
                <w:p w14:paraId="508C982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3203" w:type="dxa"/>
                  <w:tcBorders>
                    <w:tl2br w:val="nil"/>
                    <w:tr2bl w:val="nil"/>
                  </w:tcBorders>
                  <w:noWrap w:val="0"/>
                  <w:tcMar>
                    <w:left w:w="28" w:type="dxa"/>
                    <w:right w:w="28" w:type="dxa"/>
                  </w:tcMar>
                  <w:vAlign w:val="center"/>
                </w:tcPr>
                <w:p w14:paraId="2FA8D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VOCS废气收集处理系统污染物排放应符合GB16297或相关行业排放标准的规定。</w:t>
                  </w:r>
                </w:p>
              </w:tc>
              <w:tc>
                <w:tcPr>
                  <w:tcW w:w="2109" w:type="dxa"/>
                  <w:tcBorders>
                    <w:tl2br w:val="nil"/>
                    <w:tr2bl w:val="nil"/>
                  </w:tcBorders>
                  <w:noWrap w:val="0"/>
                  <w:tcMar>
                    <w:left w:w="28" w:type="dxa"/>
                    <w:right w:w="28" w:type="dxa"/>
                  </w:tcMar>
                  <w:vAlign w:val="center"/>
                </w:tcPr>
                <w:p w14:paraId="65B5C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本项目有机废气</w:t>
                  </w:r>
                  <w:r>
                    <w:rPr>
                      <w:rFonts w:hint="eastAsia" w:cs="Times New Roman"/>
                      <w:b w:val="0"/>
                      <w:bCs/>
                      <w:color w:val="auto"/>
                      <w:kern w:val="2"/>
                      <w:sz w:val="21"/>
                      <w:szCs w:val="21"/>
                      <w:highlight w:val="none"/>
                      <w:lang w:val="en-US" w:eastAsia="zh-CN" w:bidi="ar-SA"/>
                    </w:rPr>
                    <w:t>排放浓度及速率</w:t>
                  </w:r>
                  <w:r>
                    <w:rPr>
                      <w:rFonts w:hint="default" w:ascii="Times New Roman" w:hAnsi="Times New Roman" w:eastAsia="宋体" w:cs="Times New Roman"/>
                      <w:b w:val="0"/>
                      <w:bCs/>
                      <w:color w:val="auto"/>
                      <w:kern w:val="2"/>
                      <w:sz w:val="21"/>
                      <w:szCs w:val="21"/>
                      <w:highlight w:val="none"/>
                      <w:lang w:val="zh-CN" w:eastAsia="zh-CN" w:bidi="ar-SA"/>
                    </w:rPr>
                    <w:t>满足《大气污染物综合排放标准》（</w:t>
                  </w:r>
                  <w:r>
                    <w:rPr>
                      <w:rFonts w:hint="default" w:ascii="Times New Roman" w:hAnsi="Times New Roman" w:cs="Times New Roman"/>
                      <w:b w:val="0"/>
                      <w:bCs/>
                      <w:color w:val="auto"/>
                      <w:kern w:val="2"/>
                      <w:sz w:val="21"/>
                      <w:szCs w:val="21"/>
                      <w:highlight w:val="none"/>
                      <w:lang w:val="en-US" w:eastAsia="zh-CN" w:bidi="ar-SA"/>
                    </w:rPr>
                    <w:t>GB16297-1996</w:t>
                  </w:r>
                  <w:r>
                    <w:rPr>
                      <w:rFonts w:hint="default" w:ascii="Times New Roman" w:hAnsi="Times New Roman" w:eastAsia="宋体" w:cs="Times New Roman"/>
                      <w:b w:val="0"/>
                      <w:bCs/>
                      <w:color w:val="auto"/>
                      <w:kern w:val="2"/>
                      <w:sz w:val="21"/>
                      <w:szCs w:val="21"/>
                      <w:highlight w:val="none"/>
                      <w:lang w:val="zh-CN" w:eastAsia="zh-CN" w:bidi="ar-SA"/>
                    </w:rPr>
                    <w:t>）</w:t>
                  </w:r>
                </w:p>
              </w:tc>
              <w:tc>
                <w:tcPr>
                  <w:tcW w:w="598" w:type="dxa"/>
                  <w:tcBorders>
                    <w:tl2br w:val="nil"/>
                    <w:tr2bl w:val="nil"/>
                  </w:tcBorders>
                  <w:noWrap w:val="0"/>
                  <w:tcMar>
                    <w:left w:w="28" w:type="dxa"/>
                    <w:right w:w="28" w:type="dxa"/>
                  </w:tcMar>
                  <w:vAlign w:val="center"/>
                </w:tcPr>
                <w:p w14:paraId="3288F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23042C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6260C60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908" w:type="dxa"/>
                  <w:vMerge w:val="continue"/>
                  <w:tcBorders>
                    <w:tl2br w:val="nil"/>
                    <w:tr2bl w:val="nil"/>
                  </w:tcBorders>
                  <w:noWrap w:val="0"/>
                  <w:tcMar>
                    <w:left w:w="28" w:type="dxa"/>
                    <w:right w:w="28" w:type="dxa"/>
                  </w:tcMar>
                  <w:vAlign w:val="center"/>
                </w:tcPr>
                <w:p w14:paraId="26DECC8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zh-CN" w:eastAsia="zh-CN" w:bidi="ar-SA"/>
                    </w:rPr>
                  </w:pPr>
                </w:p>
              </w:tc>
              <w:tc>
                <w:tcPr>
                  <w:tcW w:w="3203" w:type="dxa"/>
                  <w:tcBorders>
                    <w:tl2br w:val="nil"/>
                    <w:tr2bl w:val="nil"/>
                  </w:tcBorders>
                  <w:noWrap w:val="0"/>
                  <w:tcMar>
                    <w:left w:w="28" w:type="dxa"/>
                    <w:right w:w="28" w:type="dxa"/>
                  </w:tcMar>
                  <w:vAlign w:val="center"/>
                </w:tcPr>
                <w:p w14:paraId="2ADF13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zh-CN" w:eastAsia="zh-CN" w:bidi="ar-SA"/>
                    </w:rPr>
                    <w:t>收集的废气中NMHC初始排放速率≥3kg/h时，应配置VOCs处理设施，处理效率不应低于80%；对于重点地区，收集的废气中NMHC初始排放速率≥2kg/h时，应配置VOCs处理设施，处理效率不应低于80%；采用的原辅材料符合国家有关低VOCs含量产品规定的除外</w:t>
                  </w:r>
                  <w:r>
                    <w:rPr>
                      <w:rFonts w:hint="default" w:ascii="Times New Roman" w:hAnsi="Times New Roman" w:cs="Times New Roman"/>
                      <w:b w:val="0"/>
                      <w:bCs/>
                      <w:color w:val="auto"/>
                      <w:kern w:val="2"/>
                      <w:sz w:val="21"/>
                      <w:szCs w:val="21"/>
                      <w:highlight w:val="none"/>
                      <w:lang w:val="en-US" w:eastAsia="zh-CN" w:bidi="ar-SA"/>
                    </w:rPr>
                    <w:t>。</w:t>
                  </w:r>
                </w:p>
              </w:tc>
              <w:tc>
                <w:tcPr>
                  <w:tcW w:w="2109" w:type="dxa"/>
                  <w:tcBorders>
                    <w:tl2br w:val="nil"/>
                    <w:tr2bl w:val="nil"/>
                  </w:tcBorders>
                  <w:noWrap w:val="0"/>
                  <w:tcMar>
                    <w:left w:w="28" w:type="dxa"/>
                    <w:right w:w="28" w:type="dxa"/>
                  </w:tcMar>
                  <w:vAlign w:val="center"/>
                </w:tcPr>
                <w:p w14:paraId="61AE0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zh-CN" w:eastAsia="zh-CN" w:bidi="ar-SA"/>
                    </w:rPr>
                    <w:t>本项目有机废气初始排放速率小于2kg/h，且配备了活性炭吸附装置处理有机废气</w:t>
                  </w:r>
                  <w:r>
                    <w:rPr>
                      <w:rFonts w:hint="eastAsia" w:cs="Times New Roman"/>
                      <w:b w:val="0"/>
                      <w:bCs/>
                      <w:color w:val="auto"/>
                      <w:kern w:val="2"/>
                      <w:sz w:val="21"/>
                      <w:szCs w:val="21"/>
                      <w:highlight w:val="none"/>
                      <w:lang w:val="zh-CN" w:eastAsia="zh-CN" w:bidi="ar-SA"/>
                    </w:rPr>
                    <w:t>，</w:t>
                  </w:r>
                  <w:r>
                    <w:rPr>
                      <w:rFonts w:hint="eastAsia" w:cs="Times New Roman"/>
                      <w:b w:val="0"/>
                      <w:bCs/>
                      <w:color w:val="auto"/>
                      <w:kern w:val="2"/>
                      <w:sz w:val="21"/>
                      <w:szCs w:val="21"/>
                      <w:highlight w:val="none"/>
                      <w:lang w:val="en-US" w:eastAsia="zh-CN" w:bidi="ar-SA"/>
                    </w:rPr>
                    <w:t>污染物可达标排放</w:t>
                  </w:r>
                  <w:r>
                    <w:rPr>
                      <w:rFonts w:hint="default" w:ascii="Times New Roman" w:hAnsi="Times New Roman" w:eastAsia="宋体" w:cs="Times New Roman"/>
                      <w:b w:val="0"/>
                      <w:bCs/>
                      <w:color w:val="auto"/>
                      <w:kern w:val="2"/>
                      <w:sz w:val="21"/>
                      <w:szCs w:val="21"/>
                      <w:highlight w:val="none"/>
                      <w:lang w:val="zh-CN" w:eastAsia="zh-CN" w:bidi="ar-SA"/>
                    </w:rPr>
                    <w:t>。</w:t>
                  </w:r>
                </w:p>
              </w:tc>
              <w:tc>
                <w:tcPr>
                  <w:tcW w:w="598" w:type="dxa"/>
                  <w:tcBorders>
                    <w:tl2br w:val="nil"/>
                    <w:tr2bl w:val="nil"/>
                  </w:tcBorders>
                  <w:noWrap w:val="0"/>
                  <w:tcMar>
                    <w:left w:w="28" w:type="dxa"/>
                    <w:right w:w="28" w:type="dxa"/>
                  </w:tcMar>
                  <w:vAlign w:val="center"/>
                </w:tcPr>
                <w:p w14:paraId="79738C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22422E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3241623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《陕西省生态环境厅关于进一步加强关中地区涉气重点行业项目环评管理的通知》（陕环环评函〔2023〕76号）</w:t>
                  </w:r>
                </w:p>
              </w:tc>
              <w:tc>
                <w:tcPr>
                  <w:tcW w:w="4111" w:type="dxa"/>
                  <w:gridSpan w:val="2"/>
                  <w:tcBorders>
                    <w:tl2br w:val="nil"/>
                    <w:tr2bl w:val="nil"/>
                  </w:tcBorders>
                  <w:noWrap w:val="0"/>
                  <w:tcMar>
                    <w:left w:w="28" w:type="dxa"/>
                    <w:right w:w="28" w:type="dxa"/>
                  </w:tcMar>
                  <w:vAlign w:val="center"/>
                </w:tcPr>
                <w:p w14:paraId="5AACBBB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一、关中地区涉气重点行业项目范围为生态环境部确定的39个重点行业的新改扩建项目，涉及关中各市（区）辖区及开发区范围内的应达到环保绩效A级、绩效引领性水平要求，西安市、咸阳市、渭南市的其他区域应达到环保绩效B级及以上要求。</w:t>
                  </w:r>
                </w:p>
                <w:p w14:paraId="21D639D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二、关中地区涉气重点行业新、改、扩建项目环境影响报告书（表）应编制环保绩效管理篇章，按照环办大气函〔2020〕340号文件从建设项目的装备水平（生产工艺）、污染治理技术、排放限值、无组织管控要求、监测监控水平、环境管理水平、运输方式和管控要求等方面，专项分析拟建和已建项目建设内容、生态环境保护措施与对应环保绩效分级、绩效引领性水平的相符性。</w:t>
                  </w:r>
                </w:p>
              </w:tc>
              <w:tc>
                <w:tcPr>
                  <w:tcW w:w="2109" w:type="dxa"/>
                  <w:tcBorders>
                    <w:tl2br w:val="nil"/>
                    <w:tr2bl w:val="nil"/>
                  </w:tcBorders>
                  <w:noWrap w:val="0"/>
                  <w:tcMar>
                    <w:left w:w="28" w:type="dxa"/>
                    <w:right w:w="28" w:type="dxa"/>
                  </w:tcMar>
                  <w:vAlign w:val="center"/>
                </w:tcPr>
                <w:p w14:paraId="582BB5B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本项目位于西咸新区</w:t>
                  </w:r>
                  <w:r>
                    <w:rPr>
                      <w:rFonts w:hint="eastAsia" w:cs="Times New Roman"/>
                      <w:b w:val="0"/>
                      <w:bCs/>
                      <w:color w:val="auto"/>
                      <w:kern w:val="2"/>
                      <w:sz w:val="21"/>
                      <w:szCs w:val="21"/>
                      <w:highlight w:val="none"/>
                      <w:lang w:val="en-US" w:eastAsia="zh-CN" w:bidi="ar-SA"/>
                    </w:rPr>
                    <w:t>沣西</w:t>
                  </w:r>
                  <w:r>
                    <w:rPr>
                      <w:rFonts w:hint="default" w:ascii="Times New Roman" w:hAnsi="Times New Roman" w:eastAsia="宋体" w:cs="Times New Roman"/>
                      <w:b w:val="0"/>
                      <w:bCs/>
                      <w:color w:val="auto"/>
                      <w:kern w:val="2"/>
                      <w:sz w:val="21"/>
                      <w:szCs w:val="21"/>
                      <w:highlight w:val="none"/>
                      <w:lang w:val="en-US" w:eastAsia="zh-CN" w:bidi="ar-SA"/>
                    </w:rPr>
                    <w:t>新城</w:t>
                  </w:r>
                  <w:r>
                    <w:rPr>
                      <w:rFonts w:hint="eastAsia" w:cs="Times New Roman"/>
                      <w:b w:val="0"/>
                      <w:bCs/>
                      <w:color w:val="auto"/>
                      <w:kern w:val="2"/>
                      <w:sz w:val="21"/>
                      <w:szCs w:val="21"/>
                      <w:highlight w:val="none"/>
                      <w:lang w:val="en-US" w:eastAsia="zh-CN" w:bidi="ar-SA"/>
                    </w:rPr>
                    <w:t>钓台街道</w:t>
                  </w:r>
                  <w:r>
                    <w:rPr>
                      <w:rFonts w:hint="default" w:ascii="Times New Roman" w:hAnsi="Times New Roman" w:eastAsia="宋体" w:cs="Times New Roman"/>
                      <w:b w:val="0"/>
                      <w:bCs/>
                      <w:color w:val="auto"/>
                      <w:kern w:val="2"/>
                      <w:sz w:val="21"/>
                      <w:szCs w:val="21"/>
                      <w:highlight w:val="none"/>
                      <w:lang w:val="en-US" w:eastAsia="zh-CN" w:bidi="ar-SA"/>
                    </w:rPr>
                    <w:t>，属于关中地区，</w:t>
                  </w:r>
                  <w:r>
                    <w:rPr>
                      <w:rFonts w:hint="eastAsia" w:cs="Times New Roman"/>
                      <w:b w:val="0"/>
                      <w:bCs/>
                      <w:color w:val="auto"/>
                      <w:kern w:val="2"/>
                      <w:sz w:val="21"/>
                      <w:szCs w:val="21"/>
                      <w:highlight w:val="none"/>
                      <w:lang w:val="en-US" w:eastAsia="zh-CN" w:bidi="ar-SA"/>
                    </w:rPr>
                    <w:t>但</w:t>
                  </w:r>
                  <w:r>
                    <w:rPr>
                      <w:rFonts w:hint="default" w:ascii="Times New Roman" w:hAnsi="Times New Roman" w:cs="Times New Roman"/>
                      <w:b w:val="0"/>
                      <w:bCs/>
                      <w:color w:val="auto"/>
                      <w:kern w:val="2"/>
                      <w:sz w:val="21"/>
                      <w:szCs w:val="21"/>
                      <w:highlight w:val="none"/>
                      <w:lang w:val="en-US" w:eastAsia="zh-CN" w:bidi="ar-SA"/>
                    </w:rPr>
                    <w:t>不</w:t>
                  </w:r>
                  <w:r>
                    <w:rPr>
                      <w:rFonts w:hint="default" w:ascii="Times New Roman" w:hAnsi="Times New Roman" w:eastAsia="宋体" w:cs="Times New Roman"/>
                      <w:b w:val="0"/>
                      <w:bCs/>
                      <w:color w:val="auto"/>
                      <w:kern w:val="2"/>
                      <w:sz w:val="21"/>
                      <w:szCs w:val="21"/>
                      <w:highlight w:val="none"/>
                      <w:lang w:val="en-US" w:eastAsia="zh-CN" w:bidi="ar-SA"/>
                    </w:rPr>
                    <w:t>属于文件中的39个重点行业。</w:t>
                  </w:r>
                </w:p>
              </w:tc>
              <w:tc>
                <w:tcPr>
                  <w:tcW w:w="598" w:type="dxa"/>
                  <w:tcBorders>
                    <w:tl2br w:val="nil"/>
                    <w:tr2bl w:val="nil"/>
                  </w:tcBorders>
                  <w:noWrap w:val="0"/>
                  <w:tcMar>
                    <w:left w:w="28" w:type="dxa"/>
                    <w:right w:w="28" w:type="dxa"/>
                  </w:tcMar>
                  <w:vAlign w:val="center"/>
                </w:tcPr>
                <w:p w14:paraId="7F81C0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06537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0F67E63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《陕西省“十四五”生态环境保护规划》</w:t>
                  </w:r>
                </w:p>
              </w:tc>
              <w:tc>
                <w:tcPr>
                  <w:tcW w:w="4111" w:type="dxa"/>
                  <w:gridSpan w:val="2"/>
                  <w:tcBorders>
                    <w:tl2br w:val="nil"/>
                    <w:tr2bl w:val="nil"/>
                  </w:tcBorders>
                  <w:noWrap w:val="0"/>
                  <w:tcMar>
                    <w:left w:w="28" w:type="dxa"/>
                    <w:right w:w="28" w:type="dxa"/>
                  </w:tcMar>
                  <w:vAlign w:val="center"/>
                </w:tcPr>
                <w:p w14:paraId="40C32D1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zh-CN" w:eastAsia="zh-CN" w:bidi="ar-SA"/>
                    </w:rPr>
                    <w:t>推进重点行业挥发性有机物综合整治。建立石化、化工、工业涂装、包装印刷、家具、电子制造、工程机械制造等重点行业源头、过程和末端全过程控制体系，实施挥发性有机物总量控制。加大汽修行业、餐饮油烟污染治理。在工业园区、企业集群推广建设涉挥发性有机物“绿岛”项目。在工业涂装和包装印刷等行业全面推进源头替代，严格落实国家和地方产品挥发性有机物含量限值质量标准。将全面使用符合国家要求的低挥发性有机物含量原辅材料的企业纳入正面清单和政府绿色采购清单。全面落实《挥发性有机物无组织排放控制标准（GB37822一2019）》要求，持续开展无组织排放排查整治工作，加强含挥发性有机物物料全方位、全链条、全环节密闭管理。强化油品储运销监管，持续开展储油库、油罐车、加油站油气回收专项检查和整改工作。企业新建治污设施或对现有治污设施实施改造，应依据排放废气的浓度、组分、风量，温度、湿度、压力，以及生产工况等，合理选择治理技术和治污设施，提高挥发性有机物治理效率。结合行业污染排放特征和挥发性有机物物质光化学反应活性，兼顾</w:t>
                  </w:r>
                  <w:r>
                    <w:rPr>
                      <w:rFonts w:hint="default" w:ascii="Times New Roman" w:hAnsi="Times New Roman" w:eastAsia="宋体" w:cs="Times New Roman"/>
                      <w:b w:val="0"/>
                      <w:bCs/>
                      <w:color w:val="auto"/>
                      <w:kern w:val="2"/>
                      <w:sz w:val="21"/>
                      <w:szCs w:val="21"/>
                      <w:highlight w:val="none"/>
                      <w:lang w:val="en-US" w:eastAsia="zh-CN" w:bidi="ar-SA"/>
                    </w:rPr>
                    <w:t>恶臭</w:t>
                  </w:r>
                  <w:r>
                    <w:rPr>
                      <w:rFonts w:hint="default" w:ascii="Times New Roman" w:hAnsi="Times New Roman" w:eastAsia="宋体" w:cs="Times New Roman"/>
                      <w:b w:val="0"/>
                      <w:bCs/>
                      <w:color w:val="auto"/>
                      <w:kern w:val="2"/>
                      <w:sz w:val="21"/>
                      <w:szCs w:val="21"/>
                      <w:highlight w:val="none"/>
                      <w:lang w:val="zh-CN" w:eastAsia="zh-CN" w:bidi="ar-SA"/>
                    </w:rPr>
                    <w:t>污染物和有毒有害物质控制要求，深入实施精细化管控，提高挥发性有机物治理的精准性、针对性和有效性。</w:t>
                  </w:r>
                </w:p>
              </w:tc>
              <w:tc>
                <w:tcPr>
                  <w:tcW w:w="2109" w:type="dxa"/>
                  <w:tcBorders>
                    <w:tl2br w:val="nil"/>
                    <w:tr2bl w:val="nil"/>
                  </w:tcBorders>
                  <w:noWrap w:val="0"/>
                  <w:tcMar>
                    <w:left w:w="28" w:type="dxa"/>
                    <w:right w:w="28" w:type="dxa"/>
                  </w:tcMar>
                  <w:vAlign w:val="center"/>
                </w:tcPr>
                <w:p w14:paraId="38A404B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本项目不属于重点行业高VOCs排放项目，项目实验操作过程中有机溶剂挥发会产生有机废气，由于各试剂用量较少，有机废气产生量较少，污染物排放浓度满足《大气污染物综合排放标准》（GB16297-1996）中的</w:t>
                  </w:r>
                  <w:r>
                    <w:rPr>
                      <w:rFonts w:hint="default" w:ascii="Times New Roman" w:hAnsi="Times New Roman" w:eastAsia="宋体" w:cs="Times New Roman"/>
                      <w:b w:val="0"/>
                      <w:bCs/>
                      <w:color w:val="auto"/>
                      <w:kern w:val="2"/>
                      <w:sz w:val="21"/>
                      <w:szCs w:val="21"/>
                      <w:highlight w:val="none"/>
                      <w:lang w:val="zh-CN" w:eastAsia="zh-CN" w:bidi="ar-SA"/>
                    </w:rPr>
                    <w:t>浓度限值</w:t>
                  </w:r>
                  <w:r>
                    <w:rPr>
                      <w:rFonts w:hint="default" w:ascii="Times New Roman" w:hAnsi="Times New Roman" w:cs="Times New Roman"/>
                      <w:b w:val="0"/>
                      <w:bCs/>
                      <w:color w:val="auto"/>
                      <w:kern w:val="2"/>
                      <w:sz w:val="21"/>
                      <w:szCs w:val="21"/>
                      <w:highlight w:val="none"/>
                      <w:lang w:val="zh-CN" w:eastAsia="zh-CN" w:bidi="ar-SA"/>
                    </w:rPr>
                    <w:t>。</w:t>
                  </w:r>
                </w:p>
              </w:tc>
              <w:tc>
                <w:tcPr>
                  <w:tcW w:w="598" w:type="dxa"/>
                  <w:tcBorders>
                    <w:tl2br w:val="nil"/>
                    <w:tr2bl w:val="nil"/>
                  </w:tcBorders>
                  <w:noWrap w:val="0"/>
                  <w:tcMar>
                    <w:left w:w="28" w:type="dxa"/>
                    <w:right w:w="28" w:type="dxa"/>
                  </w:tcMar>
                  <w:vAlign w:val="center"/>
                </w:tcPr>
                <w:p w14:paraId="2606202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符合</w:t>
                  </w:r>
                </w:p>
              </w:tc>
            </w:tr>
            <w:tr w14:paraId="515D5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3454C24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《西安市</w:t>
                  </w:r>
                  <w:r>
                    <w:rPr>
                      <w:rFonts w:hint="default" w:ascii="Times New Roman" w:hAnsi="Times New Roman" w:eastAsia="宋体" w:cs="Times New Roman"/>
                      <w:b w:val="0"/>
                      <w:bCs w:val="0"/>
                      <w:color w:val="auto"/>
                      <w:sz w:val="21"/>
                      <w:szCs w:val="21"/>
                      <w:highlight w:val="none"/>
                    </w:rPr>
                    <w:t>“十四五”生态环境保护规划》（</w:t>
                  </w:r>
                  <w:r>
                    <w:rPr>
                      <w:rFonts w:hint="default" w:ascii="Times New Roman" w:hAnsi="Times New Roman" w:eastAsia="宋体" w:cs="Times New Roman"/>
                      <w:b w:val="0"/>
                      <w:bCs w:val="0"/>
                      <w:color w:val="auto"/>
                      <w:sz w:val="21"/>
                      <w:szCs w:val="21"/>
                      <w:highlight w:val="none"/>
                      <w:lang w:eastAsia="zh-CN"/>
                    </w:rPr>
                    <w:t>市</w:t>
                  </w:r>
                  <w:r>
                    <w:rPr>
                      <w:rFonts w:hint="default" w:ascii="Times New Roman" w:hAnsi="Times New Roman" w:eastAsia="宋体" w:cs="Times New Roman"/>
                      <w:b w:val="0"/>
                      <w:bCs w:val="0"/>
                      <w:color w:val="auto"/>
                      <w:sz w:val="21"/>
                      <w:szCs w:val="21"/>
                      <w:highlight w:val="none"/>
                    </w:rPr>
                    <w:t>政发〔2021〕2</w:t>
                  </w:r>
                  <w:r>
                    <w:rPr>
                      <w:rFonts w:hint="default" w:ascii="Times New Roman" w:hAnsi="Times New Roman" w:eastAsia="宋体" w:cs="Times New Roman"/>
                      <w:b w:val="0"/>
                      <w:bCs w:val="0"/>
                      <w:color w:val="auto"/>
                      <w:sz w:val="21"/>
                      <w:szCs w:val="21"/>
                      <w:highlight w:val="none"/>
                      <w:lang w:val="en-US" w:eastAsia="zh-CN"/>
                    </w:rPr>
                    <w:t>1</w:t>
                  </w:r>
                  <w:r>
                    <w:rPr>
                      <w:rFonts w:hint="default" w:ascii="Times New Roman" w:hAnsi="Times New Roman" w:eastAsia="宋体" w:cs="Times New Roman"/>
                      <w:b w:val="0"/>
                      <w:bCs w:val="0"/>
                      <w:color w:val="auto"/>
                      <w:sz w:val="21"/>
                      <w:szCs w:val="21"/>
                      <w:highlight w:val="none"/>
                    </w:rPr>
                    <w:t>号）</w:t>
                  </w:r>
                </w:p>
              </w:tc>
              <w:tc>
                <w:tcPr>
                  <w:tcW w:w="4111" w:type="dxa"/>
                  <w:gridSpan w:val="2"/>
                  <w:tcBorders>
                    <w:tl2br w:val="nil"/>
                    <w:tr2bl w:val="nil"/>
                  </w:tcBorders>
                  <w:noWrap w:val="0"/>
                  <w:tcMar>
                    <w:left w:w="28" w:type="dxa"/>
                    <w:right w:w="28" w:type="dxa"/>
                  </w:tcMar>
                  <w:vAlign w:val="center"/>
                </w:tcPr>
                <w:p w14:paraId="1182F6A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SA"/>
                    </w:rPr>
                    <w:t>开展重点行业工业企业挥发性有机物无组织排放治理，以工业涂装、包装印刷、汽修和油品储运销等为重点领域，以工业园区、企业集群和重点企业为重点管控对象，全面加强对光化学反应活性强的VOCs物质控制。建立完善重点行业源头、过程和末端VOCs全过程控制体系，实施VOCs总量控制。严格落实产品强制标准中VOCs含量限值；全面落实《挥发性有机物无组织排放控制标准》要求，引导企业加强对含VOCs物料的存储、转移和输送等环节的全方位密闭管理，以及对设备与管线组件泄漏、敞开液面逸散以及工艺过程等方面的全过程精细化管控，实现VOCs排放量明显下降。</w:t>
                  </w:r>
                </w:p>
              </w:tc>
              <w:tc>
                <w:tcPr>
                  <w:tcW w:w="2109" w:type="dxa"/>
                  <w:tcBorders>
                    <w:tl2br w:val="nil"/>
                    <w:tr2bl w:val="nil"/>
                  </w:tcBorders>
                  <w:noWrap w:val="0"/>
                  <w:tcMar>
                    <w:left w:w="28" w:type="dxa"/>
                    <w:right w:w="28" w:type="dxa"/>
                  </w:tcMar>
                  <w:vAlign w:val="center"/>
                </w:tcPr>
                <w:p w14:paraId="7DD2810A">
                  <w:pPr>
                    <w:pStyle w:val="85"/>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color w:val="auto"/>
                      <w:kern w:val="2"/>
                      <w:sz w:val="21"/>
                      <w:szCs w:val="24"/>
                      <w:highlight w:val="none"/>
                      <w:lang w:val="en-US" w:eastAsia="zh-CN" w:bidi="ar-SA"/>
                    </w:rPr>
                    <w:t>本项目不属于重点行业高VOCs排放项目，项目实验操作过程中有机溶剂挥发会产生有机废气，由于各试剂用量较少，有机废气产生量较少，污染物排放浓度满足《大气污染物综合排放标准》（GB16297-1996）中的</w:t>
                  </w:r>
                  <w:r>
                    <w:rPr>
                      <w:rFonts w:hint="default" w:ascii="Times New Roman" w:hAnsi="Times New Roman" w:eastAsia="宋体" w:cs="Times New Roman"/>
                      <w:snapToGrid/>
                      <w:color w:val="auto"/>
                      <w:kern w:val="2"/>
                      <w:sz w:val="21"/>
                      <w:szCs w:val="24"/>
                      <w:highlight w:val="none"/>
                      <w:lang w:val="zh-CN" w:eastAsia="zh-CN" w:bidi="ar-SA"/>
                    </w:rPr>
                    <w:t>浓度限值</w:t>
                  </w:r>
                </w:p>
              </w:tc>
              <w:tc>
                <w:tcPr>
                  <w:tcW w:w="598" w:type="dxa"/>
                  <w:tcBorders>
                    <w:tl2br w:val="nil"/>
                    <w:tr2bl w:val="nil"/>
                  </w:tcBorders>
                  <w:noWrap w:val="0"/>
                  <w:tcMar>
                    <w:left w:w="28" w:type="dxa"/>
                    <w:right w:w="28" w:type="dxa"/>
                  </w:tcMar>
                  <w:vAlign w:val="center"/>
                </w:tcPr>
                <w:p w14:paraId="1C108C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14:paraId="3E33B8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07ECAD6A">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sz w:val="21"/>
                      <w:szCs w:val="21"/>
                      <w:highlight w:val="none"/>
                    </w:rPr>
                    <w:t>《西咸新区“十四五”生态环境保护规划》</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cs="Times New Roman"/>
                      <w:color w:val="auto"/>
                      <w:sz w:val="21"/>
                      <w:szCs w:val="21"/>
                      <w:highlight w:val="none"/>
                      <w:lang w:eastAsia="zh-CN"/>
                    </w:rPr>
                    <w:t>陕</w:t>
                  </w:r>
                  <w:r>
                    <w:rPr>
                      <w:rFonts w:hint="default" w:ascii="Times New Roman" w:hAnsi="Times New Roman" w:cs="Times New Roman"/>
                      <w:color w:val="auto"/>
                      <w:sz w:val="21"/>
                      <w:szCs w:val="21"/>
                      <w:highlight w:val="none"/>
                      <w:lang w:val="en-US" w:eastAsia="zh-CN"/>
                    </w:rPr>
                    <w:t>西咸</w:t>
                  </w:r>
                  <w:r>
                    <w:rPr>
                      <w:rFonts w:hint="default" w:ascii="Times New Roman" w:hAnsi="Times New Roman" w:cs="Times New Roman"/>
                      <w:color w:val="auto"/>
                      <w:sz w:val="21"/>
                      <w:szCs w:val="21"/>
                      <w:highlight w:val="none"/>
                      <w:lang w:eastAsia="zh-CN"/>
                    </w:rPr>
                    <w:t>发〔202</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〕4号</w:t>
                  </w:r>
                  <w:r>
                    <w:rPr>
                      <w:rFonts w:hint="default" w:ascii="Times New Roman" w:hAnsi="Times New Roman" w:eastAsia="宋体" w:cs="Times New Roman"/>
                      <w:b w:val="0"/>
                      <w:bCs w:val="0"/>
                      <w:color w:val="auto"/>
                      <w:sz w:val="21"/>
                      <w:szCs w:val="21"/>
                      <w:highlight w:val="none"/>
                      <w:lang w:eastAsia="zh-CN"/>
                    </w:rPr>
                    <w:t>）</w:t>
                  </w:r>
                </w:p>
              </w:tc>
              <w:tc>
                <w:tcPr>
                  <w:tcW w:w="4111" w:type="dxa"/>
                  <w:gridSpan w:val="2"/>
                  <w:tcBorders>
                    <w:tl2br w:val="nil"/>
                    <w:tr2bl w:val="nil"/>
                  </w:tcBorders>
                  <w:noWrap w:val="0"/>
                  <w:tcMar>
                    <w:left w:w="28" w:type="dxa"/>
                    <w:right w:w="28" w:type="dxa"/>
                  </w:tcMar>
                  <w:vAlign w:val="center"/>
                </w:tcPr>
                <w:p w14:paraId="379FAFED">
                  <w:pPr>
                    <w:pStyle w:val="3"/>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GB" w:eastAsia="zh-TW" w:bidi="ar-SA"/>
                    </w:rPr>
                  </w:pPr>
                  <w:r>
                    <w:rPr>
                      <w:rFonts w:hint="default" w:ascii="Times New Roman" w:hAnsi="Times New Roman" w:eastAsia="宋体" w:cs="Times New Roman"/>
                      <w:b w:val="0"/>
                      <w:bCs/>
                      <w:color w:val="auto"/>
                      <w:sz w:val="21"/>
                      <w:szCs w:val="21"/>
                      <w:highlight w:val="none"/>
                    </w:rPr>
                    <w:t>实施重点领域VOCs综合治理。建立石化、化工、工业涂装、包装印刷、家具、电子制造、工程机械制造等重点行业及工业园区的源头替代、过程控制和末端治理全过程治理体系，实施VOCs排放总量控制。全面落实《挥发性有机物无组织排放控制标准》要求，加强含VOCs物料密闭管理。</w:t>
                  </w:r>
                </w:p>
              </w:tc>
              <w:tc>
                <w:tcPr>
                  <w:tcW w:w="2109" w:type="dxa"/>
                  <w:tcBorders>
                    <w:tl2br w:val="nil"/>
                    <w:tr2bl w:val="nil"/>
                  </w:tcBorders>
                  <w:noWrap w:val="0"/>
                  <w:tcMar>
                    <w:left w:w="28" w:type="dxa"/>
                    <w:right w:w="28" w:type="dxa"/>
                  </w:tcMar>
                  <w:vAlign w:val="center"/>
                </w:tcPr>
                <w:p w14:paraId="379FF43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val="en-US" w:eastAsia="zh-CN"/>
                    </w:rPr>
                    <w:t>不属于重点行业，项目产生的挥发性有机物经活性炭处理后有组织排放</w:t>
                  </w: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cs="Times New Roman"/>
                      <w:b w:val="0"/>
                      <w:bCs/>
                      <w:color w:val="auto"/>
                      <w:sz w:val="21"/>
                      <w:szCs w:val="21"/>
                      <w:highlight w:val="none"/>
                      <w:lang w:val="en-US" w:eastAsia="zh-CN"/>
                    </w:rPr>
                    <w:t>项目使用的有机溶剂量较小，均在试剂瓶内加盖密封保存</w:t>
                  </w:r>
                </w:p>
              </w:tc>
              <w:tc>
                <w:tcPr>
                  <w:tcW w:w="598" w:type="dxa"/>
                  <w:tcBorders>
                    <w:tl2br w:val="nil"/>
                    <w:tr2bl w:val="nil"/>
                  </w:tcBorders>
                  <w:noWrap w:val="0"/>
                  <w:tcMar>
                    <w:left w:w="28" w:type="dxa"/>
                    <w:right w:w="28" w:type="dxa"/>
                  </w:tcMar>
                  <w:vAlign w:val="center"/>
                </w:tcPr>
                <w:p w14:paraId="761E63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符合</w:t>
                  </w:r>
                </w:p>
              </w:tc>
            </w:tr>
            <w:tr w14:paraId="317AFE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restart"/>
                  <w:tcBorders>
                    <w:tl2br w:val="nil"/>
                    <w:tr2bl w:val="nil"/>
                  </w:tcBorders>
                  <w:noWrap w:val="0"/>
                  <w:tcMar>
                    <w:left w:w="28" w:type="dxa"/>
                    <w:right w:w="28" w:type="dxa"/>
                  </w:tcMar>
                  <w:vAlign w:val="center"/>
                </w:tcPr>
                <w:p w14:paraId="4143C300">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《陕西省大气污染治理专项行动方案（2023-2027</w:t>
                  </w:r>
                  <w:r>
                    <w:rPr>
                      <w:rFonts w:hint="default" w:ascii="Times New Roman" w:hAnsi="Times New Roman" w:eastAsia="宋体" w:cs="Times New Roman"/>
                      <w:color w:val="auto"/>
                      <w:sz w:val="21"/>
                      <w:szCs w:val="21"/>
                      <w:highlight w:val="none"/>
                      <w:lang w:val="en-US" w:eastAsia="zh-CN"/>
                    </w:rPr>
                    <w:t>年</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（陕发〔2023〕4号）</w:t>
                  </w:r>
                </w:p>
              </w:tc>
              <w:tc>
                <w:tcPr>
                  <w:tcW w:w="4111" w:type="dxa"/>
                  <w:gridSpan w:val="2"/>
                  <w:tcBorders>
                    <w:tl2br w:val="nil"/>
                    <w:tr2bl w:val="nil"/>
                  </w:tcBorders>
                  <w:noWrap w:val="0"/>
                  <w:tcMar>
                    <w:left w:w="28" w:type="dxa"/>
                    <w:right w:w="28" w:type="dxa"/>
                  </w:tcMar>
                  <w:vAlign w:val="center"/>
                </w:tcPr>
                <w:p w14:paraId="52210B0C">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Times New Roman" w:cs="Times New Roman"/>
                      <w:color w:val="auto"/>
                      <w:kern w:val="0"/>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关中地区市辖区及开发区范围内新、改、扩建涉气重点行业企业应达到环保绩效A级、绩效引领性水平，西安市、咸阳市、渭南市的其他区域应达到环保绩效B级及以上水平。</w:t>
                  </w:r>
                </w:p>
              </w:tc>
              <w:tc>
                <w:tcPr>
                  <w:tcW w:w="2109" w:type="dxa"/>
                  <w:tcBorders>
                    <w:tl2br w:val="nil"/>
                    <w:tr2bl w:val="nil"/>
                  </w:tcBorders>
                  <w:noWrap w:val="0"/>
                  <w:tcMar>
                    <w:left w:w="28" w:type="dxa"/>
                    <w:right w:w="28" w:type="dxa"/>
                  </w:tcMar>
                  <w:vAlign w:val="center"/>
                </w:tcPr>
                <w:p w14:paraId="6A4AB4D6">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rPr>
                    <w:t>本项目为</w:t>
                  </w:r>
                  <w:r>
                    <w:rPr>
                      <w:rFonts w:hint="default" w:ascii="Times New Roman" w:hAnsi="Times New Roman" w:cs="Times New Roman"/>
                      <w:color w:val="auto"/>
                      <w:sz w:val="21"/>
                      <w:szCs w:val="21"/>
                      <w:highlight w:val="none"/>
                      <w:lang w:val="en-US" w:eastAsia="zh-CN"/>
                    </w:rPr>
                    <w:t>试验室</w:t>
                  </w:r>
                  <w:r>
                    <w:rPr>
                      <w:rFonts w:hint="default" w:ascii="Times New Roman" w:hAnsi="Times New Roman" w:eastAsia="Times New Roman" w:cs="Times New Roman"/>
                      <w:color w:val="auto"/>
                      <w:sz w:val="21"/>
                      <w:szCs w:val="21"/>
                      <w:highlight w:val="none"/>
                      <w:lang w:val="en-US" w:eastAsia="zh-CN"/>
                    </w:rPr>
                    <w:t>项目，</w:t>
                  </w:r>
                  <w:r>
                    <w:rPr>
                      <w:rFonts w:hint="default" w:ascii="Times New Roman" w:hAnsi="Times New Roman" w:cs="Times New Roman"/>
                      <w:color w:val="auto"/>
                      <w:sz w:val="21"/>
                      <w:szCs w:val="21"/>
                      <w:highlight w:val="none"/>
                      <w:lang w:val="en-US" w:eastAsia="zh-CN"/>
                    </w:rPr>
                    <w:t>不</w:t>
                  </w:r>
                  <w:r>
                    <w:rPr>
                      <w:rFonts w:hint="default" w:ascii="Times New Roman" w:hAnsi="Times New Roman" w:eastAsia="Times New Roman" w:cs="Times New Roman"/>
                      <w:color w:val="auto"/>
                      <w:sz w:val="21"/>
                      <w:szCs w:val="21"/>
                      <w:highlight w:val="none"/>
                      <w:lang w:val="en-US" w:eastAsia="zh-CN"/>
                    </w:rPr>
                    <w:t>属于涉气重点行业企业</w:t>
                  </w:r>
                  <w:r>
                    <w:rPr>
                      <w:rFonts w:hint="default" w:ascii="Times New Roman" w:hAnsi="Times New Roman" w:cs="Times New Roman"/>
                      <w:color w:val="auto"/>
                      <w:sz w:val="21"/>
                      <w:szCs w:val="21"/>
                      <w:highlight w:val="none"/>
                      <w:lang w:val="en-US" w:eastAsia="zh-CN"/>
                    </w:rPr>
                    <w:t>。</w:t>
                  </w:r>
                </w:p>
              </w:tc>
              <w:tc>
                <w:tcPr>
                  <w:tcW w:w="598" w:type="dxa"/>
                  <w:tcBorders>
                    <w:tl2br w:val="nil"/>
                    <w:tr2bl w:val="nil"/>
                  </w:tcBorders>
                  <w:noWrap w:val="0"/>
                  <w:tcMar>
                    <w:left w:w="28" w:type="dxa"/>
                    <w:right w:w="28" w:type="dxa"/>
                  </w:tcMar>
                  <w:vAlign w:val="center"/>
                </w:tcPr>
                <w:p w14:paraId="76F56C37">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500F1E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7804CCB0">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cs="Times New Roman"/>
                      <w:color w:val="auto"/>
                      <w:sz w:val="21"/>
                      <w:szCs w:val="21"/>
                      <w:highlight w:val="none"/>
                    </w:rPr>
                  </w:pPr>
                </w:p>
              </w:tc>
              <w:tc>
                <w:tcPr>
                  <w:tcW w:w="4111" w:type="dxa"/>
                  <w:gridSpan w:val="2"/>
                  <w:tcBorders>
                    <w:tl2br w:val="nil"/>
                    <w:tr2bl w:val="nil"/>
                  </w:tcBorders>
                  <w:noWrap w:val="0"/>
                  <w:tcMar>
                    <w:left w:w="28" w:type="dxa"/>
                    <w:right w:w="28" w:type="dxa"/>
                  </w:tcMar>
                  <w:vAlign w:val="center"/>
                </w:tcPr>
                <w:p w14:paraId="6BC3DC9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rPr>
                    <w:t>新建项目不再采用低温等离子、光氧化、光催化等处理方式，非水溶性VOCs废气不再采用喷淋吸收方式处理。</w:t>
                  </w:r>
                </w:p>
              </w:tc>
              <w:tc>
                <w:tcPr>
                  <w:tcW w:w="2109" w:type="dxa"/>
                  <w:tcBorders>
                    <w:tl2br w:val="nil"/>
                    <w:tr2bl w:val="nil"/>
                  </w:tcBorders>
                  <w:noWrap w:val="0"/>
                  <w:tcMar>
                    <w:left w:w="28" w:type="dxa"/>
                    <w:right w:w="28" w:type="dxa"/>
                  </w:tcMar>
                  <w:vAlign w:val="center"/>
                </w:tcPr>
                <w:p w14:paraId="583AFB0A">
                  <w:pPr>
                    <w:pStyle w:val="3"/>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Times New Roman" w:cs="Times New Roman"/>
                      <w:b/>
                      <w:bCs/>
                      <w:color w:val="auto"/>
                      <w:kern w:val="2"/>
                      <w:sz w:val="21"/>
                      <w:szCs w:val="21"/>
                      <w:highlight w:val="none"/>
                      <w:lang w:val="en-US" w:eastAsia="zh-CN" w:bidi="ar-SA"/>
                    </w:rPr>
                  </w:pPr>
                  <w:r>
                    <w:rPr>
                      <w:rFonts w:hint="default" w:ascii="Times New Roman" w:hAnsi="Times New Roman" w:eastAsia="宋体" w:cs="Times New Roman"/>
                      <w:b w:val="0"/>
                      <w:color w:val="auto"/>
                      <w:sz w:val="21"/>
                      <w:szCs w:val="21"/>
                      <w:highlight w:val="none"/>
                    </w:rPr>
                    <w:t>本项目</w:t>
                  </w:r>
                  <w:r>
                    <w:rPr>
                      <w:rFonts w:hint="default" w:ascii="Times New Roman" w:hAnsi="Times New Roman" w:eastAsia="宋体" w:cs="Times New Roman"/>
                      <w:b w:val="0"/>
                      <w:color w:val="auto"/>
                      <w:sz w:val="21"/>
                      <w:szCs w:val="21"/>
                      <w:highlight w:val="none"/>
                      <w:lang w:val="en-US" w:eastAsia="zh-CN"/>
                    </w:rPr>
                    <w:t>有机废气</w:t>
                  </w:r>
                  <w:r>
                    <w:rPr>
                      <w:rFonts w:hint="default" w:ascii="Times New Roman" w:hAnsi="Times New Roman" w:eastAsia="宋体" w:cs="Times New Roman"/>
                      <w:b w:val="0"/>
                      <w:color w:val="auto"/>
                      <w:sz w:val="21"/>
                      <w:szCs w:val="21"/>
                      <w:highlight w:val="none"/>
                    </w:rPr>
                    <w:t>配套建设活性炭吸附装置处理</w:t>
                  </w:r>
                  <w:r>
                    <w:rPr>
                      <w:rFonts w:hint="eastAsia" w:ascii="Times New Roman" w:hAnsi="Times New Roman" w:eastAsia="宋体" w:cs="Times New Roman"/>
                      <w:b w:val="0"/>
                      <w:color w:val="auto"/>
                      <w:sz w:val="21"/>
                      <w:szCs w:val="21"/>
                      <w:highlight w:val="none"/>
                      <w:lang w:val="en-US" w:eastAsia="zh-CN"/>
                    </w:rPr>
                    <w:t>后</w:t>
                  </w:r>
                  <w:r>
                    <w:rPr>
                      <w:rFonts w:hint="default" w:ascii="Times New Roman" w:hAnsi="Times New Roman" w:eastAsia="宋体" w:cs="Times New Roman"/>
                      <w:b w:val="0"/>
                      <w:color w:val="auto"/>
                      <w:sz w:val="21"/>
                      <w:szCs w:val="21"/>
                      <w:highlight w:val="none"/>
                      <w:lang w:val="en-US" w:eastAsia="zh-CN"/>
                    </w:rPr>
                    <w:t>有组织</w:t>
                  </w:r>
                  <w:r>
                    <w:rPr>
                      <w:rFonts w:hint="default" w:ascii="Times New Roman" w:hAnsi="Times New Roman" w:eastAsia="宋体" w:cs="Times New Roman"/>
                      <w:b w:val="0"/>
                      <w:color w:val="auto"/>
                      <w:sz w:val="21"/>
                      <w:szCs w:val="21"/>
                      <w:highlight w:val="none"/>
                    </w:rPr>
                    <w:t>排放</w:t>
                  </w:r>
                  <w:r>
                    <w:rPr>
                      <w:rFonts w:hint="default" w:ascii="Times New Roman" w:hAnsi="Times New Roman" w:eastAsia="宋体" w:cs="Times New Roman"/>
                      <w:b w:val="0"/>
                      <w:color w:val="auto"/>
                      <w:sz w:val="21"/>
                      <w:szCs w:val="21"/>
                      <w:highlight w:val="none"/>
                      <w:lang w:val="en-US" w:eastAsia="zh-CN"/>
                    </w:rPr>
                    <w:t>。</w:t>
                  </w:r>
                </w:p>
              </w:tc>
              <w:tc>
                <w:tcPr>
                  <w:tcW w:w="598" w:type="dxa"/>
                  <w:tcBorders>
                    <w:tl2br w:val="nil"/>
                    <w:tr2bl w:val="nil"/>
                  </w:tcBorders>
                  <w:noWrap w:val="0"/>
                  <w:tcMar>
                    <w:left w:w="28" w:type="dxa"/>
                    <w:right w:w="28" w:type="dxa"/>
                  </w:tcMar>
                  <w:vAlign w:val="center"/>
                </w:tcPr>
                <w:p w14:paraId="3BBBBE3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符合</w:t>
                  </w:r>
                </w:p>
              </w:tc>
            </w:tr>
            <w:tr w14:paraId="405A1F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restart"/>
                  <w:tcBorders>
                    <w:tl2br w:val="nil"/>
                    <w:tr2bl w:val="nil"/>
                  </w:tcBorders>
                  <w:noWrap w:val="0"/>
                  <w:tcMar>
                    <w:left w:w="28" w:type="dxa"/>
                    <w:right w:w="28" w:type="dxa"/>
                  </w:tcMar>
                  <w:vAlign w:val="center"/>
                </w:tcPr>
                <w:p w14:paraId="02D0FFE6">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《西安市大气污染治理专项行动方案（2023-2027年）》</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市字</w:t>
                  </w:r>
                  <w:r>
                    <w:rPr>
                      <w:rFonts w:hint="default" w:ascii="Times New Roman" w:hAnsi="Times New Roman" w:cs="Times New Roman"/>
                      <w:color w:val="auto"/>
                      <w:sz w:val="21"/>
                      <w:szCs w:val="21"/>
                      <w:highlight w:val="none"/>
                      <w:lang w:eastAsia="zh-CN"/>
                    </w:rPr>
                    <w:t>〔2023〕</w:t>
                  </w:r>
                  <w:r>
                    <w:rPr>
                      <w:rFonts w:hint="default"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lang w:eastAsia="zh-CN"/>
                    </w:rPr>
                    <w:t>号）</w:t>
                  </w:r>
                </w:p>
              </w:tc>
              <w:tc>
                <w:tcPr>
                  <w:tcW w:w="4111" w:type="dxa"/>
                  <w:gridSpan w:val="2"/>
                  <w:tcBorders>
                    <w:tl2br w:val="nil"/>
                    <w:tr2bl w:val="nil"/>
                  </w:tcBorders>
                  <w:noWrap w:val="0"/>
                  <w:tcMar>
                    <w:left w:w="28" w:type="dxa"/>
                    <w:right w:w="28" w:type="dxa"/>
                  </w:tcMar>
                  <w:vAlign w:val="center"/>
                </w:tcPr>
                <w:p w14:paraId="7F358DB7">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Times New Roman"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严格新改扩建涉气重点行业绩效评级限制条件。各区、开发区范围内新改扩建涉气重点行业企业应达到环保绩效A级、绩效引领性水平。</w:t>
                  </w:r>
                </w:p>
              </w:tc>
              <w:tc>
                <w:tcPr>
                  <w:tcW w:w="2109" w:type="dxa"/>
                  <w:tcBorders>
                    <w:tl2br w:val="nil"/>
                    <w:tr2bl w:val="nil"/>
                  </w:tcBorders>
                  <w:noWrap w:val="0"/>
                  <w:tcMar>
                    <w:left w:w="28" w:type="dxa"/>
                    <w:right w:w="28" w:type="dxa"/>
                  </w:tcMar>
                  <w:vAlign w:val="center"/>
                </w:tcPr>
                <w:p w14:paraId="05E7D0AD">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Times New Roman"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本项目为</w:t>
                  </w:r>
                  <w:r>
                    <w:rPr>
                      <w:rFonts w:hint="default" w:ascii="Times New Roman" w:hAnsi="Times New Roman" w:cs="Times New Roman"/>
                      <w:color w:val="auto"/>
                      <w:sz w:val="21"/>
                      <w:szCs w:val="21"/>
                      <w:highlight w:val="none"/>
                      <w:lang w:val="en-US" w:eastAsia="zh-CN"/>
                    </w:rPr>
                    <w:t>试验室</w:t>
                  </w:r>
                  <w:r>
                    <w:rPr>
                      <w:rFonts w:hint="default" w:ascii="Times New Roman" w:hAnsi="Times New Roman" w:eastAsia="Times New Roman" w:cs="Times New Roman"/>
                      <w:color w:val="auto"/>
                      <w:sz w:val="21"/>
                      <w:szCs w:val="21"/>
                      <w:highlight w:val="none"/>
                      <w:lang w:val="en-US" w:eastAsia="zh-CN"/>
                    </w:rPr>
                    <w:t>项目，</w:t>
                  </w:r>
                  <w:r>
                    <w:rPr>
                      <w:rFonts w:hint="default" w:ascii="Times New Roman" w:hAnsi="Times New Roman" w:cs="Times New Roman"/>
                      <w:color w:val="auto"/>
                      <w:sz w:val="21"/>
                      <w:szCs w:val="21"/>
                      <w:highlight w:val="none"/>
                      <w:lang w:val="en-US" w:eastAsia="zh-CN"/>
                    </w:rPr>
                    <w:t>不</w:t>
                  </w:r>
                  <w:r>
                    <w:rPr>
                      <w:rFonts w:hint="default" w:ascii="Times New Roman" w:hAnsi="Times New Roman" w:eastAsia="Times New Roman" w:cs="Times New Roman"/>
                      <w:color w:val="auto"/>
                      <w:sz w:val="21"/>
                      <w:szCs w:val="21"/>
                      <w:highlight w:val="none"/>
                      <w:lang w:val="en-US" w:eastAsia="zh-CN"/>
                    </w:rPr>
                    <w:t>属于涉气重点行业企业</w:t>
                  </w:r>
                  <w:r>
                    <w:rPr>
                      <w:rFonts w:hint="default" w:ascii="Times New Roman" w:hAnsi="Times New Roman" w:cs="Times New Roman"/>
                      <w:color w:val="auto"/>
                      <w:sz w:val="21"/>
                      <w:szCs w:val="21"/>
                      <w:highlight w:val="none"/>
                      <w:lang w:val="en-US" w:eastAsia="zh-CN"/>
                    </w:rPr>
                    <w:t>。</w:t>
                  </w:r>
                </w:p>
              </w:tc>
              <w:tc>
                <w:tcPr>
                  <w:tcW w:w="598" w:type="dxa"/>
                  <w:tcBorders>
                    <w:tl2br w:val="nil"/>
                    <w:tr2bl w:val="nil"/>
                  </w:tcBorders>
                  <w:noWrap w:val="0"/>
                  <w:tcMar>
                    <w:left w:w="28" w:type="dxa"/>
                    <w:right w:w="28" w:type="dxa"/>
                  </w:tcMar>
                  <w:vAlign w:val="center"/>
                </w:tcPr>
                <w:p w14:paraId="38388AC6">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14:paraId="40BC7C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30BE747C">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Times New Roman" w:cs="Times New Roman"/>
                      <w:color w:val="auto"/>
                      <w:sz w:val="21"/>
                      <w:szCs w:val="21"/>
                      <w:highlight w:val="none"/>
                      <w:lang w:val="en-US" w:eastAsia="zh-CN"/>
                    </w:rPr>
                  </w:pPr>
                </w:p>
              </w:tc>
              <w:tc>
                <w:tcPr>
                  <w:tcW w:w="4111" w:type="dxa"/>
                  <w:gridSpan w:val="2"/>
                  <w:tcBorders>
                    <w:tl2br w:val="nil"/>
                    <w:tr2bl w:val="nil"/>
                  </w:tcBorders>
                  <w:noWrap w:val="0"/>
                  <w:tcMar>
                    <w:left w:w="28" w:type="dxa"/>
                    <w:right w:w="28" w:type="dxa"/>
                  </w:tcMar>
                  <w:vAlign w:val="center"/>
                </w:tcPr>
                <w:p w14:paraId="777E71F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Times New Roman" w:cs="Times New Roman"/>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rPr>
                    <w:t>新建项目不再采用低温等离子、光氧化、光催化等处理方式，非水溶性VOCs废气不再采用喷淋吸收方式处理。</w:t>
                  </w:r>
                </w:p>
              </w:tc>
              <w:tc>
                <w:tcPr>
                  <w:tcW w:w="2109" w:type="dxa"/>
                  <w:tcBorders>
                    <w:tl2br w:val="nil"/>
                    <w:tr2bl w:val="nil"/>
                  </w:tcBorders>
                  <w:noWrap w:val="0"/>
                  <w:tcMar>
                    <w:left w:w="28" w:type="dxa"/>
                    <w:right w:w="28" w:type="dxa"/>
                  </w:tcMar>
                  <w:vAlign w:val="center"/>
                </w:tcPr>
                <w:p w14:paraId="01B28943">
                  <w:pPr>
                    <w:pStyle w:val="3"/>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Times New Roman" w:cs="Times New Roman"/>
                      <w:color w:val="auto"/>
                      <w:sz w:val="21"/>
                      <w:szCs w:val="21"/>
                      <w:highlight w:val="none"/>
                      <w:lang w:val="en-US" w:eastAsia="zh-CN"/>
                    </w:rPr>
                  </w:pPr>
                  <w:r>
                    <w:rPr>
                      <w:rFonts w:hint="default" w:ascii="Times New Roman" w:hAnsi="Times New Roman" w:eastAsia="宋体" w:cs="Times New Roman"/>
                      <w:b w:val="0"/>
                      <w:color w:val="auto"/>
                      <w:sz w:val="21"/>
                      <w:szCs w:val="21"/>
                      <w:highlight w:val="none"/>
                    </w:rPr>
                    <w:t>本项目废气配套建设活性炭吸附装置处理，</w:t>
                  </w:r>
                  <w:r>
                    <w:rPr>
                      <w:rFonts w:hint="default" w:ascii="Times New Roman" w:hAnsi="Times New Roman" w:eastAsia="宋体" w:cs="Times New Roman"/>
                      <w:b w:val="0"/>
                      <w:color w:val="auto"/>
                      <w:sz w:val="21"/>
                      <w:szCs w:val="21"/>
                      <w:highlight w:val="none"/>
                      <w:lang w:val="en-US" w:eastAsia="zh-CN"/>
                    </w:rPr>
                    <w:t>楼顶有组织</w:t>
                  </w:r>
                  <w:r>
                    <w:rPr>
                      <w:rFonts w:hint="default" w:ascii="Times New Roman" w:hAnsi="Times New Roman" w:eastAsia="宋体" w:cs="Times New Roman"/>
                      <w:b w:val="0"/>
                      <w:color w:val="auto"/>
                      <w:sz w:val="21"/>
                      <w:szCs w:val="21"/>
                      <w:highlight w:val="none"/>
                    </w:rPr>
                    <w:t>排放</w:t>
                  </w:r>
                  <w:r>
                    <w:rPr>
                      <w:rFonts w:hint="default" w:ascii="Times New Roman" w:hAnsi="Times New Roman" w:eastAsia="宋体" w:cs="Times New Roman"/>
                      <w:b w:val="0"/>
                      <w:color w:val="auto"/>
                      <w:sz w:val="21"/>
                      <w:szCs w:val="21"/>
                      <w:highlight w:val="none"/>
                      <w:lang w:val="en-US" w:eastAsia="zh-CN"/>
                    </w:rPr>
                    <w:t>。</w:t>
                  </w:r>
                </w:p>
              </w:tc>
              <w:tc>
                <w:tcPr>
                  <w:tcW w:w="598" w:type="dxa"/>
                  <w:tcBorders>
                    <w:tl2br w:val="nil"/>
                    <w:tr2bl w:val="nil"/>
                  </w:tcBorders>
                  <w:noWrap w:val="0"/>
                  <w:tcMar>
                    <w:left w:w="28" w:type="dxa"/>
                    <w:right w:w="28" w:type="dxa"/>
                  </w:tcMar>
                  <w:vAlign w:val="center"/>
                </w:tcPr>
                <w:p w14:paraId="5683F35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14:paraId="6E615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restart"/>
                  <w:tcBorders>
                    <w:tl2br w:val="nil"/>
                    <w:tr2bl w:val="nil"/>
                  </w:tcBorders>
                  <w:noWrap w:val="0"/>
                  <w:tcMar>
                    <w:left w:w="28" w:type="dxa"/>
                    <w:right w:w="28" w:type="dxa"/>
                  </w:tcMar>
                  <w:vAlign w:val="center"/>
                </w:tcPr>
                <w:p w14:paraId="6BB2996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《西咸新区大气污染治理专项行动方案（2023-2027</w:t>
                  </w:r>
                  <w:r>
                    <w:rPr>
                      <w:rFonts w:hint="default" w:ascii="Times New Roman" w:hAnsi="Times New Roman" w:eastAsia="宋体" w:cs="Times New Roman"/>
                      <w:b w:val="0"/>
                      <w:bCs w:val="0"/>
                      <w:color w:val="auto"/>
                      <w:kern w:val="0"/>
                      <w:sz w:val="21"/>
                      <w:szCs w:val="21"/>
                      <w:highlight w:val="none"/>
                      <w:lang w:val="en-US" w:eastAsia="zh-CN"/>
                    </w:rPr>
                    <w:t>年</w:t>
                  </w:r>
                  <w:r>
                    <w:rPr>
                      <w:rFonts w:hint="default" w:ascii="Times New Roman" w:hAnsi="Times New Roman" w:eastAsia="宋体" w:cs="Times New Roman"/>
                      <w:b w:val="0"/>
                      <w:bCs w:val="0"/>
                      <w:color w:val="auto"/>
                      <w:kern w:val="0"/>
                      <w:sz w:val="21"/>
                      <w:szCs w:val="21"/>
                      <w:highlight w:val="none"/>
                    </w:rPr>
                    <w:t>）》</w:t>
                  </w:r>
                </w:p>
              </w:tc>
              <w:tc>
                <w:tcPr>
                  <w:tcW w:w="4111" w:type="dxa"/>
                  <w:gridSpan w:val="2"/>
                  <w:tcBorders>
                    <w:tl2br w:val="nil"/>
                    <w:tr2bl w:val="nil"/>
                  </w:tcBorders>
                  <w:noWrap w:val="0"/>
                  <w:tcMar>
                    <w:left w:w="28" w:type="dxa"/>
                    <w:right w:w="28" w:type="dxa"/>
                  </w:tcMar>
                  <w:vAlign w:val="center"/>
                </w:tcPr>
                <w:p w14:paraId="2976D1D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rPr>
                    <w:t>强化源头管控。严格落实国家、省、市及新区产业规划、产业政策、“三线一单”、规划环评等要求，深入开展区域空间生态环境评价工作，积极推行区域、规划环境影响评价，新、改、扩建化工、石化、建材、有色等项目的环境影响评价应满足区域、规划环评要求。</w:t>
                  </w:r>
                </w:p>
              </w:tc>
              <w:tc>
                <w:tcPr>
                  <w:tcW w:w="2109" w:type="dxa"/>
                  <w:tcBorders>
                    <w:tl2br w:val="nil"/>
                    <w:tr2bl w:val="nil"/>
                  </w:tcBorders>
                  <w:noWrap w:val="0"/>
                  <w:tcMar>
                    <w:left w:w="28" w:type="dxa"/>
                    <w:right w:w="28" w:type="dxa"/>
                  </w:tcMar>
                  <w:vAlign w:val="center"/>
                </w:tcPr>
                <w:p w14:paraId="7208A814">
                  <w:pPr>
                    <w:pStyle w:val="3"/>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本项目满足</w:t>
                  </w:r>
                  <w:r>
                    <w:rPr>
                      <w:rFonts w:hint="default" w:ascii="Times New Roman" w:hAnsi="Times New Roman" w:eastAsia="宋体" w:cs="Times New Roman"/>
                      <w:b w:val="0"/>
                      <w:color w:val="auto"/>
                      <w:sz w:val="21"/>
                      <w:szCs w:val="21"/>
                      <w:highlight w:val="none"/>
                    </w:rPr>
                    <w:t>《西咸新区-</w:t>
                  </w:r>
                  <w:r>
                    <w:rPr>
                      <w:rFonts w:hint="eastAsia" w:ascii="Times New Roman" w:hAnsi="Times New Roman" w:eastAsia="宋体" w:cs="Times New Roman"/>
                      <w:b w:val="0"/>
                      <w:color w:val="auto"/>
                      <w:sz w:val="21"/>
                      <w:szCs w:val="21"/>
                      <w:highlight w:val="none"/>
                      <w:lang w:val="en-US" w:eastAsia="zh-CN"/>
                    </w:rPr>
                    <w:t>沣西</w:t>
                  </w:r>
                  <w:r>
                    <w:rPr>
                      <w:rFonts w:hint="default" w:ascii="Times New Roman" w:hAnsi="Times New Roman" w:eastAsia="宋体" w:cs="Times New Roman"/>
                      <w:b w:val="0"/>
                      <w:color w:val="auto"/>
                      <w:sz w:val="21"/>
                      <w:szCs w:val="21"/>
                      <w:highlight w:val="none"/>
                    </w:rPr>
                    <w:t>新城</w:t>
                  </w:r>
                  <w:r>
                    <w:rPr>
                      <w:rFonts w:hint="default" w:ascii="Times New Roman" w:hAnsi="Times New Roman" w:eastAsia="宋体" w:cs="Times New Roman"/>
                      <w:b w:val="0"/>
                      <w:color w:val="auto"/>
                      <w:sz w:val="21"/>
                      <w:szCs w:val="21"/>
                      <w:highlight w:val="none"/>
                      <w:lang w:val="en-US" w:eastAsia="zh-CN"/>
                    </w:rPr>
                    <w:t>分区</w:t>
                  </w:r>
                  <w:r>
                    <w:rPr>
                      <w:rFonts w:hint="default" w:ascii="Times New Roman" w:hAnsi="Times New Roman" w:eastAsia="宋体" w:cs="Times New Roman"/>
                      <w:b w:val="0"/>
                      <w:color w:val="auto"/>
                      <w:sz w:val="21"/>
                      <w:szCs w:val="21"/>
                      <w:highlight w:val="none"/>
                    </w:rPr>
                    <w:t>规划》</w:t>
                  </w:r>
                  <w:r>
                    <w:rPr>
                      <w:rFonts w:hint="default" w:ascii="Times New Roman" w:hAnsi="Times New Roman" w:eastAsia="宋体" w:cs="Times New Roman"/>
                      <w:b w:val="0"/>
                      <w:color w:val="auto"/>
                      <w:sz w:val="21"/>
                      <w:szCs w:val="21"/>
                      <w:highlight w:val="none"/>
                      <w:lang w:eastAsia="zh-CN"/>
                    </w:rPr>
                    <w:t>及</w:t>
                  </w:r>
                  <w:r>
                    <w:rPr>
                      <w:rFonts w:hint="default" w:ascii="Times New Roman" w:hAnsi="Times New Roman" w:eastAsia="宋体" w:cs="Times New Roman"/>
                      <w:b w:val="0"/>
                      <w:color w:val="auto"/>
                      <w:sz w:val="21"/>
                      <w:szCs w:val="21"/>
                      <w:highlight w:val="none"/>
                    </w:rPr>
                    <w:t>《陕西省西咸新区</w:t>
                  </w:r>
                  <w:r>
                    <w:rPr>
                      <w:rFonts w:hint="eastAsia" w:ascii="Times New Roman" w:hAnsi="Times New Roman" w:eastAsia="宋体" w:cs="Times New Roman"/>
                      <w:b w:val="0"/>
                      <w:color w:val="auto"/>
                      <w:sz w:val="21"/>
                      <w:szCs w:val="21"/>
                      <w:highlight w:val="none"/>
                      <w:lang w:val="en-US" w:eastAsia="zh-CN"/>
                    </w:rPr>
                    <w:t>沣西</w:t>
                  </w:r>
                  <w:r>
                    <w:rPr>
                      <w:rFonts w:hint="default" w:ascii="Times New Roman" w:hAnsi="Times New Roman" w:eastAsia="宋体" w:cs="Times New Roman"/>
                      <w:b w:val="0"/>
                      <w:color w:val="auto"/>
                      <w:sz w:val="21"/>
                      <w:szCs w:val="21"/>
                      <w:highlight w:val="none"/>
                    </w:rPr>
                    <w:t>新城分区规划（2016-2035）》环境影响报告书</w:t>
                  </w:r>
                  <w:r>
                    <w:rPr>
                      <w:rFonts w:hint="default" w:ascii="Times New Roman" w:hAnsi="Times New Roman" w:eastAsia="宋体" w:cs="Times New Roman"/>
                      <w:b w:val="0"/>
                      <w:color w:val="auto"/>
                      <w:sz w:val="21"/>
                      <w:szCs w:val="21"/>
                      <w:highlight w:val="none"/>
                      <w:lang w:val="en-US" w:eastAsia="zh-CN"/>
                    </w:rPr>
                    <w:t>要求。</w:t>
                  </w:r>
                </w:p>
              </w:tc>
              <w:tc>
                <w:tcPr>
                  <w:tcW w:w="598" w:type="dxa"/>
                  <w:tcBorders>
                    <w:tl2br w:val="nil"/>
                    <w:tr2bl w:val="nil"/>
                  </w:tcBorders>
                  <w:noWrap w:val="0"/>
                  <w:tcMar>
                    <w:left w:w="28" w:type="dxa"/>
                    <w:right w:w="28" w:type="dxa"/>
                  </w:tcMar>
                  <w:vAlign w:val="center"/>
                </w:tcPr>
                <w:p w14:paraId="466132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1EBC1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2C05E4C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auto"/>
                      <w:kern w:val="0"/>
                      <w:sz w:val="21"/>
                      <w:szCs w:val="21"/>
                      <w:highlight w:val="none"/>
                    </w:rPr>
                  </w:pPr>
                </w:p>
              </w:tc>
              <w:tc>
                <w:tcPr>
                  <w:tcW w:w="4111" w:type="dxa"/>
                  <w:gridSpan w:val="2"/>
                  <w:tcBorders>
                    <w:tl2br w:val="nil"/>
                    <w:tr2bl w:val="nil"/>
                  </w:tcBorders>
                  <w:noWrap w:val="0"/>
                  <w:tcMar>
                    <w:left w:w="28" w:type="dxa"/>
                    <w:right w:w="28" w:type="dxa"/>
                  </w:tcMar>
                  <w:vAlign w:val="center"/>
                </w:tcPr>
                <w:p w14:paraId="48248FF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rPr>
                    <w:t>强化VOCs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VOCs废气不再采用喷淋吸收方式处理。</w:t>
                  </w:r>
                </w:p>
              </w:tc>
              <w:tc>
                <w:tcPr>
                  <w:tcW w:w="2109" w:type="dxa"/>
                  <w:tcBorders>
                    <w:tl2br w:val="nil"/>
                    <w:tr2bl w:val="nil"/>
                  </w:tcBorders>
                  <w:noWrap w:val="0"/>
                  <w:tcMar>
                    <w:left w:w="28" w:type="dxa"/>
                    <w:right w:w="28" w:type="dxa"/>
                  </w:tcMar>
                  <w:vAlign w:val="center"/>
                </w:tcPr>
                <w:p w14:paraId="137C5D06">
                  <w:pPr>
                    <w:pStyle w:val="3"/>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本项目产生的挥发性有机物主要为</w:t>
                  </w:r>
                  <w:r>
                    <w:rPr>
                      <w:rFonts w:hint="default" w:ascii="Times New Roman" w:hAnsi="Times New Roman" w:eastAsia="宋体" w:cs="Times New Roman"/>
                      <w:b w:val="0"/>
                      <w:bCs/>
                      <w:color w:val="auto"/>
                      <w:kern w:val="2"/>
                      <w:sz w:val="21"/>
                      <w:szCs w:val="21"/>
                      <w:highlight w:val="none"/>
                      <w:lang w:val="en-US" w:eastAsia="zh-CN" w:bidi="ar-SA"/>
                    </w:rPr>
                    <w:t>有机溶剂挥发产生，由于各试剂用量较少，有机废气产生量较少，项目采用活性炭吸附处理后达标排放</w:t>
                  </w:r>
                </w:p>
              </w:tc>
              <w:tc>
                <w:tcPr>
                  <w:tcW w:w="598" w:type="dxa"/>
                  <w:tcBorders>
                    <w:tl2br w:val="nil"/>
                    <w:tr2bl w:val="nil"/>
                  </w:tcBorders>
                  <w:noWrap w:val="0"/>
                  <w:tcMar>
                    <w:left w:w="28" w:type="dxa"/>
                    <w:right w:w="28" w:type="dxa"/>
                  </w:tcMar>
                  <w:vAlign w:val="center"/>
                </w:tcPr>
                <w:p w14:paraId="4764DB8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14:paraId="06E5CC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1D659D12">
                  <w:pPr>
                    <w:pStyle w:val="80"/>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rPr>
                      <w:rFonts w:hint="default" w:ascii="Times New Roman" w:hAnsi="Times New Roman" w:eastAsia="宋体" w:cs="Times New Roman"/>
                      <w:b w:val="0"/>
                      <w:bCs w:val="0"/>
                      <w:color w:val="auto"/>
                      <w:kern w:val="2"/>
                      <w:sz w:val="21"/>
                      <w:szCs w:val="21"/>
                      <w:highlight w:val="yellow"/>
                      <w:lang w:bidi="ar-SA"/>
                    </w:rPr>
                  </w:pPr>
                  <w:r>
                    <w:rPr>
                      <w:rFonts w:hint="default" w:ascii="Times New Roman" w:hAnsi="Times New Roman" w:eastAsia="宋体" w:cs="Times New Roman"/>
                      <w:b w:val="0"/>
                      <w:bCs w:val="0"/>
                      <w:color w:val="auto"/>
                      <w:kern w:val="0"/>
                      <w:sz w:val="21"/>
                      <w:szCs w:val="21"/>
                      <w:highlight w:val="none"/>
                      <w:lang w:val="en-US" w:eastAsia="zh-CN" w:bidi="ar-SA"/>
                    </w:rPr>
                    <w:t>《西咸新区</w:t>
                  </w:r>
                  <w:r>
                    <w:rPr>
                      <w:rFonts w:hint="eastAsia" w:ascii="Times New Roman" w:hAnsi="Times New Roman" w:eastAsia="宋体" w:cs="Times New Roman"/>
                      <w:b w:val="0"/>
                      <w:bCs w:val="0"/>
                      <w:color w:val="auto"/>
                      <w:kern w:val="0"/>
                      <w:sz w:val="21"/>
                      <w:szCs w:val="21"/>
                      <w:highlight w:val="none"/>
                      <w:lang w:val="en-US" w:eastAsia="zh-CN" w:bidi="ar-SA"/>
                    </w:rPr>
                    <w:t>沣西</w:t>
                  </w:r>
                  <w:r>
                    <w:rPr>
                      <w:rFonts w:hint="default" w:ascii="Times New Roman" w:hAnsi="Times New Roman" w:eastAsia="宋体" w:cs="Times New Roman"/>
                      <w:b w:val="0"/>
                      <w:bCs w:val="0"/>
                      <w:color w:val="auto"/>
                      <w:kern w:val="0"/>
                      <w:sz w:val="21"/>
                      <w:szCs w:val="21"/>
                      <w:highlight w:val="none"/>
                      <w:lang w:val="en-US" w:eastAsia="zh-CN" w:bidi="ar-SA"/>
                    </w:rPr>
                    <w:t>新城大气污染治理专项行动方案（2023-2027年）</w:t>
                  </w:r>
                  <w:r>
                    <w:rPr>
                      <w:rFonts w:hint="default" w:ascii="Times New Roman" w:hAnsi="Times New Roman" w:eastAsia="宋体" w:cs="Times New Roman"/>
                      <w:b w:val="0"/>
                      <w:bCs w:val="0"/>
                      <w:color w:val="auto"/>
                      <w:sz w:val="21"/>
                      <w:szCs w:val="21"/>
                      <w:highlight w:val="none"/>
                    </w:rPr>
                    <w:t>》</w:t>
                  </w:r>
                </w:p>
              </w:tc>
              <w:tc>
                <w:tcPr>
                  <w:tcW w:w="4111" w:type="dxa"/>
                  <w:gridSpan w:val="2"/>
                  <w:tcBorders>
                    <w:tl2br w:val="nil"/>
                    <w:tr2bl w:val="nil"/>
                  </w:tcBorders>
                  <w:noWrap w:val="0"/>
                  <w:tcMar>
                    <w:left w:w="28" w:type="dxa"/>
                    <w:right w:w="28" w:type="dxa"/>
                  </w:tcMar>
                  <w:vAlign w:val="center"/>
                </w:tcPr>
                <w:p w14:paraId="0A978CC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强化涉活性炭VOCs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VOCs废气不再采用单一喷淋吸收方式处理</w:t>
                  </w:r>
                </w:p>
              </w:tc>
              <w:tc>
                <w:tcPr>
                  <w:tcW w:w="2109" w:type="dxa"/>
                  <w:tcBorders>
                    <w:tl2br w:val="nil"/>
                    <w:tr2bl w:val="nil"/>
                  </w:tcBorders>
                  <w:noWrap w:val="0"/>
                  <w:tcMar>
                    <w:left w:w="28" w:type="dxa"/>
                    <w:right w:w="28" w:type="dxa"/>
                  </w:tcMar>
                  <w:vAlign w:val="center"/>
                </w:tcPr>
                <w:p w14:paraId="43DC8BB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本项目</w:t>
                  </w:r>
                  <w:r>
                    <w:rPr>
                      <w:rFonts w:hint="eastAsia" w:ascii="Times New Roman" w:hAnsi="Times New Roman" w:eastAsia="宋体" w:cs="Times New Roman"/>
                      <w:b w:val="0"/>
                      <w:bCs w:val="0"/>
                      <w:color w:val="auto"/>
                      <w:kern w:val="0"/>
                      <w:sz w:val="21"/>
                      <w:szCs w:val="21"/>
                      <w:highlight w:val="none"/>
                      <w:lang w:val="en-US" w:eastAsia="zh-CN"/>
                    </w:rPr>
                    <w:t>理化</w:t>
                  </w:r>
                  <w:r>
                    <w:rPr>
                      <w:rFonts w:hint="default" w:ascii="Times New Roman" w:hAnsi="Times New Roman" w:eastAsia="宋体" w:cs="Times New Roman"/>
                      <w:b w:val="0"/>
                      <w:bCs w:val="0"/>
                      <w:color w:val="auto"/>
                      <w:kern w:val="0"/>
                      <w:sz w:val="21"/>
                      <w:szCs w:val="21"/>
                      <w:highlight w:val="none"/>
                      <w:lang w:val="en-US" w:eastAsia="zh-CN"/>
                    </w:rPr>
                    <w:t>室废气经</w:t>
                  </w:r>
                  <w:r>
                    <w:rPr>
                      <w:rFonts w:hint="eastAsia" w:cs="Times New Roman"/>
                      <w:b w:val="0"/>
                      <w:bCs w:val="0"/>
                      <w:color w:val="auto"/>
                      <w:kern w:val="0"/>
                      <w:sz w:val="21"/>
                      <w:szCs w:val="21"/>
                      <w:highlight w:val="none"/>
                      <w:lang w:val="en-US" w:eastAsia="zh-CN"/>
                    </w:rPr>
                    <w:t>通风橱收集经</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活性炭吸附装置</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处理后由</w:t>
                  </w:r>
                  <w:r>
                    <w:rPr>
                      <w:rFonts w:hint="eastAsia" w:ascii="Times New Roman" w:hAnsi="Times New Roman" w:eastAsia="宋体" w:cs="Times New Roman"/>
                      <w:b w:val="0"/>
                      <w:bCs w:val="0"/>
                      <w:color w:val="auto"/>
                      <w:kern w:val="0"/>
                      <w:sz w:val="21"/>
                      <w:szCs w:val="21"/>
                      <w:highlight w:val="none"/>
                      <w:lang w:val="en-US" w:eastAsia="zh-CN"/>
                    </w:rPr>
                    <w:t>15</w:t>
                  </w:r>
                  <w:r>
                    <w:rPr>
                      <w:rFonts w:hint="default" w:ascii="Times New Roman" w:hAnsi="Times New Roman" w:eastAsia="宋体" w:cs="Times New Roman"/>
                      <w:b w:val="0"/>
                      <w:bCs w:val="0"/>
                      <w:color w:val="auto"/>
                      <w:kern w:val="0"/>
                      <w:sz w:val="21"/>
                      <w:szCs w:val="21"/>
                      <w:highlight w:val="none"/>
                      <w:lang w:val="en-US" w:eastAsia="zh-CN"/>
                    </w:rPr>
                    <w:t>m高DA001排气筒高空排放，满足</w:t>
                  </w:r>
                  <w:r>
                    <w:rPr>
                      <w:rFonts w:hint="default" w:ascii="Times New Roman" w:hAnsi="Times New Roman" w:eastAsia="宋体" w:cs="Times New Roman"/>
                      <w:b w:val="0"/>
                      <w:bCs/>
                      <w:color w:val="auto"/>
                      <w:kern w:val="2"/>
                      <w:sz w:val="21"/>
                      <w:szCs w:val="21"/>
                      <w:highlight w:val="none"/>
                      <w:lang w:val="en-US" w:eastAsia="zh-CN" w:bidi="ar-SA"/>
                    </w:rPr>
                    <w:t>《大气污染物综合排放标准》（GB16297-1996）</w:t>
                  </w:r>
                  <w:r>
                    <w:rPr>
                      <w:rFonts w:hint="default" w:ascii="Times New Roman" w:hAnsi="Times New Roman" w:eastAsia="宋体" w:cs="Times New Roman"/>
                      <w:b w:val="0"/>
                      <w:bCs w:val="0"/>
                      <w:color w:val="auto"/>
                      <w:kern w:val="0"/>
                      <w:sz w:val="21"/>
                      <w:szCs w:val="21"/>
                      <w:highlight w:val="none"/>
                      <w:lang w:val="en-US" w:eastAsia="zh-CN"/>
                    </w:rPr>
                    <w:t>中相关标准。</w:t>
                  </w:r>
                </w:p>
              </w:tc>
              <w:tc>
                <w:tcPr>
                  <w:tcW w:w="598" w:type="dxa"/>
                  <w:tcBorders>
                    <w:tl2br w:val="nil"/>
                    <w:tr2bl w:val="nil"/>
                  </w:tcBorders>
                  <w:noWrap w:val="0"/>
                  <w:tcMar>
                    <w:left w:w="28" w:type="dxa"/>
                    <w:right w:w="28" w:type="dxa"/>
                  </w:tcMar>
                  <w:vAlign w:val="center"/>
                </w:tcPr>
                <w:p w14:paraId="6500916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2E0BDA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l2br w:val="nil"/>
                    <w:tr2bl w:val="nil"/>
                  </w:tcBorders>
                  <w:noWrap w:val="0"/>
                  <w:tcMar>
                    <w:left w:w="28" w:type="dxa"/>
                    <w:right w:w="28" w:type="dxa"/>
                  </w:tcMar>
                  <w:vAlign w:val="center"/>
                </w:tcPr>
                <w:p w14:paraId="096AAD71">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《关于加强涉气项目环境影响评价管理的通知》（市环办发〔2023〕47号）</w:t>
                  </w:r>
                </w:p>
              </w:tc>
              <w:tc>
                <w:tcPr>
                  <w:tcW w:w="4111" w:type="dxa"/>
                  <w:gridSpan w:val="2"/>
                  <w:tcBorders>
                    <w:tl2br w:val="nil"/>
                    <w:tr2bl w:val="nil"/>
                  </w:tcBorders>
                  <w:noWrap w:val="0"/>
                  <w:tcMar>
                    <w:left w:w="28" w:type="dxa"/>
                    <w:right w:w="28" w:type="dxa"/>
                  </w:tcMar>
                  <w:vAlign w:val="center"/>
                </w:tcPr>
                <w:p w14:paraId="7BE86B8E">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采用活性炭吸附技术的，其中颗粒碳碘吸附值不低于800mg/g或四氯化碳吸附率不低于60%，蜂窝活性炭碘吸附值不低于600mg/g或四氯化碳吸附率不低于30%，按设计要求足量添加、定期更换。</w:t>
                  </w:r>
                </w:p>
              </w:tc>
              <w:tc>
                <w:tcPr>
                  <w:tcW w:w="2109" w:type="dxa"/>
                  <w:tcBorders>
                    <w:tl2br w:val="nil"/>
                    <w:tr2bl w:val="nil"/>
                  </w:tcBorders>
                  <w:noWrap w:val="0"/>
                  <w:tcMar>
                    <w:left w:w="28" w:type="dxa"/>
                    <w:right w:w="28" w:type="dxa"/>
                  </w:tcMar>
                  <w:vAlign w:val="center"/>
                </w:tcPr>
                <w:p w14:paraId="599BEBE6">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本项目使用活性炭吸附，环评要求颗粒碳碘吸附值不低于800mg/g，蜂窝活性炭碘吸附值不低于600mg/g</w:t>
                  </w:r>
                </w:p>
              </w:tc>
              <w:tc>
                <w:tcPr>
                  <w:tcW w:w="598" w:type="dxa"/>
                  <w:tcBorders>
                    <w:tl2br w:val="nil"/>
                    <w:tr2bl w:val="nil"/>
                  </w:tcBorders>
                  <w:noWrap w:val="0"/>
                  <w:tcMar>
                    <w:left w:w="28" w:type="dxa"/>
                    <w:right w:w="28" w:type="dxa"/>
                  </w:tcMar>
                  <w:vAlign w:val="center"/>
                </w:tcPr>
                <w:p w14:paraId="19EB12A6">
                  <w:pPr>
                    <w:pStyle w:val="86"/>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符合</w:t>
                  </w:r>
                </w:p>
              </w:tc>
            </w:tr>
            <w:tr w14:paraId="55115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restart"/>
                  <w:tcBorders>
                    <w:tl2br w:val="nil"/>
                    <w:tr2bl w:val="nil"/>
                  </w:tcBorders>
                  <w:noWrap w:val="0"/>
                  <w:tcMar>
                    <w:left w:w="28" w:type="dxa"/>
                    <w:right w:w="28" w:type="dxa"/>
                  </w:tcMar>
                  <w:vAlign w:val="center"/>
                </w:tcPr>
                <w:p w14:paraId="734876E8">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olor w:val="auto"/>
                    </w:rPr>
                    <w:t>《西安市生态环境局关于加强挥发性有机物活性炭吸附处理设施运行管理工作的通知》（市环发</w:t>
                  </w:r>
                  <w:r>
                    <w:rPr>
                      <w:rFonts w:hint="eastAsia"/>
                      <w:color w:val="auto"/>
                      <w:lang w:eastAsia="zh-CN"/>
                    </w:rPr>
                    <w:t>〔2022〕65号</w:t>
                  </w:r>
                  <w:r>
                    <w:rPr>
                      <w:rFonts w:hint="eastAsia"/>
                      <w:color w:val="auto"/>
                    </w:rPr>
                    <w:t>）</w:t>
                  </w:r>
                </w:p>
              </w:tc>
              <w:tc>
                <w:tcPr>
                  <w:tcW w:w="4111" w:type="dxa"/>
                  <w:gridSpan w:val="2"/>
                  <w:tcBorders>
                    <w:tl2br w:val="nil"/>
                    <w:tr2bl w:val="nil"/>
                  </w:tcBorders>
                  <w:noWrap w:val="0"/>
                  <w:tcMar>
                    <w:left w:w="28" w:type="dxa"/>
                    <w:right w:w="28" w:type="dxa"/>
                  </w:tcMar>
                  <w:vAlign w:val="center"/>
                </w:tcPr>
                <w:p w14:paraId="69483A5B">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olor w:val="auto"/>
                    </w:rPr>
                    <w:t>涉气企业根据当前有关VOCs治理的法律法规、技术规范、政策文件等要求，选择合理的治理工艺。除恶臭异味治理外，淘汰单一使用低温等离子、光催化氧化、活性炭吸附棉、水喷淋等低效处理工艺或其组合工艺。原料VOCs浓度高、排放总量较大的生产工艺原则上采用RTO、RCO等高效处理技术。</w:t>
                  </w:r>
                </w:p>
              </w:tc>
              <w:tc>
                <w:tcPr>
                  <w:tcW w:w="2109" w:type="dxa"/>
                  <w:tcBorders>
                    <w:tl2br w:val="nil"/>
                    <w:tr2bl w:val="nil"/>
                  </w:tcBorders>
                  <w:noWrap w:val="0"/>
                  <w:tcMar>
                    <w:left w:w="28" w:type="dxa"/>
                    <w:right w:w="28" w:type="dxa"/>
                  </w:tcMar>
                  <w:vAlign w:val="center"/>
                </w:tcPr>
                <w:p w14:paraId="03C35F1B">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color w:val="auto"/>
                      <w:lang w:val="en-US" w:eastAsia="zh-CN"/>
                    </w:rPr>
                    <w:t>本项目产生的挥发性有机物主要为有机溶剂挥发产生，由于各试剂用量较少，有机废气产生量较少，项目采用活性炭吸附处理后达标排放</w:t>
                  </w:r>
                </w:p>
              </w:tc>
              <w:tc>
                <w:tcPr>
                  <w:tcW w:w="598" w:type="dxa"/>
                  <w:tcBorders>
                    <w:tl2br w:val="nil"/>
                    <w:tr2bl w:val="nil"/>
                  </w:tcBorders>
                  <w:noWrap w:val="0"/>
                  <w:tcMar>
                    <w:left w:w="28" w:type="dxa"/>
                    <w:right w:w="28" w:type="dxa"/>
                  </w:tcMar>
                  <w:vAlign w:val="center"/>
                </w:tcPr>
                <w:p w14:paraId="5F55586F">
                  <w:pPr>
                    <w:pStyle w:val="86"/>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olor w:val="auto"/>
                    </w:rPr>
                    <w:t>符合</w:t>
                  </w:r>
                </w:p>
              </w:tc>
            </w:tr>
            <w:tr w14:paraId="61912D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4C91D61D">
                  <w:pPr>
                    <w:pStyle w:val="85"/>
                    <w:ind w:firstLine="0" w:firstLineChars="0"/>
                    <w:rPr>
                      <w:rFonts w:hint="eastAsia"/>
                      <w:color w:val="auto"/>
                    </w:rPr>
                  </w:pPr>
                </w:p>
              </w:tc>
              <w:tc>
                <w:tcPr>
                  <w:tcW w:w="4111" w:type="dxa"/>
                  <w:gridSpan w:val="2"/>
                  <w:tcBorders>
                    <w:tl2br w:val="nil"/>
                    <w:tr2bl w:val="nil"/>
                  </w:tcBorders>
                  <w:noWrap w:val="0"/>
                  <w:tcMar>
                    <w:left w:w="28" w:type="dxa"/>
                    <w:right w:w="28" w:type="dxa"/>
                  </w:tcMar>
                  <w:vAlign w:val="center"/>
                </w:tcPr>
                <w:p w14:paraId="49B0ECD0">
                  <w:pPr>
                    <w:pStyle w:val="85"/>
                    <w:ind w:firstLine="0" w:firstLineChars="0"/>
                    <w:rPr>
                      <w:rFonts w:hint="eastAsia"/>
                      <w:color w:val="auto"/>
                    </w:rPr>
                  </w:pPr>
                  <w:r>
                    <w:rPr>
                      <w:rFonts w:hint="eastAsia"/>
                      <w:color w:val="auto"/>
                    </w:rPr>
                    <w:t>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LY/T3284)规定的优级活性炭指标要求。</w:t>
                  </w:r>
                </w:p>
              </w:tc>
              <w:tc>
                <w:tcPr>
                  <w:tcW w:w="2109" w:type="dxa"/>
                  <w:vMerge w:val="restart"/>
                  <w:tcBorders>
                    <w:tl2br w:val="nil"/>
                    <w:tr2bl w:val="nil"/>
                  </w:tcBorders>
                  <w:noWrap w:val="0"/>
                  <w:tcMar>
                    <w:left w:w="28" w:type="dxa"/>
                    <w:right w:w="28" w:type="dxa"/>
                  </w:tcMar>
                  <w:vAlign w:val="center"/>
                </w:tcPr>
                <w:p w14:paraId="6FCCC9F3">
                  <w:pPr>
                    <w:pStyle w:val="85"/>
                    <w:ind w:firstLine="0" w:firstLineChars="0"/>
                    <w:rPr>
                      <w:rFonts w:hint="eastAsia" w:ascii="宋体" w:cs="宋体"/>
                      <w:color w:val="auto"/>
                      <w:kern w:val="0"/>
                    </w:rPr>
                  </w:pPr>
                  <w:r>
                    <w:rPr>
                      <w:rFonts w:hint="eastAsia" w:ascii="宋体" w:cs="宋体"/>
                      <w:color w:val="auto"/>
                      <w:kern w:val="0"/>
                    </w:rPr>
                    <w:t>要求企业购置的活性炭应满足《工业有机废气净化用活性炭技术指标及试验方法》(LY/T3284)优级活性炭相关规定且应满足挥发性有机物治理攻坚方案中要求活性炭碘值</w:t>
                  </w:r>
                  <w:r>
                    <w:rPr>
                      <w:rFonts w:hint="eastAsia" w:ascii="宋体" w:cs="宋体"/>
                      <w:color w:val="auto"/>
                      <w:kern w:val="0"/>
                      <w:lang w:eastAsia="zh-CN"/>
                    </w:rPr>
                    <w:t>（</w:t>
                  </w:r>
                  <w:r>
                    <w:rPr>
                      <w:rFonts w:hint="default" w:ascii="Times New Roman" w:hAnsi="Times New Roman" w:cs="Times New Roman"/>
                      <w:color w:val="auto"/>
                    </w:rPr>
                    <w:t>颗粒碳碘吸附值不低于800mg/g，蜂窝活性炭碘吸附值不低于600mg/g</w:t>
                  </w:r>
                  <w:r>
                    <w:rPr>
                      <w:rFonts w:hint="eastAsia" w:ascii="Times New Roman" w:hAnsi="Times New Roman" w:cs="Times New Roman"/>
                      <w:color w:val="auto"/>
                      <w:lang w:val="en-US" w:eastAsia="zh-CN"/>
                    </w:rPr>
                    <w:t>)</w:t>
                  </w:r>
                  <w:r>
                    <w:rPr>
                      <w:rFonts w:hint="eastAsia" w:ascii="宋体" w:cs="宋体"/>
                      <w:color w:val="auto"/>
                      <w:kern w:val="0"/>
                    </w:rPr>
                    <w:t>,并按风量等设计要求足量添加、及时更换，对活性炭的填充量、填充厚度和更换时间进行台账记录及管理。</w:t>
                  </w:r>
                </w:p>
              </w:tc>
              <w:tc>
                <w:tcPr>
                  <w:tcW w:w="598" w:type="dxa"/>
                  <w:tcBorders>
                    <w:tl2br w:val="nil"/>
                    <w:tr2bl w:val="nil"/>
                  </w:tcBorders>
                  <w:noWrap w:val="0"/>
                  <w:tcMar>
                    <w:left w:w="28" w:type="dxa"/>
                    <w:right w:w="28" w:type="dxa"/>
                  </w:tcMar>
                  <w:vAlign w:val="center"/>
                </w:tcPr>
                <w:p w14:paraId="686E3FAB">
                  <w:pPr>
                    <w:ind w:firstLine="0" w:firstLineChars="0"/>
                    <w:rPr>
                      <w:rFonts w:hint="default" w:eastAsia="宋体"/>
                      <w:color w:val="auto"/>
                      <w:lang w:val="en-US" w:eastAsia="zh-CN"/>
                    </w:rPr>
                  </w:pPr>
                  <w:r>
                    <w:rPr>
                      <w:rFonts w:hint="eastAsia"/>
                      <w:color w:val="auto"/>
                    </w:rPr>
                    <w:t>符合</w:t>
                  </w:r>
                </w:p>
              </w:tc>
            </w:tr>
            <w:tr w14:paraId="69CC7C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4" w:type="dxa"/>
                  <w:vMerge w:val="continue"/>
                  <w:tcBorders>
                    <w:tl2br w:val="nil"/>
                    <w:tr2bl w:val="nil"/>
                  </w:tcBorders>
                  <w:noWrap w:val="0"/>
                  <w:tcMar>
                    <w:left w:w="28" w:type="dxa"/>
                    <w:right w:w="28" w:type="dxa"/>
                  </w:tcMar>
                  <w:vAlign w:val="center"/>
                </w:tcPr>
                <w:p w14:paraId="480EA8C8">
                  <w:pPr>
                    <w:pStyle w:val="85"/>
                    <w:ind w:firstLine="0" w:firstLineChars="0"/>
                    <w:rPr>
                      <w:rFonts w:hint="eastAsia"/>
                      <w:color w:val="auto"/>
                    </w:rPr>
                  </w:pPr>
                </w:p>
              </w:tc>
              <w:tc>
                <w:tcPr>
                  <w:tcW w:w="4111" w:type="dxa"/>
                  <w:gridSpan w:val="2"/>
                  <w:tcBorders>
                    <w:tl2br w:val="nil"/>
                    <w:tr2bl w:val="nil"/>
                  </w:tcBorders>
                  <w:noWrap w:val="0"/>
                  <w:tcMar>
                    <w:left w:w="28" w:type="dxa"/>
                    <w:right w:w="28" w:type="dxa"/>
                  </w:tcMar>
                  <w:vAlign w:val="center"/>
                </w:tcPr>
                <w:p w14:paraId="27EE1985">
                  <w:pPr>
                    <w:pStyle w:val="85"/>
                    <w:ind w:firstLine="0" w:firstLineChars="0"/>
                    <w:rPr>
                      <w:rFonts w:hint="eastAsia"/>
                      <w:color w:val="auto"/>
                    </w:rPr>
                  </w:pPr>
                  <w:r>
                    <w:rPr>
                      <w:rFonts w:hint="eastAsia"/>
                      <w:color w:val="auto"/>
                    </w:rPr>
                    <w:t>企业应当根据风量和VOCs初始浓度范围</w:t>
                  </w:r>
                  <w:r>
                    <w:rPr>
                      <w:rFonts w:hint="eastAsia"/>
                      <w:color w:val="auto"/>
                      <w:lang w:eastAsia="zh-CN"/>
                    </w:rPr>
                    <w:t>，</w:t>
                  </w:r>
                  <w:r>
                    <w:rPr>
                      <w:rFonts w:hint="eastAsia"/>
                      <w:color w:val="auto"/>
                    </w:rPr>
                    <w:t>明确活性炭的填充量、填充厚度和更换时间。</w:t>
                  </w:r>
                </w:p>
              </w:tc>
              <w:tc>
                <w:tcPr>
                  <w:tcW w:w="2109" w:type="dxa"/>
                  <w:vMerge w:val="continue"/>
                  <w:tcBorders>
                    <w:tl2br w:val="nil"/>
                    <w:tr2bl w:val="nil"/>
                  </w:tcBorders>
                  <w:noWrap w:val="0"/>
                  <w:tcMar>
                    <w:left w:w="28" w:type="dxa"/>
                    <w:right w:w="28" w:type="dxa"/>
                  </w:tcMar>
                  <w:vAlign w:val="center"/>
                </w:tcPr>
                <w:p w14:paraId="0A40C94A">
                  <w:pPr>
                    <w:pStyle w:val="85"/>
                    <w:ind w:firstLine="0" w:firstLineChars="0"/>
                    <w:rPr>
                      <w:rFonts w:hint="eastAsia" w:ascii="宋体" w:cs="宋体"/>
                      <w:color w:val="auto"/>
                      <w:kern w:val="0"/>
                    </w:rPr>
                  </w:pPr>
                </w:p>
              </w:tc>
              <w:tc>
                <w:tcPr>
                  <w:tcW w:w="598" w:type="dxa"/>
                  <w:tcBorders>
                    <w:tl2br w:val="nil"/>
                    <w:tr2bl w:val="nil"/>
                  </w:tcBorders>
                  <w:noWrap w:val="0"/>
                  <w:tcMar>
                    <w:left w:w="28" w:type="dxa"/>
                    <w:right w:w="28" w:type="dxa"/>
                  </w:tcMar>
                  <w:vAlign w:val="center"/>
                </w:tcPr>
                <w:p w14:paraId="44143445">
                  <w:pPr>
                    <w:ind w:firstLine="0" w:firstLineChars="0"/>
                    <w:rPr>
                      <w:rFonts w:hint="eastAsia"/>
                      <w:color w:val="auto"/>
                    </w:rPr>
                  </w:pPr>
                  <w:r>
                    <w:rPr>
                      <w:rFonts w:hint="eastAsia"/>
                      <w:color w:val="auto"/>
                    </w:rPr>
                    <w:t>符合</w:t>
                  </w:r>
                </w:p>
              </w:tc>
            </w:tr>
            <w:tr w14:paraId="1F7778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21106965">
                  <w:pPr>
                    <w:pStyle w:val="85"/>
                    <w:ind w:firstLine="0" w:firstLineChars="0"/>
                    <w:rPr>
                      <w:rFonts w:hint="eastAsia"/>
                      <w:color w:val="auto"/>
                    </w:rPr>
                  </w:pPr>
                </w:p>
              </w:tc>
              <w:tc>
                <w:tcPr>
                  <w:tcW w:w="4111" w:type="dxa"/>
                  <w:gridSpan w:val="2"/>
                  <w:tcBorders>
                    <w:tl2br w:val="nil"/>
                    <w:tr2bl w:val="nil"/>
                  </w:tcBorders>
                  <w:noWrap w:val="0"/>
                  <w:tcMar>
                    <w:left w:w="28" w:type="dxa"/>
                    <w:right w:w="28" w:type="dxa"/>
                  </w:tcMar>
                  <w:vAlign w:val="center"/>
                </w:tcPr>
                <w:p w14:paraId="45B4696E">
                  <w:pPr>
                    <w:ind w:firstLine="0" w:firstLineChars="0"/>
                    <w:rPr>
                      <w:rFonts w:hint="eastAsia"/>
                      <w:color w:val="auto"/>
                    </w:rPr>
                  </w:pPr>
                  <w:r>
                    <w:rPr>
                      <w:rFonts w:hint="eastAsia"/>
                      <w:color w:val="auto"/>
                    </w:rPr>
                    <w:t>涂料、稀释剂、固化剂、清洗剂、胶粘剂等VOCs物料应密闭储存。盛装VOCs物料的容器或包装袋应密闭储存于室内，或存放于设置有雨棚、遮阳和防渗设施的专用场地，非取用状态时应加盖、封口，保持封闭。含VOCs废料(渣</w:t>
                  </w:r>
                  <w:r>
                    <w:rPr>
                      <w:rFonts w:hint="eastAsia"/>
                      <w:color w:val="auto"/>
                      <w:lang w:eastAsia="zh-CN"/>
                    </w:rPr>
                    <w:t>：</w:t>
                  </w:r>
                  <w:r>
                    <w:rPr>
                      <w:rFonts w:hint="eastAsia"/>
                      <w:color w:val="auto"/>
                    </w:rPr>
                    <w:t>液)以及VOCs物料废包装物等属于危险废物的应密封储存于危废储存间。VOCs物料的调配过程应采用密闭设备或在密闭空间内操作，并设置专门的密闭调配间，调配废气应排至VOCs废气收集处理系统</w:t>
                  </w:r>
                  <w:r>
                    <w:rPr>
                      <w:rFonts w:hint="eastAsia"/>
                      <w:color w:val="auto"/>
                      <w:lang w:eastAsia="zh-CN"/>
                    </w:rPr>
                    <w:t>：</w:t>
                  </w:r>
                  <w:r>
                    <w:rPr>
                      <w:rFonts w:hint="eastAsia"/>
                      <w:color w:val="auto"/>
                    </w:rPr>
                    <w:t>无法密闭的，应采取局部气体收集措施，废气应排至VOCs废气收集处理系统。</w:t>
                  </w:r>
                </w:p>
              </w:tc>
              <w:tc>
                <w:tcPr>
                  <w:tcW w:w="2109" w:type="dxa"/>
                  <w:tcBorders>
                    <w:tl2br w:val="nil"/>
                    <w:tr2bl w:val="nil"/>
                  </w:tcBorders>
                  <w:noWrap w:val="0"/>
                  <w:tcMar>
                    <w:left w:w="28" w:type="dxa"/>
                    <w:right w:w="28" w:type="dxa"/>
                  </w:tcMar>
                  <w:vAlign w:val="center"/>
                </w:tcPr>
                <w:p w14:paraId="6A711878">
                  <w:pPr>
                    <w:pStyle w:val="86"/>
                    <w:ind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本项目</w:t>
                  </w:r>
                  <w:r>
                    <w:rPr>
                      <w:rFonts w:hint="eastAsia" w:ascii="Times New Roman" w:hAnsi="Times New Roman" w:eastAsia="宋体" w:cs="Times New Roman"/>
                      <w:color w:val="auto"/>
                      <w:lang w:val="en-US" w:eastAsia="zh-CN"/>
                    </w:rPr>
                    <w:t>外购化学试剂</w:t>
                  </w:r>
                  <w:r>
                    <w:rPr>
                      <w:rFonts w:hint="eastAsia" w:ascii="Times New Roman" w:hAnsi="Times New Roman" w:eastAsia="宋体" w:cs="Times New Roman"/>
                      <w:color w:val="auto"/>
                    </w:rPr>
                    <w:t>均密闭储存于</w:t>
                  </w:r>
                  <w:r>
                    <w:rPr>
                      <w:rFonts w:hint="eastAsia" w:cs="Times New Roman"/>
                      <w:color w:val="auto"/>
                      <w:lang w:val="en-US" w:eastAsia="zh-CN"/>
                    </w:rPr>
                    <w:t>试剂房内，</w:t>
                  </w:r>
                  <w:r>
                    <w:rPr>
                      <w:rFonts w:hint="eastAsia" w:ascii="Times New Roman" w:hAnsi="Times New Roman" w:eastAsia="宋体" w:cs="Times New Roman"/>
                      <w:color w:val="auto"/>
                      <w:lang w:val="en-US" w:eastAsia="zh-CN"/>
                    </w:rPr>
                    <w:t>且实验操作</w:t>
                  </w:r>
                  <w:r>
                    <w:rPr>
                      <w:rFonts w:hint="eastAsia" w:ascii="Times New Roman" w:hAnsi="Times New Roman" w:eastAsia="宋体" w:cs="Times New Roman"/>
                      <w:color w:val="auto"/>
                    </w:rPr>
                    <w:t>在专用的</w:t>
                  </w:r>
                  <w:r>
                    <w:rPr>
                      <w:rFonts w:hint="eastAsia" w:ascii="Times New Roman" w:hAnsi="Times New Roman" w:eastAsia="宋体" w:cs="Times New Roman"/>
                      <w:color w:val="auto"/>
                      <w:lang w:val="en-US" w:eastAsia="zh-CN"/>
                    </w:rPr>
                    <w:t>通风橱</w:t>
                  </w:r>
                  <w:r>
                    <w:rPr>
                      <w:rFonts w:hint="eastAsia" w:ascii="Times New Roman" w:hAnsi="Times New Roman" w:eastAsia="宋体" w:cs="Times New Roman"/>
                      <w:color w:val="auto"/>
                    </w:rPr>
                    <w:t>内</w:t>
                  </w:r>
                  <w:r>
                    <w:rPr>
                      <w:rFonts w:hint="eastAsia" w:ascii="Times New Roman" w:hAnsi="Times New Roman" w:eastAsia="宋体" w:cs="Times New Roman"/>
                      <w:color w:val="auto"/>
                      <w:lang w:val="en-US" w:eastAsia="zh-CN"/>
                    </w:rPr>
                    <w:t>进行</w:t>
                  </w:r>
                  <w:r>
                    <w:rPr>
                      <w:rFonts w:hint="eastAsia" w:ascii="Times New Roman" w:hAnsi="Times New Roman" w:eastAsia="宋体" w:cs="Times New Roman"/>
                      <w:color w:val="auto"/>
                    </w:rPr>
                    <w:t>，产生的有机废气</w:t>
                  </w:r>
                  <w:r>
                    <w:rPr>
                      <w:rFonts w:hint="eastAsia" w:ascii="Times New Roman" w:hAnsi="Times New Roman" w:eastAsia="宋体" w:cs="Times New Roman"/>
                      <w:color w:val="auto"/>
                      <w:lang w:val="en-US" w:eastAsia="zh-CN"/>
                    </w:rPr>
                    <w:t>经通风橱收集</w:t>
                  </w:r>
                  <w:r>
                    <w:rPr>
                      <w:rFonts w:hint="eastAsia" w:ascii="Times New Roman" w:hAnsi="Times New Roman" w:eastAsia="宋体" w:cs="Times New Roman"/>
                      <w:color w:val="auto"/>
                    </w:rPr>
                    <w:t>经</w:t>
                  </w:r>
                  <w:r>
                    <w:rPr>
                      <w:rFonts w:hint="eastAsia" w:cs="Times New Roman"/>
                      <w:color w:val="auto"/>
                      <w:lang w:eastAsia="zh-CN"/>
                    </w:rPr>
                    <w:t>活性炭</w:t>
                  </w:r>
                  <w:r>
                    <w:rPr>
                      <w:rFonts w:hint="eastAsia" w:ascii="Times New Roman" w:hAnsi="Times New Roman" w:eastAsia="宋体" w:cs="Times New Roman"/>
                      <w:color w:val="auto"/>
                      <w:lang w:val="en-US" w:eastAsia="zh-CN"/>
                    </w:rPr>
                    <w:t>吸附装置</w:t>
                  </w:r>
                  <w:r>
                    <w:rPr>
                      <w:rFonts w:hint="eastAsia" w:ascii="Times New Roman" w:hAnsi="Times New Roman" w:eastAsia="宋体" w:cs="Times New Roman"/>
                      <w:color w:val="auto"/>
                    </w:rPr>
                    <w:t>处理后达标排放。</w:t>
                  </w:r>
                </w:p>
              </w:tc>
              <w:tc>
                <w:tcPr>
                  <w:tcW w:w="598" w:type="dxa"/>
                  <w:tcBorders>
                    <w:tl2br w:val="nil"/>
                    <w:tr2bl w:val="nil"/>
                  </w:tcBorders>
                  <w:noWrap w:val="0"/>
                  <w:tcMar>
                    <w:left w:w="28" w:type="dxa"/>
                    <w:right w:w="28" w:type="dxa"/>
                  </w:tcMar>
                  <w:vAlign w:val="center"/>
                </w:tcPr>
                <w:p w14:paraId="623DCFC5">
                  <w:pPr>
                    <w:pStyle w:val="86"/>
                    <w:ind w:firstLine="0" w:firstLineChars="0"/>
                    <w:rPr>
                      <w:rFonts w:hint="eastAsia"/>
                      <w:color w:val="auto"/>
                    </w:rPr>
                  </w:pPr>
                  <w:r>
                    <w:rPr>
                      <w:rFonts w:hint="eastAsia"/>
                      <w:color w:val="auto"/>
                    </w:rPr>
                    <w:t>符合</w:t>
                  </w:r>
                </w:p>
              </w:tc>
            </w:tr>
            <w:tr w14:paraId="785156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100B32B6">
                  <w:pPr>
                    <w:pStyle w:val="85"/>
                    <w:ind w:firstLine="0" w:firstLineChars="0"/>
                    <w:rPr>
                      <w:rFonts w:hint="eastAsia"/>
                      <w:color w:val="auto"/>
                    </w:rPr>
                  </w:pPr>
                </w:p>
              </w:tc>
              <w:tc>
                <w:tcPr>
                  <w:tcW w:w="4111" w:type="dxa"/>
                  <w:gridSpan w:val="2"/>
                  <w:tcBorders>
                    <w:tl2br w:val="nil"/>
                    <w:tr2bl w:val="nil"/>
                  </w:tcBorders>
                  <w:noWrap w:val="0"/>
                  <w:tcMar>
                    <w:left w:w="28" w:type="dxa"/>
                    <w:right w:w="28" w:type="dxa"/>
                  </w:tcMar>
                  <w:vAlign w:val="center"/>
                </w:tcPr>
                <w:p w14:paraId="703603F2">
                  <w:pPr>
                    <w:ind w:firstLine="0" w:firstLineChars="0"/>
                    <w:rPr>
                      <w:rFonts w:hint="eastAsia"/>
                      <w:color w:val="auto"/>
                    </w:rPr>
                  </w:pPr>
                  <w:r>
                    <w:rPr>
                      <w:rFonts w:hint="eastAsia"/>
                      <w:color w:val="auto"/>
                    </w:rPr>
                    <w:t>产生废活性炭的企业，必须与有许可证的危废经营单位签订危废处置协议。</w:t>
                  </w:r>
                </w:p>
              </w:tc>
              <w:tc>
                <w:tcPr>
                  <w:tcW w:w="2109" w:type="dxa"/>
                  <w:tcBorders>
                    <w:tl2br w:val="nil"/>
                    <w:tr2bl w:val="nil"/>
                  </w:tcBorders>
                  <w:noWrap w:val="0"/>
                  <w:tcMar>
                    <w:left w:w="28" w:type="dxa"/>
                    <w:right w:w="28" w:type="dxa"/>
                  </w:tcMar>
                  <w:vAlign w:val="center"/>
                </w:tcPr>
                <w:p w14:paraId="76EAB411">
                  <w:pPr>
                    <w:pStyle w:val="86"/>
                    <w:ind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废活性炭采用专用容器密封包装后暂存于厂区危废库，并定期交有资质的单位处置</w:t>
                  </w:r>
                </w:p>
              </w:tc>
              <w:tc>
                <w:tcPr>
                  <w:tcW w:w="598" w:type="dxa"/>
                  <w:tcBorders>
                    <w:tl2br w:val="nil"/>
                    <w:tr2bl w:val="nil"/>
                  </w:tcBorders>
                  <w:noWrap w:val="0"/>
                  <w:tcMar>
                    <w:left w:w="28" w:type="dxa"/>
                    <w:right w:w="28" w:type="dxa"/>
                  </w:tcMar>
                  <w:vAlign w:val="center"/>
                </w:tcPr>
                <w:p w14:paraId="0C450546">
                  <w:pPr>
                    <w:pStyle w:val="86"/>
                    <w:ind w:firstLine="0" w:firstLineChars="0"/>
                    <w:rPr>
                      <w:rFonts w:hint="eastAsia"/>
                      <w:color w:val="auto"/>
                    </w:rPr>
                  </w:pPr>
                  <w:r>
                    <w:rPr>
                      <w:rFonts w:hint="eastAsia"/>
                      <w:color w:val="auto"/>
                    </w:rPr>
                    <w:t>符合</w:t>
                  </w:r>
                </w:p>
              </w:tc>
            </w:tr>
            <w:tr w14:paraId="586F73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restart"/>
                  <w:tcBorders>
                    <w:tl2br w:val="nil"/>
                    <w:tr2bl w:val="nil"/>
                  </w:tcBorders>
                  <w:noWrap w:val="0"/>
                  <w:tcMar>
                    <w:left w:w="28" w:type="dxa"/>
                    <w:right w:w="28" w:type="dxa"/>
                  </w:tcMar>
                  <w:vAlign w:val="center"/>
                </w:tcPr>
                <w:p w14:paraId="5BA728BB">
                  <w:pPr>
                    <w:pStyle w:val="85"/>
                    <w:ind w:firstLine="0" w:firstLineChars="0"/>
                    <w:rPr>
                      <w:rFonts w:hint="eastAsia"/>
                      <w:color w:val="auto"/>
                    </w:rPr>
                  </w:pPr>
                  <w:r>
                    <w:rPr>
                      <w:rFonts w:hint="eastAsia" w:ascii="Times New Roman" w:hAnsi="Times New Roman" w:eastAsia="宋体" w:cs="Times New Roman"/>
                      <w:snapToGrid/>
                      <w:color w:val="auto"/>
                      <w:kern w:val="2"/>
                      <w:sz w:val="21"/>
                      <w:szCs w:val="24"/>
                      <w:lang w:val="en-US" w:eastAsia="zh-CN" w:bidi="ar-SA"/>
                    </w:rPr>
                    <w:t>《西安市挥发性有机物污染整治专项实施方案》</w:t>
                  </w:r>
                </w:p>
              </w:tc>
              <w:tc>
                <w:tcPr>
                  <w:tcW w:w="4111" w:type="dxa"/>
                  <w:gridSpan w:val="2"/>
                  <w:tcBorders>
                    <w:tl2br w:val="nil"/>
                    <w:tr2bl w:val="nil"/>
                  </w:tcBorders>
                  <w:noWrap w:val="0"/>
                  <w:tcMar>
                    <w:left w:w="28" w:type="dxa"/>
                    <w:right w:w="28" w:type="dxa"/>
                  </w:tcMar>
                  <w:vAlign w:val="center"/>
                </w:tcPr>
                <w:p w14:paraId="35BC9F60">
                  <w:pPr>
                    <w:keepNext w:val="0"/>
                    <w:keepLines w:val="0"/>
                    <w:widowControl/>
                    <w:suppressLineNumbers w:val="0"/>
                    <w:jc w:val="left"/>
                    <w:rPr>
                      <w:rFonts w:hint="eastAsia"/>
                      <w:color w:val="auto"/>
                    </w:rPr>
                  </w:pPr>
                  <w:r>
                    <w:rPr>
                      <w:rFonts w:hint="default" w:ascii="Times New Roman" w:hAnsi="Times New Roman" w:eastAsia="宋体" w:cs="Times New Roman"/>
                      <w:color w:val="auto"/>
                      <w:kern w:val="0"/>
                      <w:sz w:val="21"/>
                      <w:szCs w:val="21"/>
                      <w:lang w:val="en-US" w:eastAsia="zh-CN" w:bidi="ar"/>
                    </w:rPr>
                    <w:t>组织开展企业VOCs治理设施排查，对涉及使用低温等离子、光氧化、光催化技术的废气治理设施，非水溶性VOCs废气采用单一喷淋吸收等治理技术，以及有机化工生产企业使用简易低效污染治理设施的，逐一进行排查，新建项目不得采用上述单一治理工艺或者组合工艺（恶臭异味治理除外）。</w:t>
                  </w:r>
                </w:p>
              </w:tc>
              <w:tc>
                <w:tcPr>
                  <w:tcW w:w="2109" w:type="dxa"/>
                  <w:tcBorders>
                    <w:tl2br w:val="nil"/>
                    <w:tr2bl w:val="nil"/>
                  </w:tcBorders>
                  <w:noWrap w:val="0"/>
                  <w:tcMar>
                    <w:left w:w="28" w:type="dxa"/>
                    <w:right w:w="28" w:type="dxa"/>
                  </w:tcMar>
                  <w:vAlign w:val="center"/>
                </w:tcPr>
                <w:p w14:paraId="6FCEB854">
                  <w:pPr>
                    <w:pStyle w:val="86"/>
                    <w:ind w:firstLine="0" w:firstLineChars="0"/>
                    <w:rPr>
                      <w:rFonts w:hint="eastAsia" w:ascii="Times New Roman" w:hAnsi="Times New Roman" w:eastAsia="宋体" w:cs="Times New Roman"/>
                      <w:color w:val="auto"/>
                    </w:rPr>
                  </w:pPr>
                  <w:r>
                    <w:rPr>
                      <w:rFonts w:hint="default" w:ascii="Times New Roman" w:hAnsi="Times New Roman" w:eastAsia="宋体" w:cs="Times New Roman"/>
                      <w:b w:val="0"/>
                      <w:bCs/>
                      <w:color w:val="auto"/>
                      <w:sz w:val="21"/>
                      <w:szCs w:val="21"/>
                      <w:highlight w:val="none"/>
                      <w:lang w:val="en-US" w:eastAsia="zh-CN"/>
                    </w:rPr>
                    <w:t>本项目产生的挥发性有机物主要为</w:t>
                  </w:r>
                  <w:r>
                    <w:rPr>
                      <w:rFonts w:hint="default" w:ascii="Times New Roman" w:hAnsi="Times New Roman" w:eastAsia="宋体" w:cs="Times New Roman"/>
                      <w:b w:val="0"/>
                      <w:bCs/>
                      <w:color w:val="auto"/>
                      <w:kern w:val="2"/>
                      <w:sz w:val="21"/>
                      <w:szCs w:val="21"/>
                      <w:highlight w:val="none"/>
                      <w:lang w:val="en-US" w:eastAsia="zh-CN" w:bidi="ar-SA"/>
                    </w:rPr>
                    <w:t>有机溶剂挥发产生，由于各试剂用量较少，有机废气产生量较少，项目采用活性炭吸附处理后达标排放</w:t>
                  </w:r>
                </w:p>
              </w:tc>
              <w:tc>
                <w:tcPr>
                  <w:tcW w:w="598" w:type="dxa"/>
                  <w:tcBorders>
                    <w:tl2br w:val="nil"/>
                    <w:tr2bl w:val="nil"/>
                  </w:tcBorders>
                  <w:noWrap w:val="0"/>
                  <w:tcMar>
                    <w:left w:w="28" w:type="dxa"/>
                    <w:right w:w="28" w:type="dxa"/>
                  </w:tcMar>
                  <w:vAlign w:val="center"/>
                </w:tcPr>
                <w:p w14:paraId="3AD601D8">
                  <w:pPr>
                    <w:pStyle w:val="86"/>
                    <w:ind w:firstLine="0" w:firstLineChars="0"/>
                    <w:rPr>
                      <w:rFonts w:hint="eastAsia" w:eastAsia="宋体"/>
                      <w:color w:val="auto"/>
                      <w:lang w:val="en-US" w:eastAsia="zh-CN"/>
                    </w:rPr>
                  </w:pPr>
                  <w:r>
                    <w:rPr>
                      <w:rFonts w:hint="eastAsia"/>
                      <w:color w:val="auto"/>
                      <w:lang w:val="en-US" w:eastAsia="zh-CN"/>
                    </w:rPr>
                    <w:t>符合</w:t>
                  </w:r>
                </w:p>
              </w:tc>
            </w:tr>
            <w:tr w14:paraId="2E18F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vMerge w:val="continue"/>
                  <w:tcBorders>
                    <w:tl2br w:val="nil"/>
                    <w:tr2bl w:val="nil"/>
                  </w:tcBorders>
                  <w:noWrap w:val="0"/>
                  <w:tcMar>
                    <w:left w:w="28" w:type="dxa"/>
                    <w:right w:w="28" w:type="dxa"/>
                  </w:tcMar>
                  <w:vAlign w:val="center"/>
                </w:tcPr>
                <w:p w14:paraId="6E8C5217">
                  <w:pPr>
                    <w:pStyle w:val="85"/>
                    <w:ind w:firstLine="0" w:firstLineChars="0"/>
                    <w:rPr>
                      <w:rFonts w:hint="eastAsia" w:ascii="Times New Roman" w:hAnsi="Times New Roman" w:eastAsia="宋体" w:cs="Times New Roman"/>
                      <w:snapToGrid/>
                      <w:color w:val="auto"/>
                      <w:kern w:val="2"/>
                      <w:sz w:val="21"/>
                      <w:szCs w:val="24"/>
                      <w:lang w:val="en-US" w:eastAsia="zh-CN" w:bidi="ar-SA"/>
                    </w:rPr>
                  </w:pPr>
                </w:p>
              </w:tc>
              <w:tc>
                <w:tcPr>
                  <w:tcW w:w="4111" w:type="dxa"/>
                  <w:gridSpan w:val="2"/>
                  <w:tcBorders>
                    <w:tl2br w:val="nil"/>
                    <w:tr2bl w:val="nil"/>
                  </w:tcBorders>
                  <w:noWrap w:val="0"/>
                  <w:tcMar>
                    <w:left w:w="28" w:type="dxa"/>
                    <w:right w:w="28" w:type="dxa"/>
                  </w:tcMar>
                  <w:vAlign w:val="center"/>
                </w:tcPr>
                <w:p w14:paraId="08638301">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加强含VOCs物料全方位、全链条、全环节密闭管理，做好VOCs物料储存、转移和输送、设备与管线组件泄漏、敞开液面逸散以及工艺过程等无组织排放环节的管理。生产应优先采用密闭设备、在密闭空间中操作或采用全密闭集气罩收集方式，采用全密闭集气罩或密闭空间的，除行业有特殊要求外，应保持微负压状态，并根据相关规范合理设置通风量；采用局部集气罩的，距集气罩开口面最远处的VOCs无组织排放位置控制风速应不低于0.3米/秒。</w:t>
                  </w:r>
                </w:p>
              </w:tc>
              <w:tc>
                <w:tcPr>
                  <w:tcW w:w="2109" w:type="dxa"/>
                  <w:tcBorders>
                    <w:tl2br w:val="nil"/>
                    <w:tr2bl w:val="nil"/>
                  </w:tcBorders>
                  <w:noWrap w:val="0"/>
                  <w:tcMar>
                    <w:left w:w="28" w:type="dxa"/>
                    <w:right w:w="28" w:type="dxa"/>
                  </w:tcMar>
                  <w:vAlign w:val="center"/>
                </w:tcPr>
                <w:p w14:paraId="0BBF454A">
                  <w:pPr>
                    <w:pStyle w:val="86"/>
                    <w:ind w:firstLine="0" w:firstLineChars="0"/>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项目使用的有机溶剂量较小，均在试剂瓶内加盖密封保存</w:t>
                  </w:r>
                  <w:r>
                    <w:rPr>
                      <w:rFonts w:hint="eastAsia" w:ascii="Times New Roman" w:hAns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kern w:val="2"/>
                      <w:sz w:val="21"/>
                      <w:szCs w:val="21"/>
                      <w:highlight w:val="none"/>
                      <w:lang w:val="zh-CN" w:eastAsia="zh-CN" w:bidi="ar-SA"/>
                    </w:rPr>
                    <w:t>本项目实验均在通风橱内进行，使用有机溶剂时挥发的废气经抽风系统输送至活性炭吸附装置进行处理。</w:t>
                  </w:r>
                </w:p>
              </w:tc>
              <w:tc>
                <w:tcPr>
                  <w:tcW w:w="598" w:type="dxa"/>
                  <w:tcBorders>
                    <w:tl2br w:val="nil"/>
                    <w:tr2bl w:val="nil"/>
                  </w:tcBorders>
                  <w:noWrap w:val="0"/>
                  <w:tcMar>
                    <w:left w:w="28" w:type="dxa"/>
                    <w:right w:w="28" w:type="dxa"/>
                  </w:tcMar>
                  <w:vAlign w:val="center"/>
                </w:tcPr>
                <w:p w14:paraId="76B0B957">
                  <w:pPr>
                    <w:pStyle w:val="86"/>
                    <w:ind w:firstLine="0" w:firstLineChars="0"/>
                    <w:rPr>
                      <w:rFonts w:hint="default"/>
                      <w:color w:val="auto"/>
                      <w:lang w:val="en-US" w:eastAsia="zh-CN"/>
                    </w:rPr>
                  </w:pPr>
                  <w:r>
                    <w:rPr>
                      <w:rFonts w:hint="eastAsia"/>
                      <w:color w:val="auto"/>
                      <w:lang w:val="en-US" w:eastAsia="zh-CN"/>
                    </w:rPr>
                    <w:t>符合</w:t>
                  </w:r>
                </w:p>
              </w:tc>
            </w:tr>
          </w:tbl>
          <w:p w14:paraId="652B1750">
            <w:pPr>
              <w:keepNext w:val="0"/>
              <w:keepLines w:val="0"/>
              <w:pageBreakBefore/>
              <w:widowControl w:val="0"/>
              <w:numPr>
                <w:ilvl w:val="0"/>
                <w:numId w:val="5"/>
              </w:numPr>
              <w:kinsoku/>
              <w:wordWrap/>
              <w:overflowPunct/>
              <w:topLinePunct w:val="0"/>
              <w:autoSpaceDE/>
              <w:autoSpaceDN/>
              <w:bidi w:val="0"/>
              <w:adjustRightInd/>
              <w:snapToGrid/>
              <w:spacing w:before="157" w:beforeLines="50" w:line="360" w:lineRule="auto"/>
              <w:ind w:left="210" w:leftChars="0" w:firstLine="482" w:firstLineChars="0"/>
              <w:jc w:val="left"/>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选址符合性分析</w:t>
            </w:r>
          </w:p>
          <w:p w14:paraId="3D1B4E11">
            <w:pPr>
              <w:spacing w:line="360" w:lineRule="auto"/>
              <w:ind w:firstLine="480" w:firstLineChars="200"/>
              <w:rPr>
                <w:color w:val="auto"/>
                <w:kern w:val="0"/>
                <w:sz w:val="24"/>
                <w:szCs w:val="20"/>
                <w:highlight w:val="yellow"/>
              </w:rPr>
            </w:pPr>
            <w:r>
              <w:rPr>
                <w:color w:val="auto"/>
                <w:kern w:val="0"/>
                <w:sz w:val="24"/>
                <w:szCs w:val="20"/>
              </w:rPr>
              <w:t>①</w:t>
            </w:r>
            <w:r>
              <w:rPr>
                <w:rFonts w:hint="eastAsia"/>
                <w:color w:val="auto"/>
                <w:kern w:val="0"/>
                <w:sz w:val="24"/>
                <w:szCs w:val="20"/>
              </w:rPr>
              <w:t>用地分析：</w:t>
            </w:r>
            <w:r>
              <w:rPr>
                <w:color w:val="auto"/>
                <w:kern w:val="0"/>
                <w:sz w:val="24"/>
                <w:szCs w:val="20"/>
              </w:rPr>
              <w:t>本项目位于</w:t>
            </w:r>
            <w:r>
              <w:rPr>
                <w:rFonts w:hint="eastAsia"/>
                <w:color w:val="auto"/>
                <w:kern w:val="0"/>
                <w:sz w:val="24"/>
                <w:szCs w:val="20"/>
              </w:rPr>
              <w:t>陕西省西咸新区沣西新城</w:t>
            </w:r>
            <w:r>
              <w:rPr>
                <w:rFonts w:hint="eastAsia" w:ascii="Times New Roman" w:hAnsi="Times New Roman" w:eastAsia="宋体" w:cs="Times New Roman"/>
                <w:color w:val="auto"/>
                <w:sz w:val="24"/>
                <w:szCs w:val="24"/>
                <w:highlight w:val="none"/>
                <w:lang w:val="en-US" w:eastAsia="zh-CN"/>
              </w:rPr>
              <w:t>尚业路与白马河路交叉口西北角隆桥瑞苑商业三层</w:t>
            </w:r>
            <w:r>
              <w:rPr>
                <w:rFonts w:hint="eastAsia" w:cs="Times New Roman"/>
                <w:color w:val="auto"/>
                <w:sz w:val="24"/>
                <w:szCs w:val="24"/>
                <w:highlight w:val="none"/>
                <w:lang w:val="en-US" w:eastAsia="zh-CN"/>
              </w:rPr>
              <w:t>北侧区域</w:t>
            </w:r>
            <w:r>
              <w:rPr>
                <w:color w:val="auto"/>
                <w:kern w:val="0"/>
                <w:sz w:val="24"/>
                <w:szCs w:val="20"/>
              </w:rPr>
              <w:t>，租赁协议见附件</w:t>
            </w:r>
            <w:r>
              <w:rPr>
                <w:rFonts w:hint="eastAsia"/>
                <w:color w:val="auto"/>
                <w:kern w:val="0"/>
                <w:sz w:val="24"/>
                <w:szCs w:val="20"/>
                <w:lang w:val="en-US" w:eastAsia="zh-CN"/>
              </w:rPr>
              <w:t>3</w:t>
            </w:r>
            <w:r>
              <w:rPr>
                <w:color w:val="auto"/>
                <w:kern w:val="0"/>
                <w:sz w:val="24"/>
                <w:szCs w:val="20"/>
              </w:rPr>
              <w:t>。</w:t>
            </w:r>
            <w:r>
              <w:rPr>
                <w:rFonts w:hint="eastAsia"/>
                <w:color w:val="auto"/>
                <w:kern w:val="0"/>
                <w:sz w:val="24"/>
                <w:szCs w:val="20"/>
                <w:lang w:val="en-US" w:eastAsia="zh-CN"/>
              </w:rPr>
              <w:t>裙楼一层为商铺，</w:t>
            </w:r>
            <w:r>
              <w:rPr>
                <w:rFonts w:hint="eastAsia"/>
                <w:color w:val="auto"/>
                <w:kern w:val="0"/>
                <w:sz w:val="24"/>
                <w:szCs w:val="20"/>
                <w:highlight w:val="none"/>
                <w:lang w:val="en-US" w:eastAsia="zh-CN"/>
              </w:rPr>
              <w:t>二层为陕西华远正和制药有限公司，三层南侧为西咸新区沣西新城安益旺企业管理有限公司</w:t>
            </w:r>
            <w:r>
              <w:rPr>
                <w:rFonts w:hint="eastAsia"/>
                <w:color w:val="auto"/>
                <w:kern w:val="0"/>
                <w:sz w:val="24"/>
                <w:szCs w:val="20"/>
                <w:lang w:val="en-US" w:eastAsia="zh-CN"/>
              </w:rPr>
              <w:t>。</w:t>
            </w:r>
            <w:r>
              <w:rPr>
                <w:rFonts w:hint="eastAsia" w:cs="Times New Roman"/>
                <w:color w:val="auto"/>
                <w:sz w:val="24"/>
                <w:szCs w:val="24"/>
                <w:highlight w:val="none"/>
                <w:lang w:val="en-US" w:eastAsia="zh-CN"/>
              </w:rPr>
              <w:t>本项目所在区域</w:t>
            </w:r>
            <w:r>
              <w:rPr>
                <w:rFonts w:hint="eastAsia"/>
                <w:color w:val="auto"/>
                <w:kern w:val="0"/>
                <w:sz w:val="24"/>
                <w:szCs w:val="20"/>
                <w:highlight w:val="none"/>
              </w:rPr>
              <w:t>西侧为</w:t>
            </w:r>
            <w:r>
              <w:rPr>
                <w:rFonts w:hint="eastAsia" w:ascii="Times New Roman" w:hAnsi="Times New Roman" w:eastAsia="宋体" w:cs="Times New Roman"/>
                <w:color w:val="auto"/>
                <w:sz w:val="24"/>
                <w:szCs w:val="24"/>
                <w:highlight w:val="none"/>
                <w:lang w:val="en-US" w:eastAsia="zh-CN"/>
              </w:rPr>
              <w:t>隆桥瑞苑小区，</w:t>
            </w:r>
            <w:r>
              <w:rPr>
                <w:rFonts w:hint="eastAsia"/>
                <w:color w:val="auto"/>
                <w:kern w:val="0"/>
                <w:sz w:val="24"/>
                <w:szCs w:val="20"/>
                <w:highlight w:val="none"/>
                <w:lang w:val="en-US" w:eastAsia="zh-CN"/>
              </w:rPr>
              <w:t>北侧为</w:t>
            </w:r>
            <w:r>
              <w:rPr>
                <w:rFonts w:hint="eastAsia" w:ascii="Times New Roman" w:hAnsi="Times New Roman" w:eastAsia="宋体" w:cs="Times New Roman"/>
                <w:color w:val="auto"/>
                <w:sz w:val="24"/>
                <w:szCs w:val="24"/>
                <w:highlight w:val="none"/>
                <w:lang w:val="en-US" w:eastAsia="zh-CN"/>
              </w:rPr>
              <w:t>隆桥瑞苑小区</w:t>
            </w:r>
            <w:r>
              <w:rPr>
                <w:rFonts w:hint="eastAsia" w:eastAsia="宋体"/>
                <w:color w:val="auto"/>
                <w:kern w:val="0"/>
                <w:sz w:val="24"/>
                <w:szCs w:val="20"/>
                <w:highlight w:val="none"/>
                <w:lang w:eastAsia="zh-CN"/>
              </w:rPr>
              <w:t>，</w:t>
            </w:r>
            <w:r>
              <w:rPr>
                <w:rFonts w:hint="eastAsia"/>
                <w:color w:val="auto"/>
                <w:kern w:val="0"/>
                <w:sz w:val="24"/>
                <w:szCs w:val="20"/>
                <w:highlight w:val="none"/>
              </w:rPr>
              <w:t>南侧为</w:t>
            </w:r>
            <w:r>
              <w:rPr>
                <w:rFonts w:hint="eastAsia"/>
                <w:color w:val="auto"/>
                <w:kern w:val="0"/>
                <w:sz w:val="24"/>
                <w:szCs w:val="20"/>
                <w:highlight w:val="none"/>
                <w:lang w:val="en-US" w:eastAsia="zh-CN"/>
              </w:rPr>
              <w:t>尚业路</w:t>
            </w:r>
            <w:r>
              <w:rPr>
                <w:rFonts w:hint="eastAsia"/>
                <w:color w:val="auto"/>
                <w:kern w:val="0"/>
                <w:sz w:val="24"/>
                <w:szCs w:val="20"/>
                <w:highlight w:val="none"/>
              </w:rPr>
              <w:t>、东侧为</w:t>
            </w:r>
            <w:r>
              <w:rPr>
                <w:rFonts w:hint="eastAsia"/>
                <w:color w:val="auto"/>
                <w:kern w:val="0"/>
                <w:sz w:val="24"/>
                <w:szCs w:val="20"/>
                <w:highlight w:val="none"/>
                <w:lang w:val="en-US" w:eastAsia="zh-CN"/>
              </w:rPr>
              <w:t>白马河路</w:t>
            </w:r>
            <w:r>
              <w:rPr>
                <w:rFonts w:hint="eastAsia"/>
                <w:color w:val="auto"/>
                <w:kern w:val="0"/>
                <w:sz w:val="24"/>
                <w:szCs w:val="20"/>
                <w:highlight w:val="none"/>
              </w:rPr>
              <w:t>，</w:t>
            </w:r>
            <w:r>
              <w:rPr>
                <w:rFonts w:hint="eastAsia"/>
                <w:color w:val="auto"/>
                <w:sz w:val="24"/>
                <w:highlight w:val="none"/>
              </w:rPr>
              <w:t>交通便利</w:t>
            </w:r>
            <w:r>
              <w:rPr>
                <w:color w:val="auto"/>
                <w:kern w:val="0"/>
                <w:sz w:val="24"/>
                <w:szCs w:val="20"/>
              </w:rPr>
              <w:t>。</w:t>
            </w:r>
          </w:p>
          <w:p w14:paraId="229D1C2C">
            <w:pPr>
              <w:spacing w:line="360" w:lineRule="auto"/>
              <w:ind w:firstLine="480" w:firstLineChars="200"/>
              <w:rPr>
                <w:color w:val="auto"/>
                <w:kern w:val="0"/>
                <w:sz w:val="24"/>
                <w:szCs w:val="20"/>
              </w:rPr>
            </w:pPr>
            <w:r>
              <w:rPr>
                <w:color w:val="auto"/>
                <w:kern w:val="0"/>
                <w:sz w:val="24"/>
                <w:szCs w:val="20"/>
              </w:rPr>
              <w:t>②</w:t>
            </w:r>
            <w:r>
              <w:rPr>
                <w:rFonts w:hint="eastAsia"/>
                <w:color w:val="auto"/>
                <w:kern w:val="0"/>
                <w:sz w:val="24"/>
                <w:szCs w:val="20"/>
              </w:rPr>
              <w:t>公辅</w:t>
            </w:r>
            <w:r>
              <w:rPr>
                <w:color w:val="auto"/>
                <w:kern w:val="0"/>
                <w:sz w:val="24"/>
                <w:szCs w:val="20"/>
              </w:rPr>
              <w:t>设施分析：本项目位于</w:t>
            </w:r>
            <w:r>
              <w:rPr>
                <w:rFonts w:hint="eastAsia"/>
                <w:color w:val="auto"/>
                <w:kern w:val="0"/>
                <w:sz w:val="24"/>
                <w:szCs w:val="20"/>
              </w:rPr>
              <w:t>陕西省西咸新区沣西新城</w:t>
            </w:r>
            <w:r>
              <w:rPr>
                <w:rFonts w:hint="eastAsia" w:ascii="Times New Roman" w:hAnsi="Times New Roman" w:eastAsia="宋体" w:cs="Times New Roman"/>
                <w:color w:val="auto"/>
                <w:sz w:val="24"/>
                <w:szCs w:val="24"/>
                <w:highlight w:val="none"/>
                <w:lang w:val="en-US" w:eastAsia="zh-CN"/>
              </w:rPr>
              <w:t>尚业路与白马河路交叉口西北角隆桥瑞苑商业</w:t>
            </w:r>
            <w:r>
              <w:rPr>
                <w:rFonts w:hint="eastAsia" w:cs="Times New Roman"/>
                <w:color w:val="auto"/>
                <w:sz w:val="24"/>
                <w:szCs w:val="24"/>
                <w:highlight w:val="none"/>
                <w:lang w:val="en-US" w:eastAsia="zh-CN"/>
              </w:rPr>
              <w:t>北侧区域</w:t>
            </w:r>
            <w:r>
              <w:rPr>
                <w:rFonts w:hint="eastAsia"/>
                <w:color w:val="auto"/>
                <w:sz w:val="24"/>
              </w:rPr>
              <w:t>，给水</w:t>
            </w:r>
            <w:r>
              <w:rPr>
                <w:rFonts w:hint="eastAsia"/>
                <w:color w:val="auto"/>
                <w:sz w:val="24"/>
                <w:lang w:val="en-US" w:eastAsia="zh-CN"/>
              </w:rPr>
              <w:t>由市政</w:t>
            </w:r>
            <w:r>
              <w:rPr>
                <w:rFonts w:hint="eastAsia"/>
                <w:color w:val="auto"/>
                <w:sz w:val="24"/>
              </w:rPr>
              <w:t>供水</w:t>
            </w:r>
            <w:r>
              <w:rPr>
                <w:rFonts w:hint="eastAsia"/>
                <w:color w:val="auto"/>
                <w:sz w:val="24"/>
                <w:lang w:val="en-US" w:eastAsia="zh-CN"/>
              </w:rPr>
              <w:t>管网提供</w:t>
            </w:r>
            <w:r>
              <w:rPr>
                <w:rFonts w:hint="eastAsia"/>
                <w:color w:val="auto"/>
                <w:sz w:val="24"/>
                <w:lang w:eastAsia="zh-CN"/>
              </w:rPr>
              <w:t>，</w:t>
            </w:r>
            <w:r>
              <w:rPr>
                <w:rFonts w:hint="eastAsia"/>
                <w:color w:val="auto"/>
                <w:sz w:val="24"/>
                <w:lang w:val="en-US" w:eastAsia="zh-CN"/>
              </w:rPr>
              <w:t>供</w:t>
            </w:r>
            <w:r>
              <w:rPr>
                <w:rFonts w:hint="eastAsia"/>
                <w:color w:val="auto"/>
                <w:sz w:val="24"/>
              </w:rPr>
              <w:t>电</w:t>
            </w:r>
            <w:r>
              <w:rPr>
                <w:rFonts w:hint="eastAsia"/>
                <w:color w:val="auto"/>
                <w:sz w:val="24"/>
                <w:lang w:val="en-US" w:eastAsia="zh-CN"/>
              </w:rPr>
              <w:t>由当地</w:t>
            </w:r>
            <w:r>
              <w:rPr>
                <w:rFonts w:hint="eastAsia"/>
                <w:color w:val="auto"/>
                <w:sz w:val="24"/>
              </w:rPr>
              <w:t>电管网供给，</w:t>
            </w:r>
            <w:r>
              <w:rPr>
                <w:rFonts w:hint="eastAsia" w:cs="Times New Roman"/>
                <w:color w:val="auto"/>
                <w:sz w:val="24"/>
                <w:lang w:val="en-US" w:eastAsia="zh-CN"/>
              </w:rPr>
              <w:t>项目产生的废水经处理达标后</w:t>
            </w:r>
            <w:r>
              <w:rPr>
                <w:rFonts w:hint="eastAsia"/>
                <w:bCs/>
                <w:color w:val="auto"/>
                <w:sz w:val="24"/>
              </w:rPr>
              <w:t>市政管网排入沣西新城</w:t>
            </w:r>
            <w:r>
              <w:rPr>
                <w:rFonts w:hint="eastAsia"/>
                <w:bCs/>
                <w:color w:val="auto"/>
                <w:sz w:val="24"/>
                <w:lang w:val="en-US" w:eastAsia="zh-CN"/>
              </w:rPr>
              <w:t>沣</w:t>
            </w:r>
            <w:r>
              <w:rPr>
                <w:rFonts w:hint="eastAsia"/>
                <w:bCs/>
                <w:color w:val="auto"/>
                <w:sz w:val="24"/>
              </w:rPr>
              <w:t>河污水处理厂处理</w:t>
            </w:r>
            <w:r>
              <w:rPr>
                <w:color w:val="auto"/>
                <w:kern w:val="0"/>
                <w:sz w:val="24"/>
              </w:rPr>
              <w:t>。</w:t>
            </w:r>
            <w:r>
              <w:rPr>
                <w:color w:val="auto"/>
                <w:kern w:val="0"/>
                <w:sz w:val="24"/>
                <w:szCs w:val="20"/>
              </w:rPr>
              <w:t>由此分析，本项目</w:t>
            </w:r>
            <w:r>
              <w:rPr>
                <w:rFonts w:hint="eastAsia"/>
                <w:color w:val="auto"/>
                <w:kern w:val="0"/>
                <w:sz w:val="24"/>
                <w:szCs w:val="20"/>
                <w:lang w:val="en-US" w:eastAsia="zh-CN"/>
              </w:rPr>
              <w:t>基础设施完善</w:t>
            </w:r>
            <w:r>
              <w:rPr>
                <w:color w:val="auto"/>
                <w:kern w:val="0"/>
                <w:sz w:val="24"/>
                <w:szCs w:val="20"/>
              </w:rPr>
              <w:t>。</w:t>
            </w:r>
          </w:p>
          <w:p w14:paraId="647CE2AD">
            <w:pPr>
              <w:spacing w:line="360" w:lineRule="auto"/>
              <w:ind w:firstLine="480" w:firstLineChars="200"/>
              <w:rPr>
                <w:color w:val="auto"/>
                <w:kern w:val="0"/>
                <w:sz w:val="24"/>
                <w:szCs w:val="20"/>
              </w:rPr>
            </w:pPr>
            <w:r>
              <w:rPr>
                <w:color w:val="auto"/>
                <w:kern w:val="0"/>
                <w:sz w:val="24"/>
                <w:szCs w:val="20"/>
              </w:rPr>
              <w:t>③污染物</w:t>
            </w:r>
            <w:r>
              <w:rPr>
                <w:color w:val="auto"/>
                <w:kern w:val="0"/>
                <w:sz w:val="24"/>
              </w:rPr>
              <w:t>影响分析：</w:t>
            </w:r>
            <w:r>
              <w:rPr>
                <w:rFonts w:hint="eastAsia"/>
                <w:color w:val="auto"/>
                <w:kern w:val="0"/>
                <w:sz w:val="24"/>
                <w:lang w:val="en-US" w:eastAsia="zh-CN"/>
              </w:rPr>
              <w:t>理化室实验均在通风橱内进行，产生的有机</w:t>
            </w:r>
            <w:r>
              <w:rPr>
                <w:rFonts w:hint="eastAsia"/>
                <w:color w:val="auto"/>
                <w:kern w:val="0"/>
                <w:sz w:val="24"/>
              </w:rPr>
              <w:t>废气经“活性炭吸附装置”处理后经</w:t>
            </w:r>
            <w:r>
              <w:rPr>
                <w:rFonts w:hint="eastAsia"/>
                <w:color w:val="auto"/>
                <w:kern w:val="0"/>
                <w:sz w:val="24"/>
                <w:highlight w:val="none"/>
                <w:lang w:val="en-US" w:eastAsia="zh-CN"/>
              </w:rPr>
              <w:t>15</w:t>
            </w:r>
            <w:r>
              <w:rPr>
                <w:rFonts w:hint="eastAsia"/>
                <w:color w:val="auto"/>
                <w:kern w:val="0"/>
                <w:sz w:val="24"/>
                <w:highlight w:val="none"/>
              </w:rPr>
              <w:t>m高DA001排气筒排放；</w:t>
            </w:r>
            <w:r>
              <w:rPr>
                <w:rFonts w:hint="eastAsia"/>
                <w:color w:val="auto"/>
                <w:kern w:val="0"/>
                <w:sz w:val="24"/>
                <w:highlight w:val="none"/>
                <w:lang w:val="en-US" w:eastAsia="zh-CN"/>
              </w:rPr>
              <w:t>实验室中药熬煮蒸馏产生的异味气体经集气罩收集后经</w:t>
            </w:r>
            <w:r>
              <w:rPr>
                <w:rFonts w:hint="eastAsia"/>
                <w:color w:val="auto"/>
                <w:kern w:val="0"/>
                <w:sz w:val="24"/>
                <w:highlight w:val="none"/>
              </w:rPr>
              <w:t>“活性炭吸附装置”处理后经</w:t>
            </w:r>
            <w:r>
              <w:rPr>
                <w:rFonts w:hint="eastAsia"/>
                <w:color w:val="auto"/>
                <w:kern w:val="0"/>
                <w:sz w:val="24"/>
                <w:highlight w:val="none"/>
                <w:lang w:val="en-US" w:eastAsia="zh-CN"/>
              </w:rPr>
              <w:t>15</w:t>
            </w:r>
            <w:r>
              <w:rPr>
                <w:rFonts w:hint="eastAsia"/>
                <w:color w:val="auto"/>
                <w:kern w:val="0"/>
                <w:sz w:val="24"/>
                <w:highlight w:val="none"/>
              </w:rPr>
              <w:t>m高DA00</w:t>
            </w:r>
            <w:r>
              <w:rPr>
                <w:rFonts w:hint="eastAsia"/>
                <w:color w:val="auto"/>
                <w:kern w:val="0"/>
                <w:sz w:val="24"/>
                <w:highlight w:val="none"/>
                <w:lang w:val="en-US" w:eastAsia="zh-CN"/>
              </w:rPr>
              <w:t>2</w:t>
            </w:r>
            <w:r>
              <w:rPr>
                <w:rFonts w:hint="eastAsia"/>
                <w:color w:val="auto"/>
                <w:kern w:val="0"/>
                <w:sz w:val="24"/>
                <w:highlight w:val="none"/>
              </w:rPr>
              <w:t>排气筒排放</w:t>
            </w:r>
            <w:r>
              <w:rPr>
                <w:rFonts w:hint="eastAsia"/>
                <w:color w:val="auto"/>
                <w:kern w:val="0"/>
                <w:sz w:val="24"/>
                <w:highlight w:val="none"/>
                <w:lang w:eastAsia="zh-CN"/>
              </w:rPr>
              <w:t>；</w:t>
            </w:r>
            <w:r>
              <w:rPr>
                <w:rFonts w:hint="eastAsia"/>
                <w:bCs/>
                <w:color w:val="auto"/>
                <w:sz w:val="24"/>
              </w:rPr>
              <w:t>生活污水</w:t>
            </w:r>
            <w:r>
              <w:rPr>
                <w:rFonts w:hint="eastAsia"/>
                <w:bCs/>
                <w:color w:val="auto"/>
                <w:sz w:val="24"/>
                <w:lang w:val="en-US" w:eastAsia="zh-CN"/>
              </w:rPr>
              <w:t>经</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小区的化粪池收集后排入市政污水管网</w:t>
            </w:r>
            <w:r>
              <w:rPr>
                <w:rFonts w:hint="eastAsia"/>
                <w:bCs/>
                <w:color w:val="auto"/>
                <w:sz w:val="24"/>
                <w:lang w:eastAsia="zh-CN"/>
              </w:rPr>
              <w:t>；</w:t>
            </w:r>
            <w:r>
              <w:rPr>
                <w:rFonts w:hint="eastAsia" w:ascii="Times New Roman" w:hAnsi="Times New Roman" w:eastAsia="宋体" w:cs="Times New Roman"/>
                <w:color w:val="auto"/>
                <w:sz w:val="24"/>
                <w:lang w:val="en-US" w:eastAsia="zh-CN"/>
              </w:rPr>
              <w:t>药材洗润、浸泡、蒸煮废水，实验器皿清洗废水，设备清洗废水、纯水制备产生的浓水、实验台及地面清洗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水</w:t>
            </w:r>
            <w:r>
              <w:rPr>
                <w:rFonts w:hint="eastAsia" w:cs="Times New Roman"/>
                <w:color w:val="auto"/>
                <w:sz w:val="24"/>
                <w:lang w:val="en-US" w:eastAsia="zh-CN"/>
              </w:rPr>
              <w:t>等</w:t>
            </w:r>
            <w:r>
              <w:rPr>
                <w:rFonts w:hint="default" w:ascii="Times New Roman" w:hAnsi="Times New Roman" w:cs="Times New Roman"/>
                <w:color w:val="auto"/>
                <w:sz w:val="24"/>
              </w:rPr>
              <w:t>一</w:t>
            </w:r>
            <w:r>
              <w:rPr>
                <w:rFonts w:hint="eastAsia" w:cs="Times New Roman"/>
                <w:color w:val="auto"/>
                <w:sz w:val="24"/>
                <w:lang w:val="en-US" w:eastAsia="zh-CN"/>
              </w:rPr>
              <w:t>并</w:t>
            </w:r>
            <w:r>
              <w:rPr>
                <w:rFonts w:hint="default" w:ascii="Times New Roman" w:hAnsi="Times New Roman" w:cs="Times New Roman"/>
                <w:color w:val="auto"/>
                <w:sz w:val="24"/>
              </w:rPr>
              <w:t>经污水处理设备</w:t>
            </w:r>
            <w:r>
              <w:rPr>
                <w:rFonts w:hint="eastAsia" w:ascii="Times New Roman" w:hAnsi="Times New Roman" w:cs="Times New Roman"/>
                <w:color w:val="auto"/>
                <w:sz w:val="24"/>
                <w:lang w:val="en-US" w:eastAsia="zh-CN"/>
              </w:rPr>
              <w:t>处理</w:t>
            </w:r>
            <w:r>
              <w:rPr>
                <w:rFonts w:hint="eastAsia" w:cs="Times New Roman"/>
                <w:color w:val="auto"/>
                <w:sz w:val="24"/>
                <w:lang w:eastAsia="zh-CN"/>
              </w:rPr>
              <w:t>（</w:t>
            </w:r>
            <w:r>
              <w:rPr>
                <w:rFonts w:hint="eastAsia" w:ascii="Times New Roman" w:hAnsi="Times New Roman" w:cs="Times New Roman"/>
                <w:color w:val="auto"/>
                <w:sz w:val="24"/>
                <w:lang w:val="en-US" w:eastAsia="zh-CN"/>
              </w:rPr>
              <w:t>处理工艺：</w:t>
            </w:r>
            <w:r>
              <w:rPr>
                <w:rFonts w:hint="default" w:ascii="Times New Roman" w:hAnsi="Times New Roman" w:cs="Times New Roman"/>
                <w:color w:val="auto"/>
                <w:sz w:val="24"/>
                <w:lang w:eastAsia="zh-CN"/>
              </w:rPr>
              <w:t>调节+</w:t>
            </w:r>
            <w:r>
              <w:rPr>
                <w:rFonts w:hint="eastAsia" w:ascii="Times New Roman" w:hAnsi="Times New Roman" w:cs="Times New Roman"/>
                <w:color w:val="auto"/>
                <w:sz w:val="24"/>
                <w:lang w:eastAsia="zh-CN"/>
              </w:rPr>
              <w:t>沉淀+消毒</w:t>
            </w:r>
            <w:r>
              <w:rPr>
                <w:rFonts w:hint="default" w:ascii="Times New Roman" w:hAnsi="Times New Roman" w:cs="Times New Roman"/>
                <w:color w:val="auto"/>
                <w:sz w:val="24"/>
              </w:rPr>
              <w:t>工艺</w:t>
            </w:r>
            <w:r>
              <w:rPr>
                <w:rFonts w:hint="eastAsia" w:cs="Times New Roman"/>
                <w:color w:val="auto"/>
                <w:sz w:val="24"/>
                <w:lang w:eastAsia="zh-CN"/>
              </w:rPr>
              <w:t>）</w:t>
            </w:r>
            <w:r>
              <w:rPr>
                <w:rFonts w:hint="eastAsia"/>
                <w:bCs/>
                <w:color w:val="auto"/>
                <w:sz w:val="24"/>
                <w:lang w:val="en-US" w:eastAsia="zh-CN"/>
              </w:rPr>
              <w:t>达标</w:t>
            </w:r>
            <w:r>
              <w:rPr>
                <w:rFonts w:hint="eastAsia"/>
                <w:bCs/>
                <w:color w:val="auto"/>
                <w:sz w:val="24"/>
              </w:rPr>
              <w:t>后</w:t>
            </w:r>
            <w:r>
              <w:rPr>
                <w:rFonts w:hint="eastAsia"/>
                <w:bCs/>
                <w:color w:val="auto"/>
                <w:sz w:val="24"/>
                <w:lang w:val="en-US" w:eastAsia="zh-CN"/>
              </w:rPr>
              <w:t>排入</w:t>
            </w:r>
            <w:r>
              <w:rPr>
                <w:rFonts w:hint="eastAsia"/>
                <w:bCs/>
                <w:color w:val="auto"/>
                <w:sz w:val="24"/>
              </w:rPr>
              <w:t>市政管网</w:t>
            </w:r>
            <w:r>
              <w:rPr>
                <w:rFonts w:hint="eastAsia"/>
                <w:color w:val="auto"/>
                <w:kern w:val="0"/>
                <w:sz w:val="24"/>
                <w:szCs w:val="22"/>
              </w:rPr>
              <w:t>；</w:t>
            </w:r>
            <w:r>
              <w:rPr>
                <w:color w:val="auto"/>
                <w:kern w:val="0"/>
                <w:sz w:val="24"/>
                <w:szCs w:val="22"/>
              </w:rPr>
              <w:t>项目</w:t>
            </w:r>
            <w:r>
              <w:rPr>
                <w:rFonts w:hint="eastAsia"/>
                <w:color w:val="auto"/>
                <w:kern w:val="0"/>
                <w:sz w:val="24"/>
                <w:szCs w:val="22"/>
              </w:rPr>
              <w:t>优先选用低噪声设备，</w:t>
            </w:r>
            <w:r>
              <w:rPr>
                <w:color w:val="auto"/>
                <w:kern w:val="0"/>
                <w:sz w:val="24"/>
                <w:szCs w:val="22"/>
              </w:rPr>
              <w:t>高噪声设</w:t>
            </w:r>
            <w:r>
              <w:rPr>
                <w:color w:val="auto"/>
                <w:kern w:val="0"/>
                <w:sz w:val="24"/>
                <w:szCs w:val="20"/>
              </w:rPr>
              <w:t>备安装基础</w:t>
            </w:r>
            <w:r>
              <w:rPr>
                <w:rFonts w:hint="eastAsia"/>
                <w:color w:val="auto"/>
                <w:kern w:val="0"/>
                <w:sz w:val="24"/>
                <w:szCs w:val="20"/>
              </w:rPr>
              <w:t>减振</w:t>
            </w:r>
            <w:r>
              <w:rPr>
                <w:color w:val="auto"/>
                <w:kern w:val="0"/>
                <w:sz w:val="24"/>
                <w:szCs w:val="20"/>
              </w:rPr>
              <w:t>、隔声降噪等措施；生活垃圾分类收集，定期由环卫部门</w:t>
            </w:r>
            <w:r>
              <w:rPr>
                <w:rFonts w:hint="eastAsia"/>
                <w:color w:val="auto"/>
                <w:kern w:val="0"/>
                <w:sz w:val="24"/>
                <w:szCs w:val="20"/>
              </w:rPr>
              <w:t>处置；</w:t>
            </w:r>
            <w:r>
              <w:rPr>
                <w:rFonts w:hint="eastAsia"/>
                <w:color w:val="auto"/>
                <w:kern w:val="0"/>
                <w:sz w:val="24"/>
                <w:szCs w:val="20"/>
                <w:lang w:val="en-US" w:eastAsia="zh-CN"/>
              </w:rPr>
              <w:t>药渣随生活垃圾交由</w:t>
            </w:r>
            <w:r>
              <w:rPr>
                <w:color w:val="auto"/>
                <w:kern w:val="0"/>
                <w:sz w:val="24"/>
                <w:szCs w:val="20"/>
              </w:rPr>
              <w:t>环卫部门</w:t>
            </w:r>
            <w:r>
              <w:rPr>
                <w:rFonts w:hint="eastAsia"/>
                <w:color w:val="auto"/>
                <w:kern w:val="0"/>
                <w:sz w:val="24"/>
                <w:szCs w:val="20"/>
              </w:rPr>
              <w:t>处置，不在</w:t>
            </w:r>
            <w:r>
              <w:rPr>
                <w:rFonts w:hint="eastAsia"/>
                <w:color w:val="auto"/>
                <w:kern w:val="0"/>
                <w:sz w:val="24"/>
                <w:szCs w:val="20"/>
                <w:lang w:val="en-US" w:eastAsia="zh-CN"/>
              </w:rPr>
              <w:t>实验</w:t>
            </w:r>
            <w:r>
              <w:rPr>
                <w:rFonts w:hint="eastAsia"/>
                <w:color w:val="auto"/>
                <w:kern w:val="0"/>
                <w:sz w:val="24"/>
                <w:szCs w:val="20"/>
              </w:rPr>
              <w:t>室内暂存；废试剂瓶、实验室废液</w:t>
            </w:r>
            <w:r>
              <w:rPr>
                <w:rFonts w:hint="eastAsia"/>
                <w:color w:val="auto"/>
                <w:kern w:val="0"/>
                <w:sz w:val="24"/>
                <w:szCs w:val="20"/>
                <w:lang w:val="en-US" w:eastAsia="zh-CN"/>
              </w:rPr>
              <w:t>及头道器皿清洗</w:t>
            </w:r>
            <w:r>
              <w:rPr>
                <w:rFonts w:hint="eastAsia"/>
                <w:color w:val="auto"/>
                <w:kern w:val="0"/>
                <w:sz w:val="24"/>
                <w:szCs w:val="20"/>
              </w:rPr>
              <w:t>废水、</w:t>
            </w:r>
            <w:r>
              <w:rPr>
                <w:rFonts w:hint="eastAsia"/>
                <w:color w:val="auto"/>
                <w:kern w:val="0"/>
                <w:sz w:val="24"/>
                <w:szCs w:val="20"/>
                <w:lang w:val="en-US" w:eastAsia="zh-CN"/>
              </w:rPr>
              <w:t>废试剂</w:t>
            </w:r>
            <w:r>
              <w:rPr>
                <w:rFonts w:hint="eastAsia"/>
                <w:color w:val="auto"/>
                <w:kern w:val="0"/>
                <w:sz w:val="24"/>
                <w:szCs w:val="20"/>
                <w:lang w:eastAsia="zh-CN"/>
              </w:rPr>
              <w:t>、</w:t>
            </w:r>
            <w:r>
              <w:rPr>
                <w:rFonts w:hint="default" w:ascii="Times New Roman" w:hAnsi="Times New Roman" w:eastAsia="宋体" w:cs="Times New Roman"/>
                <w:color w:val="auto"/>
                <w:sz w:val="24"/>
                <w:szCs w:val="24"/>
                <w:lang w:val="en-US" w:eastAsia="zh-CN"/>
              </w:rPr>
              <w:t>实验检测废弃物</w:t>
            </w:r>
            <w:r>
              <w:rPr>
                <w:rFonts w:hint="eastAsia" w:cs="Times New Roman"/>
                <w:color w:val="auto"/>
                <w:sz w:val="24"/>
                <w:szCs w:val="24"/>
                <w:lang w:val="en-US" w:eastAsia="zh-CN"/>
              </w:rPr>
              <w:t>、</w:t>
            </w:r>
            <w:r>
              <w:rPr>
                <w:rFonts w:hint="eastAsia"/>
                <w:color w:val="auto"/>
                <w:kern w:val="0"/>
                <w:sz w:val="24"/>
                <w:szCs w:val="20"/>
              </w:rPr>
              <w:t>废活性炭等分类收集暂存于</w:t>
            </w:r>
            <w:r>
              <w:rPr>
                <w:rFonts w:hint="eastAsia"/>
                <w:color w:val="auto"/>
                <w:kern w:val="0"/>
                <w:sz w:val="24"/>
                <w:szCs w:val="20"/>
                <w:lang w:eastAsia="zh-CN"/>
              </w:rPr>
              <w:t>危废贮存库</w:t>
            </w:r>
            <w:r>
              <w:rPr>
                <w:rFonts w:hint="eastAsia"/>
                <w:color w:val="auto"/>
                <w:kern w:val="0"/>
                <w:sz w:val="24"/>
                <w:szCs w:val="20"/>
              </w:rPr>
              <w:t>交由有资质单位处置。</w:t>
            </w:r>
            <w:r>
              <w:rPr>
                <w:color w:val="auto"/>
                <w:kern w:val="0"/>
                <w:sz w:val="24"/>
                <w:szCs w:val="20"/>
              </w:rPr>
              <w:t>采取以上措施后，项目</w:t>
            </w:r>
            <w:r>
              <w:rPr>
                <w:bCs/>
                <w:color w:val="auto"/>
                <w:kern w:val="0"/>
                <w:sz w:val="24"/>
                <w:szCs w:val="20"/>
              </w:rPr>
              <w:t>产生的</w:t>
            </w:r>
            <w:r>
              <w:rPr>
                <w:rFonts w:hint="eastAsia"/>
                <w:bCs/>
                <w:color w:val="auto"/>
                <w:kern w:val="0"/>
                <w:sz w:val="24"/>
                <w:szCs w:val="20"/>
              </w:rPr>
              <w:t>废气、</w:t>
            </w:r>
            <w:r>
              <w:rPr>
                <w:bCs/>
                <w:color w:val="auto"/>
                <w:kern w:val="0"/>
                <w:sz w:val="24"/>
                <w:szCs w:val="20"/>
              </w:rPr>
              <w:t>废水、噪声和固体废物等方面环境影响，均能实现达标排放和合理处置。</w:t>
            </w:r>
          </w:p>
          <w:p w14:paraId="783704F3">
            <w:pPr>
              <w:spacing w:line="360" w:lineRule="auto"/>
              <w:ind w:firstLine="480" w:firstLineChars="200"/>
              <w:jc w:val="left"/>
              <w:rPr>
                <w:color w:val="auto"/>
                <w:kern w:val="0"/>
                <w:sz w:val="24"/>
              </w:rPr>
            </w:pPr>
            <w:r>
              <w:rPr>
                <w:rFonts w:hint="eastAsia" w:ascii="宋体" w:hAnsi="宋体" w:cs="宋体"/>
                <w:color w:val="auto"/>
                <w:kern w:val="0"/>
                <w:sz w:val="24"/>
                <w:szCs w:val="20"/>
              </w:rPr>
              <w:t>④</w:t>
            </w:r>
            <w:r>
              <w:rPr>
                <w:color w:val="auto"/>
                <w:kern w:val="0"/>
                <w:sz w:val="24"/>
                <w:szCs w:val="20"/>
              </w:rPr>
              <w:t>周围制约因素分析：项目建成后</w:t>
            </w:r>
            <w:r>
              <w:rPr>
                <w:rFonts w:hint="eastAsia"/>
                <w:color w:val="auto"/>
                <w:kern w:val="0"/>
                <w:sz w:val="24"/>
                <w:szCs w:val="20"/>
              </w:rPr>
              <w:t>废气、</w:t>
            </w:r>
            <w:r>
              <w:rPr>
                <w:bCs/>
                <w:color w:val="auto"/>
                <w:kern w:val="0"/>
                <w:sz w:val="24"/>
                <w:szCs w:val="20"/>
              </w:rPr>
              <w:t>废水、噪声和固体废物在采用相应的污染防治措施后，均能实现达标排放和合理处置</w:t>
            </w:r>
            <w:r>
              <w:rPr>
                <w:rFonts w:hint="eastAsia"/>
                <w:color w:val="auto"/>
                <w:kern w:val="0"/>
                <w:sz w:val="24"/>
                <w:szCs w:val="20"/>
              </w:rPr>
              <w:t>，</w:t>
            </w:r>
            <w:r>
              <w:rPr>
                <w:color w:val="auto"/>
                <w:kern w:val="0"/>
                <w:sz w:val="24"/>
                <w:szCs w:val="20"/>
              </w:rPr>
              <w:t>项目周边500m范围内无饮用水源保护区、自然保护区和重要渔业水域等环境</w:t>
            </w:r>
            <w:r>
              <w:rPr>
                <w:rFonts w:hint="eastAsia"/>
                <w:color w:val="auto"/>
                <w:kern w:val="0"/>
                <w:sz w:val="24"/>
              </w:rPr>
              <w:t>，</w:t>
            </w:r>
            <w:r>
              <w:rPr>
                <w:color w:val="auto"/>
                <w:kern w:val="0"/>
                <w:sz w:val="24"/>
                <w:szCs w:val="20"/>
              </w:rPr>
              <w:t>故本项目的建设不存在制约因素。</w:t>
            </w:r>
          </w:p>
          <w:p w14:paraId="7A1A6F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kern w:val="0"/>
                <w:sz w:val="24"/>
                <w:szCs w:val="24"/>
              </w:rPr>
            </w:pPr>
            <w:r>
              <w:rPr>
                <w:color w:val="auto"/>
                <w:kern w:val="0"/>
                <w:sz w:val="24"/>
                <w:szCs w:val="22"/>
              </w:rPr>
              <w:t>因此，从环境保护角度分析，本项目选址合理。</w:t>
            </w:r>
          </w:p>
        </w:tc>
      </w:tr>
    </w:tbl>
    <w:p w14:paraId="7E52EE90">
      <w:pPr>
        <w:spacing w:line="360" w:lineRule="auto"/>
        <w:outlineLvl w:val="9"/>
        <w:rPr>
          <w:rFonts w:hint="default" w:ascii="Times New Roman" w:hAnsi="Times New Roman" w:eastAsia="黑体" w:cs="Times New Roman"/>
          <w:color w:val="auto"/>
          <w:sz w:val="30"/>
        </w:rPr>
        <w:sectPr>
          <w:pgSz w:w="11906" w:h="16838"/>
          <w:pgMar w:top="1701" w:right="1531" w:bottom="1701" w:left="1531" w:header="907" w:footer="907" w:gutter="0"/>
          <w:pgBorders>
            <w:top w:val="none" w:sz="0" w:space="0"/>
            <w:left w:val="none" w:sz="0" w:space="0"/>
            <w:bottom w:val="none" w:sz="0" w:space="0"/>
            <w:right w:val="none" w:sz="0" w:space="0"/>
          </w:pgBorders>
          <w:pgNumType w:fmt="decimal"/>
          <w:cols w:space="720" w:num="1"/>
          <w:docGrid w:linePitch="312" w:charSpace="0"/>
        </w:sectPr>
      </w:pPr>
    </w:p>
    <w:p w14:paraId="45E83213">
      <w:pPr>
        <w:pStyle w:val="24"/>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8"/>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4"/>
      </w:tblGrid>
      <w:tr w14:paraId="43400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dxa"/>
            <w:vAlign w:val="center"/>
          </w:tcPr>
          <w:p w14:paraId="08E304B3">
            <w:pPr>
              <w:pStyle w:val="24"/>
              <w:adjustRightInd w:val="0"/>
              <w:snapToGrid w:val="0"/>
              <w:spacing w:before="0" w:beforeAutospacing="0" w:after="0" w:afterAutospacing="0"/>
              <w:jc w:val="center"/>
              <w:rPr>
                <w:rFonts w:hint="default" w:ascii="Times New Roman" w:hAnsi="Times New Roman" w:cs="Times New Roman"/>
                <w:b/>
                <w:color w:val="auto"/>
                <w:szCs w:val="24"/>
              </w:rPr>
            </w:pPr>
            <w:r>
              <w:rPr>
                <w:rFonts w:hint="default" w:ascii="Times New Roman" w:hAnsi="Times New Roman" w:cs="Times New Roman"/>
                <w:b/>
                <w:color w:val="auto"/>
                <w:szCs w:val="24"/>
              </w:rPr>
              <w:t>建设内容</w:t>
            </w:r>
          </w:p>
        </w:tc>
        <w:tc>
          <w:tcPr>
            <w:tcW w:w="8317" w:type="dxa"/>
          </w:tcPr>
          <w:p w14:paraId="4C17F984">
            <w:pPr>
              <w:numPr>
                <w:ilvl w:val="0"/>
                <w:numId w:val="0"/>
              </w:numPr>
              <w:spacing w:line="360" w:lineRule="auto"/>
              <w:ind w:leftChars="0"/>
              <w:rPr>
                <w:rFonts w:hint="default" w:ascii="Times New Roman" w:hAnsi="Times New Roman" w:cs="Times New Roman"/>
                <w:color w:val="auto"/>
                <w:sz w:val="24"/>
                <w:szCs w:val="24"/>
              </w:rPr>
            </w:pPr>
            <w:r>
              <w:rPr>
                <w:rFonts w:hint="default"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rPr>
              <w:t>项目由来</w:t>
            </w:r>
          </w:p>
          <w:p w14:paraId="2D881035">
            <w:pPr>
              <w:spacing w:line="360" w:lineRule="auto"/>
              <w:ind w:firstLine="480" w:firstLineChars="200"/>
              <w:rPr>
                <w:rFonts w:hint="default"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陕西圣济康泽中药研究科技有限公司</w:t>
            </w:r>
            <w:r>
              <w:rPr>
                <w:rFonts w:hint="eastAsia" w:cs="Times New Roman"/>
                <w:color w:val="auto"/>
                <w:sz w:val="24"/>
                <w:szCs w:val="24"/>
                <w:lang w:val="en-US" w:eastAsia="zh-CN"/>
              </w:rPr>
              <w:t>西咸新区分公司</w:t>
            </w:r>
            <w:r>
              <w:rPr>
                <w:rFonts w:hint="default" w:ascii="Times New Roman" w:hAnsi="Times New Roman" w:eastAsia="宋体" w:cs="Times New Roman"/>
                <w:color w:val="auto"/>
                <w:sz w:val="24"/>
                <w:szCs w:val="24"/>
                <w:lang w:val="en-US" w:eastAsia="zh-CN"/>
              </w:rPr>
              <w:t>主要从事</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"https://www.tianyancha.com/advance/search/e-pc_homeicon"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研究和试验发展</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，租用</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小区12号楼</w:t>
            </w:r>
            <w:r>
              <w:rPr>
                <w:rFonts w:hint="eastAsia" w:ascii="Times New Roman" w:hAnsi="Times New Roman" w:eastAsia="宋体" w:cs="Times New Roman"/>
                <w:color w:val="auto"/>
                <w:sz w:val="24"/>
                <w:szCs w:val="24"/>
                <w:highlight w:val="none"/>
                <w:lang w:val="en-US" w:eastAsia="zh-CN"/>
              </w:rPr>
              <w:t>商业三层</w:t>
            </w:r>
            <w:r>
              <w:rPr>
                <w:rFonts w:hint="eastAsia" w:cs="Times New Roman"/>
                <w:color w:val="auto"/>
                <w:sz w:val="24"/>
                <w:szCs w:val="24"/>
                <w:highlight w:val="none"/>
                <w:lang w:val="en-US" w:eastAsia="zh-CN"/>
              </w:rPr>
              <w:t>北侧区域</w:t>
            </w:r>
            <w:r>
              <w:rPr>
                <w:rFonts w:hint="default" w:ascii="Times New Roman" w:hAnsi="Times New Roman" w:eastAsia="宋体" w:cs="Times New Roman"/>
                <w:color w:val="auto"/>
                <w:sz w:val="24"/>
                <w:szCs w:val="24"/>
                <w:lang w:val="en-US" w:eastAsia="zh-CN"/>
              </w:rPr>
              <w:t>建设</w:t>
            </w:r>
            <w:r>
              <w:rPr>
                <w:rFonts w:hint="eastAsia" w:cs="Times New Roman"/>
                <w:color w:val="auto"/>
                <w:sz w:val="24"/>
                <w:szCs w:val="24"/>
                <w:lang w:val="en-US" w:eastAsia="zh-CN"/>
              </w:rPr>
              <w:t>中药实验室</w:t>
            </w:r>
            <w:r>
              <w:rPr>
                <w:rFonts w:hint="default" w:ascii="Times New Roman" w:hAnsi="Times New Roman" w:eastAsia="宋体" w:cs="Times New Roman"/>
                <w:color w:val="auto"/>
                <w:sz w:val="24"/>
                <w:szCs w:val="24"/>
                <w:lang w:val="en-US" w:eastAsia="zh-CN"/>
              </w:rPr>
              <w:t>项目</w:t>
            </w:r>
            <w:r>
              <w:rPr>
                <w:rFonts w:hint="eastAsia" w:cs="Times New Roman"/>
                <w:color w:val="auto"/>
                <w:sz w:val="24"/>
                <w:szCs w:val="24"/>
                <w:lang w:val="en-US" w:eastAsia="zh-CN"/>
              </w:rPr>
              <w:t>。</w:t>
            </w:r>
          </w:p>
          <w:p w14:paraId="5183887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根据《中华人民共和国环境影响评价法</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建设项目环境影响评价分类管理名录（2021年版）》（部令第16号）的规定，本项目为</w:t>
            </w:r>
            <w:r>
              <w:rPr>
                <w:rFonts w:hint="eastAsia" w:cs="Times New Roman"/>
                <w:color w:val="auto"/>
                <w:sz w:val="24"/>
                <w:szCs w:val="24"/>
                <w:lang w:val="en-US" w:eastAsia="zh-CN"/>
              </w:rPr>
              <w:t>实</w:t>
            </w:r>
            <w:r>
              <w:rPr>
                <w:rFonts w:hint="default" w:ascii="Times New Roman" w:hAnsi="Times New Roman" w:eastAsia="宋体" w:cs="Times New Roman"/>
                <w:color w:val="auto"/>
                <w:sz w:val="24"/>
                <w:szCs w:val="24"/>
                <w:lang w:val="en-US" w:eastAsia="zh-CN"/>
              </w:rPr>
              <w:t>验室项目，属于“四十五、研究和试验发展—98、专业实验室、研发（试验）基地—其他”，应编制环境影响报告表。为此，陕西圣济康泽中药研究科技有限公司</w:t>
            </w:r>
            <w:r>
              <w:rPr>
                <w:rFonts w:hint="eastAsia" w:cs="Times New Roman"/>
                <w:color w:val="auto"/>
                <w:sz w:val="24"/>
                <w:szCs w:val="24"/>
                <w:lang w:val="en-US" w:eastAsia="zh-CN"/>
              </w:rPr>
              <w:t>西咸新区分公司</w:t>
            </w:r>
            <w:r>
              <w:rPr>
                <w:rFonts w:hint="default" w:ascii="Times New Roman" w:hAnsi="Times New Roman" w:eastAsia="宋体" w:cs="Times New Roman"/>
                <w:color w:val="auto"/>
                <w:sz w:val="24"/>
                <w:szCs w:val="24"/>
                <w:lang w:val="en-US" w:eastAsia="zh-CN"/>
              </w:rPr>
              <w:t>正式委托我公司承担该项目的环境影响评价工作，委托书见附件1。</w:t>
            </w:r>
          </w:p>
          <w:p w14:paraId="5EC087B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接受委托后，我公司立即组织有关技术人员对建设区域进行了现场踏勘，了解、收集与工程有关的技术资料，编制完成了陕西圣济康泽中药研究科技有限公司</w:t>
            </w:r>
            <w:r>
              <w:rPr>
                <w:rFonts w:hint="eastAsia" w:cs="Times New Roman"/>
                <w:color w:val="auto"/>
                <w:sz w:val="24"/>
                <w:szCs w:val="24"/>
                <w:lang w:val="en-US" w:eastAsia="zh-CN"/>
              </w:rPr>
              <w:t>西咸新区分公司</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中药实验室</w:t>
            </w:r>
            <w:r>
              <w:rPr>
                <w:rFonts w:hint="default" w:ascii="Times New Roman" w:hAnsi="Times New Roman" w:eastAsia="宋体" w:cs="Times New Roman"/>
                <w:color w:val="auto"/>
                <w:sz w:val="24"/>
                <w:szCs w:val="24"/>
                <w:lang w:val="en-US" w:eastAsia="zh-CN"/>
              </w:rPr>
              <w:t>项目环境影响报告表》。</w:t>
            </w:r>
          </w:p>
          <w:p w14:paraId="53F21A86">
            <w:pPr>
              <w:numPr>
                <w:ilvl w:val="0"/>
                <w:numId w:val="6"/>
              </w:numPr>
              <w:spacing w:line="360" w:lineRule="auto"/>
              <w:ind w:left="0" w:leftChars="0" w:firstLine="0" w:firstLineChars="0"/>
              <w:rPr>
                <w:rFonts w:hint="default" w:ascii="Times New Roman" w:hAnsi="Times New Roman" w:cs="Times New Roman"/>
                <w:b/>
                <w:bCs/>
                <w:color w:val="auto"/>
                <w:sz w:val="24"/>
              </w:rPr>
            </w:pPr>
            <w:r>
              <w:rPr>
                <w:rFonts w:hint="default" w:ascii="Times New Roman" w:hAnsi="Times New Roman" w:cs="Times New Roman"/>
                <w:b/>
                <w:color w:val="auto"/>
                <w:sz w:val="24"/>
                <w:szCs w:val="24"/>
              </w:rPr>
              <w:t>项目</w:t>
            </w:r>
            <w:r>
              <w:rPr>
                <w:rFonts w:hint="default" w:ascii="Times New Roman" w:hAnsi="Times New Roman" w:cs="Times New Roman"/>
                <w:b/>
                <w:bCs/>
                <w:color w:val="auto"/>
                <w:sz w:val="24"/>
              </w:rPr>
              <w:t>基本情况</w:t>
            </w:r>
          </w:p>
          <w:p w14:paraId="141F1E3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rPr>
              <w:t>项目名称：</w:t>
            </w:r>
            <w:r>
              <w:rPr>
                <w:rFonts w:hint="eastAsia" w:cs="Times New Roman"/>
                <w:color w:val="auto"/>
                <w:sz w:val="24"/>
                <w:szCs w:val="24"/>
                <w:lang w:val="en-US" w:eastAsia="zh-CN"/>
              </w:rPr>
              <w:t>中药实验室</w:t>
            </w:r>
            <w:r>
              <w:rPr>
                <w:rFonts w:hint="default" w:ascii="Times New Roman" w:hAnsi="Times New Roman" w:eastAsia="宋体" w:cs="Times New Roman"/>
                <w:color w:val="auto"/>
                <w:sz w:val="24"/>
                <w:szCs w:val="24"/>
                <w:lang w:val="en-US" w:eastAsia="zh-CN"/>
              </w:rPr>
              <w:t>项目</w:t>
            </w:r>
          </w:p>
          <w:p w14:paraId="49BBA45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建设性质：</w:t>
            </w:r>
            <w:r>
              <w:rPr>
                <w:rFonts w:hint="default" w:ascii="Times New Roman" w:hAnsi="Times New Roman" w:cs="Times New Roman"/>
                <w:color w:val="auto"/>
                <w:sz w:val="24"/>
                <w:lang w:val="en-US" w:eastAsia="zh-CN"/>
              </w:rPr>
              <w:t>新</w:t>
            </w:r>
            <w:r>
              <w:rPr>
                <w:rFonts w:hint="default" w:ascii="Times New Roman" w:hAnsi="Times New Roman" w:cs="Times New Roman"/>
                <w:color w:val="auto"/>
                <w:sz w:val="24"/>
              </w:rPr>
              <w:t>建</w:t>
            </w:r>
          </w:p>
          <w:p w14:paraId="5357D4AC">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w:t>建设单位：</w:t>
            </w:r>
            <w:r>
              <w:rPr>
                <w:rFonts w:hint="default" w:ascii="Times New Roman" w:hAnsi="Times New Roman" w:eastAsia="宋体" w:cs="Times New Roman"/>
                <w:color w:val="auto"/>
                <w:sz w:val="24"/>
                <w:szCs w:val="24"/>
                <w:lang w:val="en-US" w:eastAsia="zh-CN"/>
              </w:rPr>
              <w:t>陕西圣济康泽中药研究科技有限公司</w:t>
            </w:r>
            <w:r>
              <w:rPr>
                <w:rFonts w:hint="eastAsia" w:cs="Times New Roman"/>
                <w:color w:val="auto"/>
                <w:sz w:val="24"/>
                <w:szCs w:val="24"/>
                <w:lang w:val="en-US" w:eastAsia="zh-CN"/>
              </w:rPr>
              <w:t>西咸新区分公司</w:t>
            </w:r>
          </w:p>
          <w:p w14:paraId="72BC0E45">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总投资：</w:t>
            </w:r>
            <w:r>
              <w:rPr>
                <w:rFonts w:hint="eastAsia" w:cs="Times New Roman"/>
                <w:color w:val="auto"/>
                <w:sz w:val="24"/>
                <w:szCs w:val="24"/>
                <w:highlight w:val="none"/>
                <w:lang w:val="en-US" w:eastAsia="zh-CN"/>
              </w:rPr>
              <w:t>33</w:t>
            </w:r>
            <w:r>
              <w:rPr>
                <w:rFonts w:hint="default" w:ascii="Times New Roman" w:hAnsi="Times New Roman" w:eastAsia="宋体" w:cs="Times New Roman"/>
                <w:color w:val="auto"/>
                <w:sz w:val="24"/>
                <w:szCs w:val="24"/>
                <w:highlight w:val="none"/>
                <w:lang w:val="en-US" w:eastAsia="zh-CN"/>
              </w:rPr>
              <w:t>0万元</w:t>
            </w:r>
          </w:p>
          <w:p w14:paraId="2D3AABF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建设地点：</w:t>
            </w:r>
            <w:r>
              <w:rPr>
                <w:rFonts w:hint="eastAsia" w:cs="Times New Roman"/>
                <w:color w:val="auto"/>
                <w:sz w:val="24"/>
                <w:szCs w:val="24"/>
                <w:lang w:val="en-US" w:eastAsia="zh-CN"/>
              </w:rPr>
              <w:t>项目位于</w:t>
            </w:r>
            <w:r>
              <w:rPr>
                <w:rFonts w:hint="default" w:ascii="Times New Roman" w:hAnsi="Times New Roman" w:cs="Times New Roman"/>
                <w:color w:val="auto"/>
                <w:sz w:val="24"/>
                <w:szCs w:val="24"/>
                <w:highlight w:val="none"/>
                <w:lang w:val="en-US" w:eastAsia="zh-CN"/>
              </w:rPr>
              <w:t>陕西省西咸新区</w:t>
            </w:r>
            <w:r>
              <w:rPr>
                <w:rFonts w:hint="eastAsia" w:cs="Times New Roman"/>
                <w:color w:val="auto"/>
                <w:sz w:val="24"/>
                <w:szCs w:val="24"/>
                <w:highlight w:val="none"/>
                <w:lang w:val="en-US" w:eastAsia="zh-CN"/>
              </w:rPr>
              <w:t>沣西</w:t>
            </w:r>
            <w:r>
              <w:rPr>
                <w:rFonts w:hint="default" w:ascii="Times New Roman" w:hAnsi="Times New Roman" w:cs="Times New Roman"/>
                <w:color w:val="auto"/>
                <w:sz w:val="24"/>
                <w:szCs w:val="24"/>
                <w:highlight w:val="none"/>
                <w:lang w:val="en-US" w:eastAsia="zh-CN"/>
              </w:rPr>
              <w:t>新城</w:t>
            </w:r>
            <w:r>
              <w:rPr>
                <w:rFonts w:hint="eastAsia" w:ascii="Times New Roman" w:hAnsi="Times New Roman" w:eastAsia="宋体" w:cs="Times New Roman"/>
                <w:color w:val="auto"/>
                <w:sz w:val="24"/>
                <w:szCs w:val="24"/>
                <w:lang w:val="en-US" w:eastAsia="zh-CN"/>
              </w:rPr>
              <w:t>钓台街道</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12号楼商业3层</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lang w:val="en-US" w:eastAsia="zh-CN"/>
              </w:rPr>
              <w:t>地理坐标为E108°</w:t>
            </w:r>
            <w:r>
              <w:rPr>
                <w:rFonts w:hint="eastAsia" w:cs="Times New Roman"/>
                <w:color w:val="auto"/>
                <w:sz w:val="24"/>
                <w:szCs w:val="24"/>
                <w:lang w:val="en-US" w:eastAsia="zh-CN"/>
              </w:rPr>
              <w:t>44</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01.753</w:t>
            </w:r>
            <w:r>
              <w:rPr>
                <w:rFonts w:hint="default" w:ascii="Times New Roman" w:hAnsi="Times New Roman" w:eastAsia="宋体" w:cs="Times New Roman"/>
                <w:color w:val="auto"/>
                <w:sz w:val="24"/>
                <w:szCs w:val="24"/>
                <w:lang w:val="en-US" w:eastAsia="zh-CN"/>
              </w:rPr>
              <w:t>″、N34°</w:t>
            </w:r>
            <w:r>
              <w:rPr>
                <w:rFonts w:hint="eastAsia" w:cs="Times New Roman"/>
                <w:color w:val="auto"/>
                <w:sz w:val="24"/>
                <w:szCs w:val="24"/>
                <w:lang w:val="en-US" w:eastAsia="zh-CN"/>
              </w:rPr>
              <w:t>1</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31.301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，项目地理位置见附图2</w:t>
            </w:r>
            <w:r>
              <w:rPr>
                <w:rFonts w:hint="eastAsia" w:cs="Times New Roman"/>
                <w:color w:val="auto"/>
                <w:sz w:val="24"/>
                <w:szCs w:val="24"/>
                <w:lang w:val="en-US" w:eastAsia="zh-CN"/>
              </w:rPr>
              <w:t>。</w:t>
            </w:r>
          </w:p>
          <w:p w14:paraId="24D8D1A2">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项目占地：</w:t>
            </w:r>
            <w:r>
              <w:rPr>
                <w:rFonts w:hint="eastAsia" w:ascii="Times New Roman" w:hAnsi="Times New Roman" w:eastAsia="宋体" w:cs="Times New Roman"/>
                <w:color w:val="auto"/>
                <w:sz w:val="24"/>
                <w:szCs w:val="24"/>
                <w:highlight w:val="none"/>
                <w:lang w:val="en-US" w:eastAsia="zh-CN"/>
              </w:rPr>
              <w:t>本项目租赁隆桥瑞苑</w:t>
            </w:r>
            <w:r>
              <w:rPr>
                <w:rFonts w:hint="eastAsia" w:cs="Times New Roman"/>
                <w:color w:val="auto"/>
                <w:sz w:val="24"/>
                <w:szCs w:val="24"/>
                <w:highlight w:val="none"/>
                <w:lang w:val="en-US" w:eastAsia="zh-CN"/>
              </w:rPr>
              <w:t>12号楼</w:t>
            </w:r>
            <w:r>
              <w:rPr>
                <w:rFonts w:hint="eastAsia" w:ascii="Times New Roman" w:hAnsi="Times New Roman" w:eastAsia="宋体" w:cs="Times New Roman"/>
                <w:color w:val="auto"/>
                <w:sz w:val="24"/>
                <w:szCs w:val="24"/>
                <w:highlight w:val="none"/>
                <w:lang w:val="en-US" w:eastAsia="zh-CN"/>
              </w:rPr>
              <w:t>三层</w:t>
            </w:r>
            <w:r>
              <w:rPr>
                <w:rFonts w:hint="eastAsia" w:cs="Times New Roman"/>
                <w:color w:val="auto"/>
                <w:sz w:val="24"/>
                <w:szCs w:val="24"/>
                <w:highlight w:val="none"/>
                <w:lang w:val="en-US" w:eastAsia="zh-CN"/>
              </w:rPr>
              <w:t>北侧区域</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占地</w:t>
            </w:r>
            <w:r>
              <w:rPr>
                <w:rFonts w:hint="default" w:ascii="Times New Roman" w:hAnsi="Times New Roman" w:eastAsia="宋体" w:cs="Times New Roman"/>
                <w:color w:val="auto"/>
                <w:sz w:val="24"/>
                <w:szCs w:val="24"/>
                <w:lang w:val="en-US" w:eastAsia="zh-CN"/>
              </w:rPr>
              <w:t>面积</w:t>
            </w:r>
            <w:r>
              <w:rPr>
                <w:rFonts w:hint="eastAsia" w:cs="Times New Roman"/>
                <w:color w:val="auto"/>
                <w:sz w:val="24"/>
                <w:szCs w:val="24"/>
                <w:lang w:val="en-US" w:eastAsia="zh-CN"/>
              </w:rPr>
              <w:t>684.15</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2</w:t>
            </w:r>
            <w:r>
              <w:rPr>
                <w:rFonts w:hint="eastAsia" w:cs="Times New Roman"/>
                <w:color w:val="auto"/>
                <w:sz w:val="24"/>
                <w:szCs w:val="24"/>
                <w:vertAlign w:val="baseline"/>
                <w:lang w:val="en-US" w:eastAsia="zh-CN"/>
              </w:rPr>
              <w:t>。</w:t>
            </w:r>
          </w:p>
          <w:p w14:paraId="43F7B4B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项目四邻关系：</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12号楼商铺</w:t>
            </w:r>
            <w:r>
              <w:rPr>
                <w:rFonts w:hint="eastAsia" w:ascii="Times New Roman" w:hAnsi="Times New Roman" w:eastAsia="宋体" w:cs="Times New Roman"/>
                <w:color w:val="auto"/>
                <w:sz w:val="24"/>
                <w:szCs w:val="24"/>
                <w:highlight w:val="none"/>
                <w:lang w:val="en-US" w:eastAsia="zh-CN"/>
              </w:rPr>
              <w:t>共三层，</w:t>
            </w:r>
            <w:r>
              <w:rPr>
                <w:rFonts w:hint="eastAsia"/>
                <w:color w:val="auto"/>
                <w:kern w:val="0"/>
                <w:sz w:val="24"/>
                <w:szCs w:val="20"/>
                <w:highlight w:val="none"/>
                <w:lang w:val="en-US" w:eastAsia="zh-CN"/>
              </w:rPr>
              <w:t>项目实验室位于三层，</w:t>
            </w:r>
            <w:r>
              <w:rPr>
                <w:rFonts w:hint="eastAsia"/>
                <w:color w:val="auto"/>
                <w:kern w:val="0"/>
                <w:sz w:val="24"/>
                <w:szCs w:val="20"/>
                <w:lang w:val="en-US" w:eastAsia="zh-CN"/>
              </w:rPr>
              <w:t>一层为商铺，</w:t>
            </w:r>
            <w:r>
              <w:rPr>
                <w:rFonts w:hint="eastAsia"/>
                <w:color w:val="auto"/>
                <w:kern w:val="0"/>
                <w:sz w:val="24"/>
                <w:szCs w:val="20"/>
                <w:highlight w:val="none"/>
                <w:lang w:val="en-US" w:eastAsia="zh-CN"/>
              </w:rPr>
              <w:t>二层为陕西华远正和制药有限公司，实验室南侧为西咸新区沣西新城安益旺企业管理有限公司</w:t>
            </w:r>
            <w:r>
              <w:rPr>
                <w:rFonts w:hint="eastAsia"/>
                <w:color w:val="auto"/>
                <w:kern w:val="0"/>
                <w:sz w:val="24"/>
                <w:szCs w:val="20"/>
                <w:lang w:val="en-US" w:eastAsia="zh-CN"/>
              </w:rPr>
              <w:t>。</w:t>
            </w:r>
            <w:r>
              <w:rPr>
                <w:rFonts w:hint="eastAsia" w:cs="Times New Roman"/>
                <w:color w:val="auto"/>
                <w:sz w:val="24"/>
                <w:szCs w:val="24"/>
                <w:highlight w:val="none"/>
                <w:lang w:val="en-US" w:eastAsia="zh-CN"/>
              </w:rPr>
              <w:t>本项目所在区域</w:t>
            </w:r>
            <w:r>
              <w:rPr>
                <w:rFonts w:hint="eastAsia"/>
                <w:color w:val="auto"/>
                <w:kern w:val="0"/>
                <w:sz w:val="24"/>
                <w:szCs w:val="20"/>
                <w:highlight w:val="none"/>
              </w:rPr>
              <w:t>西侧</w:t>
            </w:r>
            <w:r>
              <w:rPr>
                <w:rFonts w:hint="eastAsia"/>
                <w:color w:val="auto"/>
                <w:kern w:val="0"/>
                <w:sz w:val="24"/>
                <w:szCs w:val="20"/>
                <w:highlight w:val="none"/>
                <w:lang w:eastAsia="zh-CN"/>
              </w:rPr>
              <w:t>、</w:t>
            </w:r>
            <w:r>
              <w:rPr>
                <w:rFonts w:hint="eastAsia"/>
                <w:color w:val="auto"/>
                <w:kern w:val="0"/>
                <w:sz w:val="24"/>
                <w:szCs w:val="20"/>
                <w:highlight w:val="none"/>
                <w:lang w:val="en-US" w:eastAsia="zh-CN"/>
              </w:rPr>
              <w:t>北侧</w:t>
            </w:r>
            <w:r>
              <w:rPr>
                <w:rFonts w:hint="eastAsia"/>
                <w:color w:val="auto"/>
                <w:kern w:val="0"/>
                <w:sz w:val="24"/>
                <w:szCs w:val="20"/>
                <w:highlight w:val="none"/>
              </w:rPr>
              <w:t>为</w:t>
            </w:r>
            <w:r>
              <w:rPr>
                <w:rFonts w:hint="eastAsia" w:ascii="Times New Roman" w:hAnsi="Times New Roman" w:eastAsia="宋体" w:cs="Times New Roman"/>
                <w:color w:val="auto"/>
                <w:sz w:val="24"/>
                <w:szCs w:val="24"/>
                <w:highlight w:val="none"/>
                <w:lang w:val="en-US" w:eastAsia="zh-CN"/>
              </w:rPr>
              <w:t>隆桥瑞苑小区，</w:t>
            </w:r>
            <w:r>
              <w:rPr>
                <w:rFonts w:hint="eastAsia"/>
                <w:color w:val="auto"/>
                <w:kern w:val="0"/>
                <w:sz w:val="24"/>
                <w:szCs w:val="20"/>
                <w:highlight w:val="none"/>
              </w:rPr>
              <w:t>南侧为</w:t>
            </w:r>
            <w:r>
              <w:rPr>
                <w:rFonts w:hint="eastAsia"/>
                <w:color w:val="auto"/>
                <w:kern w:val="0"/>
                <w:sz w:val="24"/>
                <w:szCs w:val="20"/>
                <w:highlight w:val="none"/>
                <w:lang w:val="en-US" w:eastAsia="zh-CN"/>
              </w:rPr>
              <w:t>尚业路</w:t>
            </w:r>
            <w:r>
              <w:rPr>
                <w:rFonts w:hint="eastAsia"/>
                <w:color w:val="auto"/>
                <w:kern w:val="0"/>
                <w:sz w:val="24"/>
                <w:szCs w:val="20"/>
                <w:highlight w:val="none"/>
              </w:rPr>
              <w:t>、东侧为</w:t>
            </w:r>
            <w:r>
              <w:rPr>
                <w:rFonts w:hint="eastAsia"/>
                <w:color w:val="auto"/>
                <w:kern w:val="0"/>
                <w:sz w:val="24"/>
                <w:szCs w:val="20"/>
                <w:highlight w:val="none"/>
                <w:lang w:val="en-US" w:eastAsia="zh-CN"/>
              </w:rPr>
              <w:t>白马河路</w:t>
            </w:r>
            <w:r>
              <w:rPr>
                <w:color w:val="auto"/>
                <w:kern w:val="0"/>
                <w:sz w:val="24"/>
                <w:szCs w:val="20"/>
              </w:rPr>
              <w:t>。</w:t>
            </w:r>
            <w:r>
              <w:rPr>
                <w:rFonts w:hint="default" w:ascii="Times New Roman" w:hAnsi="Times New Roman" w:cs="Times New Roman"/>
                <w:color w:val="auto"/>
                <w:sz w:val="24"/>
                <w:szCs w:val="24"/>
                <w:lang w:val="en-US" w:eastAsia="zh-CN"/>
              </w:rPr>
              <w:t>项目四邻关系见附图3</w:t>
            </w:r>
            <w:r>
              <w:rPr>
                <w:rFonts w:hint="eastAsia" w:cs="Times New Roman"/>
                <w:color w:val="auto"/>
                <w:sz w:val="24"/>
                <w:szCs w:val="24"/>
                <w:lang w:val="en-US" w:eastAsia="zh-CN"/>
              </w:rPr>
              <w:t>。</w:t>
            </w:r>
          </w:p>
          <w:p w14:paraId="6D569665">
            <w:pPr>
              <w:numPr>
                <w:ilvl w:val="0"/>
                <w:numId w:val="6"/>
              </w:numPr>
              <w:spacing w:line="360" w:lineRule="auto"/>
              <w:ind w:left="0" w:leftChars="0" w:firstLine="0" w:firstLineChars="0"/>
              <w:rPr>
                <w:rFonts w:hint="default" w:ascii="Times New Roman" w:hAnsi="Times New Roman" w:cs="Times New Roman"/>
                <w:b/>
                <w:bCs/>
                <w:color w:val="auto"/>
                <w:sz w:val="24"/>
              </w:rPr>
            </w:pPr>
            <w:r>
              <w:rPr>
                <w:rFonts w:hint="default" w:ascii="Times New Roman" w:hAnsi="Times New Roman" w:cs="Times New Roman"/>
                <w:b/>
                <w:bCs/>
                <w:color w:val="auto"/>
                <w:sz w:val="24"/>
              </w:rPr>
              <w:t>项目建设内容</w:t>
            </w:r>
          </w:p>
          <w:p w14:paraId="77E7128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cs="Times New Roman"/>
                <w:color w:val="auto"/>
                <w:sz w:val="24"/>
                <w:szCs w:val="24"/>
                <w:lang w:val="en-US" w:eastAsia="zh-CN"/>
              </w:rPr>
              <w:t>租用</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12号楼</w:t>
            </w:r>
            <w:r>
              <w:rPr>
                <w:rFonts w:hint="eastAsia" w:ascii="Times New Roman" w:hAnsi="Times New Roman" w:eastAsia="宋体" w:cs="Times New Roman"/>
                <w:color w:val="auto"/>
                <w:sz w:val="24"/>
                <w:szCs w:val="24"/>
                <w:highlight w:val="none"/>
                <w:lang w:val="en-US" w:eastAsia="zh-CN"/>
              </w:rPr>
              <w:t>商业三层</w:t>
            </w:r>
            <w:r>
              <w:rPr>
                <w:rFonts w:hint="eastAsia" w:cs="Times New Roman"/>
                <w:color w:val="auto"/>
                <w:sz w:val="24"/>
                <w:szCs w:val="24"/>
                <w:highlight w:val="none"/>
                <w:lang w:val="en-US" w:eastAsia="zh-CN"/>
              </w:rPr>
              <w:t>北侧区域</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建设中药实验室，对中药药材有效成分进行检测，</w:t>
            </w:r>
            <w:r>
              <w:rPr>
                <w:rFonts w:ascii="宋体" w:hAnsi="宋体" w:eastAsia="宋体" w:cs="宋体"/>
                <w:color w:val="auto"/>
                <w:sz w:val="24"/>
                <w:szCs w:val="24"/>
              </w:rPr>
              <w:t>不涉及</w:t>
            </w:r>
            <w:r>
              <w:rPr>
                <w:rFonts w:hint="eastAsia" w:ascii="宋体" w:hAnsi="宋体" w:cs="宋体"/>
                <w:color w:val="auto"/>
                <w:sz w:val="24"/>
                <w:szCs w:val="24"/>
                <w:lang w:val="en-US" w:eastAsia="zh-CN"/>
              </w:rPr>
              <w:t>药品</w:t>
            </w:r>
            <w:r>
              <w:rPr>
                <w:rFonts w:ascii="宋体" w:hAnsi="宋体" w:eastAsia="宋体" w:cs="宋体"/>
                <w:color w:val="auto"/>
                <w:sz w:val="24"/>
                <w:szCs w:val="24"/>
              </w:rPr>
              <w:t>生产和中试，不进行同位素药物等实验服务以及病理疗效实验等项目，不涉及抗生素类、精麻药品类和管制药品类原料药及中间体的有机合成研究。项目不涉及P3、P4生物安全实验室、微生物实验室、转基因实验室等</w:t>
            </w:r>
            <w:r>
              <w:rPr>
                <w:rFonts w:hint="default" w:ascii="Times New Roman" w:hAnsi="Times New Roman" w:eastAsia="宋体" w:cs="Times New Roman"/>
                <w:color w:val="auto"/>
                <w:sz w:val="24"/>
                <w:szCs w:val="24"/>
                <w:lang w:val="en-US" w:eastAsia="zh-CN"/>
              </w:rPr>
              <w:t>。项目组成见表2-1。</w:t>
            </w:r>
          </w:p>
          <w:p w14:paraId="3A57BE76">
            <w:pPr>
              <w:ind w:firstLine="422" w:firstLineChars="20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表2-</w:t>
            </w:r>
            <w:r>
              <w:rPr>
                <w:rFonts w:hint="default" w:ascii="Times New Roman" w:hAnsi="Times New Roman" w:cs="Times New Roman"/>
                <w:b/>
                <w:color w:val="auto"/>
                <w:szCs w:val="21"/>
                <w:lang w:val="en-US" w:eastAsia="zh-CN"/>
              </w:rPr>
              <w:t>1</w:t>
            </w:r>
            <w:r>
              <w:rPr>
                <w:rFonts w:hint="default" w:ascii="Times New Roman" w:hAnsi="Times New Roman" w:cs="Times New Roman"/>
                <w:b/>
                <w:color w:val="auto"/>
                <w:szCs w:val="21"/>
              </w:rPr>
              <w:t>项目</w:t>
            </w:r>
            <w:r>
              <w:rPr>
                <w:rFonts w:hint="eastAsia" w:cs="Times New Roman"/>
                <w:b/>
                <w:color w:val="auto"/>
                <w:szCs w:val="21"/>
                <w:lang w:val="en-US" w:eastAsia="zh-CN"/>
              </w:rPr>
              <w:t>建设</w:t>
            </w:r>
            <w:r>
              <w:rPr>
                <w:rFonts w:hint="default" w:ascii="Times New Roman" w:hAnsi="Times New Roman" w:cs="Times New Roman"/>
                <w:b/>
                <w:color w:val="auto"/>
                <w:szCs w:val="21"/>
                <w:lang w:val="en-US" w:eastAsia="zh-CN"/>
              </w:rPr>
              <w:t>内容</w:t>
            </w:r>
            <w:r>
              <w:rPr>
                <w:rFonts w:hint="default" w:ascii="Times New Roman" w:hAnsi="Times New Roman" w:cs="Times New Roman"/>
                <w:b/>
                <w:color w:val="auto"/>
                <w:szCs w:val="21"/>
              </w:rPr>
              <w:t>组成表</w:t>
            </w:r>
          </w:p>
          <w:tbl>
            <w:tblPr>
              <w:tblStyle w:val="28"/>
              <w:tblW w:w="820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68"/>
              <w:gridCol w:w="1286"/>
              <w:gridCol w:w="5414"/>
              <w:gridCol w:w="741"/>
            </w:tblGrid>
            <w:tr w14:paraId="5378DEC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68" w:type="dxa"/>
                  <w:vAlign w:val="center"/>
                </w:tcPr>
                <w:p w14:paraId="4E61288C">
                  <w:pPr>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类别</w:t>
                  </w:r>
                </w:p>
              </w:tc>
              <w:tc>
                <w:tcPr>
                  <w:tcW w:w="1286" w:type="dxa"/>
                  <w:vAlign w:val="center"/>
                </w:tcPr>
                <w:p w14:paraId="58685E56">
                  <w:pPr>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工程名称</w:t>
                  </w:r>
                </w:p>
              </w:tc>
              <w:tc>
                <w:tcPr>
                  <w:tcW w:w="5414" w:type="dxa"/>
                  <w:vAlign w:val="center"/>
                </w:tcPr>
                <w:p w14:paraId="086323B0">
                  <w:pPr>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工程内容</w:t>
                  </w:r>
                </w:p>
              </w:tc>
              <w:tc>
                <w:tcPr>
                  <w:tcW w:w="741" w:type="dxa"/>
                  <w:vAlign w:val="center"/>
                </w:tcPr>
                <w:p w14:paraId="113F64E0">
                  <w:pPr>
                    <w:adjustRightIn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备注</w:t>
                  </w:r>
                </w:p>
              </w:tc>
            </w:tr>
            <w:tr w14:paraId="19006F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768" w:type="dxa"/>
                  <w:vMerge w:val="restart"/>
                  <w:vAlign w:val="center"/>
                </w:tcPr>
                <w:p w14:paraId="4DCD8E21">
                  <w:pPr>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主体工程</w:t>
                  </w:r>
                </w:p>
              </w:tc>
              <w:tc>
                <w:tcPr>
                  <w:tcW w:w="1286" w:type="dxa"/>
                  <w:vMerge w:val="restart"/>
                  <w:vAlign w:val="center"/>
                </w:tcPr>
                <w:p w14:paraId="0993A47D">
                  <w:pPr>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实验室</w:t>
                  </w:r>
                </w:p>
              </w:tc>
              <w:tc>
                <w:tcPr>
                  <w:tcW w:w="5414" w:type="dxa"/>
                  <w:vAlign w:val="center"/>
                </w:tcPr>
                <w:p w14:paraId="460625AD">
                  <w:p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理化室，</w:t>
                  </w:r>
                  <w:r>
                    <w:rPr>
                      <w:rFonts w:hint="eastAsia" w:ascii="Times New Roman" w:hAnsi="Times New Roman" w:eastAsia="宋体" w:cs="Times New Roman"/>
                      <w:color w:val="auto"/>
                      <w:kern w:val="0"/>
                      <w:szCs w:val="21"/>
                      <w:lang w:val="en-US" w:eastAsia="zh-CN"/>
                    </w:rPr>
                    <w:t>位于西南角，</w:t>
                  </w:r>
                  <w:r>
                    <w:rPr>
                      <w:rFonts w:hint="default" w:ascii="Times New Roman" w:hAnsi="Times New Roman" w:eastAsia="宋体" w:cs="Times New Roman"/>
                      <w:color w:val="auto"/>
                      <w:kern w:val="0"/>
                      <w:szCs w:val="21"/>
                      <w:lang w:val="en-US" w:eastAsia="zh-CN"/>
                    </w:rPr>
                    <w:t>占地面积</w:t>
                  </w:r>
                  <w:r>
                    <w:rPr>
                      <w:rFonts w:hint="eastAsia" w:cs="Times New Roman"/>
                      <w:color w:val="auto"/>
                      <w:kern w:val="0"/>
                      <w:szCs w:val="21"/>
                      <w:lang w:val="en-US" w:eastAsia="zh-CN"/>
                    </w:rPr>
                    <w:t>36</w:t>
                  </w:r>
                  <w:r>
                    <w:rPr>
                      <w:rFonts w:hint="default" w:ascii="Times New Roman" w:hAnsi="Times New Roman" w:eastAsia="宋体" w:cs="Times New Roman"/>
                      <w:color w:val="auto"/>
                      <w:kern w:val="0"/>
                      <w:szCs w:val="21"/>
                      <w:lang w:val="en-US" w:eastAsia="zh-CN"/>
                    </w:rPr>
                    <w:t>m</w:t>
                  </w:r>
                  <w:r>
                    <w:rPr>
                      <w:rFonts w:hint="default" w:ascii="Times New Roman" w:hAnsi="Times New Roman" w:eastAsia="宋体" w:cs="Times New Roman"/>
                      <w:color w:val="auto"/>
                      <w:kern w:val="0"/>
                      <w:szCs w:val="21"/>
                      <w:vertAlign w:val="superscript"/>
                      <w:lang w:val="en-US" w:eastAsia="zh-CN"/>
                    </w:rPr>
                    <w:t>2</w:t>
                  </w:r>
                  <w:r>
                    <w:rPr>
                      <w:rFonts w:hint="default" w:ascii="Times New Roman" w:hAnsi="Times New Roman" w:eastAsia="宋体" w:cs="Times New Roman"/>
                      <w:color w:val="auto"/>
                      <w:kern w:val="0"/>
                      <w:szCs w:val="21"/>
                      <w:lang w:val="en-US" w:eastAsia="zh-CN"/>
                    </w:rPr>
                    <w:t>，主要布置通风橱</w:t>
                  </w:r>
                  <w:r>
                    <w:rPr>
                      <w:rFonts w:hint="eastAsia" w:cs="Times New Roman"/>
                      <w:color w:val="auto"/>
                      <w:kern w:val="0"/>
                      <w:szCs w:val="21"/>
                      <w:lang w:val="en-US" w:eastAsia="zh-CN"/>
                    </w:rPr>
                    <w:t>、</w:t>
                  </w:r>
                  <w:r>
                    <w:rPr>
                      <w:rFonts w:hint="eastAsia" w:ascii="Times New Roman" w:hAnsi="Times New Roman" w:eastAsia="宋体" w:cs="Times New Roman"/>
                      <w:color w:val="auto"/>
                      <w:kern w:val="0"/>
                      <w:szCs w:val="21"/>
                      <w:lang w:val="en-US" w:eastAsia="zh-CN"/>
                    </w:rPr>
                    <w:t>试验台</w:t>
                  </w:r>
                  <w:r>
                    <w:rPr>
                      <w:rFonts w:hint="eastAsia" w:cs="Times New Roman"/>
                      <w:color w:val="auto"/>
                      <w:kern w:val="0"/>
                      <w:szCs w:val="21"/>
                      <w:lang w:val="en-US" w:eastAsia="zh-CN"/>
                    </w:rPr>
                    <w:t>、试剂架、冷藏柜。</w:t>
                  </w:r>
                </w:p>
              </w:tc>
              <w:tc>
                <w:tcPr>
                  <w:tcW w:w="741" w:type="dxa"/>
                  <w:vAlign w:val="center"/>
                </w:tcPr>
                <w:p w14:paraId="5FB812C0">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新建</w:t>
                  </w:r>
                </w:p>
              </w:tc>
            </w:tr>
            <w:tr w14:paraId="3054DE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52599C2A">
                  <w:pPr>
                    <w:jc w:val="center"/>
                    <w:rPr>
                      <w:rFonts w:hint="default" w:ascii="Times New Roman" w:hAnsi="Times New Roman" w:cs="Times New Roman"/>
                      <w:b/>
                      <w:color w:val="auto"/>
                      <w:kern w:val="0"/>
                      <w:szCs w:val="21"/>
                    </w:rPr>
                  </w:pPr>
                </w:p>
              </w:tc>
              <w:tc>
                <w:tcPr>
                  <w:tcW w:w="1286" w:type="dxa"/>
                  <w:vMerge w:val="continue"/>
                  <w:vAlign w:val="center"/>
                </w:tcPr>
                <w:p w14:paraId="0B13CEAB">
                  <w:pPr>
                    <w:jc w:val="center"/>
                    <w:rPr>
                      <w:rFonts w:hint="default" w:ascii="Times New Roman" w:hAnsi="Times New Roman" w:cs="Times New Roman"/>
                      <w:color w:val="auto"/>
                      <w:kern w:val="0"/>
                      <w:szCs w:val="21"/>
                      <w:lang w:val="en-US" w:eastAsia="zh-CN"/>
                    </w:rPr>
                  </w:pPr>
                </w:p>
              </w:tc>
              <w:tc>
                <w:tcPr>
                  <w:tcW w:w="5414" w:type="dxa"/>
                  <w:vAlign w:val="center"/>
                </w:tcPr>
                <w:p w14:paraId="75C357B2">
                  <w:pPr>
                    <w:jc w:val="left"/>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前处理室：主要对原料进行预处理，主要布置有</w:t>
                  </w:r>
                  <w:r>
                    <w:rPr>
                      <w:rFonts w:hint="default" w:ascii="Times New Roman" w:hAnsi="Times New Roman" w:eastAsia="宋体" w:cs="Times New Roman"/>
                      <w:color w:val="auto"/>
                      <w:kern w:val="0"/>
                      <w:szCs w:val="21"/>
                      <w:lang w:val="en-US" w:eastAsia="zh-CN"/>
                    </w:rPr>
                    <w:t>粉碎室</w:t>
                  </w:r>
                  <w:r>
                    <w:rPr>
                      <w:rFonts w:hint="eastAsia" w:cs="Times New Roman"/>
                      <w:color w:val="auto"/>
                      <w:kern w:val="0"/>
                      <w:szCs w:val="21"/>
                      <w:lang w:val="en-US" w:eastAsia="zh-CN"/>
                    </w:rPr>
                    <w:t>、高温室</w:t>
                  </w:r>
                  <w:r>
                    <w:rPr>
                      <w:rFonts w:hint="default" w:ascii="Times New Roman" w:hAnsi="Times New Roman" w:eastAsia="宋体" w:cs="Times New Roman"/>
                      <w:color w:val="auto"/>
                      <w:kern w:val="0"/>
                      <w:szCs w:val="21"/>
                      <w:lang w:val="en-US" w:eastAsia="zh-CN"/>
                    </w:rPr>
                    <w:t>，占地面积1</w:t>
                  </w:r>
                  <w:r>
                    <w:rPr>
                      <w:rFonts w:hint="eastAsia" w:cs="Times New Roman"/>
                      <w:color w:val="auto"/>
                      <w:kern w:val="0"/>
                      <w:szCs w:val="21"/>
                      <w:lang w:val="en-US" w:eastAsia="zh-CN"/>
                    </w:rPr>
                    <w:t>7</w:t>
                  </w:r>
                  <w:r>
                    <w:rPr>
                      <w:rFonts w:hint="default" w:ascii="Times New Roman" w:hAnsi="Times New Roman" w:eastAsia="宋体" w:cs="Times New Roman"/>
                      <w:color w:val="auto"/>
                      <w:kern w:val="0"/>
                      <w:szCs w:val="21"/>
                      <w:lang w:val="en-US" w:eastAsia="zh-CN"/>
                    </w:rPr>
                    <w:t>m</w:t>
                  </w:r>
                  <w:r>
                    <w:rPr>
                      <w:rFonts w:hint="default" w:ascii="Times New Roman" w:hAnsi="Times New Roman" w:eastAsia="宋体" w:cs="Times New Roman"/>
                      <w:color w:val="auto"/>
                      <w:kern w:val="0"/>
                      <w:szCs w:val="21"/>
                      <w:vertAlign w:val="superscript"/>
                      <w:lang w:val="en-US" w:eastAsia="zh-CN"/>
                    </w:rPr>
                    <w:t>2</w:t>
                  </w:r>
                  <w:r>
                    <w:rPr>
                      <w:rFonts w:hint="default" w:ascii="Times New Roman" w:hAnsi="Times New Roman" w:eastAsia="宋体" w:cs="Times New Roman"/>
                      <w:color w:val="auto"/>
                      <w:kern w:val="0"/>
                      <w:szCs w:val="21"/>
                      <w:lang w:val="en-US" w:eastAsia="zh-CN"/>
                    </w:rPr>
                    <w:t>，主要放置粉碎机</w:t>
                  </w:r>
                  <w:r>
                    <w:rPr>
                      <w:rFonts w:hint="eastAsia" w:cs="Times New Roman"/>
                      <w:color w:val="auto"/>
                      <w:kern w:val="0"/>
                      <w:szCs w:val="21"/>
                      <w:lang w:val="en-US" w:eastAsia="zh-CN"/>
                    </w:rPr>
                    <w:t>、干燥箱、搅拌器等。</w:t>
                  </w:r>
                </w:p>
                <w:p w14:paraId="531B321F">
                  <w:pPr>
                    <w:jc w:val="left"/>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一般仪器室：</w:t>
                  </w:r>
                  <w:r>
                    <w:rPr>
                      <w:rFonts w:hint="default" w:ascii="Times New Roman" w:hAnsi="Times New Roman" w:eastAsia="宋体" w:cs="Times New Roman"/>
                      <w:color w:val="auto"/>
                      <w:kern w:val="0"/>
                      <w:szCs w:val="21"/>
                      <w:lang w:val="en-US" w:eastAsia="zh-CN"/>
                    </w:rPr>
                    <w:t>占地面积</w:t>
                  </w:r>
                  <w:r>
                    <w:rPr>
                      <w:rFonts w:hint="eastAsia" w:cs="Times New Roman"/>
                      <w:color w:val="auto"/>
                      <w:kern w:val="0"/>
                      <w:szCs w:val="21"/>
                      <w:lang w:val="en-US" w:eastAsia="zh-CN"/>
                    </w:rPr>
                    <w:t>43</w:t>
                  </w:r>
                  <w:r>
                    <w:rPr>
                      <w:rFonts w:hint="default" w:ascii="Times New Roman" w:hAnsi="Times New Roman" w:eastAsia="宋体" w:cs="Times New Roman"/>
                      <w:color w:val="auto"/>
                      <w:kern w:val="0"/>
                      <w:szCs w:val="21"/>
                      <w:lang w:val="en-US" w:eastAsia="zh-CN"/>
                    </w:rPr>
                    <w:t>m</w:t>
                  </w:r>
                  <w:r>
                    <w:rPr>
                      <w:rFonts w:hint="default" w:ascii="Times New Roman" w:hAnsi="Times New Roman" w:eastAsia="宋体" w:cs="Times New Roman"/>
                      <w:color w:val="auto"/>
                      <w:kern w:val="0"/>
                      <w:szCs w:val="21"/>
                      <w:vertAlign w:val="superscript"/>
                      <w:lang w:val="en-US" w:eastAsia="zh-CN"/>
                    </w:rPr>
                    <w:t>2</w:t>
                  </w:r>
                  <w:r>
                    <w:rPr>
                      <w:rFonts w:hint="default" w:ascii="Times New Roman" w:hAnsi="Times New Roman" w:eastAsia="宋体" w:cs="Times New Roman"/>
                      <w:color w:val="auto"/>
                      <w:kern w:val="0"/>
                      <w:szCs w:val="21"/>
                      <w:lang w:val="en-US" w:eastAsia="zh-CN"/>
                    </w:rPr>
                    <w:t>，主要</w:t>
                  </w:r>
                  <w:r>
                    <w:rPr>
                      <w:rFonts w:hint="eastAsia" w:cs="Times New Roman"/>
                      <w:color w:val="auto"/>
                      <w:kern w:val="0"/>
                      <w:szCs w:val="21"/>
                      <w:lang w:val="en-US" w:eastAsia="zh-CN"/>
                    </w:rPr>
                    <w:t>布置有滴定室、天平室、普通仪器室，内有</w:t>
                  </w:r>
                  <w:r>
                    <w:rPr>
                      <w:rFonts w:hint="default" w:ascii="Times New Roman" w:hAnsi="Times New Roman" w:eastAsia="宋体" w:cs="Times New Roman"/>
                      <w:color w:val="auto"/>
                      <w:kern w:val="0"/>
                      <w:szCs w:val="21"/>
                      <w:lang w:val="en-US" w:eastAsia="zh-CN"/>
                    </w:rPr>
                    <w:t>旋转蒸发仪</w:t>
                  </w:r>
                  <w:r>
                    <w:rPr>
                      <w:rFonts w:hint="eastAsia" w:cs="Times New Roman"/>
                      <w:color w:val="auto"/>
                      <w:kern w:val="0"/>
                      <w:szCs w:val="21"/>
                      <w:lang w:val="en-US" w:eastAsia="zh-CN"/>
                    </w:rPr>
                    <w:t>、电子天平、显微镜、紫外仪等。</w:t>
                  </w:r>
                </w:p>
              </w:tc>
              <w:tc>
                <w:tcPr>
                  <w:tcW w:w="741" w:type="dxa"/>
                  <w:vAlign w:val="center"/>
                </w:tcPr>
                <w:p w14:paraId="5FEC0240">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新建</w:t>
                  </w:r>
                </w:p>
              </w:tc>
            </w:tr>
            <w:tr w14:paraId="0B8E0F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restart"/>
                  <w:vAlign w:val="center"/>
                </w:tcPr>
                <w:p w14:paraId="78F7E0DD">
                  <w:pPr>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辅助工程</w:t>
                  </w:r>
                </w:p>
              </w:tc>
              <w:tc>
                <w:tcPr>
                  <w:tcW w:w="1286" w:type="dxa"/>
                  <w:vAlign w:val="center"/>
                </w:tcPr>
                <w:p w14:paraId="027E2B62">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办公区</w:t>
                  </w:r>
                </w:p>
              </w:tc>
              <w:tc>
                <w:tcPr>
                  <w:tcW w:w="5414" w:type="dxa"/>
                  <w:vAlign w:val="center"/>
                </w:tcPr>
                <w:p w14:paraId="6E9BDE47">
                  <w:pPr>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办公室位于</w:t>
                  </w:r>
                  <w:r>
                    <w:rPr>
                      <w:rFonts w:hint="eastAsia" w:cs="Times New Roman"/>
                      <w:color w:val="auto"/>
                      <w:kern w:val="0"/>
                      <w:szCs w:val="21"/>
                      <w:lang w:val="en-US" w:eastAsia="zh-CN"/>
                    </w:rPr>
                    <w:t>实验室北侧，设置有材料室、财务室及办公室</w:t>
                  </w:r>
                </w:p>
              </w:tc>
              <w:tc>
                <w:tcPr>
                  <w:tcW w:w="741" w:type="dxa"/>
                  <w:vAlign w:val="center"/>
                </w:tcPr>
                <w:p w14:paraId="63DE9646">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新建</w:t>
                  </w:r>
                </w:p>
              </w:tc>
            </w:tr>
            <w:tr w14:paraId="37DA01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488AA39C">
                  <w:pPr>
                    <w:jc w:val="center"/>
                    <w:rPr>
                      <w:rFonts w:hint="default" w:ascii="Times New Roman" w:hAnsi="Times New Roman" w:cs="Times New Roman"/>
                      <w:b/>
                      <w:color w:val="auto"/>
                      <w:kern w:val="0"/>
                      <w:szCs w:val="21"/>
                    </w:rPr>
                  </w:pPr>
                </w:p>
              </w:tc>
              <w:tc>
                <w:tcPr>
                  <w:tcW w:w="1286" w:type="dxa"/>
                  <w:vAlign w:val="center"/>
                </w:tcPr>
                <w:p w14:paraId="2FD3B7B9">
                  <w:pPr>
                    <w:jc w:val="center"/>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生活区</w:t>
                  </w:r>
                </w:p>
              </w:tc>
              <w:tc>
                <w:tcPr>
                  <w:tcW w:w="5414" w:type="dxa"/>
                  <w:vAlign w:val="center"/>
                </w:tcPr>
                <w:p w14:paraId="4ABD1A0E">
                  <w:pPr>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项目不设置食堂</w:t>
                  </w:r>
                  <w:r>
                    <w:rPr>
                      <w:rFonts w:hint="eastAsia" w:cs="Times New Roman"/>
                      <w:color w:val="auto"/>
                      <w:kern w:val="0"/>
                      <w:szCs w:val="21"/>
                      <w:lang w:val="en-US" w:eastAsia="zh-CN"/>
                    </w:rPr>
                    <w:t>、宿舍</w:t>
                  </w:r>
                </w:p>
              </w:tc>
              <w:tc>
                <w:tcPr>
                  <w:tcW w:w="741" w:type="dxa"/>
                  <w:vAlign w:val="center"/>
                </w:tcPr>
                <w:p w14:paraId="21E76164">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w:t>
                  </w:r>
                </w:p>
              </w:tc>
            </w:tr>
            <w:tr w14:paraId="5DD9AE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restart"/>
                  <w:vAlign w:val="center"/>
                </w:tcPr>
                <w:p w14:paraId="21387C2C">
                  <w:pPr>
                    <w:jc w:val="center"/>
                    <w:rPr>
                      <w:rFonts w:hint="default" w:ascii="Times New Roman" w:hAnsi="Times New Roman" w:eastAsia="宋体" w:cs="Times New Roman"/>
                      <w:b/>
                      <w:color w:val="auto"/>
                      <w:kern w:val="0"/>
                      <w:szCs w:val="21"/>
                      <w:lang w:val="en-US" w:eastAsia="zh-CN"/>
                    </w:rPr>
                  </w:pPr>
                  <w:r>
                    <w:rPr>
                      <w:rFonts w:hint="default" w:ascii="Times New Roman" w:hAnsi="Times New Roman" w:cs="Times New Roman"/>
                      <w:b/>
                      <w:color w:val="auto"/>
                      <w:kern w:val="0"/>
                      <w:szCs w:val="21"/>
                      <w:lang w:val="en-US" w:eastAsia="zh-CN"/>
                    </w:rPr>
                    <w:t>储运工程</w:t>
                  </w:r>
                </w:p>
              </w:tc>
              <w:tc>
                <w:tcPr>
                  <w:tcW w:w="1286" w:type="dxa"/>
                  <w:vAlign w:val="center"/>
                </w:tcPr>
                <w:p w14:paraId="48802247">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留样室</w:t>
                  </w:r>
                  <w:r>
                    <w:rPr>
                      <w:rFonts w:hint="eastAsia" w:cs="Times New Roman"/>
                      <w:color w:val="auto"/>
                      <w:kern w:val="0"/>
                      <w:szCs w:val="21"/>
                      <w:lang w:val="en-US" w:eastAsia="zh-CN"/>
                    </w:rPr>
                    <w:t>、试剂室</w:t>
                  </w:r>
                </w:p>
              </w:tc>
              <w:tc>
                <w:tcPr>
                  <w:tcW w:w="5414" w:type="dxa"/>
                  <w:vAlign w:val="center"/>
                </w:tcPr>
                <w:p w14:paraId="3AE79949">
                  <w:pPr>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设置有1间留样室</w:t>
                  </w:r>
                  <w:r>
                    <w:rPr>
                      <w:rFonts w:hint="eastAsia" w:cs="Times New Roman"/>
                      <w:color w:val="auto"/>
                      <w:kern w:val="0"/>
                      <w:szCs w:val="21"/>
                      <w:lang w:val="en-US" w:eastAsia="zh-CN"/>
                    </w:rPr>
                    <w:t>、2间试剂室，用于药品及样品存放</w:t>
                  </w:r>
                </w:p>
              </w:tc>
              <w:tc>
                <w:tcPr>
                  <w:tcW w:w="741" w:type="dxa"/>
                  <w:vAlign w:val="center"/>
                </w:tcPr>
                <w:p w14:paraId="2CB62B12">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新建</w:t>
                  </w:r>
                </w:p>
              </w:tc>
            </w:tr>
            <w:tr w14:paraId="7129EA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1BF76410">
                  <w:pPr>
                    <w:jc w:val="center"/>
                    <w:rPr>
                      <w:rFonts w:hint="default" w:ascii="Times New Roman" w:hAnsi="Times New Roman" w:cs="Times New Roman"/>
                      <w:b/>
                      <w:color w:val="auto"/>
                      <w:kern w:val="0"/>
                      <w:szCs w:val="21"/>
                      <w:lang w:val="en-US" w:eastAsia="zh-CN"/>
                    </w:rPr>
                  </w:pPr>
                </w:p>
              </w:tc>
              <w:tc>
                <w:tcPr>
                  <w:tcW w:w="1286" w:type="dxa"/>
                  <w:vAlign w:val="center"/>
                </w:tcPr>
                <w:p w14:paraId="42564C92">
                  <w:pPr>
                    <w:jc w:val="center"/>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资料室</w:t>
                  </w:r>
                </w:p>
              </w:tc>
              <w:tc>
                <w:tcPr>
                  <w:tcW w:w="5414" w:type="dxa"/>
                  <w:vAlign w:val="center"/>
                </w:tcPr>
                <w:p w14:paraId="1892B70F">
                  <w:pPr>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设置有1间</w:t>
                  </w:r>
                  <w:r>
                    <w:rPr>
                      <w:rFonts w:hint="eastAsia" w:cs="Times New Roman"/>
                      <w:color w:val="auto"/>
                      <w:kern w:val="0"/>
                      <w:szCs w:val="21"/>
                      <w:lang w:val="en-US" w:eastAsia="zh-CN"/>
                    </w:rPr>
                    <w:t>资料室</w:t>
                  </w:r>
                </w:p>
              </w:tc>
              <w:tc>
                <w:tcPr>
                  <w:tcW w:w="741" w:type="dxa"/>
                  <w:vAlign w:val="center"/>
                </w:tcPr>
                <w:p w14:paraId="119BDDB2">
                  <w:pPr>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新建</w:t>
                  </w:r>
                </w:p>
              </w:tc>
            </w:tr>
            <w:tr w14:paraId="20E95D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68" w:type="dxa"/>
                  <w:vMerge w:val="restart"/>
                  <w:vAlign w:val="center"/>
                </w:tcPr>
                <w:p w14:paraId="7B62B2F1">
                  <w:pPr>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公用工程</w:t>
                  </w:r>
                </w:p>
              </w:tc>
              <w:tc>
                <w:tcPr>
                  <w:tcW w:w="1286" w:type="dxa"/>
                  <w:tcBorders>
                    <w:top w:val="single" w:color="auto" w:sz="6" w:space="0"/>
                  </w:tcBorders>
                  <w:vAlign w:val="center"/>
                </w:tcPr>
                <w:p w14:paraId="1F6E7DF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给水</w:t>
                  </w:r>
                </w:p>
              </w:tc>
              <w:tc>
                <w:tcPr>
                  <w:tcW w:w="5414" w:type="dxa"/>
                  <w:tcBorders>
                    <w:top w:val="single" w:color="auto" w:sz="6" w:space="0"/>
                  </w:tcBorders>
                  <w:vAlign w:val="center"/>
                </w:tcPr>
                <w:p w14:paraId="3594AEEF">
                  <w:pP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供水水源由市政给水管网接入</w:t>
                  </w:r>
                </w:p>
              </w:tc>
              <w:tc>
                <w:tcPr>
                  <w:tcW w:w="741" w:type="dxa"/>
                  <w:tcBorders>
                    <w:top w:val="single" w:color="auto" w:sz="6" w:space="0"/>
                  </w:tcBorders>
                  <w:vAlign w:val="center"/>
                </w:tcPr>
                <w:p w14:paraId="6C32C243">
                  <w:pPr>
                    <w:adjustRightIn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新建</w:t>
                  </w:r>
                </w:p>
              </w:tc>
            </w:tr>
            <w:tr w14:paraId="30E0D0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57C8A2D4">
                  <w:pPr>
                    <w:jc w:val="center"/>
                    <w:rPr>
                      <w:rFonts w:hint="default" w:ascii="Times New Roman" w:hAnsi="Times New Roman" w:cs="Times New Roman"/>
                      <w:color w:val="auto"/>
                      <w:kern w:val="0"/>
                      <w:szCs w:val="21"/>
                    </w:rPr>
                  </w:pPr>
                </w:p>
              </w:tc>
              <w:tc>
                <w:tcPr>
                  <w:tcW w:w="1286" w:type="dxa"/>
                  <w:vAlign w:val="center"/>
                </w:tcPr>
                <w:p w14:paraId="58141EB6">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排水</w:t>
                  </w:r>
                </w:p>
              </w:tc>
              <w:tc>
                <w:tcPr>
                  <w:tcW w:w="5414" w:type="dxa"/>
                  <w:vAlign w:val="center"/>
                </w:tcPr>
                <w:p w14:paraId="4EF2AE23">
                  <w:pPr>
                    <w:keepNext w:val="0"/>
                    <w:keepLines w:val="0"/>
                    <w:widowControl/>
                    <w:suppressLineNumbers w:val="0"/>
                    <w:jc w:val="left"/>
                    <w:rPr>
                      <w:rFonts w:hint="default" w:ascii="Times New Roman" w:hAnsi="Times New Roman" w:eastAsia="宋体" w:cs="Times New Roman"/>
                      <w:color w:val="auto"/>
                      <w:kern w:val="0"/>
                      <w:szCs w:val="21"/>
                      <w:lang w:val="en-US" w:eastAsia="zh-CN"/>
                    </w:rPr>
                  </w:pPr>
                  <w:r>
                    <w:rPr>
                      <w:rFonts w:hint="eastAsia" w:cs="Times New Roman"/>
                      <w:color w:val="auto"/>
                      <w:kern w:val="0"/>
                      <w:sz w:val="21"/>
                      <w:szCs w:val="21"/>
                      <w:lang w:val="en-US" w:eastAsia="zh-CN" w:bidi="ar"/>
                    </w:rPr>
                    <w:t>实验</w:t>
                  </w:r>
                  <w:r>
                    <w:rPr>
                      <w:rFonts w:hint="eastAsia" w:ascii="Times New Roman" w:hAnsi="Times New Roman" w:eastAsia="宋体" w:cs="Times New Roman"/>
                      <w:color w:val="auto"/>
                      <w:kern w:val="0"/>
                      <w:sz w:val="21"/>
                      <w:szCs w:val="21"/>
                      <w:lang w:val="en-US" w:eastAsia="zh-CN" w:bidi="ar"/>
                    </w:rPr>
                    <w:t>废水</w:t>
                  </w:r>
                  <w:r>
                    <w:rPr>
                      <w:rFonts w:hint="default" w:ascii="Times New Roman" w:hAnsi="Times New Roman" w:eastAsia="宋体" w:cs="Times New Roman"/>
                      <w:color w:val="auto"/>
                      <w:kern w:val="0"/>
                      <w:sz w:val="21"/>
                      <w:szCs w:val="21"/>
                      <w:lang w:val="en-US" w:eastAsia="zh-CN" w:bidi="ar"/>
                    </w:rPr>
                    <w:t>经污水处理设备</w:t>
                  </w:r>
                  <w:r>
                    <w:rPr>
                      <w:rFonts w:hint="eastAsia" w:ascii="Times New Roman" w:hAnsi="Times New Roman" w:eastAsia="宋体" w:cs="Times New Roman"/>
                      <w:color w:val="auto"/>
                      <w:kern w:val="0"/>
                      <w:sz w:val="21"/>
                      <w:szCs w:val="21"/>
                      <w:lang w:val="en-US" w:eastAsia="zh-CN" w:bidi="ar"/>
                    </w:rPr>
                    <w:t>处理后</w:t>
                  </w:r>
                  <w:r>
                    <w:rPr>
                      <w:rFonts w:hint="default" w:ascii="Times New Roman" w:hAnsi="Times New Roman" w:eastAsia="宋体" w:cs="Times New Roman"/>
                      <w:color w:val="auto"/>
                      <w:kern w:val="0"/>
                      <w:sz w:val="21"/>
                      <w:szCs w:val="21"/>
                      <w:lang w:val="en-US" w:eastAsia="zh-CN" w:bidi="ar"/>
                    </w:rPr>
                    <w:t>与生活污水</w:t>
                  </w:r>
                  <w:r>
                    <w:rPr>
                      <w:rFonts w:hint="eastAsia" w:ascii="Times New Roman" w:hAnsi="Times New Roman" w:eastAsia="宋体" w:cs="Times New Roman"/>
                      <w:color w:val="auto"/>
                      <w:kern w:val="0"/>
                      <w:sz w:val="21"/>
                      <w:szCs w:val="21"/>
                      <w:lang w:val="en-US" w:eastAsia="zh-CN" w:bidi="ar"/>
                    </w:rPr>
                    <w:t>进</w:t>
                  </w:r>
                  <w:r>
                    <w:rPr>
                      <w:rFonts w:hint="eastAsia" w:cs="Times New Roman"/>
                      <w:color w:val="auto"/>
                      <w:kern w:val="0"/>
                      <w:szCs w:val="21"/>
                      <w:lang w:val="en-US" w:eastAsia="zh-CN"/>
                    </w:rPr>
                    <w:t>入</w:t>
                  </w:r>
                  <w:r>
                    <w:rPr>
                      <w:rFonts w:hint="default" w:ascii="Times New Roman" w:hAnsi="Times New Roman" w:cs="Times New Roman"/>
                      <w:color w:val="auto"/>
                      <w:kern w:val="0"/>
                      <w:szCs w:val="21"/>
                      <w:lang w:val="en-US" w:eastAsia="zh-CN"/>
                    </w:rPr>
                    <w:t>化粪池</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处理后排入</w:t>
                  </w:r>
                  <w:r>
                    <w:rPr>
                      <w:rFonts w:hint="default" w:ascii="Times New Roman" w:hAnsi="Times New Roman" w:eastAsia="宋体" w:cs="Times New Roman"/>
                      <w:color w:val="auto"/>
                      <w:kern w:val="0"/>
                      <w:sz w:val="21"/>
                      <w:szCs w:val="21"/>
                      <w:lang w:val="en-US" w:eastAsia="zh-CN" w:bidi="ar"/>
                    </w:rPr>
                    <w:t>市政污水管网，</w:t>
                  </w:r>
                  <w:r>
                    <w:rPr>
                      <w:rFonts w:hint="default" w:ascii="Times New Roman" w:hAnsi="Times New Roman" w:cs="Times New Roman"/>
                      <w:color w:val="auto"/>
                      <w:kern w:val="0"/>
                      <w:sz w:val="21"/>
                      <w:szCs w:val="21"/>
                      <w:lang w:val="en-US" w:eastAsia="zh-CN" w:bidi="ar"/>
                    </w:rPr>
                    <w:t>进入</w:t>
                  </w:r>
                  <w:r>
                    <w:rPr>
                      <w:rFonts w:hint="eastAsia" w:cs="Times New Roman"/>
                      <w:color w:val="auto"/>
                      <w:kern w:val="0"/>
                      <w:sz w:val="21"/>
                      <w:szCs w:val="21"/>
                      <w:lang w:val="en-US" w:eastAsia="zh-CN" w:bidi="ar"/>
                    </w:rPr>
                    <w:t>沣西新城沣河</w:t>
                  </w:r>
                  <w:r>
                    <w:rPr>
                      <w:rFonts w:hint="default" w:ascii="Times New Roman" w:hAnsi="Times New Roman" w:eastAsia="宋体" w:cs="Times New Roman"/>
                      <w:color w:val="auto"/>
                      <w:kern w:val="0"/>
                      <w:sz w:val="21"/>
                      <w:szCs w:val="21"/>
                      <w:lang w:val="en-US" w:eastAsia="zh-CN" w:bidi="ar"/>
                    </w:rPr>
                    <w:t>污水处理厂处理后排入</w:t>
                  </w:r>
                  <w:r>
                    <w:rPr>
                      <w:rFonts w:hint="eastAsia" w:cs="Times New Roman"/>
                      <w:color w:val="auto"/>
                      <w:kern w:val="0"/>
                      <w:sz w:val="21"/>
                      <w:szCs w:val="21"/>
                      <w:lang w:val="en-US" w:eastAsia="zh-CN" w:bidi="ar"/>
                    </w:rPr>
                    <w:t>沣河。</w:t>
                  </w:r>
                </w:p>
              </w:tc>
              <w:tc>
                <w:tcPr>
                  <w:tcW w:w="741" w:type="dxa"/>
                  <w:vAlign w:val="center"/>
                </w:tcPr>
                <w:p w14:paraId="60A382B4">
                  <w:pPr>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新建</w:t>
                  </w:r>
                </w:p>
              </w:tc>
            </w:tr>
            <w:tr w14:paraId="73387F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8" w:type="dxa"/>
                  <w:vMerge w:val="continue"/>
                  <w:vAlign w:val="center"/>
                </w:tcPr>
                <w:p w14:paraId="1E8213A8">
                  <w:pPr>
                    <w:jc w:val="center"/>
                    <w:rPr>
                      <w:rFonts w:hint="default" w:ascii="Times New Roman" w:hAnsi="Times New Roman" w:cs="Times New Roman"/>
                      <w:color w:val="auto"/>
                      <w:kern w:val="0"/>
                      <w:szCs w:val="21"/>
                    </w:rPr>
                  </w:pPr>
                </w:p>
              </w:tc>
              <w:tc>
                <w:tcPr>
                  <w:tcW w:w="1286" w:type="dxa"/>
                  <w:vAlign w:val="center"/>
                </w:tcPr>
                <w:p w14:paraId="664F1018">
                  <w:pPr>
                    <w:jc w:val="center"/>
                    <w:rPr>
                      <w:rFonts w:hint="default" w:ascii="Times New Roman" w:hAnsi="Times New Roman" w:cs="Times New Roman"/>
                      <w:color w:val="auto"/>
                      <w:szCs w:val="21"/>
                    </w:rPr>
                  </w:pPr>
                  <w:r>
                    <w:rPr>
                      <w:rFonts w:hint="default" w:ascii="Times New Roman" w:hAnsi="Times New Roman" w:cs="Times New Roman"/>
                      <w:color w:val="auto"/>
                      <w:szCs w:val="21"/>
                    </w:rPr>
                    <w:t>供电</w:t>
                  </w:r>
                </w:p>
              </w:tc>
              <w:tc>
                <w:tcPr>
                  <w:tcW w:w="5414" w:type="dxa"/>
                  <w:vAlign w:val="center"/>
                </w:tcPr>
                <w:p w14:paraId="2DF449E5">
                  <w:pPr>
                    <w:rPr>
                      <w:rFonts w:hint="default" w:ascii="Times New Roman" w:hAnsi="Times New Roman" w:cs="Times New Roman"/>
                      <w:color w:val="auto"/>
                      <w:kern w:val="0"/>
                      <w:szCs w:val="21"/>
                    </w:rPr>
                  </w:pPr>
                  <w:r>
                    <w:rPr>
                      <w:rFonts w:hint="eastAsia" w:cs="Times New Roman"/>
                      <w:color w:val="auto"/>
                      <w:szCs w:val="22"/>
                      <w:lang w:val="en-US" w:eastAsia="zh-CN"/>
                    </w:rPr>
                    <w:t>依托现有供电系统</w:t>
                  </w:r>
                  <w:r>
                    <w:rPr>
                      <w:rFonts w:hint="default" w:ascii="Times New Roman" w:hAnsi="Times New Roman" w:cs="Times New Roman"/>
                      <w:color w:val="auto"/>
                      <w:szCs w:val="22"/>
                    </w:rPr>
                    <w:t>。</w:t>
                  </w:r>
                </w:p>
              </w:tc>
              <w:tc>
                <w:tcPr>
                  <w:tcW w:w="741" w:type="dxa"/>
                  <w:vAlign w:val="center"/>
                </w:tcPr>
                <w:p w14:paraId="37E3B803">
                  <w:pPr>
                    <w:adjustRightInd w:val="0"/>
                    <w:jc w:val="center"/>
                    <w:rPr>
                      <w:rFonts w:hint="default" w:ascii="Times New Roman" w:hAnsi="Times New Roman" w:cs="Times New Roman"/>
                      <w:color w:val="auto"/>
                      <w:kern w:val="0"/>
                      <w:szCs w:val="21"/>
                    </w:rPr>
                  </w:pPr>
                  <w:r>
                    <w:rPr>
                      <w:rFonts w:hint="eastAsia" w:cs="Times New Roman"/>
                      <w:color w:val="auto"/>
                      <w:kern w:val="0"/>
                      <w:szCs w:val="21"/>
                      <w:lang w:val="en-US" w:eastAsia="zh-CN"/>
                    </w:rPr>
                    <w:t>依托</w:t>
                  </w:r>
                </w:p>
              </w:tc>
            </w:tr>
            <w:tr w14:paraId="12E57C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60550938">
                  <w:pPr>
                    <w:jc w:val="center"/>
                    <w:rPr>
                      <w:rFonts w:hint="default" w:ascii="Times New Roman" w:hAnsi="Times New Roman" w:cs="Times New Roman"/>
                      <w:color w:val="auto"/>
                      <w:kern w:val="0"/>
                      <w:szCs w:val="21"/>
                    </w:rPr>
                  </w:pPr>
                </w:p>
              </w:tc>
              <w:tc>
                <w:tcPr>
                  <w:tcW w:w="1286" w:type="dxa"/>
                  <w:vAlign w:val="center"/>
                </w:tcPr>
                <w:p w14:paraId="20CB08E4">
                  <w:pPr>
                    <w:jc w:val="center"/>
                    <w:rPr>
                      <w:rFonts w:hint="default" w:ascii="Times New Roman" w:hAnsi="Times New Roman" w:cs="Times New Roman"/>
                      <w:color w:val="auto"/>
                      <w:szCs w:val="21"/>
                    </w:rPr>
                  </w:pPr>
                  <w:r>
                    <w:rPr>
                      <w:rFonts w:hint="default" w:ascii="Times New Roman" w:hAnsi="Times New Roman" w:cs="Times New Roman"/>
                      <w:color w:val="auto"/>
                      <w:szCs w:val="21"/>
                    </w:rPr>
                    <w:t>供热制冷</w:t>
                  </w:r>
                </w:p>
              </w:tc>
              <w:tc>
                <w:tcPr>
                  <w:tcW w:w="5414" w:type="dxa"/>
                  <w:vAlign w:val="center"/>
                </w:tcPr>
                <w:p w14:paraId="738C4B43">
                  <w:pPr>
                    <w:rPr>
                      <w:rFonts w:hint="default" w:ascii="Times New Roman" w:hAnsi="Times New Roman" w:eastAsia="宋体" w:cs="Times New Roman"/>
                      <w:color w:val="auto"/>
                      <w:szCs w:val="22"/>
                      <w:lang w:val="en-US" w:eastAsia="zh-CN"/>
                    </w:rPr>
                  </w:pPr>
                  <w:r>
                    <w:rPr>
                      <w:rFonts w:hint="default" w:ascii="Times New Roman" w:hAnsi="Times New Roman" w:cs="Times New Roman"/>
                      <w:color w:val="auto"/>
                      <w:szCs w:val="22"/>
                    </w:rPr>
                    <w:t>采用空调</w:t>
                  </w:r>
                  <w:r>
                    <w:rPr>
                      <w:rFonts w:hint="default" w:ascii="Times New Roman" w:hAnsi="Times New Roman" w:cs="Times New Roman"/>
                      <w:color w:val="auto"/>
                      <w:szCs w:val="22"/>
                      <w:lang w:val="en-US" w:eastAsia="zh-CN"/>
                    </w:rPr>
                    <w:t>进行供暖制冷</w:t>
                  </w:r>
                </w:p>
              </w:tc>
              <w:tc>
                <w:tcPr>
                  <w:tcW w:w="741" w:type="dxa"/>
                  <w:vAlign w:val="center"/>
                </w:tcPr>
                <w:p w14:paraId="2AE68B49">
                  <w:pPr>
                    <w:adjustRightInd w:val="0"/>
                    <w:jc w:val="center"/>
                    <w:rPr>
                      <w:rFonts w:hint="default" w:ascii="Times New Roman" w:hAnsi="Times New Roman" w:cs="Times New Roman" w:eastAsiaTheme="majorEastAsia"/>
                      <w:color w:val="auto"/>
                      <w:lang w:val="en-US" w:eastAsia="zh-CN"/>
                    </w:rPr>
                  </w:pPr>
                  <w:r>
                    <w:rPr>
                      <w:rFonts w:hint="default" w:ascii="Times New Roman" w:hAnsi="Times New Roman" w:cs="Times New Roman"/>
                      <w:color w:val="auto"/>
                      <w:kern w:val="0"/>
                      <w:szCs w:val="21"/>
                      <w:lang w:val="en-US" w:eastAsia="zh-CN"/>
                    </w:rPr>
                    <w:t>新建</w:t>
                  </w:r>
                </w:p>
              </w:tc>
            </w:tr>
            <w:tr w14:paraId="5A9663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restart"/>
                  <w:vAlign w:val="center"/>
                </w:tcPr>
                <w:p w14:paraId="15777E09">
                  <w:pPr>
                    <w:jc w:val="center"/>
                    <w:rPr>
                      <w:rFonts w:hint="default" w:ascii="Times New Roman" w:hAnsi="Times New Roman" w:cs="Times New Roman"/>
                      <w:color w:val="auto"/>
                      <w:kern w:val="0"/>
                      <w:szCs w:val="21"/>
                    </w:rPr>
                  </w:pPr>
                  <w:r>
                    <w:rPr>
                      <w:rFonts w:hint="default" w:ascii="Times New Roman" w:hAnsi="Times New Roman" w:cs="Times New Roman"/>
                      <w:b/>
                      <w:color w:val="auto"/>
                      <w:kern w:val="0"/>
                      <w:szCs w:val="21"/>
                    </w:rPr>
                    <w:t>环保工程</w:t>
                  </w:r>
                </w:p>
              </w:tc>
              <w:tc>
                <w:tcPr>
                  <w:tcW w:w="1286" w:type="dxa"/>
                  <w:vAlign w:val="center"/>
                </w:tcPr>
                <w:p w14:paraId="2184CA2B">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废气治理</w:t>
                  </w:r>
                </w:p>
              </w:tc>
              <w:tc>
                <w:tcPr>
                  <w:tcW w:w="5414" w:type="dxa"/>
                  <w:vAlign w:val="center"/>
                </w:tcPr>
                <w:p w14:paraId="5FBB05E0">
                  <w:pPr>
                    <w:rPr>
                      <w:rFonts w:hint="default" w:ascii="Times New Roman" w:hAnsi="Times New Roman" w:cs="Times New Roman"/>
                      <w:color w:val="auto"/>
                      <w:lang w:eastAsia="zh-CN"/>
                    </w:rPr>
                  </w:pPr>
                  <w:r>
                    <w:rPr>
                      <w:rFonts w:hint="eastAsia" w:cs="Times New Roman"/>
                      <w:color w:val="auto"/>
                      <w:szCs w:val="22"/>
                      <w:lang w:val="en-US" w:eastAsia="zh-CN"/>
                    </w:rPr>
                    <w:t>理化</w:t>
                  </w:r>
                  <w:r>
                    <w:rPr>
                      <w:rFonts w:hint="default" w:ascii="Times New Roman" w:hAnsi="Times New Roman" w:eastAsia="宋体" w:cs="Times New Roman"/>
                      <w:color w:val="auto"/>
                      <w:szCs w:val="22"/>
                      <w:lang w:val="en-US" w:eastAsia="zh-CN"/>
                    </w:rPr>
                    <w:t>实验室</w:t>
                  </w:r>
                  <w:r>
                    <w:rPr>
                      <w:rFonts w:hint="eastAsia" w:cs="Times New Roman"/>
                      <w:color w:val="auto"/>
                      <w:szCs w:val="22"/>
                      <w:lang w:val="en-US" w:eastAsia="zh-CN"/>
                    </w:rPr>
                    <w:t>设置有通风橱，</w:t>
                  </w:r>
                  <w:r>
                    <w:rPr>
                      <w:rFonts w:hint="default" w:ascii="Times New Roman" w:hAnsi="Times New Roman" w:eastAsia="宋体" w:cs="Times New Roman"/>
                      <w:color w:val="auto"/>
                      <w:szCs w:val="22"/>
                      <w:lang w:val="en-US" w:eastAsia="zh-CN"/>
                    </w:rPr>
                    <w:t>产生的</w:t>
                  </w:r>
                  <w:r>
                    <w:rPr>
                      <w:rFonts w:hint="eastAsia" w:cs="Times New Roman"/>
                      <w:color w:val="auto"/>
                      <w:szCs w:val="22"/>
                      <w:lang w:val="en-US" w:eastAsia="zh-CN"/>
                    </w:rPr>
                    <w:t>有机</w:t>
                  </w:r>
                  <w:r>
                    <w:rPr>
                      <w:rFonts w:hint="default" w:ascii="Times New Roman" w:hAnsi="Times New Roman" w:eastAsia="宋体" w:cs="Times New Roman"/>
                      <w:color w:val="auto"/>
                      <w:szCs w:val="22"/>
                      <w:lang w:val="en-US" w:eastAsia="zh-CN"/>
                    </w:rPr>
                    <w:t>废气经管道收集，经活性炭净化处理后楼顶排放，排气筒</w:t>
                  </w:r>
                  <w:r>
                    <w:rPr>
                      <w:rFonts w:hint="eastAsia" w:cs="Times New Roman"/>
                      <w:color w:val="auto"/>
                      <w:szCs w:val="22"/>
                      <w:lang w:val="en-US" w:eastAsia="zh-CN"/>
                    </w:rPr>
                    <w:t>（DA001）</w:t>
                  </w:r>
                  <w:r>
                    <w:rPr>
                      <w:rFonts w:hint="default" w:ascii="Times New Roman" w:hAnsi="Times New Roman" w:eastAsia="宋体" w:cs="Times New Roman"/>
                      <w:color w:val="auto"/>
                      <w:szCs w:val="22"/>
                      <w:lang w:val="en-US" w:eastAsia="zh-CN"/>
                    </w:rPr>
                    <w:t>高度</w:t>
                  </w:r>
                  <w:r>
                    <w:rPr>
                      <w:rFonts w:hint="default" w:ascii="Times New Roman" w:hAnsi="Times New Roman" w:cs="Times New Roman"/>
                      <w:color w:val="auto"/>
                      <w:szCs w:val="22"/>
                      <w:lang w:val="en-US" w:eastAsia="zh-CN"/>
                    </w:rPr>
                    <w:t>1</w:t>
                  </w:r>
                  <w:r>
                    <w:rPr>
                      <w:rFonts w:hint="eastAsia" w:cs="Times New Roman"/>
                      <w:color w:val="auto"/>
                      <w:szCs w:val="22"/>
                      <w:lang w:val="en-US" w:eastAsia="zh-CN"/>
                    </w:rPr>
                    <w:t>5</w:t>
                  </w:r>
                  <w:r>
                    <w:rPr>
                      <w:rFonts w:hint="default" w:ascii="Times New Roman" w:hAnsi="Times New Roman" w:cs="Times New Roman"/>
                      <w:color w:val="auto"/>
                      <w:szCs w:val="22"/>
                      <w:lang w:val="en-US" w:eastAsia="zh-CN"/>
                    </w:rPr>
                    <w:t>m</w:t>
                  </w:r>
                  <w:r>
                    <w:rPr>
                      <w:rFonts w:hint="default" w:ascii="Times New Roman" w:hAnsi="Times New Roman" w:eastAsia="宋体" w:cs="Times New Roman"/>
                      <w:color w:val="auto"/>
                      <w:szCs w:val="22"/>
                      <w:lang w:val="en-US" w:eastAsia="zh-CN"/>
                    </w:rPr>
                    <w:t>；</w:t>
                  </w:r>
                  <w:r>
                    <w:rPr>
                      <w:rFonts w:hint="eastAsia" w:cs="Times New Roman"/>
                      <w:color w:val="auto"/>
                      <w:szCs w:val="22"/>
                      <w:lang w:val="en-US" w:eastAsia="zh-CN"/>
                    </w:rPr>
                    <w:t>药材蒸煮浓缩产生的异味废气分别</w:t>
                  </w:r>
                  <w:r>
                    <w:rPr>
                      <w:rFonts w:hint="default" w:ascii="Times New Roman" w:hAnsi="Times New Roman" w:eastAsia="宋体" w:cs="Times New Roman"/>
                      <w:color w:val="auto"/>
                      <w:szCs w:val="22"/>
                      <w:lang w:val="en-US" w:eastAsia="zh-CN"/>
                    </w:rPr>
                    <w:t>经集气罩收集</w:t>
                  </w:r>
                  <w:r>
                    <w:rPr>
                      <w:rFonts w:hint="eastAsia" w:cs="Times New Roman"/>
                      <w:color w:val="auto"/>
                      <w:szCs w:val="22"/>
                      <w:lang w:val="en-US" w:eastAsia="zh-CN"/>
                    </w:rPr>
                    <w:t>，采用</w:t>
                  </w:r>
                  <w:r>
                    <w:rPr>
                      <w:rFonts w:hint="default" w:ascii="Times New Roman" w:hAnsi="Times New Roman" w:eastAsia="宋体" w:cs="Times New Roman"/>
                      <w:color w:val="auto"/>
                      <w:szCs w:val="22"/>
                      <w:lang w:val="en-US" w:eastAsia="zh-CN"/>
                    </w:rPr>
                    <w:t>活性炭净化后引至楼顶高空排放，排气筒</w:t>
                  </w:r>
                  <w:r>
                    <w:rPr>
                      <w:rFonts w:hint="eastAsia" w:cs="Times New Roman"/>
                      <w:color w:val="auto"/>
                      <w:szCs w:val="22"/>
                      <w:lang w:val="en-US" w:eastAsia="zh-CN"/>
                    </w:rPr>
                    <w:t>（DA002）</w:t>
                  </w:r>
                  <w:r>
                    <w:rPr>
                      <w:rFonts w:hint="default" w:ascii="Times New Roman" w:hAnsi="Times New Roman" w:eastAsia="宋体" w:cs="Times New Roman"/>
                      <w:color w:val="auto"/>
                      <w:szCs w:val="22"/>
                      <w:lang w:val="en-US" w:eastAsia="zh-CN"/>
                    </w:rPr>
                    <w:t>高度</w:t>
                  </w:r>
                  <w:r>
                    <w:rPr>
                      <w:rFonts w:hint="eastAsia" w:cs="Times New Roman"/>
                      <w:color w:val="auto"/>
                      <w:szCs w:val="22"/>
                      <w:lang w:val="en-US" w:eastAsia="zh-CN"/>
                    </w:rPr>
                    <w:t>15</w:t>
                  </w:r>
                  <w:r>
                    <w:rPr>
                      <w:rFonts w:hint="default" w:ascii="Times New Roman" w:hAnsi="Times New Roman" w:cs="Times New Roman"/>
                      <w:color w:val="auto"/>
                      <w:szCs w:val="22"/>
                      <w:lang w:val="en-US" w:eastAsia="zh-CN"/>
                    </w:rPr>
                    <w:t>m。</w:t>
                  </w:r>
                </w:p>
              </w:tc>
              <w:tc>
                <w:tcPr>
                  <w:tcW w:w="741" w:type="dxa"/>
                  <w:vAlign w:val="center"/>
                </w:tcPr>
                <w:p w14:paraId="0CD841D5">
                  <w:pPr>
                    <w:adjustRightInd w:val="0"/>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val="en-US" w:eastAsia="zh-CN"/>
                    </w:rPr>
                    <w:t>新建</w:t>
                  </w:r>
                </w:p>
              </w:tc>
            </w:tr>
            <w:tr w14:paraId="14EF46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4E456BF6">
                  <w:pPr>
                    <w:jc w:val="center"/>
                    <w:rPr>
                      <w:rFonts w:hint="default" w:ascii="Times New Roman" w:hAnsi="Times New Roman" w:cs="Times New Roman"/>
                      <w:b/>
                      <w:color w:val="auto"/>
                      <w:kern w:val="0"/>
                      <w:szCs w:val="21"/>
                    </w:rPr>
                  </w:pPr>
                </w:p>
              </w:tc>
              <w:tc>
                <w:tcPr>
                  <w:tcW w:w="1286" w:type="dxa"/>
                  <w:vAlign w:val="center"/>
                </w:tcPr>
                <w:p w14:paraId="209D5158">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废水治理</w:t>
                  </w:r>
                </w:p>
              </w:tc>
              <w:tc>
                <w:tcPr>
                  <w:tcW w:w="5414" w:type="dxa"/>
                  <w:vAlign w:val="center"/>
                </w:tcPr>
                <w:p w14:paraId="63C6E0CF">
                  <w:pPr>
                    <w:rPr>
                      <w:rFonts w:hint="default" w:ascii="Times New Roman" w:hAnsi="Times New Roman" w:cs="Times New Roman"/>
                      <w:color w:val="auto"/>
                      <w:kern w:val="0"/>
                      <w:szCs w:val="21"/>
                    </w:rPr>
                  </w:pPr>
                  <w:r>
                    <w:rPr>
                      <w:rFonts w:hint="eastAsia" w:cs="Times New Roman"/>
                      <w:color w:val="auto"/>
                      <w:kern w:val="0"/>
                      <w:sz w:val="21"/>
                      <w:szCs w:val="21"/>
                      <w:lang w:val="en-US" w:eastAsia="zh-CN" w:bidi="ar"/>
                    </w:rPr>
                    <w:t>实验废水</w:t>
                  </w:r>
                  <w:r>
                    <w:rPr>
                      <w:rFonts w:hint="default" w:ascii="Times New Roman" w:hAnsi="Times New Roman" w:eastAsia="宋体" w:cs="Times New Roman"/>
                      <w:color w:val="auto"/>
                      <w:kern w:val="0"/>
                      <w:sz w:val="21"/>
                      <w:szCs w:val="21"/>
                      <w:lang w:val="en-US" w:eastAsia="zh-CN" w:bidi="ar"/>
                    </w:rPr>
                    <w:t>经污水处理设备</w:t>
                  </w:r>
                  <w:r>
                    <w:rPr>
                      <w:rFonts w:hint="eastAsia" w:ascii="Times New Roman" w:hAnsi="Times New Roman" w:eastAsia="宋体" w:cs="Times New Roman"/>
                      <w:color w:val="auto"/>
                      <w:kern w:val="0"/>
                      <w:sz w:val="21"/>
                      <w:szCs w:val="21"/>
                      <w:lang w:val="en-US" w:eastAsia="zh-CN" w:bidi="ar"/>
                    </w:rPr>
                    <w:t>（处理工艺：</w:t>
                  </w:r>
                  <w:r>
                    <w:rPr>
                      <w:rFonts w:hint="default" w:ascii="Times New Roman" w:hAnsi="Times New Roman" w:eastAsia="宋体" w:cs="Times New Roman"/>
                      <w:color w:val="auto"/>
                      <w:kern w:val="0"/>
                      <w:sz w:val="21"/>
                      <w:szCs w:val="21"/>
                      <w:lang w:val="en-US" w:eastAsia="zh-CN" w:bidi="ar"/>
                    </w:rPr>
                    <w:t>调节+</w:t>
                  </w:r>
                  <w:r>
                    <w:rPr>
                      <w:rFonts w:hint="eastAsia" w:ascii="Times New Roman" w:hAnsi="Times New Roman" w:eastAsia="宋体" w:cs="Times New Roman"/>
                      <w:color w:val="auto"/>
                      <w:kern w:val="0"/>
                      <w:sz w:val="21"/>
                      <w:szCs w:val="21"/>
                      <w:lang w:val="en-US" w:eastAsia="zh-CN" w:bidi="ar"/>
                    </w:rPr>
                    <w:t>沉淀+消毒</w:t>
                  </w:r>
                  <w:r>
                    <w:rPr>
                      <w:rFonts w:hint="default" w:ascii="Times New Roman" w:hAnsi="Times New Roman" w:eastAsia="宋体" w:cs="Times New Roman"/>
                      <w:color w:val="auto"/>
                      <w:kern w:val="0"/>
                      <w:sz w:val="21"/>
                      <w:szCs w:val="21"/>
                      <w:lang w:val="en-US" w:eastAsia="zh-CN" w:bidi="ar"/>
                    </w:rPr>
                    <w:t>工艺</w:t>
                  </w:r>
                  <w:r>
                    <w:rPr>
                      <w:rFonts w:hint="eastAsia" w:ascii="Times New Roman" w:hAnsi="Times New Roman" w:eastAsia="宋体" w:cs="Times New Roman"/>
                      <w:color w:val="auto"/>
                      <w:kern w:val="0"/>
                      <w:sz w:val="21"/>
                      <w:szCs w:val="21"/>
                      <w:lang w:val="en-US" w:eastAsia="zh-CN" w:bidi="ar"/>
                    </w:rPr>
                    <w:t>）处理后</w:t>
                  </w:r>
                  <w:r>
                    <w:rPr>
                      <w:rFonts w:hint="default" w:ascii="Times New Roman" w:hAnsi="Times New Roman" w:eastAsia="宋体" w:cs="Times New Roman"/>
                      <w:color w:val="auto"/>
                      <w:kern w:val="0"/>
                      <w:sz w:val="21"/>
                      <w:szCs w:val="21"/>
                      <w:lang w:val="en-US" w:eastAsia="zh-CN" w:bidi="ar"/>
                    </w:rPr>
                    <w:t>与生活污水</w:t>
                  </w:r>
                  <w:r>
                    <w:rPr>
                      <w:rFonts w:hint="eastAsia" w:ascii="Times New Roman" w:hAnsi="Times New Roman" w:eastAsia="宋体" w:cs="Times New Roman"/>
                      <w:color w:val="auto"/>
                      <w:kern w:val="0"/>
                      <w:sz w:val="21"/>
                      <w:szCs w:val="21"/>
                      <w:lang w:val="en-US" w:eastAsia="zh-CN" w:bidi="ar"/>
                    </w:rPr>
                    <w:t>进</w:t>
                  </w:r>
                  <w:r>
                    <w:rPr>
                      <w:rFonts w:hint="eastAsia" w:cs="Times New Roman"/>
                      <w:color w:val="auto"/>
                      <w:kern w:val="0"/>
                      <w:szCs w:val="21"/>
                      <w:lang w:val="en-US" w:eastAsia="zh-CN"/>
                    </w:rPr>
                    <w:t>入现有</w:t>
                  </w:r>
                  <w:r>
                    <w:rPr>
                      <w:rFonts w:hint="default" w:ascii="Times New Roman" w:hAnsi="Times New Roman" w:cs="Times New Roman"/>
                      <w:color w:val="auto"/>
                      <w:kern w:val="0"/>
                      <w:szCs w:val="21"/>
                      <w:lang w:val="en-US" w:eastAsia="zh-CN"/>
                    </w:rPr>
                    <w:t>化粪池处理后排入</w:t>
                  </w:r>
                  <w:r>
                    <w:rPr>
                      <w:rFonts w:hint="default" w:ascii="Times New Roman" w:hAnsi="Times New Roman" w:eastAsia="宋体" w:cs="Times New Roman"/>
                      <w:color w:val="auto"/>
                      <w:kern w:val="0"/>
                      <w:sz w:val="21"/>
                      <w:szCs w:val="21"/>
                      <w:lang w:val="en-US" w:eastAsia="zh-CN" w:bidi="ar"/>
                    </w:rPr>
                    <w:t>市政污水管网，</w:t>
                  </w:r>
                  <w:r>
                    <w:rPr>
                      <w:rFonts w:hint="default" w:ascii="Times New Roman" w:hAnsi="Times New Roman" w:cs="Times New Roman"/>
                      <w:color w:val="auto"/>
                      <w:kern w:val="0"/>
                      <w:sz w:val="21"/>
                      <w:szCs w:val="21"/>
                      <w:lang w:val="en-US" w:eastAsia="zh-CN" w:bidi="ar"/>
                    </w:rPr>
                    <w:t>进入</w:t>
                  </w:r>
                  <w:r>
                    <w:rPr>
                      <w:rFonts w:hint="eastAsia" w:cs="Times New Roman"/>
                      <w:color w:val="auto"/>
                      <w:kern w:val="0"/>
                      <w:sz w:val="21"/>
                      <w:szCs w:val="21"/>
                      <w:lang w:val="en-US" w:eastAsia="zh-CN" w:bidi="ar"/>
                    </w:rPr>
                    <w:t>沣西新城沣河</w:t>
                  </w:r>
                  <w:r>
                    <w:rPr>
                      <w:rFonts w:hint="default" w:ascii="Times New Roman" w:hAnsi="Times New Roman" w:eastAsia="宋体" w:cs="Times New Roman"/>
                      <w:color w:val="auto"/>
                      <w:kern w:val="0"/>
                      <w:sz w:val="21"/>
                      <w:szCs w:val="21"/>
                      <w:lang w:val="en-US" w:eastAsia="zh-CN" w:bidi="ar"/>
                    </w:rPr>
                    <w:t>污水处理厂处理后排入</w:t>
                  </w:r>
                  <w:r>
                    <w:rPr>
                      <w:rFonts w:hint="eastAsia" w:cs="Times New Roman"/>
                      <w:color w:val="auto"/>
                      <w:kern w:val="0"/>
                      <w:sz w:val="21"/>
                      <w:szCs w:val="21"/>
                      <w:lang w:val="en-US" w:eastAsia="zh-CN" w:bidi="ar"/>
                    </w:rPr>
                    <w:t>沣河。</w:t>
                  </w:r>
                </w:p>
              </w:tc>
              <w:tc>
                <w:tcPr>
                  <w:tcW w:w="741" w:type="dxa"/>
                  <w:vAlign w:val="center"/>
                </w:tcPr>
                <w:p w14:paraId="48CE8E4A">
                  <w:pPr>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新建</w:t>
                  </w:r>
                </w:p>
              </w:tc>
            </w:tr>
            <w:tr w14:paraId="667B23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6E9D8F39">
                  <w:pPr>
                    <w:jc w:val="center"/>
                    <w:rPr>
                      <w:rFonts w:hint="default" w:ascii="Times New Roman" w:hAnsi="Times New Roman" w:cs="Times New Roman"/>
                      <w:color w:val="auto"/>
                      <w:kern w:val="0"/>
                      <w:szCs w:val="21"/>
                    </w:rPr>
                  </w:pPr>
                </w:p>
              </w:tc>
              <w:tc>
                <w:tcPr>
                  <w:tcW w:w="1286" w:type="dxa"/>
                  <w:vAlign w:val="center"/>
                </w:tcPr>
                <w:p w14:paraId="332F34D5">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噪声治理</w:t>
                  </w:r>
                </w:p>
              </w:tc>
              <w:tc>
                <w:tcPr>
                  <w:tcW w:w="5414" w:type="dxa"/>
                  <w:vAlign w:val="center"/>
                </w:tcPr>
                <w:p w14:paraId="7F115971">
                  <w:pP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选用低噪声设备</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采用</w:t>
                  </w:r>
                  <w:r>
                    <w:rPr>
                      <w:rFonts w:hint="default" w:ascii="Times New Roman" w:hAnsi="Times New Roman" w:cs="Times New Roman"/>
                      <w:color w:val="auto"/>
                      <w:kern w:val="0"/>
                      <w:szCs w:val="21"/>
                    </w:rPr>
                    <w:t>减振</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隔声等措施</w:t>
                  </w:r>
                </w:p>
              </w:tc>
              <w:tc>
                <w:tcPr>
                  <w:tcW w:w="741" w:type="dxa"/>
                  <w:vAlign w:val="center"/>
                </w:tcPr>
                <w:p w14:paraId="661B0701">
                  <w:pPr>
                    <w:pStyle w:val="22"/>
                    <w:adjustRightInd w:val="0"/>
                    <w:ind w:left="0" w:leftChars="0" w:firstLine="0" w:firstLine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新建</w:t>
                  </w:r>
                </w:p>
              </w:tc>
            </w:tr>
            <w:tr w14:paraId="29F4F5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Merge w:val="continue"/>
                  <w:vAlign w:val="center"/>
                </w:tcPr>
                <w:p w14:paraId="0243D852">
                  <w:pPr>
                    <w:jc w:val="center"/>
                    <w:rPr>
                      <w:rFonts w:hint="default" w:ascii="Times New Roman" w:hAnsi="Times New Roman" w:cs="Times New Roman"/>
                      <w:color w:val="auto"/>
                      <w:kern w:val="0"/>
                      <w:szCs w:val="21"/>
                    </w:rPr>
                  </w:pPr>
                </w:p>
              </w:tc>
              <w:tc>
                <w:tcPr>
                  <w:tcW w:w="1286" w:type="dxa"/>
                  <w:vAlign w:val="center"/>
                </w:tcPr>
                <w:p w14:paraId="4C40A1B0">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固废处置</w:t>
                  </w:r>
                </w:p>
              </w:tc>
              <w:tc>
                <w:tcPr>
                  <w:tcW w:w="5414" w:type="dxa"/>
                  <w:vAlign w:val="center"/>
                </w:tcPr>
                <w:p w14:paraId="2A3A9ECA">
                  <w:pPr>
                    <w:pStyle w:val="7"/>
                    <w:rPr>
                      <w:rFonts w:hint="default" w:ascii="Times New Roman" w:hAnsi="Times New Roman" w:cs="Times New Roman"/>
                      <w:color w:val="auto"/>
                      <w:kern w:val="0"/>
                      <w:szCs w:val="21"/>
                    </w:rPr>
                  </w:pPr>
                  <w:r>
                    <w:rPr>
                      <w:rFonts w:hint="eastAsia" w:cs="Times New Roman"/>
                      <w:color w:val="auto"/>
                      <w:sz w:val="21"/>
                      <w:szCs w:val="21"/>
                      <w:lang w:val="en-US" w:eastAsia="zh-CN"/>
                    </w:rPr>
                    <w:t>药渣与生活垃圾</w:t>
                  </w:r>
                  <w:r>
                    <w:rPr>
                      <w:rFonts w:hint="default" w:ascii="Times New Roman" w:hAnsi="Times New Roman" w:cs="Times New Roman"/>
                      <w:color w:val="auto"/>
                      <w:sz w:val="21"/>
                      <w:szCs w:val="21"/>
                      <w:lang w:eastAsia="zh-CN"/>
                    </w:rPr>
                    <w:t>分类收集</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一并交环卫部门进行</w:t>
                  </w:r>
                  <w:r>
                    <w:rPr>
                      <w:rFonts w:hint="default" w:ascii="Times New Roman" w:hAnsi="Times New Roman" w:cs="Times New Roman"/>
                      <w:color w:val="auto"/>
                      <w:sz w:val="21"/>
                      <w:szCs w:val="21"/>
                      <w:lang w:val="en-US" w:eastAsia="zh-CN"/>
                    </w:rPr>
                    <w:t>处置</w:t>
                  </w:r>
                  <w:r>
                    <w:rPr>
                      <w:rFonts w:hint="default" w:ascii="Times New Roman" w:hAnsi="Times New Roman" w:cs="Times New Roman"/>
                      <w:color w:val="auto"/>
                      <w:sz w:val="21"/>
                      <w:szCs w:val="21"/>
                    </w:rPr>
                    <w:t>；</w:t>
                  </w:r>
                  <w:r>
                    <w:rPr>
                      <w:rFonts w:hint="eastAsia" w:ascii="Times New Roman" w:hAnsi="Times New Roman" w:eastAsia="宋体" w:cs="Times New Roman"/>
                      <w:color w:val="auto"/>
                      <w:sz w:val="21"/>
                      <w:szCs w:val="21"/>
                      <w:lang w:eastAsia="zh-CN"/>
                    </w:rPr>
                    <w:t>废试剂瓶、实验室废液</w:t>
                  </w:r>
                  <w:r>
                    <w:rPr>
                      <w:rFonts w:hint="eastAsia" w:ascii="Times New Roman" w:hAnsi="Times New Roman" w:eastAsia="宋体" w:cs="Times New Roman"/>
                      <w:color w:val="auto"/>
                      <w:sz w:val="21"/>
                      <w:szCs w:val="21"/>
                      <w:lang w:val="en-US" w:eastAsia="zh-CN"/>
                    </w:rPr>
                    <w:t>及头道器皿清洗</w:t>
                  </w:r>
                  <w:r>
                    <w:rPr>
                      <w:rFonts w:hint="eastAsia" w:ascii="Times New Roman" w:hAnsi="Times New Roman" w:eastAsia="宋体" w:cs="Times New Roman"/>
                      <w:color w:val="auto"/>
                      <w:sz w:val="21"/>
                      <w:szCs w:val="21"/>
                      <w:lang w:eastAsia="zh-CN"/>
                    </w:rPr>
                    <w:t>废水、</w:t>
                  </w:r>
                  <w:r>
                    <w:rPr>
                      <w:rFonts w:hint="eastAsia" w:ascii="Times New Roman" w:hAnsi="Times New Roman" w:eastAsia="宋体" w:cs="Times New Roman"/>
                      <w:color w:val="auto"/>
                      <w:sz w:val="21"/>
                      <w:szCs w:val="21"/>
                      <w:lang w:val="en-US" w:eastAsia="zh-CN"/>
                    </w:rPr>
                    <w:t>废试剂</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实验检测废弃物</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eastAsia="zh-CN"/>
                    </w:rPr>
                    <w:t>废活性炭等分类收集暂存于危废贮存库交由有资质单位处置</w:t>
                  </w:r>
                  <w:r>
                    <w:rPr>
                      <w:rFonts w:hint="default" w:ascii="Times New Roman" w:hAnsi="Times New Roman" w:eastAsia="宋体" w:cs="Times New Roman"/>
                      <w:color w:val="auto"/>
                      <w:sz w:val="21"/>
                      <w:szCs w:val="21"/>
                      <w:lang w:eastAsia="zh-CN"/>
                    </w:rPr>
                    <w:t>。</w:t>
                  </w:r>
                </w:p>
              </w:tc>
              <w:tc>
                <w:tcPr>
                  <w:tcW w:w="741" w:type="dxa"/>
                  <w:vAlign w:val="center"/>
                </w:tcPr>
                <w:p w14:paraId="76637CDD">
                  <w:pPr>
                    <w:adjustRightInd w:val="0"/>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val="en-US" w:eastAsia="zh-CN"/>
                    </w:rPr>
                    <w:t>新建</w:t>
                  </w:r>
                </w:p>
              </w:tc>
            </w:tr>
          </w:tbl>
          <w:p w14:paraId="10ACEE8D">
            <w:pPr>
              <w:numPr>
                <w:ilvl w:val="0"/>
                <w:numId w:val="6"/>
              </w:numPr>
              <w:spacing w:line="360" w:lineRule="auto"/>
              <w:ind w:left="0" w:leftChars="0" w:firstLine="0" w:firstLineChars="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项目主要检测内容</w:t>
            </w:r>
          </w:p>
          <w:p w14:paraId="0F233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主要对中药药材进行检测，</w:t>
            </w:r>
            <w:r>
              <w:rPr>
                <w:rFonts w:hint="default" w:ascii="Times New Roman" w:hAnsi="Times New Roman" w:eastAsia="宋体" w:cs="Times New Roman"/>
                <w:color w:val="auto"/>
                <w:sz w:val="24"/>
                <w:szCs w:val="24"/>
                <w:lang w:val="en-US" w:eastAsia="zh-CN"/>
              </w:rPr>
              <w:t>不</w:t>
            </w:r>
            <w:r>
              <w:rPr>
                <w:rFonts w:hint="eastAsia" w:cs="Times New Roman"/>
                <w:color w:val="auto"/>
                <w:sz w:val="24"/>
                <w:szCs w:val="24"/>
                <w:lang w:val="en-US" w:eastAsia="zh-CN"/>
              </w:rPr>
              <w:t>进行药品生产</w:t>
            </w:r>
            <w:r>
              <w:rPr>
                <w:rFonts w:hint="default" w:ascii="Times New Roman" w:hAnsi="Times New Roman" w:eastAsia="宋体" w:cs="Times New Roman"/>
                <w:color w:val="auto"/>
                <w:sz w:val="24"/>
                <w:szCs w:val="24"/>
                <w:lang w:val="en-US" w:eastAsia="zh-CN"/>
              </w:rPr>
              <w:t>，年</w:t>
            </w:r>
            <w:r>
              <w:rPr>
                <w:rFonts w:hint="eastAsia" w:cs="Times New Roman"/>
                <w:color w:val="auto"/>
                <w:sz w:val="24"/>
                <w:szCs w:val="24"/>
                <w:lang w:val="en-US" w:eastAsia="zh-CN"/>
              </w:rPr>
              <w:t>检</w:t>
            </w:r>
            <w:r>
              <w:rPr>
                <w:rFonts w:hint="default" w:ascii="Times New Roman" w:hAnsi="Times New Roman" w:eastAsia="宋体" w:cs="Times New Roman"/>
                <w:color w:val="auto"/>
                <w:sz w:val="24"/>
                <w:szCs w:val="24"/>
                <w:lang w:val="en-US" w:eastAsia="zh-CN"/>
              </w:rPr>
              <w:t>测分析约</w:t>
            </w:r>
            <w:r>
              <w:rPr>
                <w:rFonts w:hint="eastAsia" w:cs="Times New Roman"/>
                <w:color w:val="auto"/>
                <w:sz w:val="24"/>
                <w:szCs w:val="24"/>
                <w:lang w:val="en-US" w:eastAsia="zh-CN"/>
              </w:rPr>
              <w:t>300</w:t>
            </w:r>
            <w:r>
              <w:rPr>
                <w:rFonts w:hint="default" w:ascii="Times New Roman" w:hAnsi="Times New Roman" w:eastAsia="宋体" w:cs="Times New Roman"/>
                <w:color w:val="auto"/>
                <w:sz w:val="24"/>
                <w:szCs w:val="24"/>
                <w:lang w:val="en-US" w:eastAsia="zh-CN"/>
              </w:rPr>
              <w:t>组样品。</w:t>
            </w:r>
          </w:p>
          <w:p w14:paraId="061980E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主要生产设备</w:t>
            </w:r>
          </w:p>
          <w:p w14:paraId="673EB268">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本项目主要生产设备见表2-</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w:t>
            </w:r>
          </w:p>
          <w:p w14:paraId="1A9F69B8">
            <w:pPr>
              <w:ind w:firstLine="422" w:firstLineChars="200"/>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表2-</w:t>
            </w:r>
            <w:r>
              <w:rPr>
                <w:rFonts w:hint="default" w:ascii="Times New Roman" w:hAnsi="Times New Roman" w:cs="Times New Roman"/>
                <w:b/>
                <w:color w:val="auto"/>
                <w:szCs w:val="21"/>
                <w:lang w:val="en-US" w:eastAsia="zh-CN"/>
              </w:rPr>
              <w:t>2</w:t>
            </w:r>
            <w:r>
              <w:rPr>
                <w:rFonts w:hint="eastAsia" w:cs="Times New Roman"/>
                <w:b/>
                <w:color w:val="auto"/>
                <w:szCs w:val="21"/>
                <w:lang w:val="en-US" w:eastAsia="zh-CN"/>
              </w:rPr>
              <w:t xml:space="preserve">  </w:t>
            </w:r>
            <w:r>
              <w:rPr>
                <w:rFonts w:hint="default" w:ascii="Times New Roman" w:hAnsi="Times New Roman" w:cs="Times New Roman"/>
                <w:b/>
                <w:color w:val="auto"/>
                <w:szCs w:val="21"/>
              </w:rPr>
              <w:t>项目主要生产设备</w:t>
            </w:r>
            <w:r>
              <w:rPr>
                <w:rFonts w:hint="default" w:ascii="Times New Roman" w:hAnsi="Times New Roman" w:cs="Times New Roman"/>
                <w:b/>
                <w:color w:val="auto"/>
                <w:szCs w:val="21"/>
                <w:lang w:eastAsia="zh-CN"/>
              </w:rPr>
              <w:t>表</w:t>
            </w:r>
          </w:p>
          <w:tbl>
            <w:tblPr>
              <w:tblStyle w:val="28"/>
              <w:tblW w:w="8388" w:type="dxa"/>
              <w:tblInd w:w="-1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75"/>
              <w:gridCol w:w="2596"/>
              <w:gridCol w:w="2308"/>
              <w:gridCol w:w="1512"/>
              <w:gridCol w:w="1097"/>
            </w:tblGrid>
            <w:tr w14:paraId="65D13E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1D9C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2596" w:type="dxa"/>
                  <w:tcBorders>
                    <w:tl2br w:val="nil"/>
                    <w:tr2bl w:val="nil"/>
                  </w:tcBorders>
                  <w:shd w:val="clear" w:color="auto" w:fill="auto"/>
                  <w:noWrap/>
                  <w:vAlign w:val="center"/>
                </w:tcPr>
                <w:p w14:paraId="7BCA1A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设备名称</w:t>
                  </w:r>
                </w:p>
              </w:tc>
              <w:tc>
                <w:tcPr>
                  <w:tcW w:w="2308" w:type="dxa"/>
                  <w:tcBorders>
                    <w:tl2br w:val="nil"/>
                    <w:tr2bl w:val="nil"/>
                  </w:tcBorders>
                  <w:shd w:val="clear" w:color="auto" w:fill="auto"/>
                  <w:noWrap/>
                  <w:vAlign w:val="center"/>
                </w:tcPr>
                <w:p w14:paraId="2CF3BD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型号规格</w:t>
                  </w:r>
                </w:p>
              </w:tc>
              <w:tc>
                <w:tcPr>
                  <w:tcW w:w="1512" w:type="dxa"/>
                  <w:tcBorders>
                    <w:tl2br w:val="nil"/>
                    <w:tr2bl w:val="nil"/>
                  </w:tcBorders>
                  <w:shd w:val="clear" w:color="auto" w:fill="auto"/>
                  <w:noWrap/>
                  <w:vAlign w:val="center"/>
                </w:tcPr>
                <w:p w14:paraId="35A1CD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数量/台</w:t>
                  </w:r>
                </w:p>
              </w:tc>
              <w:tc>
                <w:tcPr>
                  <w:tcW w:w="1097" w:type="dxa"/>
                  <w:tcBorders>
                    <w:tl2br w:val="nil"/>
                    <w:tr2bl w:val="nil"/>
                  </w:tcBorders>
                  <w:shd w:val="clear" w:color="auto" w:fill="auto"/>
                  <w:noWrap/>
                  <w:vAlign w:val="center"/>
                </w:tcPr>
                <w:p w14:paraId="73A15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位置</w:t>
                  </w:r>
                </w:p>
              </w:tc>
            </w:tr>
            <w:tr w14:paraId="6937DE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5759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96" w:type="dxa"/>
                  <w:tcBorders>
                    <w:tl2br w:val="nil"/>
                    <w:tr2bl w:val="nil"/>
                  </w:tcBorders>
                  <w:shd w:val="clear" w:color="auto" w:fill="auto"/>
                  <w:noWrap/>
                  <w:vAlign w:val="center"/>
                </w:tcPr>
                <w:p w14:paraId="17260F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多功能粉碎机</w:t>
                  </w:r>
                </w:p>
              </w:tc>
              <w:tc>
                <w:tcPr>
                  <w:tcW w:w="2308" w:type="dxa"/>
                  <w:tcBorders>
                    <w:tl2br w:val="nil"/>
                    <w:tr2bl w:val="nil"/>
                  </w:tcBorders>
                  <w:shd w:val="clear" w:color="auto" w:fill="auto"/>
                  <w:noWrap/>
                  <w:vAlign w:val="center"/>
                </w:tcPr>
                <w:p w14:paraId="7360F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800A第二代</w:t>
                  </w:r>
                </w:p>
              </w:tc>
              <w:tc>
                <w:tcPr>
                  <w:tcW w:w="1512" w:type="dxa"/>
                  <w:tcBorders>
                    <w:tl2br w:val="nil"/>
                    <w:tr2bl w:val="nil"/>
                  </w:tcBorders>
                  <w:shd w:val="clear" w:color="auto" w:fill="auto"/>
                  <w:noWrap/>
                  <w:vAlign w:val="center"/>
                </w:tcPr>
                <w:p w14:paraId="0215D6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restart"/>
                  <w:tcBorders>
                    <w:tl2br w:val="nil"/>
                    <w:tr2bl w:val="nil"/>
                  </w:tcBorders>
                  <w:shd w:val="clear" w:color="auto" w:fill="auto"/>
                  <w:noWrap/>
                  <w:vAlign w:val="center"/>
                </w:tcPr>
                <w:p w14:paraId="73064E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前处理室</w:t>
                  </w:r>
                </w:p>
              </w:tc>
            </w:tr>
            <w:tr w14:paraId="0505BF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0B6A00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596" w:type="dxa"/>
                  <w:tcBorders>
                    <w:tl2br w:val="nil"/>
                    <w:tr2bl w:val="nil"/>
                  </w:tcBorders>
                  <w:shd w:val="clear" w:color="auto" w:fill="auto"/>
                  <w:noWrap/>
                  <w:vAlign w:val="center"/>
                </w:tcPr>
                <w:p w14:paraId="4A906E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剪切乳化搅拌机</w:t>
                  </w:r>
                </w:p>
              </w:tc>
              <w:tc>
                <w:tcPr>
                  <w:tcW w:w="2308" w:type="dxa"/>
                  <w:tcBorders>
                    <w:tl2br w:val="nil"/>
                    <w:tr2bl w:val="nil"/>
                  </w:tcBorders>
                  <w:shd w:val="clear" w:color="auto" w:fill="auto"/>
                  <w:noWrap/>
                  <w:vAlign w:val="center"/>
                </w:tcPr>
                <w:p w14:paraId="1BF31B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JRJ-300SH</w:t>
                  </w:r>
                </w:p>
              </w:tc>
              <w:tc>
                <w:tcPr>
                  <w:tcW w:w="1512" w:type="dxa"/>
                  <w:tcBorders>
                    <w:tl2br w:val="nil"/>
                    <w:tr2bl w:val="nil"/>
                  </w:tcBorders>
                  <w:shd w:val="clear" w:color="auto" w:fill="auto"/>
                  <w:noWrap/>
                  <w:vAlign w:val="center"/>
                </w:tcPr>
                <w:p w14:paraId="1E7C2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7300E5D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0768FB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E5B3E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596" w:type="dxa"/>
                  <w:tcBorders>
                    <w:tl2br w:val="nil"/>
                    <w:tr2bl w:val="nil"/>
                  </w:tcBorders>
                  <w:shd w:val="clear" w:color="auto" w:fill="auto"/>
                  <w:noWrap/>
                  <w:vAlign w:val="center"/>
                </w:tcPr>
                <w:p w14:paraId="4CC472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高速分散器</w:t>
                  </w:r>
                </w:p>
              </w:tc>
              <w:tc>
                <w:tcPr>
                  <w:tcW w:w="2308" w:type="dxa"/>
                  <w:tcBorders>
                    <w:tl2br w:val="nil"/>
                    <w:tr2bl w:val="nil"/>
                  </w:tcBorders>
                  <w:shd w:val="clear" w:color="auto" w:fill="auto"/>
                  <w:noWrap/>
                  <w:vAlign w:val="center"/>
                </w:tcPr>
                <w:p w14:paraId="713EE9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THF500-28G</w:t>
                  </w:r>
                </w:p>
              </w:tc>
              <w:tc>
                <w:tcPr>
                  <w:tcW w:w="1512" w:type="dxa"/>
                  <w:tcBorders>
                    <w:tl2br w:val="nil"/>
                    <w:tr2bl w:val="nil"/>
                  </w:tcBorders>
                  <w:shd w:val="clear" w:color="auto" w:fill="auto"/>
                  <w:noWrap/>
                  <w:vAlign w:val="center"/>
                </w:tcPr>
                <w:p w14:paraId="4FDFBC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0785E9B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40796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15FD9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596" w:type="dxa"/>
                  <w:tcBorders>
                    <w:tl2br w:val="nil"/>
                    <w:tr2bl w:val="nil"/>
                  </w:tcBorders>
                  <w:shd w:val="clear" w:color="auto" w:fill="auto"/>
                  <w:noWrap/>
                  <w:vAlign w:val="center"/>
                </w:tcPr>
                <w:p w14:paraId="38D331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磁力加热搅拌器</w:t>
                  </w:r>
                </w:p>
              </w:tc>
              <w:tc>
                <w:tcPr>
                  <w:tcW w:w="2308" w:type="dxa"/>
                  <w:tcBorders>
                    <w:tl2br w:val="nil"/>
                    <w:tr2bl w:val="nil"/>
                  </w:tcBorders>
                  <w:shd w:val="clear" w:color="auto" w:fill="auto"/>
                  <w:noWrap/>
                  <w:vAlign w:val="center"/>
                </w:tcPr>
                <w:p w14:paraId="1586FC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32905</w:t>
                  </w:r>
                </w:p>
              </w:tc>
              <w:tc>
                <w:tcPr>
                  <w:tcW w:w="1512" w:type="dxa"/>
                  <w:tcBorders>
                    <w:tl2br w:val="nil"/>
                    <w:tr2bl w:val="nil"/>
                  </w:tcBorders>
                  <w:shd w:val="clear" w:color="auto" w:fill="auto"/>
                  <w:noWrap/>
                  <w:vAlign w:val="center"/>
                </w:tcPr>
                <w:p w14:paraId="7A74C6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826FF5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AFA0F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CA924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596" w:type="dxa"/>
                  <w:tcBorders>
                    <w:tl2br w:val="nil"/>
                    <w:tr2bl w:val="nil"/>
                  </w:tcBorders>
                  <w:shd w:val="clear" w:color="auto" w:fill="FFFFFF"/>
                  <w:noWrap/>
                  <w:vAlign w:val="center"/>
                </w:tcPr>
                <w:p w14:paraId="3D0B74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箱式</w:t>
                  </w:r>
                  <w:r>
                    <w:rPr>
                      <w:rFonts w:hint="default" w:ascii="Times New Roman" w:hAnsi="Times New Roman" w:eastAsia="宋体" w:cs="Times New Roman"/>
                      <w:i w:val="0"/>
                      <w:iCs w:val="0"/>
                      <w:color w:val="auto"/>
                      <w:kern w:val="0"/>
                      <w:sz w:val="21"/>
                      <w:szCs w:val="21"/>
                      <w:u w:val="none"/>
                      <w:lang w:val="en-US" w:eastAsia="zh-CN" w:bidi="ar"/>
                    </w:rPr>
                    <w:t>电阻炉</w:t>
                  </w:r>
                </w:p>
              </w:tc>
              <w:tc>
                <w:tcPr>
                  <w:tcW w:w="2308" w:type="dxa"/>
                  <w:tcBorders>
                    <w:tl2br w:val="nil"/>
                    <w:tr2bl w:val="nil"/>
                  </w:tcBorders>
                  <w:shd w:val="clear" w:color="auto" w:fill="auto"/>
                  <w:noWrap/>
                  <w:vAlign w:val="center"/>
                </w:tcPr>
                <w:p w14:paraId="6D66DE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型号SX-4-10</w:t>
                  </w:r>
                </w:p>
              </w:tc>
              <w:tc>
                <w:tcPr>
                  <w:tcW w:w="1512" w:type="dxa"/>
                  <w:tcBorders>
                    <w:tl2br w:val="nil"/>
                    <w:tr2bl w:val="nil"/>
                  </w:tcBorders>
                  <w:shd w:val="clear" w:color="auto" w:fill="auto"/>
                  <w:noWrap/>
                  <w:vAlign w:val="center"/>
                </w:tcPr>
                <w:p w14:paraId="3EB871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restart"/>
                  <w:tcBorders>
                    <w:tl2br w:val="nil"/>
                    <w:tr2bl w:val="nil"/>
                  </w:tcBorders>
                  <w:shd w:val="clear" w:color="auto" w:fill="auto"/>
                  <w:noWrap/>
                  <w:vAlign w:val="center"/>
                </w:tcPr>
                <w:p w14:paraId="25535C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高温室</w:t>
                  </w:r>
                </w:p>
              </w:tc>
            </w:tr>
            <w:tr w14:paraId="2CBBCD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4AA2D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596" w:type="dxa"/>
                  <w:tcBorders>
                    <w:tl2br w:val="nil"/>
                    <w:tr2bl w:val="nil"/>
                  </w:tcBorders>
                  <w:shd w:val="clear" w:color="auto" w:fill="FFFFFF"/>
                  <w:noWrap/>
                  <w:vAlign w:val="center"/>
                </w:tcPr>
                <w:p w14:paraId="18DAF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电热鼓风干燥箱</w:t>
                  </w:r>
                </w:p>
              </w:tc>
              <w:tc>
                <w:tcPr>
                  <w:tcW w:w="2308" w:type="dxa"/>
                  <w:tcBorders>
                    <w:tl2br w:val="nil"/>
                    <w:tr2bl w:val="nil"/>
                  </w:tcBorders>
                  <w:shd w:val="clear" w:color="auto" w:fill="auto"/>
                  <w:noWrap/>
                  <w:vAlign w:val="center"/>
                </w:tcPr>
                <w:p w14:paraId="653A0A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101-2EBS</w:t>
                  </w:r>
                </w:p>
              </w:tc>
              <w:tc>
                <w:tcPr>
                  <w:tcW w:w="1512" w:type="dxa"/>
                  <w:tcBorders>
                    <w:tl2br w:val="nil"/>
                    <w:tr2bl w:val="nil"/>
                  </w:tcBorders>
                  <w:shd w:val="clear" w:color="auto" w:fill="auto"/>
                  <w:noWrap/>
                  <w:vAlign w:val="center"/>
                </w:tcPr>
                <w:p w14:paraId="0A8047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2F1BAAF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788B2E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026160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596" w:type="dxa"/>
                  <w:tcBorders>
                    <w:tl2br w:val="nil"/>
                    <w:tr2bl w:val="nil"/>
                  </w:tcBorders>
                  <w:shd w:val="clear" w:color="auto" w:fill="auto"/>
                  <w:noWrap/>
                  <w:vAlign w:val="center"/>
                </w:tcPr>
                <w:p w14:paraId="7A0342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真空干燥箱</w:t>
                  </w:r>
                </w:p>
              </w:tc>
              <w:tc>
                <w:tcPr>
                  <w:tcW w:w="2308" w:type="dxa"/>
                  <w:tcBorders>
                    <w:tl2br w:val="nil"/>
                    <w:tr2bl w:val="nil"/>
                  </w:tcBorders>
                  <w:shd w:val="clear" w:color="auto" w:fill="auto"/>
                  <w:noWrap/>
                  <w:vAlign w:val="center"/>
                </w:tcPr>
                <w:p w14:paraId="35BDD9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DZF-6050MBE</w:t>
                  </w:r>
                </w:p>
              </w:tc>
              <w:tc>
                <w:tcPr>
                  <w:tcW w:w="1512" w:type="dxa"/>
                  <w:tcBorders>
                    <w:tl2br w:val="nil"/>
                    <w:tr2bl w:val="nil"/>
                  </w:tcBorders>
                  <w:shd w:val="clear" w:color="auto" w:fill="auto"/>
                  <w:noWrap/>
                  <w:vAlign w:val="center"/>
                </w:tcPr>
                <w:p w14:paraId="072F77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09AE82C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70BA94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384EB8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596" w:type="dxa"/>
                  <w:tcBorders>
                    <w:tl2br w:val="nil"/>
                    <w:tr2bl w:val="nil"/>
                  </w:tcBorders>
                  <w:shd w:val="clear" w:color="auto" w:fill="auto"/>
                  <w:noWrap/>
                  <w:vAlign w:val="center"/>
                </w:tcPr>
                <w:p w14:paraId="512F14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电热恒温干燥箱</w:t>
                  </w:r>
                </w:p>
              </w:tc>
              <w:tc>
                <w:tcPr>
                  <w:tcW w:w="2308" w:type="dxa"/>
                  <w:tcBorders>
                    <w:tl2br w:val="nil"/>
                    <w:tr2bl w:val="nil"/>
                  </w:tcBorders>
                  <w:shd w:val="clear" w:color="auto" w:fill="auto"/>
                  <w:noWrap/>
                  <w:vAlign w:val="center"/>
                </w:tcPr>
                <w:p w14:paraId="0CCC6C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202A</w:t>
                  </w:r>
                </w:p>
              </w:tc>
              <w:tc>
                <w:tcPr>
                  <w:tcW w:w="1512" w:type="dxa"/>
                  <w:tcBorders>
                    <w:tl2br w:val="nil"/>
                    <w:tr2bl w:val="nil"/>
                  </w:tcBorders>
                  <w:shd w:val="clear" w:color="auto" w:fill="auto"/>
                  <w:noWrap/>
                  <w:vAlign w:val="center"/>
                </w:tcPr>
                <w:p w14:paraId="09F13B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6A63D8F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0089B3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7" w:hRule="atLeast"/>
              </w:trPr>
              <w:tc>
                <w:tcPr>
                  <w:tcW w:w="875" w:type="dxa"/>
                  <w:tcBorders>
                    <w:tl2br w:val="nil"/>
                    <w:tr2bl w:val="nil"/>
                  </w:tcBorders>
                  <w:shd w:val="clear" w:color="auto" w:fill="auto"/>
                  <w:noWrap/>
                  <w:vAlign w:val="center"/>
                </w:tcPr>
                <w:p w14:paraId="37CB69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2596" w:type="dxa"/>
                  <w:tcBorders>
                    <w:tl2br w:val="nil"/>
                    <w:tr2bl w:val="nil"/>
                  </w:tcBorders>
                  <w:shd w:val="clear" w:color="auto" w:fill="auto"/>
                  <w:noWrap/>
                  <w:vAlign w:val="center"/>
                </w:tcPr>
                <w:p w14:paraId="41F5FD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R-100旋转蒸发仪，隔膜泵，真空度控制</w:t>
                  </w:r>
                </w:p>
              </w:tc>
              <w:tc>
                <w:tcPr>
                  <w:tcW w:w="2308" w:type="dxa"/>
                  <w:tcBorders>
                    <w:tl2br w:val="nil"/>
                    <w:tr2bl w:val="nil"/>
                  </w:tcBorders>
                  <w:shd w:val="clear" w:color="auto" w:fill="auto"/>
                  <w:noWrap/>
                  <w:vAlign w:val="center"/>
                </w:tcPr>
                <w:p w14:paraId="46CF8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3件套</w:t>
                  </w:r>
                </w:p>
              </w:tc>
              <w:tc>
                <w:tcPr>
                  <w:tcW w:w="1512" w:type="dxa"/>
                  <w:tcBorders>
                    <w:tl2br w:val="nil"/>
                    <w:tr2bl w:val="nil"/>
                  </w:tcBorders>
                  <w:shd w:val="clear" w:color="auto" w:fill="auto"/>
                  <w:noWrap/>
                  <w:vAlign w:val="center"/>
                </w:tcPr>
                <w:p w14:paraId="3972A2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restart"/>
                  <w:tcBorders>
                    <w:tl2br w:val="nil"/>
                    <w:tr2bl w:val="nil"/>
                  </w:tcBorders>
                  <w:shd w:val="clear" w:color="auto" w:fill="auto"/>
                  <w:noWrap/>
                  <w:vAlign w:val="center"/>
                </w:tcPr>
                <w:p w14:paraId="772D53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滴定室</w:t>
                  </w:r>
                </w:p>
              </w:tc>
            </w:tr>
            <w:tr w14:paraId="7B9A78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4EC5F0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596" w:type="dxa"/>
                  <w:tcBorders>
                    <w:tl2br w:val="nil"/>
                    <w:tr2bl w:val="nil"/>
                  </w:tcBorders>
                  <w:shd w:val="clear" w:color="auto" w:fill="auto"/>
                  <w:noWrap/>
                  <w:vAlign w:val="center"/>
                </w:tcPr>
                <w:p w14:paraId="639C9C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中药二氧化硫测定仪</w:t>
                  </w:r>
                </w:p>
              </w:tc>
              <w:tc>
                <w:tcPr>
                  <w:tcW w:w="2308" w:type="dxa"/>
                  <w:tcBorders>
                    <w:tl2br w:val="nil"/>
                    <w:tr2bl w:val="nil"/>
                  </w:tcBorders>
                  <w:shd w:val="clear" w:color="auto" w:fill="auto"/>
                  <w:noWrap/>
                  <w:vAlign w:val="center"/>
                </w:tcPr>
                <w:p w14:paraId="704AB8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ST107-1P</w:t>
                  </w:r>
                </w:p>
              </w:tc>
              <w:tc>
                <w:tcPr>
                  <w:tcW w:w="1512" w:type="dxa"/>
                  <w:tcBorders>
                    <w:tl2br w:val="nil"/>
                    <w:tr2bl w:val="nil"/>
                  </w:tcBorders>
                  <w:shd w:val="clear" w:color="auto" w:fill="auto"/>
                  <w:noWrap/>
                  <w:vAlign w:val="center"/>
                </w:tcPr>
                <w:p w14:paraId="149214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67C98EE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5C0D06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D3135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596" w:type="dxa"/>
                  <w:tcBorders>
                    <w:tl2br w:val="nil"/>
                    <w:tr2bl w:val="nil"/>
                  </w:tcBorders>
                  <w:shd w:val="clear" w:color="auto" w:fill="auto"/>
                  <w:noWrap/>
                  <w:vAlign w:val="center"/>
                </w:tcPr>
                <w:p w14:paraId="675F50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电子调温电热套</w:t>
                  </w:r>
                </w:p>
              </w:tc>
              <w:tc>
                <w:tcPr>
                  <w:tcW w:w="2308" w:type="dxa"/>
                  <w:tcBorders>
                    <w:tl2br w:val="nil"/>
                    <w:tr2bl w:val="nil"/>
                  </w:tcBorders>
                  <w:shd w:val="clear" w:color="auto" w:fill="auto"/>
                  <w:noWrap/>
                  <w:vAlign w:val="center"/>
                </w:tcPr>
                <w:p w14:paraId="29E43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DZTM</w:t>
                  </w:r>
                </w:p>
              </w:tc>
              <w:tc>
                <w:tcPr>
                  <w:tcW w:w="1512" w:type="dxa"/>
                  <w:tcBorders>
                    <w:tl2br w:val="nil"/>
                    <w:tr2bl w:val="nil"/>
                  </w:tcBorders>
                  <w:shd w:val="clear" w:color="auto" w:fill="auto"/>
                  <w:noWrap/>
                  <w:vAlign w:val="center"/>
                </w:tcPr>
                <w:p w14:paraId="06E9D7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097" w:type="dxa"/>
                  <w:vMerge w:val="continue"/>
                  <w:tcBorders>
                    <w:tl2br w:val="nil"/>
                    <w:tr2bl w:val="nil"/>
                  </w:tcBorders>
                  <w:shd w:val="clear" w:color="auto" w:fill="auto"/>
                  <w:noWrap/>
                  <w:vAlign w:val="center"/>
                </w:tcPr>
                <w:p w14:paraId="3912E1C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52800A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688D35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596" w:type="dxa"/>
                  <w:tcBorders>
                    <w:tl2br w:val="nil"/>
                    <w:tr2bl w:val="nil"/>
                  </w:tcBorders>
                  <w:shd w:val="clear" w:color="auto" w:fill="auto"/>
                  <w:noWrap/>
                  <w:vAlign w:val="center"/>
                </w:tcPr>
                <w:p w14:paraId="553685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三用紫外仪</w:t>
                  </w:r>
                </w:p>
              </w:tc>
              <w:tc>
                <w:tcPr>
                  <w:tcW w:w="2308" w:type="dxa"/>
                  <w:tcBorders>
                    <w:tl2br w:val="nil"/>
                    <w:tr2bl w:val="nil"/>
                  </w:tcBorders>
                  <w:shd w:val="clear" w:color="auto" w:fill="auto"/>
                  <w:noWrap/>
                  <w:vAlign w:val="center"/>
                </w:tcPr>
                <w:p w14:paraId="57F0D8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ZF-2</w:t>
                  </w:r>
                </w:p>
              </w:tc>
              <w:tc>
                <w:tcPr>
                  <w:tcW w:w="1512" w:type="dxa"/>
                  <w:tcBorders>
                    <w:tl2br w:val="nil"/>
                    <w:tr2bl w:val="nil"/>
                  </w:tcBorders>
                  <w:shd w:val="clear" w:color="auto" w:fill="auto"/>
                  <w:noWrap/>
                  <w:vAlign w:val="center"/>
                </w:tcPr>
                <w:p w14:paraId="6D51A7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restart"/>
                  <w:tcBorders>
                    <w:tl2br w:val="nil"/>
                    <w:tr2bl w:val="nil"/>
                  </w:tcBorders>
                  <w:shd w:val="clear" w:color="auto" w:fill="auto"/>
                  <w:noWrap/>
                  <w:vAlign w:val="center"/>
                </w:tcPr>
                <w:p w14:paraId="2124C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一般仪器室</w:t>
                  </w:r>
                </w:p>
              </w:tc>
            </w:tr>
            <w:tr w14:paraId="265307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E25B3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2596" w:type="dxa"/>
                  <w:tcBorders>
                    <w:tl2br w:val="nil"/>
                    <w:tr2bl w:val="nil"/>
                  </w:tcBorders>
                  <w:shd w:val="clear" w:color="auto" w:fill="auto"/>
                  <w:noWrap/>
                  <w:vAlign w:val="center"/>
                </w:tcPr>
                <w:p w14:paraId="4C8EB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电导率</w:t>
                  </w:r>
                </w:p>
              </w:tc>
              <w:tc>
                <w:tcPr>
                  <w:tcW w:w="2308" w:type="dxa"/>
                  <w:tcBorders>
                    <w:tl2br w:val="nil"/>
                    <w:tr2bl w:val="nil"/>
                  </w:tcBorders>
                  <w:shd w:val="clear" w:color="auto" w:fill="auto"/>
                  <w:noWrap/>
                  <w:vAlign w:val="center"/>
                </w:tcPr>
                <w:p w14:paraId="0BFB95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0.055μS/cm-300μS/cm</w:t>
                  </w:r>
                </w:p>
              </w:tc>
              <w:tc>
                <w:tcPr>
                  <w:tcW w:w="1512" w:type="dxa"/>
                  <w:tcBorders>
                    <w:tl2br w:val="nil"/>
                    <w:tr2bl w:val="nil"/>
                  </w:tcBorders>
                  <w:shd w:val="clear" w:color="auto" w:fill="auto"/>
                  <w:noWrap/>
                  <w:vAlign w:val="center"/>
                </w:tcPr>
                <w:p w14:paraId="223D6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220C07D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5B1F1D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A3CA5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596" w:type="dxa"/>
                  <w:tcBorders>
                    <w:tl2br w:val="nil"/>
                    <w:tr2bl w:val="nil"/>
                  </w:tcBorders>
                  <w:shd w:val="clear" w:color="auto" w:fill="auto"/>
                  <w:noWrap/>
                  <w:vAlign w:val="center"/>
                </w:tcPr>
                <w:p w14:paraId="7D5FF8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高速离心机</w:t>
                  </w:r>
                </w:p>
              </w:tc>
              <w:tc>
                <w:tcPr>
                  <w:tcW w:w="2308" w:type="dxa"/>
                  <w:tcBorders>
                    <w:tl2br w:val="nil"/>
                    <w:tr2bl w:val="nil"/>
                  </w:tcBorders>
                  <w:shd w:val="clear" w:color="auto" w:fill="auto"/>
                  <w:noWrap/>
                  <w:vAlign w:val="center"/>
                </w:tcPr>
                <w:p w14:paraId="2BCD62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TG-16</w:t>
                  </w:r>
                </w:p>
              </w:tc>
              <w:tc>
                <w:tcPr>
                  <w:tcW w:w="1512" w:type="dxa"/>
                  <w:tcBorders>
                    <w:tl2br w:val="nil"/>
                    <w:tr2bl w:val="nil"/>
                  </w:tcBorders>
                  <w:shd w:val="clear" w:color="auto" w:fill="auto"/>
                  <w:noWrap/>
                  <w:vAlign w:val="center"/>
                </w:tcPr>
                <w:p w14:paraId="28F778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5C61B4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45ADDF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3A81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2596" w:type="dxa"/>
                  <w:tcBorders>
                    <w:tl2br w:val="nil"/>
                    <w:tr2bl w:val="nil"/>
                  </w:tcBorders>
                  <w:shd w:val="clear" w:color="auto" w:fill="auto"/>
                  <w:noWrap/>
                  <w:vAlign w:val="center"/>
                </w:tcPr>
                <w:p w14:paraId="60D125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薄层色谱成像系统</w:t>
                  </w:r>
                </w:p>
              </w:tc>
              <w:tc>
                <w:tcPr>
                  <w:tcW w:w="2308" w:type="dxa"/>
                  <w:tcBorders>
                    <w:tl2br w:val="nil"/>
                    <w:tr2bl w:val="nil"/>
                  </w:tcBorders>
                  <w:shd w:val="clear" w:color="auto" w:fill="auto"/>
                  <w:noWrap/>
                  <w:vAlign w:val="center"/>
                </w:tcPr>
                <w:p w14:paraId="3FA0E6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ZY-600U</w:t>
                  </w:r>
                </w:p>
              </w:tc>
              <w:tc>
                <w:tcPr>
                  <w:tcW w:w="1512" w:type="dxa"/>
                  <w:tcBorders>
                    <w:tl2br w:val="nil"/>
                    <w:tr2bl w:val="nil"/>
                  </w:tcBorders>
                  <w:shd w:val="clear" w:color="auto" w:fill="auto"/>
                  <w:noWrap/>
                  <w:vAlign w:val="center"/>
                </w:tcPr>
                <w:p w14:paraId="46145C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6F533F7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BBE96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9ADCB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2596" w:type="dxa"/>
                  <w:tcBorders>
                    <w:tl2br w:val="nil"/>
                    <w:tr2bl w:val="nil"/>
                  </w:tcBorders>
                  <w:shd w:val="clear" w:color="auto" w:fill="auto"/>
                  <w:noWrap/>
                  <w:vAlign w:val="center"/>
                </w:tcPr>
                <w:p w14:paraId="04F7C8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生物显微镜</w:t>
                  </w:r>
                </w:p>
              </w:tc>
              <w:tc>
                <w:tcPr>
                  <w:tcW w:w="2308" w:type="dxa"/>
                  <w:tcBorders>
                    <w:tl2br w:val="nil"/>
                    <w:tr2bl w:val="nil"/>
                  </w:tcBorders>
                  <w:shd w:val="clear" w:color="auto" w:fill="auto"/>
                  <w:noWrap/>
                  <w:vAlign w:val="center"/>
                </w:tcPr>
                <w:p w14:paraId="6D1B59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DM1000LED</w:t>
                  </w:r>
                </w:p>
              </w:tc>
              <w:tc>
                <w:tcPr>
                  <w:tcW w:w="1512" w:type="dxa"/>
                  <w:tcBorders>
                    <w:tl2br w:val="nil"/>
                    <w:tr2bl w:val="nil"/>
                  </w:tcBorders>
                  <w:shd w:val="clear" w:color="auto" w:fill="auto"/>
                  <w:noWrap/>
                  <w:vAlign w:val="center"/>
                </w:tcPr>
                <w:p w14:paraId="6F294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242D99B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68A8FB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4F3F1E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17</w:t>
                  </w:r>
                </w:p>
              </w:tc>
              <w:tc>
                <w:tcPr>
                  <w:tcW w:w="2596" w:type="dxa"/>
                  <w:tcBorders>
                    <w:tl2br w:val="nil"/>
                    <w:tr2bl w:val="nil"/>
                  </w:tcBorders>
                  <w:shd w:val="clear" w:color="auto" w:fill="auto"/>
                  <w:noWrap/>
                  <w:vAlign w:val="center"/>
                </w:tcPr>
                <w:p w14:paraId="3F47E5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紫外可见分光光度计</w:t>
                  </w:r>
                </w:p>
              </w:tc>
              <w:tc>
                <w:tcPr>
                  <w:tcW w:w="2308" w:type="dxa"/>
                  <w:tcBorders>
                    <w:tl2br w:val="nil"/>
                    <w:tr2bl w:val="nil"/>
                  </w:tcBorders>
                  <w:shd w:val="clear" w:color="auto" w:fill="auto"/>
                  <w:noWrap/>
                  <w:vAlign w:val="center"/>
                </w:tcPr>
                <w:p w14:paraId="1A359C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UV2600i</w:t>
                  </w:r>
                </w:p>
              </w:tc>
              <w:tc>
                <w:tcPr>
                  <w:tcW w:w="1512" w:type="dxa"/>
                  <w:tcBorders>
                    <w:tl2br w:val="nil"/>
                    <w:tr2bl w:val="nil"/>
                  </w:tcBorders>
                  <w:shd w:val="clear" w:color="auto" w:fill="auto"/>
                  <w:noWrap/>
                  <w:vAlign w:val="center"/>
                </w:tcPr>
                <w:p w14:paraId="582E5F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736B5AE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6338BA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FC1D3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596" w:type="dxa"/>
                  <w:tcBorders>
                    <w:tl2br w:val="nil"/>
                    <w:tr2bl w:val="nil"/>
                  </w:tcBorders>
                  <w:shd w:val="clear" w:color="auto" w:fill="auto"/>
                  <w:noWrap/>
                  <w:vAlign w:val="center"/>
                </w:tcPr>
                <w:p w14:paraId="200CA0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压力机</w:t>
                  </w:r>
                </w:p>
              </w:tc>
              <w:tc>
                <w:tcPr>
                  <w:tcW w:w="2308" w:type="dxa"/>
                  <w:tcBorders>
                    <w:tl2br w:val="nil"/>
                    <w:tr2bl w:val="nil"/>
                  </w:tcBorders>
                  <w:shd w:val="clear" w:color="auto" w:fill="auto"/>
                  <w:noWrap/>
                  <w:vAlign w:val="center"/>
                </w:tcPr>
                <w:p w14:paraId="0175B9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1512" w:type="dxa"/>
                  <w:tcBorders>
                    <w:tl2br w:val="nil"/>
                    <w:tr2bl w:val="nil"/>
                  </w:tcBorders>
                  <w:shd w:val="clear" w:color="auto" w:fill="auto"/>
                  <w:noWrap/>
                  <w:vAlign w:val="center"/>
                </w:tcPr>
                <w:p w14:paraId="714840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w:t>
                  </w:r>
                </w:p>
              </w:tc>
              <w:tc>
                <w:tcPr>
                  <w:tcW w:w="1097" w:type="dxa"/>
                  <w:vMerge w:val="continue"/>
                  <w:tcBorders>
                    <w:tl2br w:val="nil"/>
                    <w:tr2bl w:val="nil"/>
                  </w:tcBorders>
                  <w:shd w:val="clear" w:color="auto" w:fill="auto"/>
                  <w:noWrap/>
                  <w:vAlign w:val="center"/>
                </w:tcPr>
                <w:p w14:paraId="4175523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0149C3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7" w:hRule="atLeast"/>
              </w:trPr>
              <w:tc>
                <w:tcPr>
                  <w:tcW w:w="875" w:type="dxa"/>
                  <w:tcBorders>
                    <w:tl2br w:val="nil"/>
                    <w:tr2bl w:val="nil"/>
                  </w:tcBorders>
                  <w:shd w:val="clear" w:color="auto" w:fill="auto"/>
                  <w:noWrap/>
                  <w:vAlign w:val="center"/>
                </w:tcPr>
                <w:p w14:paraId="7FE34C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19</w:t>
                  </w:r>
                </w:p>
              </w:tc>
              <w:tc>
                <w:tcPr>
                  <w:tcW w:w="2596" w:type="dxa"/>
                  <w:tcBorders>
                    <w:tl2br w:val="nil"/>
                    <w:tr2bl w:val="nil"/>
                  </w:tcBorders>
                  <w:shd w:val="clear" w:color="auto" w:fill="FFFFFF"/>
                  <w:noWrap/>
                  <w:vAlign w:val="center"/>
                </w:tcPr>
                <w:p w14:paraId="387DD2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十万分之一电子天平</w:t>
                  </w:r>
                </w:p>
              </w:tc>
              <w:tc>
                <w:tcPr>
                  <w:tcW w:w="2308" w:type="dxa"/>
                  <w:tcBorders>
                    <w:tl2br w:val="nil"/>
                    <w:tr2bl w:val="nil"/>
                  </w:tcBorders>
                  <w:shd w:val="clear" w:color="auto" w:fill="auto"/>
                  <w:noWrap/>
                  <w:vAlign w:val="center"/>
                </w:tcPr>
                <w:p w14:paraId="34EB19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PX85ZH(内校)</w:t>
                  </w:r>
                </w:p>
              </w:tc>
              <w:tc>
                <w:tcPr>
                  <w:tcW w:w="1512" w:type="dxa"/>
                  <w:tcBorders>
                    <w:tl2br w:val="nil"/>
                    <w:tr2bl w:val="nil"/>
                  </w:tcBorders>
                  <w:shd w:val="clear" w:color="auto" w:fill="auto"/>
                  <w:noWrap/>
                  <w:vAlign w:val="center"/>
                </w:tcPr>
                <w:p w14:paraId="6FD706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restart"/>
                  <w:tcBorders>
                    <w:tl2br w:val="nil"/>
                    <w:tr2bl w:val="nil"/>
                  </w:tcBorders>
                  <w:shd w:val="clear" w:color="auto" w:fill="auto"/>
                  <w:noWrap/>
                  <w:vAlign w:val="center"/>
                </w:tcPr>
                <w:p w14:paraId="4387FE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天平室</w:t>
                  </w:r>
                </w:p>
              </w:tc>
            </w:tr>
            <w:tr w14:paraId="53D589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BA2C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596" w:type="dxa"/>
                  <w:tcBorders>
                    <w:tl2br w:val="nil"/>
                    <w:tr2bl w:val="nil"/>
                  </w:tcBorders>
                  <w:shd w:val="clear" w:color="auto" w:fill="FFFFFF"/>
                  <w:noWrap/>
                  <w:vAlign w:val="center"/>
                </w:tcPr>
                <w:p w14:paraId="68E50B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千分之一电子天平</w:t>
                  </w:r>
                </w:p>
              </w:tc>
              <w:tc>
                <w:tcPr>
                  <w:tcW w:w="2308" w:type="dxa"/>
                  <w:tcBorders>
                    <w:tl2br w:val="nil"/>
                    <w:tr2bl w:val="nil"/>
                  </w:tcBorders>
                  <w:shd w:val="clear" w:color="auto" w:fill="auto"/>
                  <w:noWrap/>
                  <w:vAlign w:val="center"/>
                </w:tcPr>
                <w:p w14:paraId="227665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PX86ZH/E(外校)</w:t>
                  </w:r>
                </w:p>
              </w:tc>
              <w:tc>
                <w:tcPr>
                  <w:tcW w:w="1512" w:type="dxa"/>
                  <w:tcBorders>
                    <w:tl2br w:val="nil"/>
                    <w:tr2bl w:val="nil"/>
                  </w:tcBorders>
                  <w:shd w:val="clear" w:color="auto" w:fill="auto"/>
                  <w:noWrap/>
                  <w:vAlign w:val="center"/>
                </w:tcPr>
                <w:p w14:paraId="2C3833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26888EB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BF480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0461A9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21</w:t>
                  </w:r>
                </w:p>
              </w:tc>
              <w:tc>
                <w:tcPr>
                  <w:tcW w:w="2596" w:type="dxa"/>
                  <w:tcBorders>
                    <w:tl2br w:val="nil"/>
                    <w:tr2bl w:val="nil"/>
                  </w:tcBorders>
                  <w:shd w:val="clear" w:color="auto" w:fill="FFFFFF"/>
                  <w:noWrap/>
                  <w:vAlign w:val="center"/>
                </w:tcPr>
                <w:p w14:paraId="3FA9DE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百分之一电子天平</w:t>
                  </w:r>
                </w:p>
              </w:tc>
              <w:tc>
                <w:tcPr>
                  <w:tcW w:w="2308" w:type="dxa"/>
                  <w:tcBorders>
                    <w:tl2br w:val="nil"/>
                    <w:tr2bl w:val="nil"/>
                  </w:tcBorders>
                  <w:shd w:val="clear" w:color="auto" w:fill="auto"/>
                  <w:noWrap/>
                  <w:vAlign w:val="center"/>
                </w:tcPr>
                <w:p w14:paraId="21C9CB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NV422ZH称量</w:t>
                  </w:r>
                </w:p>
              </w:tc>
              <w:tc>
                <w:tcPr>
                  <w:tcW w:w="1512" w:type="dxa"/>
                  <w:tcBorders>
                    <w:tl2br w:val="nil"/>
                    <w:tr2bl w:val="nil"/>
                  </w:tcBorders>
                  <w:shd w:val="clear" w:color="auto" w:fill="auto"/>
                  <w:noWrap/>
                  <w:vAlign w:val="center"/>
                </w:tcPr>
                <w:p w14:paraId="3CC44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1AEBD9D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171536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B7C30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22</w:t>
                  </w:r>
                </w:p>
              </w:tc>
              <w:tc>
                <w:tcPr>
                  <w:tcW w:w="2596" w:type="dxa"/>
                  <w:tcBorders>
                    <w:tl2br w:val="nil"/>
                    <w:tr2bl w:val="nil"/>
                  </w:tcBorders>
                  <w:shd w:val="clear" w:color="auto" w:fill="auto"/>
                  <w:noWrap/>
                  <w:vAlign w:val="center"/>
                </w:tcPr>
                <w:p w14:paraId="0344B7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万分之一电子天平</w:t>
                  </w:r>
                </w:p>
              </w:tc>
              <w:tc>
                <w:tcPr>
                  <w:tcW w:w="2308" w:type="dxa"/>
                  <w:tcBorders>
                    <w:tl2br w:val="nil"/>
                    <w:tr2bl w:val="nil"/>
                  </w:tcBorders>
                  <w:shd w:val="clear" w:color="auto" w:fill="auto"/>
                  <w:noWrap/>
                  <w:vAlign w:val="center"/>
                </w:tcPr>
                <w:p w14:paraId="5C2C7F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ME204</w:t>
                  </w:r>
                </w:p>
              </w:tc>
              <w:tc>
                <w:tcPr>
                  <w:tcW w:w="1512" w:type="dxa"/>
                  <w:tcBorders>
                    <w:tl2br w:val="nil"/>
                    <w:tr2bl w:val="nil"/>
                  </w:tcBorders>
                  <w:shd w:val="clear" w:color="auto" w:fill="auto"/>
                  <w:noWrap/>
                  <w:vAlign w:val="center"/>
                </w:tcPr>
                <w:p w14:paraId="3F9D5C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6FA12AC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7D7925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40184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23</w:t>
                  </w:r>
                </w:p>
              </w:tc>
              <w:tc>
                <w:tcPr>
                  <w:tcW w:w="2596" w:type="dxa"/>
                  <w:tcBorders>
                    <w:tl2br w:val="nil"/>
                    <w:tr2bl w:val="nil"/>
                  </w:tcBorders>
                  <w:shd w:val="clear" w:color="auto" w:fill="auto"/>
                  <w:noWrap/>
                  <w:vAlign w:val="center"/>
                </w:tcPr>
                <w:p w14:paraId="473B72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百万分之一电子天平</w:t>
                  </w:r>
                </w:p>
              </w:tc>
              <w:tc>
                <w:tcPr>
                  <w:tcW w:w="2308" w:type="dxa"/>
                  <w:tcBorders>
                    <w:tl2br w:val="nil"/>
                    <w:tr2bl w:val="nil"/>
                  </w:tcBorders>
                  <w:shd w:val="clear" w:color="auto" w:fill="auto"/>
                  <w:noWrap/>
                  <w:vAlign w:val="center"/>
                </w:tcPr>
                <w:p w14:paraId="55EDD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XPR2</w:t>
                  </w:r>
                </w:p>
              </w:tc>
              <w:tc>
                <w:tcPr>
                  <w:tcW w:w="1512" w:type="dxa"/>
                  <w:tcBorders>
                    <w:tl2br w:val="nil"/>
                    <w:tr2bl w:val="nil"/>
                  </w:tcBorders>
                  <w:shd w:val="clear" w:color="auto" w:fill="auto"/>
                  <w:noWrap/>
                  <w:vAlign w:val="center"/>
                </w:tcPr>
                <w:p w14:paraId="589E54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16FC073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0CDEC9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73220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596" w:type="dxa"/>
                  <w:tcBorders>
                    <w:tl2br w:val="nil"/>
                    <w:tr2bl w:val="nil"/>
                  </w:tcBorders>
                  <w:shd w:val="clear" w:color="auto" w:fill="auto"/>
                  <w:noWrap/>
                  <w:vAlign w:val="center"/>
                </w:tcPr>
                <w:p w14:paraId="43C56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超高效液相色谱仪</w:t>
                  </w:r>
                </w:p>
              </w:tc>
              <w:tc>
                <w:tcPr>
                  <w:tcW w:w="2308" w:type="dxa"/>
                  <w:tcBorders>
                    <w:tl2br w:val="nil"/>
                    <w:tr2bl w:val="nil"/>
                  </w:tcBorders>
                  <w:shd w:val="clear" w:color="auto" w:fill="auto"/>
                  <w:vAlign w:val="center"/>
                </w:tcPr>
                <w:p w14:paraId="0A4AB3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1290DAD</w:t>
                  </w:r>
                </w:p>
              </w:tc>
              <w:tc>
                <w:tcPr>
                  <w:tcW w:w="1512" w:type="dxa"/>
                  <w:tcBorders>
                    <w:tl2br w:val="nil"/>
                    <w:tr2bl w:val="nil"/>
                  </w:tcBorders>
                  <w:shd w:val="clear" w:color="auto" w:fill="auto"/>
                  <w:noWrap/>
                  <w:vAlign w:val="center"/>
                </w:tcPr>
                <w:p w14:paraId="7B268D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restart"/>
                  <w:tcBorders>
                    <w:tl2br w:val="nil"/>
                    <w:tr2bl w:val="nil"/>
                  </w:tcBorders>
                  <w:shd w:val="clear" w:color="auto" w:fill="auto"/>
                  <w:noWrap/>
                  <w:vAlign w:val="center"/>
                </w:tcPr>
                <w:p w14:paraId="4E30D0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精密仪器室</w:t>
                  </w:r>
                </w:p>
              </w:tc>
            </w:tr>
            <w:tr w14:paraId="34E40E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3E29E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25</w:t>
                  </w:r>
                </w:p>
              </w:tc>
              <w:tc>
                <w:tcPr>
                  <w:tcW w:w="2596" w:type="dxa"/>
                  <w:tcBorders>
                    <w:tl2br w:val="nil"/>
                    <w:tr2bl w:val="nil"/>
                  </w:tcBorders>
                  <w:shd w:val="clear" w:color="auto" w:fill="auto"/>
                  <w:noWrap/>
                  <w:vAlign w:val="center"/>
                </w:tcPr>
                <w:p w14:paraId="524C80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超高效液相色谱仪</w:t>
                  </w:r>
                </w:p>
              </w:tc>
              <w:tc>
                <w:tcPr>
                  <w:tcW w:w="2308" w:type="dxa"/>
                  <w:tcBorders>
                    <w:tl2br w:val="nil"/>
                    <w:tr2bl w:val="nil"/>
                  </w:tcBorders>
                  <w:shd w:val="clear" w:color="auto" w:fill="auto"/>
                  <w:vAlign w:val="center"/>
                </w:tcPr>
                <w:p w14:paraId="2E574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1290VWD</w:t>
                  </w:r>
                </w:p>
              </w:tc>
              <w:tc>
                <w:tcPr>
                  <w:tcW w:w="1512" w:type="dxa"/>
                  <w:tcBorders>
                    <w:tl2br w:val="nil"/>
                    <w:tr2bl w:val="nil"/>
                  </w:tcBorders>
                  <w:shd w:val="clear" w:color="auto" w:fill="auto"/>
                  <w:noWrap/>
                  <w:vAlign w:val="center"/>
                </w:tcPr>
                <w:p w14:paraId="012634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43FAC7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6924EF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6F49B6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26</w:t>
                  </w:r>
                </w:p>
              </w:tc>
              <w:tc>
                <w:tcPr>
                  <w:tcW w:w="2596" w:type="dxa"/>
                  <w:tcBorders>
                    <w:tl2br w:val="nil"/>
                    <w:tr2bl w:val="nil"/>
                  </w:tcBorders>
                  <w:shd w:val="clear" w:color="auto" w:fill="auto"/>
                  <w:noWrap/>
                  <w:vAlign w:val="center"/>
                </w:tcPr>
                <w:p w14:paraId="2F5D0B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高效液相色谱仪</w:t>
                  </w:r>
                </w:p>
              </w:tc>
              <w:tc>
                <w:tcPr>
                  <w:tcW w:w="2308" w:type="dxa"/>
                  <w:tcBorders>
                    <w:tl2br w:val="nil"/>
                    <w:tr2bl w:val="nil"/>
                  </w:tcBorders>
                  <w:shd w:val="clear" w:color="auto" w:fill="auto"/>
                  <w:vAlign w:val="center"/>
                </w:tcPr>
                <w:p w14:paraId="2FA8BA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1260DAD</w:t>
                  </w:r>
                </w:p>
              </w:tc>
              <w:tc>
                <w:tcPr>
                  <w:tcW w:w="1512" w:type="dxa"/>
                  <w:tcBorders>
                    <w:tl2br w:val="nil"/>
                    <w:tr2bl w:val="nil"/>
                  </w:tcBorders>
                  <w:shd w:val="clear" w:color="auto" w:fill="auto"/>
                  <w:noWrap/>
                  <w:vAlign w:val="center"/>
                </w:tcPr>
                <w:p w14:paraId="62AF68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4D2689C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1F74DF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ED759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27</w:t>
                  </w:r>
                </w:p>
              </w:tc>
              <w:tc>
                <w:tcPr>
                  <w:tcW w:w="2596" w:type="dxa"/>
                  <w:tcBorders>
                    <w:tl2br w:val="nil"/>
                    <w:tr2bl w:val="nil"/>
                  </w:tcBorders>
                  <w:shd w:val="clear" w:color="auto" w:fill="auto"/>
                  <w:noWrap/>
                  <w:vAlign w:val="center"/>
                </w:tcPr>
                <w:p w14:paraId="30A4C1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高效液相色谱仪</w:t>
                  </w:r>
                </w:p>
              </w:tc>
              <w:tc>
                <w:tcPr>
                  <w:tcW w:w="2308" w:type="dxa"/>
                  <w:tcBorders>
                    <w:tl2br w:val="nil"/>
                    <w:tr2bl w:val="nil"/>
                  </w:tcBorders>
                  <w:shd w:val="clear" w:color="auto" w:fill="auto"/>
                  <w:vAlign w:val="center"/>
                </w:tcPr>
                <w:p w14:paraId="6312D8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1260VWD</w:t>
                  </w:r>
                </w:p>
              </w:tc>
              <w:tc>
                <w:tcPr>
                  <w:tcW w:w="1512" w:type="dxa"/>
                  <w:tcBorders>
                    <w:tl2br w:val="nil"/>
                    <w:tr2bl w:val="nil"/>
                  </w:tcBorders>
                  <w:shd w:val="clear" w:color="auto" w:fill="auto"/>
                  <w:noWrap/>
                  <w:vAlign w:val="center"/>
                </w:tcPr>
                <w:p w14:paraId="799DAE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E3F6D8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45800A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45B208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28</w:t>
                  </w:r>
                </w:p>
              </w:tc>
              <w:tc>
                <w:tcPr>
                  <w:tcW w:w="2596" w:type="dxa"/>
                  <w:tcBorders>
                    <w:tl2br w:val="nil"/>
                    <w:tr2bl w:val="nil"/>
                  </w:tcBorders>
                  <w:shd w:val="clear" w:color="auto" w:fill="auto"/>
                  <w:noWrap/>
                  <w:vAlign w:val="center"/>
                </w:tcPr>
                <w:p w14:paraId="2DA020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高效液相色谱仪</w:t>
                  </w:r>
                </w:p>
              </w:tc>
              <w:tc>
                <w:tcPr>
                  <w:tcW w:w="2308" w:type="dxa"/>
                  <w:tcBorders>
                    <w:tl2br w:val="nil"/>
                    <w:tr2bl w:val="nil"/>
                  </w:tcBorders>
                  <w:shd w:val="clear" w:color="auto" w:fill="auto"/>
                  <w:vAlign w:val="center"/>
                </w:tcPr>
                <w:p w14:paraId="33EDE0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1260InfinityⅡ</w:t>
                  </w:r>
                </w:p>
              </w:tc>
              <w:tc>
                <w:tcPr>
                  <w:tcW w:w="1512" w:type="dxa"/>
                  <w:tcBorders>
                    <w:tl2br w:val="nil"/>
                    <w:tr2bl w:val="nil"/>
                  </w:tcBorders>
                  <w:shd w:val="clear" w:color="auto" w:fill="auto"/>
                  <w:noWrap/>
                  <w:vAlign w:val="center"/>
                </w:tcPr>
                <w:p w14:paraId="4CF01C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035989C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0ECC27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CDCD2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29</w:t>
                  </w:r>
                </w:p>
              </w:tc>
              <w:tc>
                <w:tcPr>
                  <w:tcW w:w="2596" w:type="dxa"/>
                  <w:tcBorders>
                    <w:tl2br w:val="nil"/>
                    <w:tr2bl w:val="nil"/>
                  </w:tcBorders>
                  <w:shd w:val="clear" w:color="auto" w:fill="auto"/>
                  <w:noWrap/>
                  <w:vAlign w:val="center"/>
                </w:tcPr>
                <w:p w14:paraId="4F5FD4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高效液相色谱仪</w:t>
                  </w:r>
                </w:p>
              </w:tc>
              <w:tc>
                <w:tcPr>
                  <w:tcW w:w="2308" w:type="dxa"/>
                  <w:tcBorders>
                    <w:tl2br w:val="nil"/>
                    <w:tr2bl w:val="nil"/>
                  </w:tcBorders>
                  <w:shd w:val="clear" w:color="auto" w:fill="auto"/>
                  <w:vAlign w:val="center"/>
                </w:tcPr>
                <w:p w14:paraId="43C7E6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WatersArc2489</w:t>
                  </w:r>
                </w:p>
              </w:tc>
              <w:tc>
                <w:tcPr>
                  <w:tcW w:w="1512" w:type="dxa"/>
                  <w:tcBorders>
                    <w:tl2br w:val="nil"/>
                    <w:tr2bl w:val="nil"/>
                  </w:tcBorders>
                  <w:shd w:val="clear" w:color="auto" w:fill="auto"/>
                  <w:noWrap/>
                  <w:vAlign w:val="center"/>
                </w:tcPr>
                <w:p w14:paraId="4CA3F7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663DC6D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7F9A81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5A2FA7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30</w:t>
                  </w:r>
                </w:p>
              </w:tc>
              <w:tc>
                <w:tcPr>
                  <w:tcW w:w="2596" w:type="dxa"/>
                  <w:tcBorders>
                    <w:tl2br w:val="nil"/>
                    <w:tr2bl w:val="nil"/>
                  </w:tcBorders>
                  <w:shd w:val="clear" w:color="auto" w:fill="auto"/>
                  <w:noWrap/>
                  <w:vAlign w:val="center"/>
                </w:tcPr>
                <w:p w14:paraId="1C967D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超高效液相色谱仪</w:t>
                  </w:r>
                </w:p>
              </w:tc>
              <w:tc>
                <w:tcPr>
                  <w:tcW w:w="2308" w:type="dxa"/>
                  <w:tcBorders>
                    <w:tl2br w:val="nil"/>
                    <w:tr2bl w:val="nil"/>
                  </w:tcBorders>
                  <w:shd w:val="clear" w:color="auto" w:fill="auto"/>
                  <w:vAlign w:val="center"/>
                </w:tcPr>
                <w:p w14:paraId="034A80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ACQuityHCLASS</w:t>
                  </w:r>
                </w:p>
              </w:tc>
              <w:tc>
                <w:tcPr>
                  <w:tcW w:w="1512" w:type="dxa"/>
                  <w:tcBorders>
                    <w:tl2br w:val="nil"/>
                    <w:tr2bl w:val="nil"/>
                  </w:tcBorders>
                  <w:shd w:val="clear" w:color="auto" w:fill="auto"/>
                  <w:noWrap/>
                  <w:vAlign w:val="center"/>
                </w:tcPr>
                <w:p w14:paraId="0C7E51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7C07AED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4D69B4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5E3C1E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31</w:t>
                  </w:r>
                </w:p>
              </w:tc>
              <w:tc>
                <w:tcPr>
                  <w:tcW w:w="2596" w:type="dxa"/>
                  <w:tcBorders>
                    <w:tl2br w:val="nil"/>
                    <w:tr2bl w:val="nil"/>
                  </w:tcBorders>
                  <w:shd w:val="clear" w:color="auto" w:fill="auto"/>
                  <w:noWrap/>
                  <w:vAlign w:val="center"/>
                </w:tcPr>
                <w:p w14:paraId="3274E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调温电热套</w:t>
                  </w:r>
                </w:p>
              </w:tc>
              <w:tc>
                <w:tcPr>
                  <w:tcW w:w="2308" w:type="dxa"/>
                  <w:tcBorders>
                    <w:tl2br w:val="nil"/>
                    <w:tr2bl w:val="nil"/>
                  </w:tcBorders>
                  <w:shd w:val="clear" w:color="auto" w:fill="auto"/>
                  <w:noWrap/>
                  <w:vAlign w:val="center"/>
                </w:tcPr>
                <w:p w14:paraId="0A3135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100ML/数显</w:t>
                  </w:r>
                </w:p>
              </w:tc>
              <w:tc>
                <w:tcPr>
                  <w:tcW w:w="1512" w:type="dxa"/>
                  <w:tcBorders>
                    <w:tl2br w:val="nil"/>
                    <w:tr2bl w:val="nil"/>
                  </w:tcBorders>
                  <w:shd w:val="clear" w:color="auto" w:fill="auto"/>
                  <w:noWrap/>
                  <w:vAlign w:val="center"/>
                </w:tcPr>
                <w:p w14:paraId="74D8A6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restart"/>
                  <w:tcBorders>
                    <w:tl2br w:val="nil"/>
                    <w:tr2bl w:val="nil"/>
                  </w:tcBorders>
                  <w:shd w:val="clear" w:color="auto" w:fill="auto"/>
                  <w:noWrap/>
                  <w:vAlign w:val="center"/>
                </w:tcPr>
                <w:p w14:paraId="1A11DC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理化室</w:t>
                  </w:r>
                </w:p>
              </w:tc>
            </w:tr>
            <w:tr w14:paraId="3D21AB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0C6930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p>
              </w:tc>
              <w:tc>
                <w:tcPr>
                  <w:tcW w:w="2596" w:type="dxa"/>
                  <w:tcBorders>
                    <w:tl2br w:val="nil"/>
                    <w:tr2bl w:val="nil"/>
                  </w:tcBorders>
                  <w:shd w:val="clear" w:color="auto" w:fill="auto"/>
                  <w:noWrap/>
                  <w:vAlign w:val="center"/>
                </w:tcPr>
                <w:p w14:paraId="542667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玻璃仪器气流烘干器</w:t>
                  </w:r>
                </w:p>
              </w:tc>
              <w:tc>
                <w:tcPr>
                  <w:tcW w:w="2308" w:type="dxa"/>
                  <w:tcBorders>
                    <w:tl2br w:val="nil"/>
                    <w:tr2bl w:val="nil"/>
                  </w:tcBorders>
                  <w:shd w:val="clear" w:color="auto" w:fill="auto"/>
                  <w:noWrap/>
                  <w:vAlign w:val="center"/>
                </w:tcPr>
                <w:p w14:paraId="731297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30孔</w:t>
                  </w:r>
                </w:p>
              </w:tc>
              <w:tc>
                <w:tcPr>
                  <w:tcW w:w="1512" w:type="dxa"/>
                  <w:tcBorders>
                    <w:tl2br w:val="nil"/>
                    <w:tr2bl w:val="nil"/>
                  </w:tcBorders>
                  <w:shd w:val="clear" w:color="auto" w:fill="auto"/>
                  <w:noWrap/>
                  <w:vAlign w:val="center"/>
                </w:tcPr>
                <w:p w14:paraId="253D03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39CA335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397E6E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4379FA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33</w:t>
                  </w:r>
                </w:p>
              </w:tc>
              <w:tc>
                <w:tcPr>
                  <w:tcW w:w="2596" w:type="dxa"/>
                  <w:tcBorders>
                    <w:tl2br w:val="nil"/>
                    <w:tr2bl w:val="nil"/>
                  </w:tcBorders>
                  <w:shd w:val="clear" w:color="auto" w:fill="auto"/>
                  <w:noWrap/>
                  <w:vAlign w:val="center"/>
                </w:tcPr>
                <w:p w14:paraId="53F6EB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自动煎药陶瓷壶</w:t>
                  </w:r>
                </w:p>
              </w:tc>
              <w:tc>
                <w:tcPr>
                  <w:tcW w:w="2308" w:type="dxa"/>
                  <w:tcBorders>
                    <w:tl2br w:val="nil"/>
                    <w:tr2bl w:val="nil"/>
                  </w:tcBorders>
                  <w:shd w:val="clear" w:color="auto" w:fill="auto"/>
                  <w:noWrap/>
                  <w:vAlign w:val="center"/>
                </w:tcPr>
                <w:p w14:paraId="6C02B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4.5L</w:t>
                  </w:r>
                </w:p>
              </w:tc>
              <w:tc>
                <w:tcPr>
                  <w:tcW w:w="1512" w:type="dxa"/>
                  <w:tcBorders>
                    <w:tl2br w:val="nil"/>
                    <w:tr2bl w:val="nil"/>
                  </w:tcBorders>
                  <w:shd w:val="clear" w:color="auto" w:fill="auto"/>
                  <w:noWrap/>
                  <w:vAlign w:val="center"/>
                </w:tcPr>
                <w:p w14:paraId="3F0786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008AE1B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20061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BD1CB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34</w:t>
                  </w:r>
                </w:p>
              </w:tc>
              <w:tc>
                <w:tcPr>
                  <w:tcW w:w="2596" w:type="dxa"/>
                  <w:tcBorders>
                    <w:tl2br w:val="nil"/>
                    <w:tr2bl w:val="nil"/>
                  </w:tcBorders>
                  <w:shd w:val="clear" w:color="auto" w:fill="FFFFFF"/>
                  <w:noWrap/>
                  <w:vAlign w:val="center"/>
                </w:tcPr>
                <w:p w14:paraId="41E7E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医用冷藏冷冻箱</w:t>
                  </w:r>
                </w:p>
              </w:tc>
              <w:tc>
                <w:tcPr>
                  <w:tcW w:w="2308" w:type="dxa"/>
                  <w:tcBorders>
                    <w:tl2br w:val="nil"/>
                    <w:tr2bl w:val="nil"/>
                  </w:tcBorders>
                  <w:shd w:val="clear" w:color="auto" w:fill="auto"/>
                  <w:noWrap/>
                  <w:vAlign w:val="center"/>
                </w:tcPr>
                <w:p w14:paraId="323A2F97">
                  <w:pPr>
                    <w:keepNext w:val="0"/>
                    <w:keepLines w:val="0"/>
                    <w:pageBreakBefore w:val="0"/>
                    <w:widowControl/>
                    <w:kinsoku/>
                    <w:wordWrap/>
                    <w:overflowPunct/>
                    <w:topLinePunct w:val="0"/>
                    <w:autoSpaceDE/>
                    <w:autoSpaceDN/>
                    <w:bidi w:val="0"/>
                    <w:adjustRightInd/>
                    <w:snapToGrid/>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12" w:type="dxa"/>
                  <w:tcBorders>
                    <w:tl2br w:val="nil"/>
                    <w:tr2bl w:val="nil"/>
                  </w:tcBorders>
                  <w:shd w:val="clear" w:color="auto" w:fill="auto"/>
                  <w:noWrap/>
                  <w:vAlign w:val="center"/>
                </w:tcPr>
                <w:p w14:paraId="6F0AD5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7FB7C8B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02229B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A9621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35</w:t>
                  </w:r>
                </w:p>
              </w:tc>
              <w:tc>
                <w:tcPr>
                  <w:tcW w:w="2596" w:type="dxa"/>
                  <w:tcBorders>
                    <w:tl2br w:val="nil"/>
                    <w:tr2bl w:val="nil"/>
                  </w:tcBorders>
                  <w:shd w:val="clear" w:color="auto" w:fill="FFFFFF"/>
                  <w:noWrap/>
                  <w:vAlign w:val="center"/>
                </w:tcPr>
                <w:p w14:paraId="218839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医用冷藏柜</w:t>
                  </w:r>
                </w:p>
              </w:tc>
              <w:tc>
                <w:tcPr>
                  <w:tcW w:w="2308" w:type="dxa"/>
                  <w:tcBorders>
                    <w:tl2br w:val="nil"/>
                    <w:tr2bl w:val="nil"/>
                  </w:tcBorders>
                  <w:shd w:val="clear" w:color="auto" w:fill="auto"/>
                  <w:noWrap/>
                  <w:vAlign w:val="center"/>
                </w:tcPr>
                <w:p w14:paraId="22CDA0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YC-330</w:t>
                  </w:r>
                </w:p>
              </w:tc>
              <w:tc>
                <w:tcPr>
                  <w:tcW w:w="1512" w:type="dxa"/>
                  <w:tcBorders>
                    <w:tl2br w:val="nil"/>
                    <w:tr2bl w:val="nil"/>
                  </w:tcBorders>
                  <w:shd w:val="clear" w:color="auto" w:fill="auto"/>
                  <w:noWrap/>
                  <w:vAlign w:val="center"/>
                </w:tcPr>
                <w:p w14:paraId="3CD75F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4D23882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12471C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05AB8D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36</w:t>
                  </w:r>
                </w:p>
              </w:tc>
              <w:tc>
                <w:tcPr>
                  <w:tcW w:w="2596" w:type="dxa"/>
                  <w:tcBorders>
                    <w:tl2br w:val="nil"/>
                    <w:tr2bl w:val="nil"/>
                  </w:tcBorders>
                  <w:shd w:val="clear" w:color="auto" w:fill="auto"/>
                  <w:noWrap/>
                  <w:vAlign w:val="center"/>
                </w:tcPr>
                <w:p w14:paraId="0983AC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无油隔膜真空泵</w:t>
                  </w:r>
                </w:p>
              </w:tc>
              <w:tc>
                <w:tcPr>
                  <w:tcW w:w="2308" w:type="dxa"/>
                  <w:tcBorders>
                    <w:tl2br w:val="nil"/>
                    <w:tr2bl w:val="nil"/>
                  </w:tcBorders>
                  <w:shd w:val="clear" w:color="auto" w:fill="auto"/>
                  <w:noWrap/>
                  <w:vAlign w:val="center"/>
                </w:tcPr>
                <w:p w14:paraId="28DB50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GM-0.33A</w:t>
                  </w:r>
                </w:p>
              </w:tc>
              <w:tc>
                <w:tcPr>
                  <w:tcW w:w="1512" w:type="dxa"/>
                  <w:tcBorders>
                    <w:tl2br w:val="nil"/>
                    <w:tr2bl w:val="nil"/>
                  </w:tcBorders>
                  <w:shd w:val="clear" w:color="auto" w:fill="auto"/>
                  <w:noWrap/>
                  <w:vAlign w:val="center"/>
                </w:tcPr>
                <w:p w14:paraId="4B3323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FC4773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5D1B55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621B58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w:t>
                  </w:r>
                </w:p>
              </w:tc>
              <w:tc>
                <w:tcPr>
                  <w:tcW w:w="2596" w:type="dxa"/>
                  <w:tcBorders>
                    <w:tl2br w:val="nil"/>
                    <w:tr2bl w:val="nil"/>
                  </w:tcBorders>
                  <w:shd w:val="clear" w:color="auto" w:fill="auto"/>
                  <w:noWrap/>
                  <w:vAlign w:val="center"/>
                </w:tcPr>
                <w:p w14:paraId="7D70A8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电热恒温水浴锅</w:t>
                  </w:r>
                </w:p>
              </w:tc>
              <w:tc>
                <w:tcPr>
                  <w:tcW w:w="2308" w:type="dxa"/>
                  <w:tcBorders>
                    <w:tl2br w:val="nil"/>
                    <w:tr2bl w:val="nil"/>
                  </w:tcBorders>
                  <w:shd w:val="clear" w:color="auto" w:fill="auto"/>
                  <w:noWrap/>
                  <w:vAlign w:val="center"/>
                </w:tcPr>
                <w:p w14:paraId="796252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HH.S21-8</w:t>
                  </w:r>
                </w:p>
              </w:tc>
              <w:tc>
                <w:tcPr>
                  <w:tcW w:w="1512" w:type="dxa"/>
                  <w:tcBorders>
                    <w:tl2br w:val="nil"/>
                    <w:tr2bl w:val="nil"/>
                  </w:tcBorders>
                  <w:shd w:val="clear" w:color="auto" w:fill="auto"/>
                  <w:noWrap/>
                  <w:vAlign w:val="center"/>
                </w:tcPr>
                <w:p w14:paraId="109D02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35C11E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1CB7C0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DD8F7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38</w:t>
                  </w:r>
                </w:p>
              </w:tc>
              <w:tc>
                <w:tcPr>
                  <w:tcW w:w="2596" w:type="dxa"/>
                  <w:tcBorders>
                    <w:tl2br w:val="nil"/>
                    <w:tr2bl w:val="nil"/>
                  </w:tcBorders>
                  <w:shd w:val="clear" w:color="auto" w:fill="auto"/>
                  <w:noWrap/>
                  <w:vAlign w:val="center"/>
                </w:tcPr>
                <w:p w14:paraId="22D12F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电热恒温水浴锅</w:t>
                  </w:r>
                </w:p>
              </w:tc>
              <w:tc>
                <w:tcPr>
                  <w:tcW w:w="2308" w:type="dxa"/>
                  <w:tcBorders>
                    <w:tl2br w:val="nil"/>
                    <w:tr2bl w:val="nil"/>
                  </w:tcBorders>
                  <w:shd w:val="clear" w:color="auto" w:fill="auto"/>
                  <w:noWrap/>
                  <w:vAlign w:val="center"/>
                </w:tcPr>
                <w:p w14:paraId="67905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HH.S21-8</w:t>
                  </w:r>
                </w:p>
              </w:tc>
              <w:tc>
                <w:tcPr>
                  <w:tcW w:w="1512" w:type="dxa"/>
                  <w:tcBorders>
                    <w:tl2br w:val="nil"/>
                    <w:tr2bl w:val="nil"/>
                  </w:tcBorders>
                  <w:shd w:val="clear" w:color="auto" w:fill="auto"/>
                  <w:noWrap/>
                  <w:vAlign w:val="center"/>
                </w:tcPr>
                <w:p w14:paraId="1431DC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77D0AF9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0D5F0B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2B85B4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39</w:t>
                  </w:r>
                </w:p>
              </w:tc>
              <w:tc>
                <w:tcPr>
                  <w:tcW w:w="2596" w:type="dxa"/>
                  <w:tcBorders>
                    <w:tl2br w:val="nil"/>
                    <w:tr2bl w:val="nil"/>
                  </w:tcBorders>
                  <w:shd w:val="clear" w:color="auto" w:fill="auto"/>
                  <w:noWrap/>
                  <w:vAlign w:val="center"/>
                </w:tcPr>
                <w:p w14:paraId="7079E4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电热恒温水浴锅</w:t>
                  </w:r>
                </w:p>
              </w:tc>
              <w:tc>
                <w:tcPr>
                  <w:tcW w:w="2308" w:type="dxa"/>
                  <w:tcBorders>
                    <w:tl2br w:val="nil"/>
                    <w:tr2bl w:val="nil"/>
                  </w:tcBorders>
                  <w:shd w:val="clear" w:color="auto" w:fill="auto"/>
                  <w:noWrap/>
                  <w:vAlign w:val="center"/>
                </w:tcPr>
                <w:p w14:paraId="2E46B5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HH.S21-6</w:t>
                  </w:r>
                </w:p>
              </w:tc>
              <w:tc>
                <w:tcPr>
                  <w:tcW w:w="1512" w:type="dxa"/>
                  <w:tcBorders>
                    <w:tl2br w:val="nil"/>
                    <w:tr2bl w:val="nil"/>
                  </w:tcBorders>
                  <w:shd w:val="clear" w:color="auto" w:fill="auto"/>
                  <w:noWrap/>
                  <w:vAlign w:val="center"/>
                </w:tcPr>
                <w:p w14:paraId="01B5D0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796804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CB448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D4DB0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w:t>
                  </w:r>
                </w:p>
              </w:tc>
              <w:tc>
                <w:tcPr>
                  <w:tcW w:w="2596" w:type="dxa"/>
                  <w:tcBorders>
                    <w:tl2br w:val="nil"/>
                    <w:tr2bl w:val="nil"/>
                  </w:tcBorders>
                  <w:shd w:val="clear" w:color="auto" w:fill="auto"/>
                  <w:noWrap/>
                  <w:vAlign w:val="center"/>
                </w:tcPr>
                <w:p w14:paraId="78003C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超纯水系统</w:t>
                  </w:r>
                </w:p>
              </w:tc>
              <w:tc>
                <w:tcPr>
                  <w:tcW w:w="2308" w:type="dxa"/>
                  <w:tcBorders>
                    <w:tl2br w:val="nil"/>
                    <w:tr2bl w:val="nil"/>
                  </w:tcBorders>
                  <w:shd w:val="clear" w:color="auto" w:fill="auto"/>
                  <w:noWrap/>
                  <w:vAlign w:val="center"/>
                </w:tcPr>
                <w:p w14:paraId="217AD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EU40</w:t>
                  </w:r>
                </w:p>
              </w:tc>
              <w:tc>
                <w:tcPr>
                  <w:tcW w:w="1512" w:type="dxa"/>
                  <w:tcBorders>
                    <w:tl2br w:val="nil"/>
                    <w:tr2bl w:val="nil"/>
                  </w:tcBorders>
                  <w:shd w:val="clear" w:color="auto" w:fill="auto"/>
                  <w:noWrap/>
                  <w:vAlign w:val="center"/>
                </w:tcPr>
                <w:p w14:paraId="425CD1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6E6E966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619BB4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15D0AA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41</w:t>
                  </w:r>
                </w:p>
              </w:tc>
              <w:tc>
                <w:tcPr>
                  <w:tcW w:w="2596" w:type="dxa"/>
                  <w:tcBorders>
                    <w:tl2br w:val="nil"/>
                    <w:tr2bl w:val="nil"/>
                  </w:tcBorders>
                  <w:shd w:val="clear" w:color="auto" w:fill="auto"/>
                  <w:noWrap/>
                  <w:vAlign w:val="center"/>
                </w:tcPr>
                <w:p w14:paraId="3C84AC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超声波清洗器</w:t>
                  </w:r>
                </w:p>
              </w:tc>
              <w:tc>
                <w:tcPr>
                  <w:tcW w:w="2308" w:type="dxa"/>
                  <w:tcBorders>
                    <w:tl2br w:val="nil"/>
                    <w:tr2bl w:val="nil"/>
                  </w:tcBorders>
                  <w:shd w:val="clear" w:color="auto" w:fill="auto"/>
                  <w:noWrap/>
                  <w:vAlign w:val="center"/>
                </w:tcPr>
                <w:p w14:paraId="7BDD89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KS-5200XDS</w:t>
                  </w:r>
                </w:p>
              </w:tc>
              <w:tc>
                <w:tcPr>
                  <w:tcW w:w="1512" w:type="dxa"/>
                  <w:tcBorders>
                    <w:tl2br w:val="nil"/>
                    <w:tr2bl w:val="nil"/>
                  </w:tcBorders>
                  <w:shd w:val="clear" w:color="auto" w:fill="auto"/>
                  <w:noWrap/>
                  <w:vAlign w:val="center"/>
                </w:tcPr>
                <w:p w14:paraId="40A35F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0032951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EA305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7" w:hRule="atLeast"/>
              </w:trPr>
              <w:tc>
                <w:tcPr>
                  <w:tcW w:w="875" w:type="dxa"/>
                  <w:tcBorders>
                    <w:tl2br w:val="nil"/>
                    <w:tr2bl w:val="nil"/>
                  </w:tcBorders>
                  <w:shd w:val="clear" w:color="auto" w:fill="auto"/>
                  <w:noWrap/>
                  <w:vAlign w:val="center"/>
                </w:tcPr>
                <w:p w14:paraId="1EF42E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42</w:t>
                  </w:r>
                </w:p>
              </w:tc>
              <w:tc>
                <w:tcPr>
                  <w:tcW w:w="2596" w:type="dxa"/>
                  <w:tcBorders>
                    <w:tl2br w:val="nil"/>
                    <w:tr2bl w:val="nil"/>
                  </w:tcBorders>
                  <w:shd w:val="clear" w:color="auto" w:fill="auto"/>
                  <w:noWrap/>
                  <w:vAlign w:val="center"/>
                </w:tcPr>
                <w:p w14:paraId="71210D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静音型超声波清洗器</w:t>
                  </w:r>
                </w:p>
              </w:tc>
              <w:tc>
                <w:tcPr>
                  <w:tcW w:w="2308" w:type="dxa"/>
                  <w:tcBorders>
                    <w:tl2br w:val="nil"/>
                    <w:tr2bl w:val="nil"/>
                  </w:tcBorders>
                  <w:shd w:val="clear" w:color="auto" w:fill="auto"/>
                  <w:noWrap/>
                  <w:vAlign w:val="center"/>
                </w:tcPr>
                <w:p w14:paraId="744636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KQ-1000DM-Y</w:t>
                  </w:r>
                </w:p>
              </w:tc>
              <w:tc>
                <w:tcPr>
                  <w:tcW w:w="1512" w:type="dxa"/>
                  <w:tcBorders>
                    <w:tl2br w:val="nil"/>
                    <w:tr2bl w:val="nil"/>
                  </w:tcBorders>
                  <w:shd w:val="clear" w:color="auto" w:fill="auto"/>
                  <w:noWrap/>
                  <w:vAlign w:val="center"/>
                </w:tcPr>
                <w:p w14:paraId="34F7C0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4D4BB45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5B6B4D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7DC86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43</w:t>
                  </w:r>
                </w:p>
              </w:tc>
              <w:tc>
                <w:tcPr>
                  <w:tcW w:w="2596" w:type="dxa"/>
                  <w:tcBorders>
                    <w:tl2br w:val="nil"/>
                    <w:tr2bl w:val="nil"/>
                  </w:tcBorders>
                  <w:shd w:val="clear" w:color="auto" w:fill="auto"/>
                  <w:noWrap/>
                  <w:vAlign w:val="center"/>
                </w:tcPr>
                <w:p w14:paraId="0E4090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卤素水分测定仪</w:t>
                  </w:r>
                </w:p>
              </w:tc>
              <w:tc>
                <w:tcPr>
                  <w:tcW w:w="2308" w:type="dxa"/>
                  <w:tcBorders>
                    <w:tl2br w:val="nil"/>
                    <w:tr2bl w:val="nil"/>
                  </w:tcBorders>
                  <w:shd w:val="clear" w:color="auto" w:fill="auto"/>
                  <w:noWrap/>
                  <w:vAlign w:val="center"/>
                </w:tcPr>
                <w:p w14:paraId="54BDF9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XF-800MB</w:t>
                  </w:r>
                </w:p>
              </w:tc>
              <w:tc>
                <w:tcPr>
                  <w:tcW w:w="1512" w:type="dxa"/>
                  <w:tcBorders>
                    <w:tl2br w:val="nil"/>
                    <w:tr2bl w:val="nil"/>
                  </w:tcBorders>
                  <w:shd w:val="clear" w:color="auto" w:fill="auto"/>
                  <w:noWrap/>
                  <w:vAlign w:val="center"/>
                </w:tcPr>
                <w:p w14:paraId="4126AA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6752E0F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2E89E4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42628C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44</w:t>
                  </w:r>
                </w:p>
              </w:tc>
              <w:tc>
                <w:tcPr>
                  <w:tcW w:w="2596" w:type="dxa"/>
                  <w:tcBorders>
                    <w:tl2br w:val="nil"/>
                    <w:tr2bl w:val="nil"/>
                  </w:tcBorders>
                  <w:shd w:val="clear" w:color="auto" w:fill="auto"/>
                  <w:noWrap/>
                  <w:vAlign w:val="center"/>
                </w:tcPr>
                <w:p w14:paraId="22CFED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电子调温电热套</w:t>
                  </w:r>
                </w:p>
              </w:tc>
              <w:tc>
                <w:tcPr>
                  <w:tcW w:w="2308" w:type="dxa"/>
                  <w:tcBorders>
                    <w:tl2br w:val="nil"/>
                    <w:tr2bl w:val="nil"/>
                  </w:tcBorders>
                  <w:shd w:val="clear" w:color="auto" w:fill="auto"/>
                  <w:noWrap/>
                  <w:vAlign w:val="center"/>
                </w:tcPr>
                <w:p w14:paraId="4B512E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DZTM</w:t>
                  </w:r>
                </w:p>
              </w:tc>
              <w:tc>
                <w:tcPr>
                  <w:tcW w:w="1512" w:type="dxa"/>
                  <w:tcBorders>
                    <w:tl2br w:val="nil"/>
                    <w:tr2bl w:val="nil"/>
                  </w:tcBorders>
                  <w:shd w:val="clear" w:color="auto" w:fill="auto"/>
                  <w:noWrap/>
                  <w:vAlign w:val="center"/>
                </w:tcPr>
                <w:p w14:paraId="6426A2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097" w:type="dxa"/>
                  <w:vMerge w:val="continue"/>
                  <w:tcBorders>
                    <w:tl2br w:val="nil"/>
                    <w:tr2bl w:val="nil"/>
                  </w:tcBorders>
                  <w:shd w:val="clear" w:color="auto" w:fill="auto"/>
                  <w:noWrap/>
                  <w:vAlign w:val="center"/>
                </w:tcPr>
                <w:p w14:paraId="30559FF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46785D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67012F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w:t>
                  </w:r>
                </w:p>
              </w:tc>
              <w:tc>
                <w:tcPr>
                  <w:tcW w:w="2596" w:type="dxa"/>
                  <w:tcBorders>
                    <w:tl2br w:val="nil"/>
                    <w:tr2bl w:val="nil"/>
                  </w:tcBorders>
                  <w:shd w:val="clear" w:color="auto" w:fill="auto"/>
                  <w:noWrap/>
                  <w:vAlign w:val="center"/>
                </w:tcPr>
                <w:p w14:paraId="0F6524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手提式压力蒸汽灭菌器</w:t>
                  </w:r>
                </w:p>
              </w:tc>
              <w:tc>
                <w:tcPr>
                  <w:tcW w:w="2308" w:type="dxa"/>
                  <w:tcBorders>
                    <w:tl2br w:val="nil"/>
                    <w:tr2bl w:val="nil"/>
                  </w:tcBorders>
                  <w:shd w:val="clear" w:color="auto" w:fill="auto"/>
                  <w:noWrap/>
                  <w:vAlign w:val="center"/>
                </w:tcPr>
                <w:p w14:paraId="632D80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YX-18HDD</w:t>
                  </w:r>
                </w:p>
              </w:tc>
              <w:tc>
                <w:tcPr>
                  <w:tcW w:w="1512" w:type="dxa"/>
                  <w:tcBorders>
                    <w:tl2br w:val="nil"/>
                    <w:tr2bl w:val="nil"/>
                  </w:tcBorders>
                  <w:shd w:val="clear" w:color="auto" w:fill="auto"/>
                  <w:noWrap/>
                  <w:vAlign w:val="center"/>
                </w:tcPr>
                <w:p w14:paraId="07D990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21973A3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6C8095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5222A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46</w:t>
                  </w:r>
                </w:p>
              </w:tc>
              <w:tc>
                <w:tcPr>
                  <w:tcW w:w="2596" w:type="dxa"/>
                  <w:tcBorders>
                    <w:tl2br w:val="nil"/>
                    <w:tr2bl w:val="nil"/>
                  </w:tcBorders>
                  <w:shd w:val="clear" w:color="auto" w:fill="auto"/>
                  <w:noWrap/>
                  <w:vAlign w:val="center"/>
                </w:tcPr>
                <w:p w14:paraId="741FA3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静音型超声波清洗器</w:t>
                  </w:r>
                </w:p>
              </w:tc>
              <w:tc>
                <w:tcPr>
                  <w:tcW w:w="2308" w:type="dxa"/>
                  <w:tcBorders>
                    <w:tl2br w:val="nil"/>
                    <w:tr2bl w:val="nil"/>
                  </w:tcBorders>
                  <w:shd w:val="clear" w:color="auto" w:fill="auto"/>
                  <w:noWrap/>
                  <w:vAlign w:val="center"/>
                </w:tcPr>
                <w:p w14:paraId="020A97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KQ-1000SM-T</w:t>
                  </w:r>
                </w:p>
              </w:tc>
              <w:tc>
                <w:tcPr>
                  <w:tcW w:w="1512" w:type="dxa"/>
                  <w:tcBorders>
                    <w:tl2br w:val="nil"/>
                    <w:tr2bl w:val="nil"/>
                  </w:tcBorders>
                  <w:shd w:val="clear" w:color="auto" w:fill="auto"/>
                  <w:noWrap/>
                  <w:vAlign w:val="center"/>
                </w:tcPr>
                <w:p w14:paraId="329477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1F54306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r w14:paraId="7C6397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875" w:type="dxa"/>
                  <w:tcBorders>
                    <w:tl2br w:val="nil"/>
                    <w:tr2bl w:val="nil"/>
                  </w:tcBorders>
                  <w:shd w:val="clear" w:color="auto" w:fill="auto"/>
                  <w:noWrap/>
                  <w:vAlign w:val="center"/>
                </w:tcPr>
                <w:p w14:paraId="758545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47</w:t>
                  </w:r>
                </w:p>
              </w:tc>
              <w:tc>
                <w:tcPr>
                  <w:tcW w:w="2596" w:type="dxa"/>
                  <w:tcBorders>
                    <w:tl2br w:val="nil"/>
                    <w:tr2bl w:val="nil"/>
                  </w:tcBorders>
                  <w:shd w:val="clear" w:color="auto" w:fill="auto"/>
                  <w:noWrap/>
                  <w:vAlign w:val="center"/>
                </w:tcPr>
                <w:p w14:paraId="0AC15A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pH计</w:t>
                  </w:r>
                </w:p>
              </w:tc>
              <w:tc>
                <w:tcPr>
                  <w:tcW w:w="2308" w:type="dxa"/>
                  <w:tcBorders>
                    <w:tl2br w:val="nil"/>
                    <w:tr2bl w:val="nil"/>
                  </w:tcBorders>
                  <w:shd w:val="clear" w:color="auto" w:fill="auto"/>
                  <w:noWrap/>
                  <w:vAlign w:val="center"/>
                </w:tcPr>
                <w:p w14:paraId="56C673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SD20</w:t>
                  </w:r>
                </w:p>
              </w:tc>
              <w:tc>
                <w:tcPr>
                  <w:tcW w:w="1512" w:type="dxa"/>
                  <w:tcBorders>
                    <w:tl2br w:val="nil"/>
                    <w:tr2bl w:val="nil"/>
                  </w:tcBorders>
                  <w:shd w:val="clear" w:color="auto" w:fill="auto"/>
                  <w:noWrap/>
                  <w:vAlign w:val="center"/>
                </w:tcPr>
                <w:p w14:paraId="02AC13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97" w:type="dxa"/>
                  <w:vMerge w:val="continue"/>
                  <w:tcBorders>
                    <w:tl2br w:val="nil"/>
                    <w:tr2bl w:val="nil"/>
                  </w:tcBorders>
                  <w:shd w:val="clear" w:color="auto" w:fill="auto"/>
                  <w:noWrap/>
                  <w:vAlign w:val="center"/>
                </w:tcPr>
                <w:p w14:paraId="5802BD2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r>
          </w:tbl>
          <w:p w14:paraId="5FB6849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6</w:t>
            </w:r>
            <w:r>
              <w:rPr>
                <w:rFonts w:hint="default" w:ascii="Times New Roman" w:hAnsi="Times New Roman" w:cs="Times New Roman"/>
                <w:b/>
                <w:bCs/>
                <w:color w:val="auto"/>
                <w:sz w:val="24"/>
              </w:rPr>
              <w:t>、原辅料</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能源消耗</w:t>
            </w:r>
          </w:p>
          <w:p w14:paraId="59A404C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szCs w:val="24"/>
              </w:rPr>
              <w:t>本项目</w:t>
            </w:r>
            <w:r>
              <w:rPr>
                <w:rFonts w:hint="eastAsia" w:cs="Times New Roman"/>
                <w:bCs/>
                <w:color w:val="auto"/>
                <w:sz w:val="24"/>
                <w:szCs w:val="24"/>
                <w:lang w:val="en-US" w:eastAsia="zh-CN"/>
              </w:rPr>
              <w:t>试验的中药药材主要有人参、党参、黄芪、当归、丹参、杜仲、益母草、决明子、车前草、甘草、葛根、柴胡、金银花、天麻、西洋参、天麻、锁阳、蒲公英、灵芝等，年检测量约900kg。实验过程中使用的</w:t>
            </w:r>
            <w:r>
              <w:rPr>
                <w:rFonts w:hint="default" w:ascii="Times New Roman" w:hAnsi="Times New Roman" w:cs="Times New Roman"/>
                <w:bCs/>
                <w:color w:val="auto"/>
                <w:sz w:val="24"/>
                <w:szCs w:val="24"/>
              </w:rPr>
              <w:t>原辅材料及能源消耗见表2-</w:t>
            </w:r>
            <w:r>
              <w:rPr>
                <w:rFonts w:hint="default" w:ascii="Times New Roman" w:hAnsi="Times New Roman" w:cs="Times New Roman"/>
                <w:bCs/>
                <w:color w:val="auto"/>
                <w:sz w:val="24"/>
                <w:szCs w:val="24"/>
                <w:lang w:val="en-US" w:eastAsia="zh-CN"/>
              </w:rPr>
              <w:t>3</w:t>
            </w:r>
            <w:r>
              <w:rPr>
                <w:rFonts w:hint="default" w:ascii="Times New Roman" w:hAnsi="Times New Roman" w:cs="Times New Roman"/>
                <w:color w:val="auto"/>
                <w:sz w:val="24"/>
              </w:rPr>
              <w:t>。</w:t>
            </w:r>
          </w:p>
          <w:p w14:paraId="1A2D07B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color w:val="auto"/>
                <w:szCs w:val="21"/>
                <w:lang w:eastAsia="zh-CN"/>
              </w:rPr>
            </w:pPr>
            <w:r>
              <w:rPr>
                <w:rFonts w:hint="default" w:ascii="Times New Roman" w:hAnsi="Times New Roman" w:cs="Times New Roman"/>
                <w:b/>
                <w:color w:val="auto"/>
                <w:szCs w:val="21"/>
              </w:rPr>
              <w:t>表2-</w:t>
            </w:r>
            <w:r>
              <w:rPr>
                <w:rFonts w:hint="default" w:ascii="Times New Roman" w:hAnsi="Times New Roman" w:cs="Times New Roman"/>
                <w:b/>
                <w:color w:val="auto"/>
                <w:szCs w:val="21"/>
                <w:lang w:val="en-US" w:eastAsia="zh-CN"/>
              </w:rPr>
              <w:t>3</w:t>
            </w:r>
            <w:r>
              <w:rPr>
                <w:rFonts w:hint="eastAsia" w:cs="Times New Roman"/>
                <w:b/>
                <w:color w:val="auto"/>
                <w:szCs w:val="21"/>
                <w:lang w:val="en-US" w:eastAsia="zh-CN"/>
              </w:rPr>
              <w:t xml:space="preserve">  </w:t>
            </w:r>
            <w:r>
              <w:rPr>
                <w:rFonts w:hint="default" w:ascii="Times New Roman" w:hAnsi="Times New Roman" w:cs="Times New Roman"/>
                <w:b/>
                <w:color w:val="auto"/>
                <w:szCs w:val="21"/>
              </w:rPr>
              <w:t>项目主</w:t>
            </w:r>
            <w:r>
              <w:rPr>
                <w:rFonts w:hint="eastAsia" w:cs="Times New Roman"/>
                <w:b/>
                <w:color w:val="auto"/>
                <w:szCs w:val="21"/>
                <w:lang w:val="en-US" w:eastAsia="zh-CN"/>
              </w:rPr>
              <w:t>试验药品</w:t>
            </w:r>
            <w:r>
              <w:rPr>
                <w:rFonts w:hint="default" w:ascii="Times New Roman" w:hAnsi="Times New Roman" w:cs="Times New Roman"/>
                <w:b/>
                <w:color w:val="auto"/>
                <w:szCs w:val="21"/>
              </w:rPr>
              <w:t>用量及能源消耗</w:t>
            </w:r>
            <w:r>
              <w:rPr>
                <w:rFonts w:hint="default" w:ascii="Times New Roman" w:hAnsi="Times New Roman" w:cs="Times New Roman"/>
                <w:b/>
                <w:color w:val="auto"/>
                <w:szCs w:val="21"/>
                <w:lang w:eastAsia="zh-CN"/>
              </w:rPr>
              <w:t>表</w:t>
            </w:r>
          </w:p>
          <w:tbl>
            <w:tblPr>
              <w:tblStyle w:val="28"/>
              <w:tblW w:w="84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604"/>
              <w:gridCol w:w="1034"/>
              <w:gridCol w:w="1335"/>
              <w:gridCol w:w="1376"/>
              <w:gridCol w:w="1815"/>
              <w:gridCol w:w="1240"/>
            </w:tblGrid>
            <w:tr w14:paraId="22C3562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54" w:type="pct"/>
                  <w:tcBorders>
                    <w:tl2br w:val="nil"/>
                    <w:tr2bl w:val="nil"/>
                  </w:tcBorders>
                  <w:noWrap w:val="0"/>
                  <w:vAlign w:val="center"/>
                </w:tcPr>
                <w:p w14:paraId="50CD8E2D">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90"/>
                      <w:rFonts w:hint="default" w:ascii="Times New Roman" w:hAnsi="Times New Roman" w:cs="Times New Roman"/>
                      <w:color w:val="auto"/>
                      <w:sz w:val="21"/>
                      <w:szCs w:val="21"/>
                      <w:lang w:val="en-US" w:eastAsia="zh-CN" w:bidi="ar"/>
                    </w:rPr>
                  </w:pPr>
                  <w:bookmarkStart w:id="4" w:name="OLE_LINK6"/>
                  <w:r>
                    <w:rPr>
                      <w:rStyle w:val="90"/>
                      <w:rFonts w:hint="default" w:ascii="Times New Roman" w:hAnsi="Times New Roman" w:cs="Times New Roman"/>
                      <w:color w:val="auto"/>
                      <w:sz w:val="21"/>
                      <w:szCs w:val="21"/>
                      <w:lang w:val="en-US" w:eastAsia="zh-CN" w:bidi="ar"/>
                    </w:rPr>
                    <w:t>名称</w:t>
                  </w:r>
                </w:p>
              </w:tc>
              <w:tc>
                <w:tcPr>
                  <w:tcW w:w="615" w:type="pct"/>
                  <w:tcBorders>
                    <w:tl2br w:val="nil"/>
                    <w:tr2bl w:val="nil"/>
                  </w:tcBorders>
                  <w:noWrap w:val="0"/>
                  <w:vAlign w:val="center"/>
                </w:tcPr>
                <w:p w14:paraId="0DA6DD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等线" w:cs="Times New Roman"/>
                      <w:i w:val="0"/>
                      <w:iCs w:val="0"/>
                      <w:color w:val="auto"/>
                      <w:sz w:val="21"/>
                      <w:szCs w:val="21"/>
                      <w:u w:val="none"/>
                      <w:lang w:val="en-US" w:eastAsia="zh-CN"/>
                    </w:rPr>
                  </w:pPr>
                  <w:r>
                    <w:rPr>
                      <w:rStyle w:val="90"/>
                      <w:rFonts w:hint="eastAsia" w:ascii="Times New Roman" w:hAnsi="Times New Roman" w:cs="Times New Roman"/>
                      <w:color w:val="auto"/>
                      <w:sz w:val="21"/>
                      <w:szCs w:val="21"/>
                      <w:lang w:val="en-US" w:eastAsia="zh-CN" w:bidi="ar"/>
                    </w:rPr>
                    <w:t>单位</w:t>
                  </w:r>
                </w:p>
              </w:tc>
              <w:tc>
                <w:tcPr>
                  <w:tcW w:w="794" w:type="pct"/>
                  <w:tcBorders>
                    <w:tl2br w:val="nil"/>
                    <w:tr2bl w:val="nil"/>
                  </w:tcBorders>
                  <w:noWrap w:val="0"/>
                  <w:vAlign w:val="center"/>
                </w:tcPr>
                <w:p w14:paraId="3D6660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等线" w:cs="Times New Roman"/>
                      <w:i w:val="0"/>
                      <w:iCs w:val="0"/>
                      <w:color w:val="auto"/>
                      <w:sz w:val="21"/>
                      <w:szCs w:val="21"/>
                      <w:highlight w:val="none"/>
                      <w:u w:val="none"/>
                    </w:rPr>
                  </w:pPr>
                  <w:r>
                    <w:rPr>
                      <w:rStyle w:val="90"/>
                      <w:rFonts w:hint="eastAsia" w:cs="Times New Roman"/>
                      <w:color w:val="auto"/>
                      <w:sz w:val="21"/>
                      <w:szCs w:val="21"/>
                      <w:highlight w:val="none"/>
                      <w:lang w:val="en-US" w:eastAsia="zh-CN" w:bidi="ar"/>
                    </w:rPr>
                    <w:t>年</w:t>
                  </w:r>
                  <w:r>
                    <w:rPr>
                      <w:rStyle w:val="90"/>
                      <w:rFonts w:hint="default" w:ascii="Times New Roman" w:hAnsi="Times New Roman" w:cs="Times New Roman"/>
                      <w:color w:val="auto"/>
                      <w:sz w:val="21"/>
                      <w:szCs w:val="21"/>
                      <w:highlight w:val="none"/>
                      <w:lang w:val="en-US" w:eastAsia="zh-CN" w:bidi="ar"/>
                    </w:rPr>
                    <w:t>用量</w:t>
                  </w:r>
                </w:p>
              </w:tc>
              <w:tc>
                <w:tcPr>
                  <w:tcW w:w="818" w:type="pct"/>
                  <w:tcBorders>
                    <w:tl2br w:val="nil"/>
                    <w:tr2bl w:val="nil"/>
                  </w:tcBorders>
                  <w:noWrap w:val="0"/>
                  <w:vAlign w:val="center"/>
                </w:tcPr>
                <w:p w14:paraId="2032B3C8">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90"/>
                      <w:rFonts w:hint="default" w:ascii="Times New Roman" w:hAnsi="Times New Roman" w:cs="Times New Roman"/>
                      <w:i w:val="0"/>
                      <w:iCs w:val="0"/>
                      <w:color w:val="auto"/>
                      <w:sz w:val="21"/>
                      <w:szCs w:val="21"/>
                      <w:lang w:val="en-US" w:eastAsia="zh-CN" w:bidi="ar"/>
                    </w:rPr>
                  </w:pPr>
                  <w:r>
                    <w:rPr>
                      <w:rStyle w:val="90"/>
                      <w:rFonts w:hint="default" w:ascii="Times New Roman" w:hAnsi="Times New Roman" w:cs="Times New Roman"/>
                      <w:i w:val="0"/>
                      <w:iCs w:val="0"/>
                      <w:color w:val="auto"/>
                      <w:sz w:val="21"/>
                      <w:szCs w:val="21"/>
                      <w:lang w:val="en-US" w:eastAsia="zh-CN" w:bidi="ar"/>
                    </w:rPr>
                    <w:t>最大储存量</w:t>
                  </w:r>
                </w:p>
              </w:tc>
              <w:tc>
                <w:tcPr>
                  <w:tcW w:w="1079" w:type="pct"/>
                  <w:tcBorders>
                    <w:tl2br w:val="nil"/>
                    <w:tr2bl w:val="nil"/>
                  </w:tcBorders>
                  <w:shd w:val="clear" w:color="auto" w:fill="auto"/>
                  <w:noWrap w:val="0"/>
                  <w:vAlign w:val="center"/>
                </w:tcPr>
                <w:p w14:paraId="06951A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包装方式</w:t>
                  </w:r>
                  <w:r>
                    <w:rPr>
                      <w:rFonts w:hint="eastAsia" w:cs="Times New Roman"/>
                      <w:i w:val="0"/>
                      <w:iCs w:val="0"/>
                      <w:color w:val="auto"/>
                      <w:kern w:val="0"/>
                      <w:sz w:val="21"/>
                      <w:szCs w:val="21"/>
                      <w:u w:val="none"/>
                      <w:lang w:val="en-US" w:eastAsia="zh-CN" w:bidi="ar"/>
                    </w:rPr>
                    <w:t>、规格</w:t>
                  </w:r>
                </w:p>
              </w:tc>
              <w:tc>
                <w:tcPr>
                  <w:tcW w:w="737" w:type="pct"/>
                  <w:tcBorders>
                    <w:tl2br w:val="nil"/>
                    <w:tr2bl w:val="nil"/>
                  </w:tcBorders>
                  <w:noWrap w:val="0"/>
                  <w:vAlign w:val="center"/>
                </w:tcPr>
                <w:p w14:paraId="5644AAAE">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90"/>
                      <w:rFonts w:hint="default" w:ascii="Times New Roman" w:hAnsi="Times New Roman" w:cs="Times New Roman"/>
                      <w:i w:val="0"/>
                      <w:iCs w:val="0"/>
                      <w:color w:val="auto"/>
                      <w:sz w:val="21"/>
                      <w:szCs w:val="21"/>
                      <w:lang w:val="en-US" w:eastAsia="zh-CN" w:bidi="ar"/>
                    </w:rPr>
                  </w:pPr>
                  <w:r>
                    <w:rPr>
                      <w:rStyle w:val="90"/>
                      <w:rFonts w:hint="default" w:ascii="Times New Roman" w:hAnsi="Times New Roman" w:cs="Times New Roman"/>
                      <w:i w:val="0"/>
                      <w:iCs w:val="0"/>
                      <w:color w:val="auto"/>
                      <w:sz w:val="21"/>
                      <w:szCs w:val="21"/>
                      <w:lang w:val="en-US" w:eastAsia="zh-CN" w:bidi="ar"/>
                    </w:rPr>
                    <w:t>储存位置</w:t>
                  </w:r>
                </w:p>
              </w:tc>
            </w:tr>
            <w:tr w14:paraId="2F5206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47D2BC5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甲醇</w:t>
                  </w:r>
                </w:p>
              </w:tc>
              <w:tc>
                <w:tcPr>
                  <w:tcW w:w="615" w:type="pct"/>
                  <w:tcBorders>
                    <w:tl2br w:val="nil"/>
                    <w:tr2bl w:val="nil"/>
                  </w:tcBorders>
                  <w:noWrap w:val="0"/>
                  <w:vAlign w:val="center"/>
                </w:tcPr>
                <w:p w14:paraId="5351FA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1802CDE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260</w:t>
                  </w:r>
                </w:p>
              </w:tc>
              <w:tc>
                <w:tcPr>
                  <w:tcW w:w="818" w:type="pct"/>
                  <w:tcBorders>
                    <w:tl2br w:val="nil"/>
                    <w:tr2bl w:val="nil"/>
                  </w:tcBorders>
                  <w:noWrap w:val="0"/>
                  <w:vAlign w:val="center"/>
                </w:tcPr>
                <w:p w14:paraId="745088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079" w:type="pct"/>
                  <w:tcBorders>
                    <w:tl2br w:val="nil"/>
                    <w:tr2bl w:val="nil"/>
                  </w:tcBorders>
                  <w:shd w:val="clear" w:color="auto" w:fill="auto"/>
                  <w:noWrap w:val="0"/>
                  <w:vAlign w:val="center"/>
                </w:tcPr>
                <w:p w14:paraId="5E2BBBF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14A37A9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53A76D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100CD39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乙腈</w:t>
                  </w:r>
                </w:p>
              </w:tc>
              <w:tc>
                <w:tcPr>
                  <w:tcW w:w="615" w:type="pct"/>
                  <w:tcBorders>
                    <w:tl2br w:val="nil"/>
                    <w:tr2bl w:val="nil"/>
                  </w:tcBorders>
                  <w:noWrap w:val="0"/>
                  <w:vAlign w:val="center"/>
                </w:tcPr>
                <w:p w14:paraId="77322B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144676F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180</w:t>
                  </w:r>
                </w:p>
              </w:tc>
              <w:tc>
                <w:tcPr>
                  <w:tcW w:w="818" w:type="pct"/>
                  <w:tcBorders>
                    <w:tl2br w:val="nil"/>
                    <w:tr2bl w:val="nil"/>
                  </w:tcBorders>
                  <w:noWrap w:val="0"/>
                  <w:vAlign w:val="center"/>
                </w:tcPr>
                <w:p w14:paraId="4752869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079" w:type="pct"/>
                  <w:tcBorders>
                    <w:tl2br w:val="nil"/>
                    <w:tr2bl w:val="nil"/>
                  </w:tcBorders>
                  <w:shd w:val="clear" w:color="auto" w:fill="auto"/>
                  <w:noWrap w:val="0"/>
                  <w:vAlign w:val="center"/>
                </w:tcPr>
                <w:p w14:paraId="0AB845B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5623D64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6DA33E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54" w:type="pct"/>
                  <w:tcBorders>
                    <w:tl2br w:val="nil"/>
                    <w:tr2bl w:val="nil"/>
                  </w:tcBorders>
                  <w:noWrap w:val="0"/>
                  <w:vAlign w:val="center"/>
                </w:tcPr>
                <w:p w14:paraId="31FA990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磷酸</w:t>
                  </w:r>
                </w:p>
              </w:tc>
              <w:tc>
                <w:tcPr>
                  <w:tcW w:w="615" w:type="pct"/>
                  <w:tcBorders>
                    <w:tl2br w:val="nil"/>
                    <w:tr2bl w:val="nil"/>
                  </w:tcBorders>
                  <w:noWrap w:val="0"/>
                  <w:vAlign w:val="center"/>
                </w:tcPr>
                <w:p w14:paraId="0F037C0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630D6BA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5.25</w:t>
                  </w:r>
                </w:p>
              </w:tc>
              <w:tc>
                <w:tcPr>
                  <w:tcW w:w="818" w:type="pct"/>
                  <w:tcBorders>
                    <w:tl2br w:val="nil"/>
                    <w:tr2bl w:val="nil"/>
                  </w:tcBorders>
                  <w:noWrap w:val="0"/>
                  <w:vAlign w:val="center"/>
                </w:tcPr>
                <w:p w14:paraId="7F985BE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0.525</w:t>
                  </w:r>
                </w:p>
              </w:tc>
              <w:tc>
                <w:tcPr>
                  <w:tcW w:w="1079" w:type="pct"/>
                  <w:tcBorders>
                    <w:tl2br w:val="nil"/>
                    <w:tr2bl w:val="nil"/>
                  </w:tcBorders>
                  <w:shd w:val="clear" w:color="auto" w:fill="auto"/>
                  <w:noWrap w:val="0"/>
                  <w:vAlign w:val="center"/>
                </w:tcPr>
                <w:p w14:paraId="1B4C60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583B236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428F16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0D6BEA5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乙醇</w:t>
                  </w:r>
                  <w:r>
                    <w:rPr>
                      <w:rFonts w:hint="default" w:ascii="Times New Roman" w:hAnsi="Times New Roman" w:eastAsia="宋体" w:cs="Times New Roman"/>
                      <w:i w:val="0"/>
                      <w:iCs w:val="0"/>
                      <w:color w:val="auto"/>
                      <w:kern w:val="0"/>
                      <w:sz w:val="21"/>
                      <w:szCs w:val="21"/>
                      <w:u w:val="none"/>
                      <w:lang w:val="en-US" w:eastAsia="zh-CN" w:bidi="ar"/>
                    </w:rPr>
                    <w:t>95%</w:t>
                  </w:r>
                </w:p>
              </w:tc>
              <w:tc>
                <w:tcPr>
                  <w:tcW w:w="615" w:type="pct"/>
                  <w:tcBorders>
                    <w:tl2br w:val="nil"/>
                    <w:tr2bl w:val="nil"/>
                  </w:tcBorders>
                  <w:noWrap w:val="0"/>
                  <w:vAlign w:val="center"/>
                </w:tcPr>
                <w:p w14:paraId="76ED0B0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52B2AC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w:t>
                  </w:r>
                </w:p>
              </w:tc>
              <w:tc>
                <w:tcPr>
                  <w:tcW w:w="818" w:type="pct"/>
                  <w:tcBorders>
                    <w:tl2br w:val="nil"/>
                    <w:tr2bl w:val="nil"/>
                  </w:tcBorders>
                  <w:noWrap w:val="0"/>
                  <w:vAlign w:val="center"/>
                </w:tcPr>
                <w:p w14:paraId="1C81ED3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w:t>
                  </w:r>
                </w:p>
              </w:tc>
              <w:tc>
                <w:tcPr>
                  <w:tcW w:w="1079" w:type="pct"/>
                  <w:tcBorders>
                    <w:tl2br w:val="nil"/>
                    <w:tr2bl w:val="nil"/>
                  </w:tcBorders>
                  <w:shd w:val="clear" w:color="auto" w:fill="auto"/>
                  <w:noWrap w:val="0"/>
                  <w:vAlign w:val="center"/>
                </w:tcPr>
                <w:p w14:paraId="6C051A9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08C5B8B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0EDBEB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6244185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环己烷</w:t>
                  </w:r>
                </w:p>
              </w:tc>
              <w:tc>
                <w:tcPr>
                  <w:tcW w:w="615" w:type="pct"/>
                  <w:tcBorders>
                    <w:tl2br w:val="nil"/>
                    <w:tr2bl w:val="nil"/>
                  </w:tcBorders>
                  <w:noWrap w:val="0"/>
                  <w:vAlign w:val="center"/>
                </w:tcPr>
                <w:p w14:paraId="46495C1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27FE1DE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pct"/>
                  <w:tcBorders>
                    <w:tl2br w:val="nil"/>
                    <w:tr2bl w:val="nil"/>
                  </w:tcBorders>
                  <w:noWrap w:val="0"/>
                  <w:vAlign w:val="center"/>
                </w:tcPr>
                <w:p w14:paraId="34D7677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9" w:type="pct"/>
                  <w:tcBorders>
                    <w:tl2br w:val="nil"/>
                    <w:tr2bl w:val="nil"/>
                  </w:tcBorders>
                  <w:shd w:val="clear" w:color="auto" w:fill="auto"/>
                  <w:noWrap w:val="0"/>
                  <w:vAlign w:val="center"/>
                </w:tcPr>
                <w:p w14:paraId="252AFF0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367CA4A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3717A8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42324B5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正己烷</w:t>
                  </w:r>
                </w:p>
              </w:tc>
              <w:tc>
                <w:tcPr>
                  <w:tcW w:w="615" w:type="pct"/>
                  <w:tcBorders>
                    <w:tl2br w:val="nil"/>
                    <w:tr2bl w:val="nil"/>
                  </w:tcBorders>
                  <w:noWrap w:val="0"/>
                  <w:vAlign w:val="center"/>
                </w:tcPr>
                <w:p w14:paraId="7EE2394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3FA48A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pct"/>
                  <w:tcBorders>
                    <w:tl2br w:val="nil"/>
                    <w:tr2bl w:val="nil"/>
                  </w:tcBorders>
                  <w:noWrap w:val="0"/>
                  <w:vAlign w:val="center"/>
                </w:tcPr>
                <w:p w14:paraId="2B2C7C6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9" w:type="pct"/>
                  <w:tcBorders>
                    <w:tl2br w:val="nil"/>
                    <w:tr2bl w:val="nil"/>
                  </w:tcBorders>
                  <w:shd w:val="clear" w:color="auto" w:fill="auto"/>
                  <w:noWrap w:val="0"/>
                  <w:vAlign w:val="center"/>
                </w:tcPr>
                <w:p w14:paraId="2FE1153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0E565A4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051A04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6561CBC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乙酸乙酯</w:t>
                  </w:r>
                </w:p>
              </w:tc>
              <w:tc>
                <w:tcPr>
                  <w:tcW w:w="615" w:type="pct"/>
                  <w:tcBorders>
                    <w:tl2br w:val="nil"/>
                    <w:tr2bl w:val="nil"/>
                  </w:tcBorders>
                  <w:noWrap w:val="0"/>
                  <w:vAlign w:val="center"/>
                </w:tcPr>
                <w:p w14:paraId="3C50D20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4F176E5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pct"/>
                  <w:tcBorders>
                    <w:tl2br w:val="nil"/>
                    <w:tr2bl w:val="nil"/>
                  </w:tcBorders>
                  <w:noWrap w:val="0"/>
                  <w:vAlign w:val="center"/>
                </w:tcPr>
                <w:p w14:paraId="5BB91D9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9" w:type="pct"/>
                  <w:tcBorders>
                    <w:tl2br w:val="nil"/>
                    <w:tr2bl w:val="nil"/>
                  </w:tcBorders>
                  <w:shd w:val="clear" w:color="auto" w:fill="auto"/>
                  <w:noWrap w:val="0"/>
                  <w:vAlign w:val="center"/>
                </w:tcPr>
                <w:p w14:paraId="204BC74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45C76EA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7D62D5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2284A7F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碳酸氢钠</w:t>
                  </w:r>
                </w:p>
              </w:tc>
              <w:tc>
                <w:tcPr>
                  <w:tcW w:w="615" w:type="pct"/>
                  <w:tcBorders>
                    <w:tl2br w:val="nil"/>
                    <w:tr2bl w:val="nil"/>
                  </w:tcBorders>
                  <w:noWrap w:val="0"/>
                  <w:vAlign w:val="center"/>
                </w:tcPr>
                <w:p w14:paraId="1829F38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418D63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0.75</w:t>
                  </w:r>
                </w:p>
              </w:tc>
              <w:tc>
                <w:tcPr>
                  <w:tcW w:w="818" w:type="pct"/>
                  <w:tcBorders>
                    <w:tl2br w:val="nil"/>
                    <w:tr2bl w:val="nil"/>
                  </w:tcBorders>
                  <w:noWrap w:val="0"/>
                  <w:vAlign w:val="center"/>
                </w:tcPr>
                <w:p w14:paraId="09812D2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0.075</w:t>
                  </w:r>
                </w:p>
              </w:tc>
              <w:tc>
                <w:tcPr>
                  <w:tcW w:w="1079" w:type="pct"/>
                  <w:tcBorders>
                    <w:tl2br w:val="nil"/>
                    <w:tr2bl w:val="nil"/>
                  </w:tcBorders>
                  <w:shd w:val="clear" w:color="auto" w:fill="auto"/>
                  <w:noWrap w:val="0"/>
                  <w:vAlign w:val="center"/>
                </w:tcPr>
                <w:p w14:paraId="649574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2829633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04A77D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1E73029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甲酸</w:t>
                  </w:r>
                </w:p>
              </w:tc>
              <w:tc>
                <w:tcPr>
                  <w:tcW w:w="615" w:type="pct"/>
                  <w:tcBorders>
                    <w:tl2br w:val="nil"/>
                    <w:tr2bl w:val="nil"/>
                  </w:tcBorders>
                  <w:noWrap w:val="0"/>
                  <w:vAlign w:val="center"/>
                </w:tcPr>
                <w:p w14:paraId="2D64221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03B591A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pct"/>
                  <w:tcBorders>
                    <w:tl2br w:val="nil"/>
                    <w:tr2bl w:val="nil"/>
                  </w:tcBorders>
                  <w:noWrap w:val="0"/>
                  <w:vAlign w:val="center"/>
                </w:tcPr>
                <w:p w14:paraId="306F451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9" w:type="pct"/>
                  <w:tcBorders>
                    <w:tl2br w:val="nil"/>
                    <w:tr2bl w:val="nil"/>
                  </w:tcBorders>
                  <w:shd w:val="clear" w:color="auto" w:fill="auto"/>
                  <w:noWrap w:val="0"/>
                  <w:vAlign w:val="center"/>
                </w:tcPr>
                <w:p w14:paraId="6B3AAFA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670F966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74AA81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6F2F498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无水乙醇</w:t>
                  </w:r>
                </w:p>
              </w:tc>
              <w:tc>
                <w:tcPr>
                  <w:tcW w:w="615" w:type="pct"/>
                  <w:tcBorders>
                    <w:tl2br w:val="nil"/>
                    <w:tr2bl w:val="nil"/>
                  </w:tcBorders>
                  <w:noWrap w:val="0"/>
                  <w:vAlign w:val="center"/>
                </w:tcPr>
                <w:p w14:paraId="1FFF9E8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5203094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w:t>
                  </w:r>
                </w:p>
              </w:tc>
              <w:tc>
                <w:tcPr>
                  <w:tcW w:w="818" w:type="pct"/>
                  <w:tcBorders>
                    <w:tl2br w:val="nil"/>
                    <w:tr2bl w:val="nil"/>
                  </w:tcBorders>
                  <w:noWrap w:val="0"/>
                  <w:vAlign w:val="center"/>
                </w:tcPr>
                <w:p w14:paraId="4852FB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079" w:type="pct"/>
                  <w:tcBorders>
                    <w:tl2br w:val="nil"/>
                    <w:tr2bl w:val="nil"/>
                  </w:tcBorders>
                  <w:shd w:val="clear" w:color="auto" w:fill="auto"/>
                  <w:noWrap w:val="0"/>
                  <w:vAlign w:val="center"/>
                </w:tcPr>
                <w:p w14:paraId="0CF6417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117409F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77C7C0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49435963">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正丁醇</w:t>
                  </w:r>
                </w:p>
              </w:tc>
              <w:tc>
                <w:tcPr>
                  <w:tcW w:w="615" w:type="pct"/>
                  <w:tcBorders>
                    <w:tl2br w:val="nil"/>
                    <w:tr2bl w:val="nil"/>
                  </w:tcBorders>
                  <w:noWrap w:val="0"/>
                  <w:vAlign w:val="center"/>
                </w:tcPr>
                <w:p w14:paraId="06856A9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0D0AE1C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pct"/>
                  <w:tcBorders>
                    <w:tl2br w:val="nil"/>
                    <w:tr2bl w:val="nil"/>
                  </w:tcBorders>
                  <w:noWrap w:val="0"/>
                  <w:vAlign w:val="center"/>
                </w:tcPr>
                <w:p w14:paraId="4D3F405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9" w:type="pct"/>
                  <w:tcBorders>
                    <w:tl2br w:val="nil"/>
                    <w:tr2bl w:val="nil"/>
                  </w:tcBorders>
                  <w:shd w:val="clear" w:color="auto" w:fill="auto"/>
                  <w:noWrap w:val="0"/>
                  <w:vAlign w:val="center"/>
                </w:tcPr>
                <w:p w14:paraId="74746C8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1AC5E46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5C8EFC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0020CA29">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冰乙酸</w:t>
                  </w:r>
                </w:p>
              </w:tc>
              <w:tc>
                <w:tcPr>
                  <w:tcW w:w="615" w:type="pct"/>
                  <w:tcBorders>
                    <w:tl2br w:val="nil"/>
                    <w:tr2bl w:val="nil"/>
                  </w:tcBorders>
                  <w:noWrap w:val="0"/>
                  <w:vAlign w:val="center"/>
                </w:tcPr>
                <w:p w14:paraId="0E0203C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136305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w:t>
                  </w:r>
                </w:p>
              </w:tc>
              <w:tc>
                <w:tcPr>
                  <w:tcW w:w="818" w:type="pct"/>
                  <w:tcBorders>
                    <w:tl2br w:val="nil"/>
                    <w:tr2bl w:val="nil"/>
                  </w:tcBorders>
                  <w:noWrap w:val="0"/>
                  <w:vAlign w:val="center"/>
                </w:tcPr>
                <w:p w14:paraId="6C167C6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079" w:type="pct"/>
                  <w:tcBorders>
                    <w:tl2br w:val="nil"/>
                    <w:tr2bl w:val="nil"/>
                  </w:tcBorders>
                  <w:shd w:val="clear" w:color="auto" w:fill="auto"/>
                  <w:noWrap w:val="0"/>
                  <w:vAlign w:val="center"/>
                </w:tcPr>
                <w:p w14:paraId="7D6ED3B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363B3BC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636020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3D735C3D">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氨水</w:t>
                  </w:r>
                </w:p>
              </w:tc>
              <w:tc>
                <w:tcPr>
                  <w:tcW w:w="615" w:type="pct"/>
                  <w:tcBorders>
                    <w:tl2br w:val="nil"/>
                    <w:tr2bl w:val="nil"/>
                  </w:tcBorders>
                  <w:noWrap w:val="0"/>
                  <w:vAlign w:val="center"/>
                </w:tcPr>
                <w:p w14:paraId="77E2AD5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448F9FF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2.5</w:t>
                  </w:r>
                </w:p>
              </w:tc>
              <w:tc>
                <w:tcPr>
                  <w:tcW w:w="818" w:type="pct"/>
                  <w:tcBorders>
                    <w:tl2br w:val="nil"/>
                    <w:tr2bl w:val="nil"/>
                  </w:tcBorders>
                  <w:noWrap w:val="0"/>
                  <w:vAlign w:val="center"/>
                </w:tcPr>
                <w:p w14:paraId="55161E6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1079" w:type="pct"/>
                  <w:tcBorders>
                    <w:tl2br w:val="nil"/>
                    <w:tr2bl w:val="nil"/>
                  </w:tcBorders>
                  <w:shd w:val="clear" w:color="auto" w:fill="auto"/>
                  <w:noWrap w:val="0"/>
                  <w:vAlign w:val="center"/>
                </w:tcPr>
                <w:p w14:paraId="38B1464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130698E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647392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2FB3856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石油醚</w:t>
                  </w:r>
                  <w:r>
                    <w:rPr>
                      <w:rFonts w:hint="default" w:ascii="Times New Roman" w:hAnsi="Times New Roman" w:eastAsia="宋体" w:cs="Times New Roman"/>
                      <w:i w:val="0"/>
                      <w:iCs w:val="0"/>
                      <w:color w:val="auto"/>
                      <w:kern w:val="0"/>
                      <w:sz w:val="21"/>
                      <w:szCs w:val="21"/>
                      <w:u w:val="none"/>
                      <w:lang w:val="en-US" w:eastAsia="zh-CN" w:bidi="ar"/>
                    </w:rPr>
                    <w:t>60-90℃</w:t>
                  </w:r>
                </w:p>
              </w:tc>
              <w:tc>
                <w:tcPr>
                  <w:tcW w:w="615" w:type="pct"/>
                  <w:tcBorders>
                    <w:tl2br w:val="nil"/>
                    <w:tr2bl w:val="nil"/>
                  </w:tcBorders>
                  <w:noWrap w:val="0"/>
                  <w:vAlign w:val="center"/>
                </w:tcPr>
                <w:p w14:paraId="43DBC73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0C33856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1.25</w:t>
                  </w:r>
                </w:p>
              </w:tc>
              <w:tc>
                <w:tcPr>
                  <w:tcW w:w="818" w:type="pct"/>
                  <w:tcBorders>
                    <w:tl2br w:val="nil"/>
                    <w:tr2bl w:val="nil"/>
                  </w:tcBorders>
                  <w:noWrap w:val="0"/>
                  <w:vAlign w:val="center"/>
                </w:tcPr>
                <w:p w14:paraId="4636BB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0.125</w:t>
                  </w:r>
                </w:p>
              </w:tc>
              <w:tc>
                <w:tcPr>
                  <w:tcW w:w="1079" w:type="pct"/>
                  <w:tcBorders>
                    <w:tl2br w:val="nil"/>
                    <w:tr2bl w:val="nil"/>
                  </w:tcBorders>
                  <w:shd w:val="clear" w:color="auto" w:fill="auto"/>
                  <w:noWrap w:val="0"/>
                  <w:vAlign w:val="center"/>
                </w:tcPr>
                <w:p w14:paraId="492268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28949E6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6D9350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2355E6C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石油醚</w:t>
                  </w:r>
                  <w:r>
                    <w:rPr>
                      <w:rFonts w:hint="default" w:ascii="Times New Roman" w:hAnsi="Times New Roman" w:eastAsia="宋体" w:cs="Times New Roman"/>
                      <w:i w:val="0"/>
                      <w:iCs w:val="0"/>
                      <w:color w:val="auto"/>
                      <w:kern w:val="0"/>
                      <w:sz w:val="21"/>
                      <w:szCs w:val="21"/>
                      <w:u w:val="none"/>
                      <w:lang w:val="en-US" w:eastAsia="zh-CN" w:bidi="ar"/>
                    </w:rPr>
                    <w:t>30-60℃</w:t>
                  </w:r>
                </w:p>
              </w:tc>
              <w:tc>
                <w:tcPr>
                  <w:tcW w:w="615" w:type="pct"/>
                  <w:tcBorders>
                    <w:tl2br w:val="nil"/>
                    <w:tr2bl w:val="nil"/>
                  </w:tcBorders>
                  <w:noWrap w:val="0"/>
                  <w:vAlign w:val="center"/>
                </w:tcPr>
                <w:p w14:paraId="0BB014A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71F761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1.25</w:t>
                  </w:r>
                </w:p>
              </w:tc>
              <w:tc>
                <w:tcPr>
                  <w:tcW w:w="818" w:type="pct"/>
                  <w:tcBorders>
                    <w:tl2br w:val="nil"/>
                    <w:tr2bl w:val="nil"/>
                  </w:tcBorders>
                  <w:noWrap w:val="0"/>
                  <w:vAlign w:val="center"/>
                </w:tcPr>
                <w:p w14:paraId="13D86B6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0.125</w:t>
                  </w:r>
                </w:p>
              </w:tc>
              <w:tc>
                <w:tcPr>
                  <w:tcW w:w="1079" w:type="pct"/>
                  <w:tcBorders>
                    <w:tl2br w:val="nil"/>
                    <w:tr2bl w:val="nil"/>
                  </w:tcBorders>
                  <w:shd w:val="clear" w:color="auto" w:fill="auto"/>
                  <w:noWrap w:val="0"/>
                  <w:vAlign w:val="center"/>
                </w:tcPr>
                <w:p w14:paraId="5E3ECE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3EB884B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64A30E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342C21B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氢氧化钠</w:t>
                  </w:r>
                </w:p>
              </w:tc>
              <w:tc>
                <w:tcPr>
                  <w:tcW w:w="615" w:type="pct"/>
                  <w:tcBorders>
                    <w:tl2br w:val="nil"/>
                    <w:tr2bl w:val="nil"/>
                  </w:tcBorders>
                  <w:noWrap w:val="0"/>
                  <w:vAlign w:val="center"/>
                </w:tcPr>
                <w:p w14:paraId="76D046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5E4161E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w:t>
                  </w:r>
                </w:p>
              </w:tc>
              <w:tc>
                <w:tcPr>
                  <w:tcW w:w="818" w:type="pct"/>
                  <w:tcBorders>
                    <w:tl2br w:val="nil"/>
                    <w:tr2bl w:val="nil"/>
                  </w:tcBorders>
                  <w:noWrap w:val="0"/>
                  <w:vAlign w:val="center"/>
                </w:tcPr>
                <w:p w14:paraId="134EB79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0.15</w:t>
                  </w:r>
                </w:p>
              </w:tc>
              <w:tc>
                <w:tcPr>
                  <w:tcW w:w="1079" w:type="pct"/>
                  <w:tcBorders>
                    <w:tl2br w:val="nil"/>
                    <w:tr2bl w:val="nil"/>
                  </w:tcBorders>
                  <w:shd w:val="clear" w:color="auto" w:fill="auto"/>
                  <w:noWrap w:val="0"/>
                  <w:vAlign w:val="center"/>
                </w:tcPr>
                <w:p w14:paraId="1EAA81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6919631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2F5DEC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19DE6F1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硫酸钠，无水</w:t>
                  </w:r>
                </w:p>
              </w:tc>
              <w:tc>
                <w:tcPr>
                  <w:tcW w:w="615" w:type="pct"/>
                  <w:tcBorders>
                    <w:tl2br w:val="nil"/>
                    <w:tr2bl w:val="nil"/>
                  </w:tcBorders>
                  <w:noWrap w:val="0"/>
                  <w:vAlign w:val="center"/>
                </w:tcPr>
                <w:p w14:paraId="1891C0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14C699A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0.75</w:t>
                  </w:r>
                </w:p>
              </w:tc>
              <w:tc>
                <w:tcPr>
                  <w:tcW w:w="818" w:type="pct"/>
                  <w:tcBorders>
                    <w:tl2br w:val="nil"/>
                    <w:tr2bl w:val="nil"/>
                  </w:tcBorders>
                  <w:noWrap w:val="0"/>
                  <w:vAlign w:val="center"/>
                </w:tcPr>
                <w:p w14:paraId="343265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0.075</w:t>
                  </w:r>
                </w:p>
              </w:tc>
              <w:tc>
                <w:tcPr>
                  <w:tcW w:w="1079" w:type="pct"/>
                  <w:tcBorders>
                    <w:tl2br w:val="nil"/>
                    <w:tr2bl w:val="nil"/>
                  </w:tcBorders>
                  <w:shd w:val="clear" w:color="auto" w:fill="auto"/>
                  <w:noWrap w:val="0"/>
                  <w:vAlign w:val="center"/>
                </w:tcPr>
                <w:p w14:paraId="5C574D8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2444A9E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379BE5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215AF5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氯化钾</w:t>
                  </w:r>
                </w:p>
              </w:tc>
              <w:tc>
                <w:tcPr>
                  <w:tcW w:w="615" w:type="pct"/>
                  <w:tcBorders>
                    <w:tl2br w:val="nil"/>
                    <w:tr2bl w:val="nil"/>
                  </w:tcBorders>
                  <w:noWrap w:val="0"/>
                  <w:vAlign w:val="center"/>
                </w:tcPr>
                <w:p w14:paraId="4B723DC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14190D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w:t>
                  </w:r>
                </w:p>
              </w:tc>
              <w:tc>
                <w:tcPr>
                  <w:tcW w:w="818" w:type="pct"/>
                  <w:tcBorders>
                    <w:tl2br w:val="nil"/>
                    <w:tr2bl w:val="nil"/>
                  </w:tcBorders>
                  <w:noWrap w:val="0"/>
                  <w:vAlign w:val="center"/>
                </w:tcPr>
                <w:p w14:paraId="16F074F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79" w:type="pct"/>
                  <w:tcBorders>
                    <w:tl2br w:val="nil"/>
                    <w:tr2bl w:val="nil"/>
                  </w:tcBorders>
                  <w:shd w:val="clear" w:color="auto" w:fill="auto"/>
                  <w:noWrap w:val="0"/>
                  <w:vAlign w:val="center"/>
                </w:tcPr>
                <w:p w14:paraId="6847BE7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5BFBBB4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13D5D2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229103A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氯化铝，六水</w:t>
                  </w:r>
                </w:p>
              </w:tc>
              <w:tc>
                <w:tcPr>
                  <w:tcW w:w="615" w:type="pct"/>
                  <w:tcBorders>
                    <w:tl2br w:val="nil"/>
                    <w:tr2bl w:val="nil"/>
                  </w:tcBorders>
                  <w:noWrap w:val="0"/>
                  <w:vAlign w:val="center"/>
                </w:tcPr>
                <w:p w14:paraId="5C9897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7BCE9B3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818" w:type="pct"/>
                  <w:tcBorders>
                    <w:tl2br w:val="nil"/>
                    <w:tr2bl w:val="nil"/>
                  </w:tcBorders>
                  <w:noWrap w:val="0"/>
                  <w:vAlign w:val="center"/>
                </w:tcPr>
                <w:p w14:paraId="63C0A6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0.025</w:t>
                  </w:r>
                </w:p>
              </w:tc>
              <w:tc>
                <w:tcPr>
                  <w:tcW w:w="1079" w:type="pct"/>
                  <w:tcBorders>
                    <w:tl2br w:val="nil"/>
                    <w:tr2bl w:val="nil"/>
                  </w:tcBorders>
                  <w:shd w:val="clear" w:color="auto" w:fill="auto"/>
                  <w:noWrap w:val="0"/>
                  <w:vAlign w:val="center"/>
                </w:tcPr>
                <w:p w14:paraId="49B74FC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3028C18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7531E0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78EC2B0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磷酸二氢钾</w:t>
                  </w:r>
                </w:p>
              </w:tc>
              <w:tc>
                <w:tcPr>
                  <w:tcW w:w="615" w:type="pct"/>
                  <w:tcBorders>
                    <w:tl2br w:val="nil"/>
                    <w:tr2bl w:val="nil"/>
                  </w:tcBorders>
                  <w:noWrap w:val="0"/>
                  <w:vAlign w:val="center"/>
                </w:tcPr>
                <w:p w14:paraId="4825E0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3992E2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818" w:type="pct"/>
                  <w:tcBorders>
                    <w:tl2br w:val="nil"/>
                    <w:tr2bl w:val="nil"/>
                  </w:tcBorders>
                  <w:noWrap w:val="0"/>
                  <w:vAlign w:val="center"/>
                </w:tcPr>
                <w:p w14:paraId="5ED73AE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0.025</w:t>
                  </w:r>
                </w:p>
              </w:tc>
              <w:tc>
                <w:tcPr>
                  <w:tcW w:w="1079" w:type="pct"/>
                  <w:tcBorders>
                    <w:tl2br w:val="nil"/>
                    <w:tr2bl w:val="nil"/>
                  </w:tcBorders>
                  <w:shd w:val="clear" w:color="auto" w:fill="auto"/>
                  <w:noWrap w:val="0"/>
                  <w:vAlign w:val="center"/>
                </w:tcPr>
                <w:p w14:paraId="14728F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05B528C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755D59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59782DB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异丙醇</w:t>
                  </w:r>
                </w:p>
              </w:tc>
              <w:tc>
                <w:tcPr>
                  <w:tcW w:w="615" w:type="pct"/>
                  <w:tcBorders>
                    <w:tl2br w:val="nil"/>
                    <w:tr2bl w:val="nil"/>
                  </w:tcBorders>
                  <w:noWrap w:val="0"/>
                  <w:vAlign w:val="center"/>
                </w:tcPr>
                <w:p w14:paraId="2D6022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68DE2E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17.5</w:t>
                  </w:r>
                </w:p>
              </w:tc>
              <w:tc>
                <w:tcPr>
                  <w:tcW w:w="818" w:type="pct"/>
                  <w:tcBorders>
                    <w:tl2br w:val="nil"/>
                    <w:tr2bl w:val="nil"/>
                  </w:tcBorders>
                  <w:noWrap w:val="0"/>
                  <w:vAlign w:val="center"/>
                </w:tcPr>
                <w:p w14:paraId="54B4A4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1.725</w:t>
                  </w:r>
                </w:p>
              </w:tc>
              <w:tc>
                <w:tcPr>
                  <w:tcW w:w="1079" w:type="pct"/>
                  <w:tcBorders>
                    <w:tl2br w:val="nil"/>
                    <w:tr2bl w:val="nil"/>
                  </w:tcBorders>
                  <w:shd w:val="clear" w:color="auto" w:fill="auto"/>
                  <w:noWrap w:val="0"/>
                  <w:vAlign w:val="center"/>
                </w:tcPr>
                <w:p w14:paraId="3E457D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69945DF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7CAE23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1CA7D68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三乙胺</w:t>
                  </w:r>
                </w:p>
              </w:tc>
              <w:tc>
                <w:tcPr>
                  <w:tcW w:w="615" w:type="pct"/>
                  <w:tcBorders>
                    <w:tl2br w:val="nil"/>
                    <w:tr2bl w:val="nil"/>
                  </w:tcBorders>
                  <w:noWrap w:val="0"/>
                  <w:vAlign w:val="center"/>
                </w:tcPr>
                <w:p w14:paraId="01573D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04FD658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pct"/>
                  <w:tcBorders>
                    <w:tl2br w:val="nil"/>
                    <w:tr2bl w:val="nil"/>
                  </w:tcBorders>
                  <w:noWrap w:val="0"/>
                  <w:vAlign w:val="center"/>
                </w:tcPr>
                <w:p w14:paraId="7F2AC6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9" w:type="pct"/>
                  <w:tcBorders>
                    <w:tl2br w:val="nil"/>
                    <w:tr2bl w:val="nil"/>
                  </w:tcBorders>
                  <w:shd w:val="clear" w:color="auto" w:fill="auto"/>
                  <w:noWrap w:val="0"/>
                  <w:vAlign w:val="center"/>
                </w:tcPr>
                <w:p w14:paraId="77BA44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5934B71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594C58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6A6911F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氯化铵</w:t>
                  </w:r>
                </w:p>
              </w:tc>
              <w:tc>
                <w:tcPr>
                  <w:tcW w:w="615" w:type="pct"/>
                  <w:tcBorders>
                    <w:tl2br w:val="nil"/>
                    <w:tr2bl w:val="nil"/>
                  </w:tcBorders>
                  <w:noWrap w:val="0"/>
                  <w:vAlign w:val="center"/>
                </w:tcPr>
                <w:p w14:paraId="7CD400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33E223E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818" w:type="pct"/>
                  <w:tcBorders>
                    <w:tl2br w:val="nil"/>
                    <w:tr2bl w:val="nil"/>
                  </w:tcBorders>
                  <w:noWrap w:val="0"/>
                  <w:vAlign w:val="center"/>
                </w:tcPr>
                <w:p w14:paraId="19E926F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0.025</w:t>
                  </w:r>
                </w:p>
              </w:tc>
              <w:tc>
                <w:tcPr>
                  <w:tcW w:w="1079" w:type="pct"/>
                  <w:tcBorders>
                    <w:tl2br w:val="nil"/>
                    <w:tr2bl w:val="nil"/>
                  </w:tcBorders>
                  <w:shd w:val="clear" w:color="auto" w:fill="auto"/>
                  <w:noWrap w:val="0"/>
                  <w:vAlign w:val="center"/>
                </w:tcPr>
                <w:p w14:paraId="2EB78AD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2DC79BA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试剂室</w:t>
                  </w:r>
                </w:p>
              </w:tc>
            </w:tr>
            <w:tr w14:paraId="0759DE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1F40475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乙酸丁酯</w:t>
                  </w:r>
                </w:p>
              </w:tc>
              <w:tc>
                <w:tcPr>
                  <w:tcW w:w="615" w:type="pct"/>
                  <w:tcBorders>
                    <w:tl2br w:val="nil"/>
                    <w:tr2bl w:val="nil"/>
                  </w:tcBorders>
                  <w:noWrap w:val="0"/>
                  <w:vAlign w:val="center"/>
                </w:tcPr>
                <w:p w14:paraId="454E85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0863F6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w:t>
                  </w:r>
                </w:p>
              </w:tc>
              <w:tc>
                <w:tcPr>
                  <w:tcW w:w="818" w:type="pct"/>
                  <w:tcBorders>
                    <w:tl2br w:val="nil"/>
                    <w:tr2bl w:val="nil"/>
                  </w:tcBorders>
                  <w:noWrap w:val="0"/>
                  <w:vAlign w:val="center"/>
                </w:tcPr>
                <w:p w14:paraId="26FE2A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1079" w:type="pct"/>
                  <w:tcBorders>
                    <w:tl2br w:val="nil"/>
                    <w:tr2bl w:val="nil"/>
                  </w:tcBorders>
                  <w:shd w:val="clear" w:color="auto" w:fill="auto"/>
                  <w:noWrap w:val="0"/>
                  <w:vAlign w:val="center"/>
                </w:tcPr>
                <w:p w14:paraId="53B1860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343109C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6F4161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6CD93A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四氢呋喃</w:t>
                  </w:r>
                </w:p>
              </w:tc>
              <w:tc>
                <w:tcPr>
                  <w:tcW w:w="615" w:type="pct"/>
                  <w:tcBorders>
                    <w:tl2br w:val="nil"/>
                    <w:tr2bl w:val="nil"/>
                  </w:tcBorders>
                  <w:noWrap w:val="0"/>
                  <w:vAlign w:val="center"/>
                </w:tcPr>
                <w:p w14:paraId="5F6B3C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68553D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818" w:type="pct"/>
                  <w:tcBorders>
                    <w:tl2br w:val="nil"/>
                    <w:tr2bl w:val="nil"/>
                  </w:tcBorders>
                  <w:noWrap w:val="0"/>
                  <w:vAlign w:val="center"/>
                </w:tcPr>
                <w:p w14:paraId="149F3B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9" w:type="pct"/>
                  <w:tcBorders>
                    <w:tl2br w:val="nil"/>
                    <w:tr2bl w:val="nil"/>
                  </w:tcBorders>
                  <w:shd w:val="clear" w:color="auto" w:fill="auto"/>
                  <w:noWrap w:val="0"/>
                  <w:vAlign w:val="center"/>
                </w:tcPr>
                <w:p w14:paraId="65D9C9A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7AB6F16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1B4AEA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7373ED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丙三醇（甘油）</w:t>
                  </w:r>
                </w:p>
              </w:tc>
              <w:tc>
                <w:tcPr>
                  <w:tcW w:w="615" w:type="pct"/>
                  <w:tcBorders>
                    <w:tl2br w:val="nil"/>
                    <w:tr2bl w:val="nil"/>
                  </w:tcBorders>
                  <w:noWrap w:val="0"/>
                  <w:vAlign w:val="center"/>
                </w:tcPr>
                <w:p w14:paraId="5AD672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00C5DE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818" w:type="pct"/>
                  <w:tcBorders>
                    <w:tl2br w:val="nil"/>
                    <w:tr2bl w:val="nil"/>
                  </w:tcBorders>
                  <w:noWrap w:val="0"/>
                  <w:vAlign w:val="center"/>
                </w:tcPr>
                <w:p w14:paraId="7EE98B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79" w:type="pct"/>
                  <w:tcBorders>
                    <w:tl2br w:val="nil"/>
                    <w:tr2bl w:val="nil"/>
                  </w:tcBorders>
                  <w:shd w:val="clear" w:color="auto" w:fill="auto"/>
                  <w:noWrap w:val="0"/>
                  <w:vAlign w:val="center"/>
                </w:tcPr>
                <w:p w14:paraId="123668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2B53C7C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5FB9B2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3283DD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硝酸铝</w:t>
                  </w:r>
                </w:p>
              </w:tc>
              <w:tc>
                <w:tcPr>
                  <w:tcW w:w="615" w:type="pct"/>
                  <w:tcBorders>
                    <w:tl2br w:val="nil"/>
                    <w:tr2bl w:val="nil"/>
                  </w:tcBorders>
                  <w:noWrap w:val="0"/>
                  <w:vAlign w:val="center"/>
                </w:tcPr>
                <w:p w14:paraId="6C5D70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7C4A01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818" w:type="pct"/>
                  <w:tcBorders>
                    <w:tl2br w:val="nil"/>
                    <w:tr2bl w:val="nil"/>
                  </w:tcBorders>
                  <w:noWrap w:val="0"/>
                  <w:vAlign w:val="center"/>
                </w:tcPr>
                <w:p w14:paraId="1B19A4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79" w:type="pct"/>
                  <w:tcBorders>
                    <w:tl2br w:val="nil"/>
                    <w:tr2bl w:val="nil"/>
                  </w:tcBorders>
                  <w:shd w:val="clear" w:color="auto" w:fill="auto"/>
                  <w:noWrap w:val="0"/>
                  <w:vAlign w:val="center"/>
                </w:tcPr>
                <w:p w14:paraId="6ADC08D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47713A8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78F31F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09EE5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碘化钾</w:t>
                  </w:r>
                </w:p>
              </w:tc>
              <w:tc>
                <w:tcPr>
                  <w:tcW w:w="615" w:type="pct"/>
                  <w:tcBorders>
                    <w:tl2br w:val="nil"/>
                    <w:tr2bl w:val="nil"/>
                  </w:tcBorders>
                  <w:noWrap w:val="0"/>
                  <w:vAlign w:val="center"/>
                </w:tcPr>
                <w:p w14:paraId="4293B3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574C5A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818" w:type="pct"/>
                  <w:tcBorders>
                    <w:tl2br w:val="nil"/>
                    <w:tr2bl w:val="nil"/>
                  </w:tcBorders>
                  <w:noWrap w:val="0"/>
                  <w:vAlign w:val="center"/>
                </w:tcPr>
                <w:p w14:paraId="7458C1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79" w:type="pct"/>
                  <w:tcBorders>
                    <w:tl2br w:val="nil"/>
                    <w:tr2bl w:val="nil"/>
                  </w:tcBorders>
                  <w:shd w:val="clear" w:color="auto" w:fill="auto"/>
                  <w:noWrap w:val="0"/>
                  <w:vAlign w:val="center"/>
                </w:tcPr>
                <w:p w14:paraId="7EEF29A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34017AE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2A93F9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7FAACD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氯化铝，无水</w:t>
                  </w:r>
                </w:p>
              </w:tc>
              <w:tc>
                <w:tcPr>
                  <w:tcW w:w="615" w:type="pct"/>
                  <w:tcBorders>
                    <w:tl2br w:val="nil"/>
                    <w:tr2bl w:val="nil"/>
                  </w:tcBorders>
                  <w:noWrap w:val="0"/>
                  <w:vAlign w:val="center"/>
                </w:tcPr>
                <w:p w14:paraId="1001FE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545A29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0.75</w:t>
                  </w:r>
                </w:p>
              </w:tc>
              <w:tc>
                <w:tcPr>
                  <w:tcW w:w="818" w:type="pct"/>
                  <w:tcBorders>
                    <w:tl2br w:val="nil"/>
                    <w:tr2bl w:val="nil"/>
                  </w:tcBorders>
                  <w:noWrap w:val="0"/>
                  <w:vAlign w:val="center"/>
                </w:tcPr>
                <w:p w14:paraId="564AF7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0.075</w:t>
                  </w:r>
                </w:p>
              </w:tc>
              <w:tc>
                <w:tcPr>
                  <w:tcW w:w="1079" w:type="pct"/>
                  <w:tcBorders>
                    <w:tl2br w:val="nil"/>
                    <w:tr2bl w:val="nil"/>
                  </w:tcBorders>
                  <w:shd w:val="clear" w:color="auto" w:fill="auto"/>
                  <w:noWrap w:val="0"/>
                  <w:vAlign w:val="center"/>
                </w:tcPr>
                <w:p w14:paraId="71F212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6C2E8D9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6EA255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3119F8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过氧化氢</w:t>
                  </w:r>
                </w:p>
              </w:tc>
              <w:tc>
                <w:tcPr>
                  <w:tcW w:w="615" w:type="pct"/>
                  <w:tcBorders>
                    <w:tl2br w:val="nil"/>
                    <w:tr2bl w:val="nil"/>
                  </w:tcBorders>
                  <w:noWrap w:val="0"/>
                  <w:vAlign w:val="center"/>
                </w:tcPr>
                <w:p w14:paraId="7A8925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252F41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2.5</w:t>
                  </w:r>
                </w:p>
              </w:tc>
              <w:tc>
                <w:tcPr>
                  <w:tcW w:w="818" w:type="pct"/>
                  <w:tcBorders>
                    <w:tl2br w:val="nil"/>
                    <w:tr2bl w:val="nil"/>
                  </w:tcBorders>
                  <w:noWrap w:val="0"/>
                  <w:vAlign w:val="center"/>
                </w:tcPr>
                <w:p w14:paraId="4AD3AF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1079" w:type="pct"/>
                  <w:tcBorders>
                    <w:tl2br w:val="nil"/>
                    <w:tr2bl w:val="nil"/>
                  </w:tcBorders>
                  <w:shd w:val="clear" w:color="auto" w:fill="auto"/>
                  <w:noWrap w:val="0"/>
                  <w:vAlign w:val="center"/>
                </w:tcPr>
                <w:p w14:paraId="6A5AB8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22F8413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2384B7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123ED6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甲酸乙酯</w:t>
                  </w:r>
                </w:p>
              </w:tc>
              <w:tc>
                <w:tcPr>
                  <w:tcW w:w="615" w:type="pct"/>
                  <w:tcBorders>
                    <w:tl2br w:val="nil"/>
                    <w:tr2bl w:val="nil"/>
                  </w:tcBorders>
                  <w:noWrap w:val="0"/>
                  <w:vAlign w:val="center"/>
                </w:tcPr>
                <w:p w14:paraId="37D409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67FD24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1.25</w:t>
                  </w:r>
                </w:p>
              </w:tc>
              <w:tc>
                <w:tcPr>
                  <w:tcW w:w="818" w:type="pct"/>
                  <w:tcBorders>
                    <w:tl2br w:val="nil"/>
                    <w:tr2bl w:val="nil"/>
                  </w:tcBorders>
                  <w:noWrap w:val="0"/>
                  <w:vAlign w:val="center"/>
                </w:tcPr>
                <w:p w14:paraId="1CBE35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0.125</w:t>
                  </w:r>
                </w:p>
              </w:tc>
              <w:tc>
                <w:tcPr>
                  <w:tcW w:w="1079" w:type="pct"/>
                  <w:tcBorders>
                    <w:tl2br w:val="nil"/>
                    <w:tr2bl w:val="nil"/>
                  </w:tcBorders>
                  <w:shd w:val="clear" w:color="auto" w:fill="auto"/>
                  <w:noWrap w:val="0"/>
                  <w:vAlign w:val="center"/>
                </w:tcPr>
                <w:p w14:paraId="19EF74F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3F9AFE8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01543F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703FE5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三氟乙酸</w:t>
                  </w:r>
                </w:p>
              </w:tc>
              <w:tc>
                <w:tcPr>
                  <w:tcW w:w="615" w:type="pct"/>
                  <w:tcBorders>
                    <w:tl2br w:val="nil"/>
                    <w:tr2bl w:val="nil"/>
                  </w:tcBorders>
                  <w:noWrap w:val="0"/>
                  <w:vAlign w:val="center"/>
                </w:tcPr>
                <w:p w14:paraId="3494D4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L</w:t>
                  </w:r>
                </w:p>
              </w:tc>
              <w:tc>
                <w:tcPr>
                  <w:tcW w:w="794" w:type="pct"/>
                  <w:tcBorders>
                    <w:tl2br w:val="nil"/>
                    <w:tr2bl w:val="nil"/>
                  </w:tcBorders>
                  <w:noWrap w:val="0"/>
                  <w:vAlign w:val="center"/>
                </w:tcPr>
                <w:p w14:paraId="04BE00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818" w:type="pct"/>
                  <w:tcBorders>
                    <w:tl2br w:val="nil"/>
                    <w:tr2bl w:val="nil"/>
                  </w:tcBorders>
                  <w:noWrap w:val="0"/>
                  <w:vAlign w:val="center"/>
                </w:tcPr>
                <w:p w14:paraId="0246DE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79" w:type="pct"/>
                  <w:tcBorders>
                    <w:tl2br w:val="nil"/>
                    <w:tr2bl w:val="nil"/>
                  </w:tcBorders>
                  <w:shd w:val="clear" w:color="auto" w:fill="auto"/>
                  <w:noWrap w:val="0"/>
                  <w:vAlign w:val="center"/>
                </w:tcPr>
                <w:p w14:paraId="430BD9B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1L/</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4A11777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5DCB07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604F0AA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D101</w:t>
                  </w:r>
                  <w:r>
                    <w:rPr>
                      <w:rFonts w:hint="eastAsia" w:ascii="宋体" w:hAnsi="宋体" w:eastAsia="宋体" w:cs="宋体"/>
                      <w:i w:val="0"/>
                      <w:iCs w:val="0"/>
                      <w:color w:val="auto"/>
                      <w:kern w:val="0"/>
                      <w:sz w:val="21"/>
                      <w:szCs w:val="21"/>
                      <w:u w:val="none"/>
                      <w:lang w:val="en-US" w:eastAsia="zh-CN" w:bidi="ar"/>
                    </w:rPr>
                    <w:t>吸附树脂</w:t>
                  </w:r>
                </w:p>
              </w:tc>
              <w:tc>
                <w:tcPr>
                  <w:tcW w:w="615" w:type="pct"/>
                  <w:tcBorders>
                    <w:tl2br w:val="nil"/>
                    <w:tr2bl w:val="nil"/>
                  </w:tcBorders>
                  <w:noWrap w:val="0"/>
                  <w:vAlign w:val="center"/>
                </w:tcPr>
                <w:p w14:paraId="1A99B1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7A0526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818" w:type="pct"/>
                  <w:tcBorders>
                    <w:tl2br w:val="nil"/>
                    <w:tr2bl w:val="nil"/>
                  </w:tcBorders>
                  <w:noWrap w:val="0"/>
                  <w:vAlign w:val="center"/>
                </w:tcPr>
                <w:p w14:paraId="4D4998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79" w:type="pct"/>
                  <w:tcBorders>
                    <w:tl2br w:val="nil"/>
                    <w:tr2bl w:val="nil"/>
                  </w:tcBorders>
                  <w:shd w:val="clear" w:color="auto" w:fill="auto"/>
                  <w:noWrap w:val="0"/>
                  <w:vAlign w:val="center"/>
                </w:tcPr>
                <w:p w14:paraId="507588D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124F8FB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59DDD8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0DDA4C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硝酸银</w:t>
                  </w:r>
                </w:p>
              </w:tc>
              <w:tc>
                <w:tcPr>
                  <w:tcW w:w="615" w:type="pct"/>
                  <w:tcBorders>
                    <w:tl2br w:val="nil"/>
                    <w:tr2bl w:val="nil"/>
                  </w:tcBorders>
                  <w:noWrap w:val="0"/>
                  <w:vAlign w:val="center"/>
                </w:tcPr>
                <w:p w14:paraId="6E1B96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646202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818" w:type="pct"/>
                  <w:tcBorders>
                    <w:tl2br w:val="nil"/>
                    <w:tr2bl w:val="nil"/>
                  </w:tcBorders>
                  <w:noWrap w:val="0"/>
                  <w:vAlign w:val="center"/>
                </w:tcPr>
                <w:p w14:paraId="0EBBEC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0.025</w:t>
                  </w:r>
                </w:p>
              </w:tc>
              <w:tc>
                <w:tcPr>
                  <w:tcW w:w="1079" w:type="pct"/>
                  <w:tcBorders>
                    <w:tl2br w:val="nil"/>
                    <w:tr2bl w:val="nil"/>
                  </w:tcBorders>
                  <w:shd w:val="clear" w:color="auto" w:fill="auto"/>
                  <w:noWrap w:val="0"/>
                  <w:vAlign w:val="center"/>
                </w:tcPr>
                <w:p w14:paraId="0DD120A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2C05F46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7B2C41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459F71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氢氧化钾</w:t>
                  </w:r>
                </w:p>
              </w:tc>
              <w:tc>
                <w:tcPr>
                  <w:tcW w:w="615" w:type="pct"/>
                  <w:tcBorders>
                    <w:tl2br w:val="nil"/>
                    <w:tr2bl w:val="nil"/>
                  </w:tcBorders>
                  <w:noWrap w:val="0"/>
                  <w:vAlign w:val="center"/>
                </w:tcPr>
                <w:p w14:paraId="678654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kg</w:t>
                  </w:r>
                </w:p>
              </w:tc>
              <w:tc>
                <w:tcPr>
                  <w:tcW w:w="794" w:type="pct"/>
                  <w:tcBorders>
                    <w:tl2br w:val="nil"/>
                    <w:tr2bl w:val="nil"/>
                  </w:tcBorders>
                  <w:noWrap w:val="0"/>
                  <w:vAlign w:val="center"/>
                </w:tcPr>
                <w:p w14:paraId="2C8FA6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818" w:type="pct"/>
                  <w:tcBorders>
                    <w:tl2br w:val="nil"/>
                    <w:tr2bl w:val="nil"/>
                  </w:tcBorders>
                  <w:noWrap w:val="0"/>
                  <w:vAlign w:val="center"/>
                </w:tcPr>
                <w:p w14:paraId="67443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079" w:type="pct"/>
                  <w:tcBorders>
                    <w:tl2br w:val="nil"/>
                    <w:tr2bl w:val="nil"/>
                  </w:tcBorders>
                  <w:shd w:val="clear" w:color="auto" w:fill="auto"/>
                  <w:noWrap w:val="0"/>
                  <w:vAlign w:val="center"/>
                </w:tcPr>
                <w:p w14:paraId="3224CCA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500g/</w:t>
                  </w:r>
                  <w:r>
                    <w:rPr>
                      <w:rFonts w:hint="eastAsia" w:ascii="宋体" w:hAnsi="宋体" w:eastAsia="宋体" w:cs="宋体"/>
                      <w:i w:val="0"/>
                      <w:iCs w:val="0"/>
                      <w:color w:val="auto"/>
                      <w:kern w:val="0"/>
                      <w:sz w:val="21"/>
                      <w:szCs w:val="21"/>
                      <w:u w:val="none"/>
                      <w:lang w:val="en-US" w:eastAsia="zh-CN" w:bidi="ar"/>
                    </w:rPr>
                    <w:t>瓶</w:t>
                  </w:r>
                </w:p>
              </w:tc>
              <w:tc>
                <w:tcPr>
                  <w:tcW w:w="737" w:type="pct"/>
                  <w:tcBorders>
                    <w:tl2br w:val="nil"/>
                    <w:tr2bl w:val="nil"/>
                  </w:tcBorders>
                  <w:noWrap w:val="0"/>
                  <w:vAlign w:val="center"/>
                </w:tcPr>
                <w:p w14:paraId="570C149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kern w:val="2"/>
                      <w:sz w:val="21"/>
                      <w:szCs w:val="21"/>
                      <w:u w:val="none"/>
                      <w:lang w:val="en-US" w:eastAsia="zh-CN" w:bidi="ar-SA"/>
                    </w:rPr>
                    <w:t>试剂室</w:t>
                  </w:r>
                </w:p>
              </w:tc>
            </w:tr>
            <w:tr w14:paraId="1ABA88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7E0CDB9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新鲜水</w:t>
                  </w:r>
                </w:p>
              </w:tc>
              <w:tc>
                <w:tcPr>
                  <w:tcW w:w="615" w:type="pct"/>
                  <w:tcBorders>
                    <w:tl2br w:val="nil"/>
                    <w:tr2bl w:val="nil"/>
                  </w:tcBorders>
                  <w:noWrap w:val="0"/>
                  <w:vAlign w:val="center"/>
                </w:tcPr>
                <w:p w14:paraId="025396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3</w:t>
                  </w:r>
                </w:p>
              </w:tc>
              <w:tc>
                <w:tcPr>
                  <w:tcW w:w="794" w:type="pct"/>
                  <w:tcBorders>
                    <w:tl2br w:val="nil"/>
                    <w:tr2bl w:val="nil"/>
                  </w:tcBorders>
                  <w:noWrap w:val="0"/>
                  <w:vAlign w:val="center"/>
                </w:tcPr>
                <w:p w14:paraId="2A35C1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133.09</w:t>
                  </w:r>
                </w:p>
              </w:tc>
              <w:tc>
                <w:tcPr>
                  <w:tcW w:w="818" w:type="pct"/>
                  <w:tcBorders>
                    <w:tl2br w:val="nil"/>
                    <w:tr2bl w:val="nil"/>
                  </w:tcBorders>
                  <w:noWrap w:val="0"/>
                  <w:vAlign w:val="center"/>
                </w:tcPr>
                <w:p w14:paraId="2AE37F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1079" w:type="pct"/>
                  <w:tcBorders>
                    <w:tl2br w:val="nil"/>
                    <w:tr2bl w:val="nil"/>
                  </w:tcBorders>
                  <w:shd w:val="clear" w:color="auto" w:fill="auto"/>
                  <w:noWrap w:val="0"/>
                  <w:vAlign w:val="center"/>
                </w:tcPr>
                <w:p w14:paraId="2744575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737" w:type="pct"/>
                  <w:tcBorders>
                    <w:tl2br w:val="nil"/>
                    <w:tr2bl w:val="nil"/>
                  </w:tcBorders>
                  <w:noWrap w:val="0"/>
                  <w:vAlign w:val="center"/>
                </w:tcPr>
                <w:p w14:paraId="3099D1FD">
                  <w:pPr>
                    <w:keepNext w:val="0"/>
                    <w:keepLines w:val="0"/>
                    <w:pageBreakBefore w:val="0"/>
                    <w:kinsoku/>
                    <w:wordWrap/>
                    <w:overflowPunct/>
                    <w:topLinePunct w:val="0"/>
                    <w:autoSpaceDE/>
                    <w:autoSpaceDN/>
                    <w:bidi w:val="0"/>
                    <w:adjustRightInd/>
                    <w:snapToGrid w:val="0"/>
                    <w:jc w:val="center"/>
                    <w:rPr>
                      <w:rFonts w:hint="default"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w:t>
                  </w:r>
                </w:p>
              </w:tc>
            </w:tr>
            <w:tr w14:paraId="4851619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54" w:type="pct"/>
                  <w:tcBorders>
                    <w:tl2br w:val="nil"/>
                    <w:tr2bl w:val="nil"/>
                  </w:tcBorders>
                  <w:noWrap w:val="0"/>
                  <w:vAlign w:val="center"/>
                </w:tcPr>
                <w:p w14:paraId="19E3947A">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w:t>
                  </w:r>
                </w:p>
              </w:tc>
              <w:tc>
                <w:tcPr>
                  <w:tcW w:w="615" w:type="pct"/>
                  <w:tcBorders>
                    <w:tl2br w:val="nil"/>
                    <w:tr2bl w:val="nil"/>
                  </w:tcBorders>
                  <w:noWrap w:val="0"/>
                  <w:vAlign w:val="center"/>
                </w:tcPr>
                <w:p w14:paraId="4163C1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highlight w:val="none"/>
                    </w:rPr>
                    <w:t>万k</w:t>
                  </w:r>
                  <w:r>
                    <w:rPr>
                      <w:rFonts w:hint="default" w:ascii="Times New Roman" w:hAnsi="Times New Roman" w:cs="Times New Roman"/>
                      <w:color w:val="auto"/>
                      <w:sz w:val="21"/>
                      <w:szCs w:val="21"/>
                      <w:highlight w:val="none"/>
                      <w:lang w:val="en-US" w:eastAsia="zh-CN"/>
                    </w:rPr>
                    <w:t>W</w:t>
                  </w:r>
                  <w:r>
                    <w:rPr>
                      <w:rFonts w:hint="default" w:ascii="Times New Roman" w:hAnsi="Times New Roman" w:cs="Times New Roman"/>
                      <w:color w:val="auto"/>
                      <w:sz w:val="21"/>
                      <w:szCs w:val="21"/>
                      <w:highlight w:val="none"/>
                    </w:rPr>
                    <w:t>▪h</w:t>
                  </w:r>
                </w:p>
              </w:tc>
              <w:tc>
                <w:tcPr>
                  <w:tcW w:w="794" w:type="pct"/>
                  <w:tcBorders>
                    <w:tl2br w:val="nil"/>
                    <w:tr2bl w:val="nil"/>
                  </w:tcBorders>
                  <w:noWrap w:val="0"/>
                  <w:vAlign w:val="center"/>
                </w:tcPr>
                <w:p w14:paraId="6E4F01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highlight w:val="none"/>
                      <w:lang w:val="en-US" w:eastAsia="zh-CN"/>
                    </w:rPr>
                    <w:t>3</w:t>
                  </w:r>
                </w:p>
              </w:tc>
              <w:tc>
                <w:tcPr>
                  <w:tcW w:w="818" w:type="pct"/>
                  <w:tcBorders>
                    <w:tl2br w:val="nil"/>
                    <w:tr2bl w:val="nil"/>
                  </w:tcBorders>
                  <w:noWrap w:val="0"/>
                  <w:vAlign w:val="center"/>
                </w:tcPr>
                <w:p w14:paraId="564193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1079" w:type="pct"/>
                  <w:tcBorders>
                    <w:tl2br w:val="nil"/>
                    <w:tr2bl w:val="nil"/>
                  </w:tcBorders>
                  <w:shd w:val="clear" w:color="auto" w:fill="auto"/>
                  <w:noWrap w:val="0"/>
                  <w:vAlign w:val="center"/>
                </w:tcPr>
                <w:p w14:paraId="48CF79E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737" w:type="pct"/>
                  <w:tcBorders>
                    <w:tl2br w:val="nil"/>
                    <w:tr2bl w:val="nil"/>
                  </w:tcBorders>
                  <w:noWrap w:val="0"/>
                  <w:vAlign w:val="center"/>
                </w:tcPr>
                <w:p w14:paraId="7611EF56">
                  <w:pPr>
                    <w:keepNext w:val="0"/>
                    <w:keepLines w:val="0"/>
                    <w:pageBreakBefore w:val="0"/>
                    <w:kinsoku/>
                    <w:wordWrap/>
                    <w:overflowPunct/>
                    <w:topLinePunct w:val="0"/>
                    <w:autoSpaceDE/>
                    <w:autoSpaceDN/>
                    <w:bidi w:val="0"/>
                    <w:adjustRightInd/>
                    <w:snapToGrid w:val="0"/>
                    <w:jc w:val="center"/>
                    <w:rPr>
                      <w:rFonts w:hint="default"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w:t>
                  </w:r>
                </w:p>
              </w:tc>
            </w:tr>
            <w:bookmarkEnd w:id="4"/>
          </w:tbl>
          <w:p w14:paraId="49194E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color w:val="auto"/>
                <w:szCs w:val="21"/>
                <w:lang w:val="en-US" w:eastAsia="zh-CN"/>
              </w:rPr>
            </w:pPr>
            <w:r>
              <w:rPr>
                <w:rFonts w:hint="default" w:ascii="Times New Roman" w:hAnsi="Times New Roman" w:cs="Times New Roman"/>
                <w:b/>
                <w:color w:val="auto"/>
                <w:szCs w:val="21"/>
                <w:lang w:val="en-US" w:eastAsia="zh-CN"/>
              </w:rPr>
              <w:t>表2-4</w:t>
            </w:r>
            <w:r>
              <w:rPr>
                <w:rFonts w:hint="eastAsia" w:cs="Times New Roman"/>
                <w:b/>
                <w:color w:val="auto"/>
                <w:szCs w:val="21"/>
                <w:lang w:val="en-US" w:eastAsia="zh-CN"/>
              </w:rPr>
              <w:t xml:space="preserve">  </w:t>
            </w:r>
            <w:r>
              <w:rPr>
                <w:rFonts w:hint="default" w:ascii="Times New Roman" w:hAnsi="Times New Roman" w:cs="Times New Roman"/>
                <w:b/>
                <w:color w:val="auto"/>
                <w:szCs w:val="21"/>
                <w:lang w:val="en-US" w:eastAsia="zh-CN"/>
              </w:rPr>
              <w:t>主要原辅材料理化性质</w:t>
            </w:r>
          </w:p>
          <w:tbl>
            <w:tblPr>
              <w:tblStyle w:val="28"/>
              <w:tblW w:w="844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52"/>
              <w:gridCol w:w="893"/>
              <w:gridCol w:w="6896"/>
            </w:tblGrid>
            <w:tr w14:paraId="3BC66B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44BAD098">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序号</w:t>
                  </w:r>
                </w:p>
              </w:tc>
              <w:tc>
                <w:tcPr>
                  <w:tcW w:w="893" w:type="dxa"/>
                  <w:tcBorders>
                    <w:tl2br w:val="nil"/>
                    <w:tr2bl w:val="nil"/>
                  </w:tcBorders>
                  <w:shd w:val="clear" w:color="auto" w:fill="auto"/>
                  <w:vAlign w:val="center"/>
                </w:tcPr>
                <w:p w14:paraId="0009FA6E">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名称</w:t>
                  </w:r>
                </w:p>
              </w:tc>
              <w:tc>
                <w:tcPr>
                  <w:tcW w:w="6896" w:type="dxa"/>
                  <w:tcBorders>
                    <w:tl2br w:val="nil"/>
                    <w:tr2bl w:val="nil"/>
                  </w:tcBorders>
                  <w:vAlign w:val="center"/>
                </w:tcPr>
                <w:p w14:paraId="33664E74">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理化性质</w:t>
                  </w:r>
                </w:p>
              </w:tc>
            </w:tr>
            <w:tr w14:paraId="265F5F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atLeast"/>
                <w:jc w:val="center"/>
              </w:trPr>
              <w:tc>
                <w:tcPr>
                  <w:tcW w:w="652" w:type="dxa"/>
                  <w:tcBorders>
                    <w:tl2br w:val="nil"/>
                    <w:tr2bl w:val="nil"/>
                  </w:tcBorders>
                  <w:shd w:val="clear" w:color="auto" w:fill="auto"/>
                  <w:vAlign w:val="center"/>
                </w:tcPr>
                <w:p w14:paraId="48C23247">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w:t>
                  </w:r>
                </w:p>
              </w:tc>
              <w:tc>
                <w:tcPr>
                  <w:tcW w:w="893" w:type="dxa"/>
                  <w:tcBorders>
                    <w:tl2br w:val="nil"/>
                    <w:tr2bl w:val="nil"/>
                  </w:tcBorders>
                  <w:shd w:val="clear" w:color="auto" w:fill="auto"/>
                  <w:vAlign w:val="center"/>
                </w:tcPr>
                <w:p w14:paraId="429D7CAD">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甲醇</w:t>
                  </w:r>
                </w:p>
              </w:tc>
              <w:tc>
                <w:tcPr>
                  <w:tcW w:w="6896" w:type="dxa"/>
                  <w:tcBorders>
                    <w:tl2br w:val="nil"/>
                    <w:tr2bl w:val="nil"/>
                  </w:tcBorders>
                  <w:vAlign w:val="center"/>
                </w:tcPr>
                <w:p w14:paraId="736D0690">
                  <w:pPr>
                    <w:keepNext w:val="0"/>
                    <w:keepLines w:val="0"/>
                    <w:widowControl/>
                    <w:suppressLineNumbers w:val="0"/>
                    <w:jc w:val="left"/>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无色透明易燃挥发性的极性液体。纯品略带乙醇气味，粗品刺鼻难闻。熔点-97.8℃。沸点64.7℃，</w:t>
                  </w:r>
                  <w:r>
                    <w:rPr>
                      <w:rFonts w:hint="eastAsia" w:cs="Times New Roman"/>
                      <w:color w:val="auto"/>
                      <w:kern w:val="0"/>
                      <w:sz w:val="21"/>
                      <w:szCs w:val="21"/>
                      <w:lang w:val="en-US" w:eastAsia="zh-CN" w:bidi="ar"/>
                    </w:rPr>
                    <w:t>相对</w:t>
                  </w:r>
                  <w:r>
                    <w:rPr>
                      <w:rFonts w:hint="default" w:ascii="Times New Roman" w:hAnsi="Times New Roman" w:eastAsia="宋体" w:cs="Times New Roman"/>
                      <w:color w:val="auto"/>
                      <w:kern w:val="0"/>
                      <w:sz w:val="21"/>
                      <w:szCs w:val="21"/>
                      <w:lang w:val="en-US" w:eastAsia="zh-CN" w:bidi="ar"/>
                    </w:rPr>
                    <w:t>密度为0.7915（20/4℃），蒸气相对密度1.11（空气＝1），折射率为1.3287，闪点（开杯）16℃，自燃点473℃，表面张力（25℃）45.05mN/m，蒸气压（20℃）12.265kPa，</w:t>
                  </w:r>
                  <w:r>
                    <w:rPr>
                      <w:rFonts w:hint="eastAsia" w:cs="Times New Roman"/>
                      <w:color w:val="auto"/>
                      <w:kern w:val="0"/>
                      <w:sz w:val="21"/>
                      <w:szCs w:val="21"/>
                      <w:lang w:val="en-US" w:eastAsia="zh-CN" w:bidi="ar"/>
                    </w:rPr>
                    <w:t>黏度</w:t>
                  </w:r>
                  <w:r>
                    <w:rPr>
                      <w:rFonts w:hint="default" w:ascii="Times New Roman" w:hAnsi="Times New Roman" w:eastAsia="宋体" w:cs="Times New Roman"/>
                      <w:color w:val="auto"/>
                      <w:kern w:val="0"/>
                      <w:sz w:val="21"/>
                      <w:szCs w:val="21"/>
                      <w:lang w:val="en-US" w:eastAsia="zh-CN" w:bidi="ar"/>
                    </w:rPr>
                    <w:t>（20℃）0.5945mPa·s。能与水、乙醇、乙醚、苯、酮类和其他许多有机溶剂混溶。蒸气与空气形成爆炸性混合物，爆炸极限6.0-36.5（体积）。</w:t>
                  </w:r>
                </w:p>
              </w:tc>
            </w:tr>
            <w:tr w14:paraId="3AA0D9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252E44E6">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w:t>
                  </w:r>
                </w:p>
              </w:tc>
              <w:tc>
                <w:tcPr>
                  <w:tcW w:w="893" w:type="dxa"/>
                  <w:tcBorders>
                    <w:tl2br w:val="nil"/>
                    <w:tr2bl w:val="nil"/>
                  </w:tcBorders>
                  <w:shd w:val="clear" w:color="auto" w:fill="auto"/>
                  <w:vAlign w:val="center"/>
                </w:tcPr>
                <w:p w14:paraId="6A1C5621">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乙醇</w:t>
                  </w:r>
                </w:p>
              </w:tc>
              <w:tc>
                <w:tcPr>
                  <w:tcW w:w="6896" w:type="dxa"/>
                  <w:tcBorders>
                    <w:tl2br w:val="nil"/>
                    <w:tr2bl w:val="nil"/>
                  </w:tcBorders>
                  <w:shd w:val="clear" w:color="auto" w:fill="auto"/>
                  <w:vAlign w:val="center"/>
                </w:tcPr>
                <w:p w14:paraId="2764F06E">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乙醇液体密度0.789g/cm</w:t>
                  </w:r>
                  <w:r>
                    <w:rPr>
                      <w:rFonts w:hint="default" w:ascii="Times New Roman" w:hAnsi="Times New Roman" w:cs="Times New Roman"/>
                      <w:color w:val="auto"/>
                      <w:kern w:val="2"/>
                      <w:sz w:val="21"/>
                      <w:szCs w:val="21"/>
                      <w:vertAlign w:val="superscript"/>
                      <w:lang w:val="en-US" w:eastAsia="zh-CN" w:bidi="ar-SA"/>
                    </w:rPr>
                    <w:t>3</w:t>
                  </w:r>
                  <w:r>
                    <w:rPr>
                      <w:rFonts w:hint="default" w:ascii="Times New Roman" w:hAnsi="Times New Roman" w:cs="Times New Roman"/>
                      <w:color w:val="auto"/>
                      <w:kern w:val="2"/>
                      <w:sz w:val="21"/>
                      <w:szCs w:val="21"/>
                      <w:lang w:val="en-US" w:eastAsia="zh-CN" w:bidi="ar-SA"/>
                    </w:rPr>
                    <w:t>(20C°)，乙醇气体密度为1.59kg/m</w:t>
                  </w:r>
                  <w:r>
                    <w:rPr>
                      <w:rFonts w:hint="default" w:ascii="Times New Roman" w:hAnsi="Times New Roman" w:cs="Times New Roman"/>
                      <w:color w:val="auto"/>
                      <w:kern w:val="2"/>
                      <w:sz w:val="21"/>
                      <w:szCs w:val="21"/>
                      <w:vertAlign w:val="superscript"/>
                      <w:lang w:val="en-US" w:eastAsia="zh-CN" w:bidi="ar-SA"/>
                    </w:rPr>
                    <w:t>3</w:t>
                  </w:r>
                  <w:r>
                    <w:rPr>
                      <w:rFonts w:hint="default" w:ascii="Times New Roman" w:hAnsi="Times New Roman" w:cs="Times New Roman"/>
                      <w:color w:val="auto"/>
                      <w:kern w:val="2"/>
                      <w:sz w:val="21"/>
                      <w:szCs w:val="21"/>
                      <w:lang w:val="en-US" w:eastAsia="zh-CN" w:bidi="ar-SA"/>
                    </w:rPr>
                    <w:t>，沸点是78.3℃，熔点是-114.1℃，易燃，其蒸气能与空气形成爆炸性混合物，能与水以任意比互溶。能与氯仿、乙醚、甲醇、丙酮和其他多数有机溶剂混溶，相对密度0.816。</w:t>
                  </w:r>
                </w:p>
              </w:tc>
            </w:tr>
            <w:tr w14:paraId="1FFCB3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286EA765">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p>
              </w:tc>
              <w:tc>
                <w:tcPr>
                  <w:tcW w:w="893" w:type="dxa"/>
                  <w:tcBorders>
                    <w:tl2br w:val="nil"/>
                    <w:tr2bl w:val="nil"/>
                  </w:tcBorders>
                  <w:shd w:val="clear" w:color="auto" w:fill="auto"/>
                  <w:vAlign w:val="center"/>
                </w:tcPr>
                <w:p w14:paraId="0D75615B">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乙腈</w:t>
                  </w:r>
                </w:p>
              </w:tc>
              <w:tc>
                <w:tcPr>
                  <w:tcW w:w="6896" w:type="dxa"/>
                  <w:tcBorders>
                    <w:tl2br w:val="nil"/>
                    <w:tr2bl w:val="nil"/>
                  </w:tcBorders>
                  <w:shd w:val="clear" w:color="auto" w:fill="auto"/>
                  <w:vAlign w:val="center"/>
                </w:tcPr>
                <w:p w14:paraId="29FC3568">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eastAsia="Segoe UI" w:cs="Times New Roman"/>
                      <w:i w:val="0"/>
                      <w:iCs w:val="0"/>
                      <w:caps w:val="0"/>
                      <w:color w:val="auto"/>
                      <w:spacing w:val="0"/>
                      <w:sz w:val="21"/>
                      <w:szCs w:val="21"/>
                      <w:shd w:val="clear" w:fill="FFFFFF"/>
                    </w:rPr>
                    <w:t>无色透明液体。密度0.7857</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Segoe UI" w:cs="Times New Roman"/>
                      <w:i w:val="0"/>
                      <w:iCs w:val="0"/>
                      <w:caps w:val="0"/>
                      <w:color w:val="auto"/>
                      <w:spacing w:val="0"/>
                      <w:sz w:val="21"/>
                      <w:szCs w:val="21"/>
                      <w:shd w:val="clear" w:fill="FFFFFF"/>
                    </w:rPr>
                    <w:t>熔点-46°C</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Segoe UI" w:cs="Times New Roman"/>
                      <w:i w:val="0"/>
                      <w:iCs w:val="0"/>
                      <w:caps w:val="0"/>
                      <w:color w:val="auto"/>
                      <w:spacing w:val="0"/>
                      <w:sz w:val="21"/>
                      <w:szCs w:val="21"/>
                      <w:shd w:val="clear" w:fill="FFFFFF"/>
                    </w:rPr>
                    <w:t>沸点81-82°C</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Segoe UI" w:cs="Times New Roman"/>
                      <w:i w:val="0"/>
                      <w:iCs w:val="0"/>
                      <w:caps w:val="0"/>
                      <w:color w:val="auto"/>
                      <w:spacing w:val="0"/>
                      <w:sz w:val="21"/>
                      <w:szCs w:val="21"/>
                      <w:shd w:val="clear" w:fill="FFFFFF"/>
                    </w:rPr>
                    <w:t>折射率1.343-1.345</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Segoe UI" w:cs="Times New Roman"/>
                      <w:i w:val="0"/>
                      <w:iCs w:val="0"/>
                      <w:caps w:val="0"/>
                      <w:color w:val="auto"/>
                      <w:spacing w:val="0"/>
                      <w:sz w:val="21"/>
                      <w:szCs w:val="21"/>
                      <w:shd w:val="clear" w:fill="FFFFFF"/>
                    </w:rPr>
                    <w:t>闪点2°C</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Segoe UI" w:cs="Times New Roman"/>
                      <w:i w:val="0"/>
                      <w:iCs w:val="0"/>
                      <w:caps w:val="0"/>
                      <w:color w:val="auto"/>
                      <w:spacing w:val="0"/>
                      <w:sz w:val="21"/>
                      <w:szCs w:val="21"/>
                      <w:shd w:val="clear" w:fill="FFFFFF"/>
                    </w:rPr>
                    <w:t>能与水、乙醚、甲醇、丙酮、氯仿、四氯化碳、氯化乙烯、乙酸甲酯、乙酸乙酯、乙酰胺溶液和许多不饱和烃混溶，不能与饱和烃混溶。能溶解一些无机盐类，如硝酸银、硝酸锂和溴化镁等。能与水形成共沸混合物(含水16%)，共沸点76℃。易燃，其蒸气与空气可形成爆炸性混合物，遇明火、高热或与氧化剂接触，有引起燃烧爆炸的危险。与氧化剂能发生强烈反应。与硫酸、发烟硫酸、氯磺酸、过氯酸盐等反应剧烈。</w:t>
                  </w:r>
                </w:p>
              </w:tc>
            </w:tr>
            <w:tr w14:paraId="794270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4AE07EA7">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w:t>
                  </w:r>
                </w:p>
              </w:tc>
              <w:tc>
                <w:tcPr>
                  <w:tcW w:w="893" w:type="dxa"/>
                  <w:tcBorders>
                    <w:tl2br w:val="nil"/>
                    <w:tr2bl w:val="nil"/>
                  </w:tcBorders>
                  <w:shd w:val="clear" w:color="auto" w:fill="auto"/>
                  <w:vAlign w:val="center"/>
                </w:tcPr>
                <w:p w14:paraId="46469717">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eastAsia="Segoe UI" w:cs="Times New Roman"/>
                      <w:i w:val="0"/>
                      <w:iCs w:val="0"/>
                      <w:caps w:val="0"/>
                      <w:color w:val="auto"/>
                      <w:spacing w:val="0"/>
                      <w:sz w:val="21"/>
                      <w:szCs w:val="21"/>
                      <w:shd w:val="clear" w:fill="FFFFFF"/>
                    </w:rPr>
                    <w:t>四氢呋喃</w:t>
                  </w:r>
                </w:p>
              </w:tc>
              <w:tc>
                <w:tcPr>
                  <w:tcW w:w="6896" w:type="dxa"/>
                  <w:tcBorders>
                    <w:tl2br w:val="nil"/>
                    <w:tr2bl w:val="nil"/>
                  </w:tcBorders>
                  <w:shd w:val="clear" w:color="auto" w:fill="auto"/>
                  <w:vAlign w:val="center"/>
                </w:tcPr>
                <w:p w14:paraId="6420C019">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eastAsia="Segoe UI" w:cs="Times New Roman"/>
                      <w:i w:val="0"/>
                      <w:iCs w:val="0"/>
                      <w:caps w:val="0"/>
                      <w:color w:val="auto"/>
                      <w:spacing w:val="0"/>
                      <w:sz w:val="21"/>
                      <w:szCs w:val="21"/>
                      <w:shd w:val="clear" w:fill="FFFFFF"/>
                    </w:rPr>
                    <w:t>四氢呋喃是一类杂环有机化合物</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eastAsia="Segoe UI" w:cs="Times New Roman"/>
                      <w:i w:val="0"/>
                      <w:iCs w:val="0"/>
                      <w:caps w:val="0"/>
                      <w:color w:val="auto"/>
                      <w:spacing w:val="0"/>
                      <w:sz w:val="21"/>
                      <w:szCs w:val="21"/>
                      <w:shd w:val="clear" w:fill="FFFFFF"/>
                    </w:rPr>
                    <w:t>它是最强的极性醚类之一，在化学反应和萃取时</w:t>
                  </w:r>
                  <w:r>
                    <w:rPr>
                      <w:rFonts w:hint="eastAsia" w:eastAsia="宋体" w:cs="Times New Roman"/>
                      <w:i w:val="0"/>
                      <w:iCs w:val="0"/>
                      <w:caps w:val="0"/>
                      <w:color w:val="auto"/>
                      <w:spacing w:val="0"/>
                      <w:sz w:val="21"/>
                      <w:szCs w:val="21"/>
                      <w:shd w:val="clear" w:fill="FFFFFF"/>
                      <w:lang w:eastAsia="zh-CN"/>
                    </w:rPr>
                    <w:t>用作</w:t>
                  </w:r>
                  <w:r>
                    <w:rPr>
                      <w:rFonts w:hint="default" w:ascii="Times New Roman" w:hAnsi="Times New Roman" w:eastAsia="Segoe UI" w:cs="Times New Roman"/>
                      <w:i w:val="0"/>
                      <w:iCs w:val="0"/>
                      <w:caps w:val="0"/>
                      <w:color w:val="auto"/>
                      <w:spacing w:val="0"/>
                      <w:sz w:val="21"/>
                      <w:szCs w:val="21"/>
                      <w:shd w:val="clear" w:fill="FFFFFF"/>
                    </w:rPr>
                    <w:t>一种中等极性的溶剂。它是无色透明液体。有醚样气味。相对密度0.89。分子量72.11。熔点-108.5℃。沸点66℃。闪点-17.2℃。自燃点321.1℃。折光率1.407。</w:t>
                  </w:r>
                </w:p>
              </w:tc>
            </w:tr>
            <w:tr w14:paraId="2788D8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21D93609">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5</w:t>
                  </w:r>
                </w:p>
              </w:tc>
              <w:tc>
                <w:tcPr>
                  <w:tcW w:w="893" w:type="dxa"/>
                  <w:tcBorders>
                    <w:tl2br w:val="nil"/>
                    <w:tr2bl w:val="nil"/>
                  </w:tcBorders>
                  <w:shd w:val="clear" w:color="auto" w:fill="auto"/>
                  <w:vAlign w:val="center"/>
                </w:tcPr>
                <w:p w14:paraId="151E0CC4">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冰乙酸</w:t>
                  </w:r>
                </w:p>
              </w:tc>
              <w:tc>
                <w:tcPr>
                  <w:tcW w:w="6896" w:type="dxa"/>
                  <w:tcBorders>
                    <w:tl2br w:val="nil"/>
                    <w:tr2bl w:val="nil"/>
                  </w:tcBorders>
                  <w:shd w:val="clear" w:color="auto" w:fill="auto"/>
                  <w:vAlign w:val="center"/>
                </w:tcPr>
                <w:p w14:paraId="6563E702">
                  <w:pPr>
                    <w:keepNext w:val="0"/>
                    <w:keepLines w:val="0"/>
                    <w:widowControl/>
                    <w:suppressLineNumbers w:val="0"/>
                    <w:jc w:val="left"/>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无色透明液体。熔点16.635℃，沸点117.9℃，相对密度1.0492(20/4℃)折射率1.3716，闪点（开杯）57℃，自燃点465℃，粘度11.83mPa·s（20℃）。纯乙酸在16℃以下时，能结成冰状固体，故称冰醋酸。与水、乙醇、苯和乙醚混溶，不溶于二硫化碳。当水加到乙酸中，混合后的总体积变小，密度增加。分子比为1：1，进一步稀释，不再发生上述体积的改变。有刺激性气味。</w:t>
                  </w:r>
                </w:p>
              </w:tc>
            </w:tr>
            <w:tr w14:paraId="5BA061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3D6953C1">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6</w:t>
                  </w:r>
                </w:p>
              </w:tc>
              <w:tc>
                <w:tcPr>
                  <w:tcW w:w="893" w:type="dxa"/>
                  <w:tcBorders>
                    <w:tl2br w:val="nil"/>
                    <w:tr2bl w:val="nil"/>
                  </w:tcBorders>
                  <w:shd w:val="clear" w:color="auto" w:fill="auto"/>
                  <w:vAlign w:val="center"/>
                </w:tcPr>
                <w:p w14:paraId="6BB8212E">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0"/>
                      <w:sz w:val="21"/>
                      <w:szCs w:val="21"/>
                      <w:lang w:val="en-US" w:eastAsia="zh-CN" w:bidi="ar"/>
                    </w:rPr>
                    <w:t>异</w:t>
                  </w:r>
                  <w:r>
                    <w:rPr>
                      <w:rFonts w:hint="default" w:ascii="Times New Roman" w:hAnsi="Times New Roman" w:eastAsia="宋体" w:cs="Times New Roman"/>
                      <w:color w:val="auto"/>
                      <w:kern w:val="0"/>
                      <w:sz w:val="21"/>
                      <w:szCs w:val="21"/>
                      <w:lang w:val="en-US" w:eastAsia="zh-CN" w:bidi="ar"/>
                    </w:rPr>
                    <w:t>丙醇</w:t>
                  </w:r>
                </w:p>
              </w:tc>
              <w:tc>
                <w:tcPr>
                  <w:tcW w:w="6896" w:type="dxa"/>
                  <w:tcBorders>
                    <w:tl2br w:val="nil"/>
                    <w:tr2bl w:val="nil"/>
                  </w:tcBorders>
                  <w:shd w:val="clear" w:color="auto" w:fill="auto"/>
                  <w:vAlign w:val="center"/>
                </w:tcPr>
                <w:p w14:paraId="06FE8820">
                  <w:pPr>
                    <w:keepNext w:val="0"/>
                    <w:keepLines w:val="0"/>
                    <w:widowControl/>
                    <w:suppressLineNumbers w:val="0"/>
                    <w:jc w:val="left"/>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无色透明可燃性液体，有类似乙醇的气味。熔点-88.5℃，凝固点-89.5℃，沸点82.45℃，蒸气压（20℃）4.4kPa，相对密度0.7855（20/4℃），折射率1.3772，粘度（20℃）2.4mPa·s，闪点22℃。在空气中自燃上限7.99，下限2.02。能与水、乙醇、乙醚及氯仿混溶。</w:t>
                  </w:r>
                </w:p>
              </w:tc>
            </w:tr>
            <w:tr w14:paraId="6E9336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11FBCB3E">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7</w:t>
                  </w:r>
                </w:p>
              </w:tc>
              <w:tc>
                <w:tcPr>
                  <w:tcW w:w="893" w:type="dxa"/>
                  <w:tcBorders>
                    <w:tl2br w:val="nil"/>
                    <w:tr2bl w:val="nil"/>
                  </w:tcBorders>
                  <w:shd w:val="clear" w:color="auto" w:fill="auto"/>
                  <w:vAlign w:val="center"/>
                </w:tcPr>
                <w:p w14:paraId="14A83172">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正己烷</w:t>
                  </w:r>
                </w:p>
              </w:tc>
              <w:tc>
                <w:tcPr>
                  <w:tcW w:w="6896" w:type="dxa"/>
                  <w:tcBorders>
                    <w:tl2br w:val="nil"/>
                    <w:tr2bl w:val="nil"/>
                  </w:tcBorders>
                  <w:shd w:val="clear" w:color="auto" w:fill="auto"/>
                  <w:vAlign w:val="center"/>
                </w:tcPr>
                <w:p w14:paraId="4ACED253">
                  <w:pPr>
                    <w:keepNext w:val="0"/>
                    <w:keepLines w:val="0"/>
                    <w:widowControl/>
                    <w:suppressLineNumbers w:val="0"/>
                    <w:jc w:val="left"/>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无色易挥发液体。凝固点-93.5℃，沸点68.95℃，熔点-95℃，相对密度0.6603（20/4℃），折射率1.37506，闪点（开杯）-20℃，自燃点260℃，临界温度234.2℃，临界压力3.00MPa。难溶于水，可溶于乙醇，易溶于乙醚、氯仿、酮类等有机溶剂。</w:t>
                  </w:r>
                </w:p>
              </w:tc>
            </w:tr>
            <w:tr w14:paraId="7542DF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6EBD41D8">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8</w:t>
                  </w:r>
                </w:p>
              </w:tc>
              <w:tc>
                <w:tcPr>
                  <w:tcW w:w="893" w:type="dxa"/>
                  <w:tcBorders>
                    <w:tl2br w:val="nil"/>
                    <w:tr2bl w:val="nil"/>
                  </w:tcBorders>
                  <w:shd w:val="clear" w:color="auto" w:fill="auto"/>
                  <w:vAlign w:val="center"/>
                </w:tcPr>
                <w:p w14:paraId="37841A2B">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甲酸乙酯</w:t>
                  </w:r>
                </w:p>
              </w:tc>
              <w:tc>
                <w:tcPr>
                  <w:tcW w:w="6896" w:type="dxa"/>
                  <w:tcBorders>
                    <w:tl2br w:val="nil"/>
                    <w:tr2bl w:val="nil"/>
                  </w:tcBorders>
                  <w:shd w:val="clear" w:color="auto" w:fill="auto"/>
                  <w:vAlign w:val="center"/>
                </w:tcPr>
                <w:p w14:paraId="5287BC2F">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无色透明液体，易挥发，有好闻的芳香味。熔点-80.5℃，沸点54.4℃，相对密度0.9168（20/4℃），折射率1.3598，闪点-20℃，蒸气压26.664kPa（20.6℃），汽化热407J/g，比热容2J/（g.℃）。与乙醇、乙醚混溶，易溶于</w:t>
                  </w:r>
                  <w:r>
                    <w:rPr>
                      <w:rFonts w:hint="eastAsia" w:cs="Times New Roman"/>
                      <w:color w:val="auto"/>
                      <w:kern w:val="0"/>
                      <w:sz w:val="21"/>
                      <w:szCs w:val="21"/>
                      <w:lang w:val="en-US" w:eastAsia="zh-CN" w:bidi="ar"/>
                    </w:rPr>
                    <w:t>丙酮</w:t>
                  </w:r>
                  <w:r>
                    <w:rPr>
                      <w:rFonts w:hint="default" w:ascii="Times New Roman" w:hAnsi="Times New Roman" w:eastAsia="宋体" w:cs="Times New Roman"/>
                      <w:color w:val="auto"/>
                      <w:kern w:val="0"/>
                      <w:sz w:val="21"/>
                      <w:szCs w:val="21"/>
                      <w:lang w:val="en-US" w:eastAsia="zh-CN" w:bidi="ar"/>
                    </w:rPr>
                    <w:t>，在水中溶解度11.8g/100ml。不稳定，在水中能逐渐分解。</w:t>
                  </w:r>
                </w:p>
              </w:tc>
            </w:tr>
            <w:tr w14:paraId="2F5CA0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6CA44955">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9</w:t>
                  </w:r>
                </w:p>
              </w:tc>
              <w:tc>
                <w:tcPr>
                  <w:tcW w:w="893" w:type="dxa"/>
                  <w:tcBorders>
                    <w:tl2br w:val="nil"/>
                    <w:tr2bl w:val="nil"/>
                  </w:tcBorders>
                  <w:shd w:val="clear" w:color="auto" w:fill="auto"/>
                  <w:vAlign w:val="center"/>
                </w:tcPr>
                <w:p w14:paraId="2955A5EE">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氨水</w:t>
                  </w:r>
                </w:p>
              </w:tc>
              <w:tc>
                <w:tcPr>
                  <w:tcW w:w="6896" w:type="dxa"/>
                  <w:tcBorders>
                    <w:tl2br w:val="nil"/>
                    <w:tr2bl w:val="nil"/>
                  </w:tcBorders>
                  <w:shd w:val="clear" w:color="auto" w:fill="auto"/>
                  <w:vAlign w:val="center"/>
                </w:tcPr>
                <w:p w14:paraId="38E57515">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氨水主要成分为NH4OH，</w:t>
                  </w:r>
                  <w:r>
                    <w:rPr>
                      <w:rFonts w:hint="default" w:ascii="Times New Roman" w:hAnsi="Times New Roman" w:cs="Times New Roman"/>
                      <w:color w:val="auto"/>
                      <w:kern w:val="2"/>
                      <w:sz w:val="21"/>
                      <w:szCs w:val="21"/>
                      <w:lang w:val="en-US" w:eastAsia="zh-CN" w:bidi="ar-SA"/>
                    </w:rPr>
                    <w:t>又称阿摩尼亚水，是氨的水溶液，无色透明且具有刺激性气味。工业氨水是含氨25%～28%的水溶液，氨水中仅有一小部分氨分子与水反应形成一水合氨，是仅存在于氨水中的弱碱</w:t>
                  </w:r>
                </w:p>
              </w:tc>
            </w:tr>
            <w:tr w14:paraId="14BC53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4B856F0D">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10</w:t>
                  </w:r>
                </w:p>
              </w:tc>
              <w:tc>
                <w:tcPr>
                  <w:tcW w:w="893" w:type="dxa"/>
                  <w:tcBorders>
                    <w:tl2br w:val="nil"/>
                    <w:tr2bl w:val="nil"/>
                  </w:tcBorders>
                  <w:shd w:val="clear" w:color="auto" w:fill="auto"/>
                  <w:vAlign w:val="center"/>
                </w:tcPr>
                <w:p w14:paraId="7CFA0F14">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氢氧化钾</w:t>
                  </w:r>
                </w:p>
              </w:tc>
              <w:tc>
                <w:tcPr>
                  <w:tcW w:w="6896" w:type="dxa"/>
                  <w:tcBorders>
                    <w:tl2br w:val="nil"/>
                    <w:tr2bl w:val="nil"/>
                  </w:tcBorders>
                  <w:shd w:val="clear" w:color="auto" w:fill="auto"/>
                  <w:vAlign w:val="center"/>
                </w:tcPr>
                <w:p w14:paraId="39407F1A">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化学式KOH，白色粉末或片状固体。熔点380℃，沸点1324℃，</w:t>
                  </w:r>
                </w:p>
                <w:p w14:paraId="566E6969">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相对密度2.04g/cm</w:t>
                  </w:r>
                  <w:r>
                    <w:rPr>
                      <w:rFonts w:hint="default" w:ascii="Times New Roman" w:hAnsi="Times New Roman" w:cs="Times New Roman"/>
                      <w:color w:val="auto"/>
                      <w:kern w:val="2"/>
                      <w:sz w:val="21"/>
                      <w:szCs w:val="21"/>
                      <w:vertAlign w:val="superscript"/>
                      <w:lang w:val="en-US" w:eastAsia="zh-CN" w:bidi="ar-SA"/>
                    </w:rPr>
                    <w:t>3</w:t>
                  </w:r>
                  <w:r>
                    <w:rPr>
                      <w:rFonts w:hint="default" w:ascii="Times New Roman" w:hAnsi="Times New Roman" w:cs="Times New Roman"/>
                      <w:color w:val="auto"/>
                      <w:kern w:val="2"/>
                      <w:sz w:val="21"/>
                      <w:szCs w:val="21"/>
                      <w:lang w:val="en-US" w:eastAsia="zh-CN" w:bidi="ar-SA"/>
                    </w:rPr>
                    <w:t>。具强碱性及腐蚀性。溶于约0.6份热水、0.9份冷水、3份乙醇。中等毒</w:t>
                  </w:r>
                </w:p>
              </w:tc>
            </w:tr>
            <w:tr w14:paraId="004BF8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23CFB8FB">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11</w:t>
                  </w:r>
                </w:p>
              </w:tc>
              <w:tc>
                <w:tcPr>
                  <w:tcW w:w="893" w:type="dxa"/>
                  <w:tcBorders>
                    <w:tl2br w:val="nil"/>
                    <w:tr2bl w:val="nil"/>
                  </w:tcBorders>
                  <w:shd w:val="clear" w:color="auto" w:fill="auto"/>
                  <w:vAlign w:val="center"/>
                </w:tcPr>
                <w:p w14:paraId="23FF0D3A">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氢氧化钠</w:t>
                  </w:r>
                </w:p>
              </w:tc>
              <w:tc>
                <w:tcPr>
                  <w:tcW w:w="6896" w:type="dxa"/>
                  <w:tcBorders>
                    <w:tl2br w:val="nil"/>
                    <w:tr2bl w:val="nil"/>
                  </w:tcBorders>
                  <w:shd w:val="clear" w:color="auto" w:fill="auto"/>
                  <w:vAlign w:val="center"/>
                </w:tcPr>
                <w:p w14:paraId="715823BF">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化学式为NaOH，俗称烧碱、火碱、苛性钠，为一种具有很强腐蚀性的强碱，一般为片状或颗粒形态，密度2.13g/cm</w:t>
                  </w:r>
                  <w:r>
                    <w:rPr>
                      <w:rFonts w:hint="default" w:ascii="Times New Roman" w:hAnsi="Times New Roman" w:cs="Times New Roman"/>
                      <w:color w:val="auto"/>
                      <w:kern w:val="2"/>
                      <w:sz w:val="21"/>
                      <w:szCs w:val="21"/>
                      <w:vertAlign w:val="superscript"/>
                      <w:lang w:val="en-US" w:eastAsia="zh-CN" w:bidi="ar-SA"/>
                    </w:rPr>
                    <w:t>3</w:t>
                  </w:r>
                  <w:r>
                    <w:rPr>
                      <w:rFonts w:hint="default" w:ascii="Times New Roman" w:hAnsi="Times New Roman" w:cs="Times New Roman"/>
                      <w:color w:val="auto"/>
                      <w:kern w:val="2"/>
                      <w:sz w:val="21"/>
                      <w:szCs w:val="21"/>
                      <w:lang w:val="en-US" w:eastAsia="zh-CN" w:bidi="ar-SA"/>
                    </w:rPr>
                    <w:t>，熔点318.4℃，沸点1390℃。</w:t>
                  </w:r>
                </w:p>
              </w:tc>
            </w:tr>
            <w:tr w14:paraId="620AB3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52" w:type="dxa"/>
                  <w:tcBorders>
                    <w:tl2br w:val="nil"/>
                    <w:tr2bl w:val="nil"/>
                  </w:tcBorders>
                  <w:shd w:val="clear" w:color="auto" w:fill="auto"/>
                  <w:vAlign w:val="center"/>
                </w:tcPr>
                <w:p w14:paraId="0C2F72A0">
                  <w:pPr>
                    <w:pStyle w:val="8"/>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12</w:t>
                  </w:r>
                </w:p>
              </w:tc>
              <w:tc>
                <w:tcPr>
                  <w:tcW w:w="893" w:type="dxa"/>
                  <w:tcBorders>
                    <w:tl2br w:val="nil"/>
                    <w:tr2bl w:val="nil"/>
                  </w:tcBorders>
                  <w:shd w:val="clear" w:color="auto" w:fill="auto"/>
                  <w:vAlign w:val="center"/>
                </w:tcPr>
                <w:p w14:paraId="3C970612">
                  <w:pPr>
                    <w:widowControl/>
                    <w:jc w:val="center"/>
                    <w:rPr>
                      <w:rFonts w:hint="default" w:ascii="Times New Roman" w:hAnsi="Times New Roman" w:eastAsia="宋体" w:cs="Times New Roman"/>
                      <w:i w:val="0"/>
                      <w:iCs w:val="0"/>
                      <w:caps w:val="0"/>
                      <w:color w:val="auto"/>
                      <w:spacing w:val="0"/>
                      <w:kern w:val="2"/>
                      <w:sz w:val="21"/>
                      <w:szCs w:val="21"/>
                      <w:shd w:val="clear" w:color="auto" w:fill="FFFFFF"/>
                      <w:lang w:val="en-US" w:eastAsia="zh-CN" w:bidi="ar-SA"/>
                    </w:rPr>
                  </w:pPr>
                  <w:r>
                    <w:rPr>
                      <w:rFonts w:hint="default" w:ascii="Times New Roman" w:hAnsi="Times New Roman" w:eastAsia="宋体" w:cs="Times New Roman"/>
                      <w:color w:val="auto"/>
                      <w:sz w:val="21"/>
                      <w:szCs w:val="21"/>
                    </w:rPr>
                    <w:t>石油醚</w:t>
                  </w:r>
                </w:p>
              </w:tc>
              <w:tc>
                <w:tcPr>
                  <w:tcW w:w="6896" w:type="dxa"/>
                  <w:tcBorders>
                    <w:tl2br w:val="nil"/>
                    <w:tr2bl w:val="nil"/>
                  </w:tcBorders>
                  <w:shd w:val="clear" w:color="auto" w:fill="auto"/>
                  <w:vAlign w:val="center"/>
                </w:tcPr>
                <w:p w14:paraId="23D9CD11">
                  <w:pPr>
                    <w:widowControl/>
                    <w:jc w:val="left"/>
                    <w:rPr>
                      <w:rFonts w:hint="default" w:ascii="Times New Roman" w:hAnsi="Times New Roman" w:eastAsia="宋体" w:cs="Times New Roman"/>
                      <w:i w:val="0"/>
                      <w:iCs w:val="0"/>
                      <w:caps w:val="0"/>
                      <w:color w:val="auto"/>
                      <w:spacing w:val="0"/>
                      <w:kern w:val="2"/>
                      <w:sz w:val="21"/>
                      <w:szCs w:val="21"/>
                      <w:shd w:val="clear" w:color="auto" w:fill="FFFFFF"/>
                      <w:lang w:val="en-US" w:eastAsia="zh-CN" w:bidi="ar-SA"/>
                    </w:rPr>
                  </w:pPr>
                  <w:r>
                    <w:rPr>
                      <w:rFonts w:hint="default" w:ascii="Times New Roman" w:hAnsi="Times New Roman" w:eastAsia="宋体" w:cs="Times New Roman"/>
                      <w:i w:val="0"/>
                      <w:iCs w:val="0"/>
                      <w:caps w:val="0"/>
                      <w:color w:val="auto"/>
                      <w:spacing w:val="0"/>
                      <w:sz w:val="21"/>
                      <w:szCs w:val="21"/>
                      <w:shd w:val="clear" w:color="auto" w:fill="FFFFFF"/>
                    </w:rPr>
                    <w:t>石油醚，是一种轻质</w:t>
                  </w:r>
                  <w:r>
                    <w:rPr>
                      <w:rFonts w:hint="default" w:ascii="Times New Roman" w:hAnsi="Times New Roman" w:eastAsia="宋体" w:cs="Times New Roman"/>
                      <w:i w:val="0"/>
                      <w:iCs w:val="0"/>
                      <w:caps w:val="0"/>
                      <w:color w:val="auto"/>
                      <w:spacing w:val="0"/>
                      <w:sz w:val="21"/>
                      <w:szCs w:val="21"/>
                      <w:u w:val="none"/>
                      <w:shd w:val="clear" w:color="auto" w:fill="FFFFFF"/>
                    </w:rPr>
                    <w:fldChar w:fldCharType="begin"/>
                  </w:r>
                  <w:r>
                    <w:rPr>
                      <w:rFonts w:hint="default" w:ascii="Times New Roman" w:hAnsi="Times New Roman" w:eastAsia="宋体" w:cs="Times New Roman"/>
                      <w:i w:val="0"/>
                      <w:iCs w:val="0"/>
                      <w:caps w:val="0"/>
                      <w:color w:val="auto"/>
                      <w:spacing w:val="0"/>
                      <w:sz w:val="21"/>
                      <w:szCs w:val="21"/>
                      <w:u w:val="none"/>
                      <w:shd w:val="clear" w:color="auto" w:fill="FFFFFF"/>
                    </w:rPr>
                    <w:instrText xml:space="preserve"> HYPERLINK "https://baike.baidu.com/item/%E7%9F%B3%E6%B2%B9%E4%BA%A7%E5%93%81/6935522?fromModule=lemma_inlink" \t "https://baike.baidu.com/item/_blank" </w:instrText>
                  </w:r>
                  <w:r>
                    <w:rPr>
                      <w:rFonts w:hint="default" w:ascii="Times New Roman" w:hAnsi="Times New Roman" w:eastAsia="宋体" w:cs="Times New Roman"/>
                      <w:i w:val="0"/>
                      <w:iCs w:val="0"/>
                      <w:caps w:val="0"/>
                      <w:color w:val="auto"/>
                      <w:spacing w:val="0"/>
                      <w:sz w:val="21"/>
                      <w:szCs w:val="21"/>
                      <w:u w:val="none"/>
                      <w:shd w:val="clear" w:color="auto" w:fill="FFFFFF"/>
                    </w:rPr>
                    <w:fldChar w:fldCharType="separate"/>
                  </w:r>
                  <w:r>
                    <w:rPr>
                      <w:rStyle w:val="33"/>
                      <w:rFonts w:hint="default" w:ascii="Times New Roman" w:hAnsi="Times New Roman" w:eastAsia="宋体" w:cs="Times New Roman"/>
                      <w:i w:val="0"/>
                      <w:iCs w:val="0"/>
                      <w:caps w:val="0"/>
                      <w:color w:val="auto"/>
                      <w:spacing w:val="0"/>
                      <w:sz w:val="21"/>
                      <w:szCs w:val="21"/>
                      <w:u w:val="none"/>
                      <w:shd w:val="clear" w:color="auto" w:fill="FFFFFF"/>
                    </w:rPr>
                    <w:t>石油产品</w:t>
                  </w:r>
                  <w:r>
                    <w:rPr>
                      <w:rFonts w:hint="default" w:ascii="Times New Roman" w:hAnsi="Times New Roman" w:eastAsia="宋体" w:cs="Times New Roman"/>
                      <w:i w:val="0"/>
                      <w:iCs w:val="0"/>
                      <w:caps w:val="0"/>
                      <w:color w:val="auto"/>
                      <w:spacing w:val="0"/>
                      <w:sz w:val="21"/>
                      <w:szCs w:val="21"/>
                      <w:u w:val="none"/>
                      <w:shd w:val="clear" w:color="auto" w:fill="FFFFFF"/>
                    </w:rPr>
                    <w:fldChar w:fldCharType="end"/>
                  </w:r>
                  <w:r>
                    <w:rPr>
                      <w:rFonts w:hint="default" w:ascii="Times New Roman" w:hAnsi="Times New Roman" w:eastAsia="宋体" w:cs="Times New Roman"/>
                      <w:i w:val="0"/>
                      <w:iCs w:val="0"/>
                      <w:caps w:val="0"/>
                      <w:color w:val="auto"/>
                      <w:spacing w:val="0"/>
                      <w:sz w:val="21"/>
                      <w:szCs w:val="21"/>
                      <w:shd w:val="clear" w:color="auto" w:fill="FFFFFF"/>
                    </w:rPr>
                    <w:t>，是低</w:t>
                  </w:r>
                  <w:r>
                    <w:rPr>
                      <w:rFonts w:hint="default" w:ascii="Times New Roman" w:hAnsi="Times New Roman" w:eastAsia="宋体" w:cs="Times New Roman"/>
                      <w:i w:val="0"/>
                      <w:iCs w:val="0"/>
                      <w:caps w:val="0"/>
                      <w:color w:val="auto"/>
                      <w:spacing w:val="0"/>
                      <w:sz w:val="21"/>
                      <w:szCs w:val="21"/>
                      <w:u w:val="none"/>
                      <w:shd w:val="clear" w:color="auto" w:fill="FFFFFF"/>
                    </w:rPr>
                    <w:fldChar w:fldCharType="begin"/>
                  </w:r>
                  <w:r>
                    <w:rPr>
                      <w:rFonts w:hint="default" w:ascii="Times New Roman" w:hAnsi="Times New Roman" w:eastAsia="宋体" w:cs="Times New Roman"/>
                      <w:i w:val="0"/>
                      <w:iCs w:val="0"/>
                      <w:caps w:val="0"/>
                      <w:color w:val="auto"/>
                      <w:spacing w:val="0"/>
                      <w:sz w:val="21"/>
                      <w:szCs w:val="21"/>
                      <w:u w:val="none"/>
                      <w:shd w:val="clear" w:color="auto" w:fill="FFFFFF"/>
                    </w:rPr>
                    <w:instrText xml:space="preserve"> HYPERLINK "https://baike.baidu.com/item/%E7%9B%B8%E5%AF%B9%E5%88%86%E5%AD%90%E8%B4%A8%E9%87%8F/5352687?fromModule=lemma_inlink" \t "https://baike.baidu.com/item/_blank" </w:instrText>
                  </w:r>
                  <w:r>
                    <w:rPr>
                      <w:rFonts w:hint="default" w:ascii="Times New Roman" w:hAnsi="Times New Roman" w:eastAsia="宋体" w:cs="Times New Roman"/>
                      <w:i w:val="0"/>
                      <w:iCs w:val="0"/>
                      <w:caps w:val="0"/>
                      <w:color w:val="auto"/>
                      <w:spacing w:val="0"/>
                      <w:sz w:val="21"/>
                      <w:szCs w:val="21"/>
                      <w:u w:val="none"/>
                      <w:shd w:val="clear" w:color="auto" w:fill="FFFFFF"/>
                    </w:rPr>
                    <w:fldChar w:fldCharType="separate"/>
                  </w:r>
                  <w:r>
                    <w:rPr>
                      <w:rStyle w:val="33"/>
                      <w:rFonts w:hint="default" w:ascii="Times New Roman" w:hAnsi="Times New Roman" w:eastAsia="宋体" w:cs="Times New Roman"/>
                      <w:i w:val="0"/>
                      <w:iCs w:val="0"/>
                      <w:caps w:val="0"/>
                      <w:color w:val="auto"/>
                      <w:spacing w:val="0"/>
                      <w:sz w:val="21"/>
                      <w:szCs w:val="21"/>
                      <w:u w:val="none"/>
                      <w:shd w:val="clear" w:color="auto" w:fill="FFFFFF"/>
                    </w:rPr>
                    <w:t>相对分子质量</w:t>
                  </w:r>
                  <w:r>
                    <w:rPr>
                      <w:rFonts w:hint="default" w:ascii="Times New Roman" w:hAnsi="Times New Roman" w:eastAsia="宋体" w:cs="Times New Roman"/>
                      <w:i w:val="0"/>
                      <w:iCs w:val="0"/>
                      <w:caps w:val="0"/>
                      <w:color w:val="auto"/>
                      <w:spacing w:val="0"/>
                      <w:sz w:val="21"/>
                      <w:szCs w:val="21"/>
                      <w:u w:val="none"/>
                      <w:shd w:val="clear" w:color="auto" w:fill="FFFFFF"/>
                    </w:rPr>
                    <w:fldChar w:fldCharType="end"/>
                  </w:r>
                  <w:r>
                    <w:rPr>
                      <w:rFonts w:hint="default" w:ascii="Times New Roman" w:hAnsi="Times New Roman" w:eastAsia="宋体" w:cs="Times New Roman"/>
                      <w:i w:val="0"/>
                      <w:iCs w:val="0"/>
                      <w:caps w:val="0"/>
                      <w:color w:val="auto"/>
                      <w:spacing w:val="0"/>
                      <w:sz w:val="21"/>
                      <w:szCs w:val="21"/>
                      <w:shd w:val="clear" w:color="auto" w:fill="FFFFFF"/>
                    </w:rPr>
                    <w:t>的烃（主要是</w:t>
                  </w:r>
                  <w:r>
                    <w:rPr>
                      <w:rFonts w:hint="default" w:ascii="Times New Roman" w:hAnsi="Times New Roman" w:eastAsia="宋体" w:cs="Times New Roman"/>
                      <w:i w:val="0"/>
                      <w:iCs w:val="0"/>
                      <w:caps w:val="0"/>
                      <w:color w:val="auto"/>
                      <w:spacing w:val="0"/>
                      <w:sz w:val="21"/>
                      <w:szCs w:val="21"/>
                      <w:u w:val="none"/>
                      <w:shd w:val="clear" w:color="auto" w:fill="FFFFFF"/>
                    </w:rPr>
                    <w:fldChar w:fldCharType="begin"/>
                  </w:r>
                  <w:r>
                    <w:rPr>
                      <w:rFonts w:hint="default" w:ascii="Times New Roman" w:hAnsi="Times New Roman" w:eastAsia="宋体" w:cs="Times New Roman"/>
                      <w:i w:val="0"/>
                      <w:iCs w:val="0"/>
                      <w:caps w:val="0"/>
                      <w:color w:val="auto"/>
                      <w:spacing w:val="0"/>
                      <w:sz w:val="21"/>
                      <w:szCs w:val="21"/>
                      <w:u w:val="none"/>
                      <w:shd w:val="clear" w:color="auto" w:fill="FFFFFF"/>
                    </w:rPr>
                    <w:instrText xml:space="preserve"> HYPERLINK "https://baike.baidu.com/item/%E6%88%8A%E7%83%B7/16218?fromModule=lemma_inlink" \t "https://baike.baidu.com/item/_blank" </w:instrText>
                  </w:r>
                  <w:r>
                    <w:rPr>
                      <w:rFonts w:hint="default" w:ascii="Times New Roman" w:hAnsi="Times New Roman" w:eastAsia="宋体" w:cs="Times New Roman"/>
                      <w:i w:val="0"/>
                      <w:iCs w:val="0"/>
                      <w:caps w:val="0"/>
                      <w:color w:val="auto"/>
                      <w:spacing w:val="0"/>
                      <w:sz w:val="21"/>
                      <w:szCs w:val="21"/>
                      <w:u w:val="none"/>
                      <w:shd w:val="clear" w:color="auto" w:fill="FFFFFF"/>
                    </w:rPr>
                    <w:fldChar w:fldCharType="separate"/>
                  </w:r>
                  <w:r>
                    <w:rPr>
                      <w:rStyle w:val="33"/>
                      <w:rFonts w:hint="default" w:ascii="Times New Roman" w:hAnsi="Times New Roman" w:eastAsia="宋体" w:cs="Times New Roman"/>
                      <w:i w:val="0"/>
                      <w:iCs w:val="0"/>
                      <w:caps w:val="0"/>
                      <w:color w:val="auto"/>
                      <w:spacing w:val="0"/>
                      <w:sz w:val="21"/>
                      <w:szCs w:val="21"/>
                      <w:u w:val="none"/>
                      <w:shd w:val="clear" w:color="auto" w:fill="FFFFFF"/>
                    </w:rPr>
                    <w:t>戊烷</w:t>
                  </w:r>
                  <w:r>
                    <w:rPr>
                      <w:rFonts w:hint="default" w:ascii="Times New Roman" w:hAnsi="Times New Roman" w:eastAsia="宋体" w:cs="Times New Roman"/>
                      <w:i w:val="0"/>
                      <w:iCs w:val="0"/>
                      <w:caps w:val="0"/>
                      <w:color w:val="auto"/>
                      <w:spacing w:val="0"/>
                      <w:sz w:val="21"/>
                      <w:szCs w:val="21"/>
                      <w:u w:val="none"/>
                      <w:shd w:val="clear" w:color="auto" w:fill="FFFFFF"/>
                    </w:rPr>
                    <w:fldChar w:fldCharType="end"/>
                  </w:r>
                  <w:r>
                    <w:rPr>
                      <w:rFonts w:hint="default" w:ascii="Times New Roman" w:hAnsi="Times New Roman" w:eastAsia="宋体" w:cs="Times New Roman"/>
                      <w:i w:val="0"/>
                      <w:iCs w:val="0"/>
                      <w:caps w:val="0"/>
                      <w:color w:val="auto"/>
                      <w:spacing w:val="0"/>
                      <w:sz w:val="21"/>
                      <w:szCs w:val="21"/>
                      <w:shd w:val="clear" w:color="auto" w:fill="FFFFFF"/>
                    </w:rPr>
                    <w:t>及</w:t>
                  </w:r>
                  <w:r>
                    <w:rPr>
                      <w:rFonts w:hint="default" w:ascii="Times New Roman" w:hAnsi="Times New Roman" w:eastAsia="宋体" w:cs="Times New Roman"/>
                      <w:i w:val="0"/>
                      <w:iCs w:val="0"/>
                      <w:caps w:val="0"/>
                      <w:color w:val="auto"/>
                      <w:spacing w:val="0"/>
                      <w:sz w:val="21"/>
                      <w:szCs w:val="21"/>
                      <w:u w:val="none"/>
                      <w:shd w:val="clear" w:color="auto" w:fill="FFFFFF"/>
                    </w:rPr>
                    <w:fldChar w:fldCharType="begin"/>
                  </w:r>
                  <w:r>
                    <w:rPr>
                      <w:rFonts w:hint="default" w:ascii="Times New Roman" w:hAnsi="Times New Roman" w:eastAsia="宋体" w:cs="Times New Roman"/>
                      <w:i w:val="0"/>
                      <w:iCs w:val="0"/>
                      <w:caps w:val="0"/>
                      <w:color w:val="auto"/>
                      <w:spacing w:val="0"/>
                      <w:sz w:val="21"/>
                      <w:szCs w:val="21"/>
                      <w:u w:val="none"/>
                      <w:shd w:val="clear" w:color="auto" w:fill="FFFFFF"/>
                    </w:rPr>
                    <w:instrText xml:space="preserve"> HYPERLINK "https://baike.baidu.com/item/%E5%B7%B1%E7%83%B7/67751?fromModule=lemma_inlink" \t "https://baike.baidu.com/item/_blank" </w:instrText>
                  </w:r>
                  <w:r>
                    <w:rPr>
                      <w:rFonts w:hint="default" w:ascii="Times New Roman" w:hAnsi="Times New Roman" w:eastAsia="宋体" w:cs="Times New Roman"/>
                      <w:i w:val="0"/>
                      <w:iCs w:val="0"/>
                      <w:caps w:val="0"/>
                      <w:color w:val="auto"/>
                      <w:spacing w:val="0"/>
                      <w:sz w:val="21"/>
                      <w:szCs w:val="21"/>
                      <w:u w:val="none"/>
                      <w:shd w:val="clear" w:color="auto" w:fill="FFFFFF"/>
                    </w:rPr>
                    <w:fldChar w:fldCharType="separate"/>
                  </w:r>
                  <w:r>
                    <w:rPr>
                      <w:rStyle w:val="33"/>
                      <w:rFonts w:hint="default" w:ascii="Times New Roman" w:hAnsi="Times New Roman" w:eastAsia="宋体" w:cs="Times New Roman"/>
                      <w:i w:val="0"/>
                      <w:iCs w:val="0"/>
                      <w:caps w:val="0"/>
                      <w:color w:val="auto"/>
                      <w:spacing w:val="0"/>
                      <w:sz w:val="21"/>
                      <w:szCs w:val="21"/>
                      <w:u w:val="none"/>
                      <w:shd w:val="clear" w:color="auto" w:fill="FFFFFF"/>
                    </w:rPr>
                    <w:t>己烷</w:t>
                  </w:r>
                  <w:r>
                    <w:rPr>
                      <w:rFonts w:hint="default" w:ascii="Times New Roman" w:hAnsi="Times New Roman" w:eastAsia="宋体" w:cs="Times New Roman"/>
                      <w:i w:val="0"/>
                      <w:iCs w:val="0"/>
                      <w:caps w:val="0"/>
                      <w:color w:val="auto"/>
                      <w:spacing w:val="0"/>
                      <w:sz w:val="21"/>
                      <w:szCs w:val="21"/>
                      <w:u w:val="none"/>
                      <w:shd w:val="clear" w:color="auto" w:fill="FFFFFF"/>
                    </w:rPr>
                    <w:fldChar w:fldCharType="end"/>
                  </w:r>
                  <w:r>
                    <w:rPr>
                      <w:rFonts w:hint="default" w:ascii="Times New Roman" w:hAnsi="Times New Roman" w:eastAsia="宋体" w:cs="Times New Roman"/>
                      <w:i w:val="0"/>
                      <w:iCs w:val="0"/>
                      <w:caps w:val="0"/>
                      <w:color w:val="auto"/>
                      <w:spacing w:val="0"/>
                      <w:sz w:val="21"/>
                      <w:szCs w:val="21"/>
                      <w:shd w:val="clear" w:color="auto" w:fill="FFFFFF"/>
                    </w:rPr>
                    <w:t>）的混合物，为无色透明液体，有煤油气味。不溶于水，溶于</w:t>
                  </w:r>
                  <w:r>
                    <w:rPr>
                      <w:rFonts w:hint="default" w:ascii="Times New Roman" w:hAnsi="Times New Roman" w:eastAsia="宋体" w:cs="Times New Roman"/>
                      <w:i w:val="0"/>
                      <w:iCs w:val="0"/>
                      <w:caps w:val="0"/>
                      <w:color w:val="auto"/>
                      <w:spacing w:val="0"/>
                      <w:sz w:val="21"/>
                      <w:szCs w:val="21"/>
                      <w:u w:val="none"/>
                      <w:shd w:val="clear" w:color="auto" w:fill="FFFFFF"/>
                    </w:rPr>
                    <w:fldChar w:fldCharType="begin"/>
                  </w:r>
                  <w:r>
                    <w:rPr>
                      <w:rFonts w:hint="default" w:ascii="Times New Roman" w:hAnsi="Times New Roman" w:eastAsia="宋体" w:cs="Times New Roman"/>
                      <w:i w:val="0"/>
                      <w:iCs w:val="0"/>
                      <w:caps w:val="0"/>
                      <w:color w:val="auto"/>
                      <w:spacing w:val="0"/>
                      <w:sz w:val="21"/>
                      <w:szCs w:val="21"/>
                      <w:u w:val="none"/>
                      <w:shd w:val="clear" w:color="auto" w:fill="FFFFFF"/>
                    </w:rPr>
                    <w:instrText xml:space="preserve"> HYPERLINK "https://baike.baidu.com/item/%E4%B9%99%E9%86%87/135334?fromModule=lemma_inlink" \t "https://baike.baidu.com/item/_blank" </w:instrText>
                  </w:r>
                  <w:r>
                    <w:rPr>
                      <w:rFonts w:hint="default" w:ascii="Times New Roman" w:hAnsi="Times New Roman" w:eastAsia="宋体" w:cs="Times New Roman"/>
                      <w:i w:val="0"/>
                      <w:iCs w:val="0"/>
                      <w:caps w:val="0"/>
                      <w:color w:val="auto"/>
                      <w:spacing w:val="0"/>
                      <w:sz w:val="21"/>
                      <w:szCs w:val="21"/>
                      <w:u w:val="none"/>
                      <w:shd w:val="clear" w:color="auto" w:fill="FFFFFF"/>
                    </w:rPr>
                    <w:fldChar w:fldCharType="separate"/>
                  </w:r>
                  <w:r>
                    <w:rPr>
                      <w:rStyle w:val="33"/>
                      <w:rFonts w:hint="default" w:ascii="Times New Roman" w:hAnsi="Times New Roman" w:eastAsia="宋体" w:cs="Times New Roman"/>
                      <w:i w:val="0"/>
                      <w:iCs w:val="0"/>
                      <w:caps w:val="0"/>
                      <w:color w:val="auto"/>
                      <w:spacing w:val="0"/>
                      <w:sz w:val="21"/>
                      <w:szCs w:val="21"/>
                      <w:u w:val="none"/>
                      <w:shd w:val="clear" w:color="auto" w:fill="FFFFFF"/>
                    </w:rPr>
                    <w:t>乙醇</w:t>
                  </w:r>
                  <w:r>
                    <w:rPr>
                      <w:rFonts w:hint="default" w:ascii="Times New Roman" w:hAnsi="Times New Roman" w:eastAsia="宋体" w:cs="Times New Roman"/>
                      <w:i w:val="0"/>
                      <w:iCs w:val="0"/>
                      <w:caps w:val="0"/>
                      <w:color w:val="auto"/>
                      <w:spacing w:val="0"/>
                      <w:sz w:val="21"/>
                      <w:szCs w:val="21"/>
                      <w:u w:val="none"/>
                      <w:shd w:val="clear" w:color="auto" w:fill="FFFFFF"/>
                    </w:rPr>
                    <w:fldChar w:fldCharType="end"/>
                  </w:r>
                  <w:r>
                    <w:rPr>
                      <w:rFonts w:hint="default" w:ascii="Times New Roman" w:hAnsi="Times New Roman" w:eastAsia="宋体" w:cs="Times New Roman"/>
                      <w:i w:val="0"/>
                      <w:iCs w:val="0"/>
                      <w:caps w:val="0"/>
                      <w:color w:val="auto"/>
                      <w:spacing w:val="0"/>
                      <w:sz w:val="21"/>
                      <w:szCs w:val="21"/>
                      <w:shd w:val="clear" w:color="auto" w:fill="FFFFFF"/>
                    </w:rPr>
                    <w:t>、苯、</w:t>
                  </w:r>
                  <w:r>
                    <w:rPr>
                      <w:rFonts w:hint="default" w:ascii="Times New Roman" w:hAnsi="Times New Roman" w:eastAsia="宋体" w:cs="Times New Roman"/>
                      <w:i w:val="0"/>
                      <w:iCs w:val="0"/>
                      <w:caps w:val="0"/>
                      <w:color w:val="auto"/>
                      <w:spacing w:val="0"/>
                      <w:sz w:val="21"/>
                      <w:szCs w:val="21"/>
                      <w:u w:val="none"/>
                      <w:shd w:val="clear" w:color="auto" w:fill="FFFFFF"/>
                    </w:rPr>
                    <w:fldChar w:fldCharType="begin"/>
                  </w:r>
                  <w:r>
                    <w:rPr>
                      <w:rFonts w:hint="default" w:ascii="Times New Roman" w:hAnsi="Times New Roman" w:eastAsia="宋体" w:cs="Times New Roman"/>
                      <w:i w:val="0"/>
                      <w:iCs w:val="0"/>
                      <w:caps w:val="0"/>
                      <w:color w:val="auto"/>
                      <w:spacing w:val="0"/>
                      <w:sz w:val="21"/>
                      <w:szCs w:val="21"/>
                      <w:u w:val="none"/>
                      <w:shd w:val="clear" w:color="auto" w:fill="FFFFFF"/>
                    </w:rPr>
                    <w:instrText xml:space="preserve"> HYPERLINK "https://baike.baidu.com/item/%E6%B0%AF%E4%BB%BF/521847?fromModule=lemma_inlink" \t "https://baike.baidu.com/item/_blank" </w:instrText>
                  </w:r>
                  <w:r>
                    <w:rPr>
                      <w:rFonts w:hint="default" w:ascii="Times New Roman" w:hAnsi="Times New Roman" w:eastAsia="宋体" w:cs="Times New Roman"/>
                      <w:i w:val="0"/>
                      <w:iCs w:val="0"/>
                      <w:caps w:val="0"/>
                      <w:color w:val="auto"/>
                      <w:spacing w:val="0"/>
                      <w:sz w:val="21"/>
                      <w:szCs w:val="21"/>
                      <w:u w:val="none"/>
                      <w:shd w:val="clear" w:color="auto" w:fill="FFFFFF"/>
                    </w:rPr>
                    <w:fldChar w:fldCharType="separate"/>
                  </w:r>
                  <w:r>
                    <w:rPr>
                      <w:rStyle w:val="33"/>
                      <w:rFonts w:hint="default" w:ascii="Times New Roman" w:hAnsi="Times New Roman" w:eastAsia="宋体" w:cs="Times New Roman"/>
                      <w:i w:val="0"/>
                      <w:iCs w:val="0"/>
                      <w:caps w:val="0"/>
                      <w:color w:val="auto"/>
                      <w:spacing w:val="0"/>
                      <w:sz w:val="21"/>
                      <w:szCs w:val="21"/>
                      <w:u w:val="none"/>
                      <w:shd w:val="clear" w:color="auto" w:fill="FFFFFF"/>
                    </w:rPr>
                    <w:t>氯仿</w:t>
                  </w:r>
                  <w:r>
                    <w:rPr>
                      <w:rFonts w:hint="default" w:ascii="Times New Roman" w:hAnsi="Times New Roman" w:eastAsia="宋体" w:cs="Times New Roman"/>
                      <w:i w:val="0"/>
                      <w:iCs w:val="0"/>
                      <w:caps w:val="0"/>
                      <w:color w:val="auto"/>
                      <w:spacing w:val="0"/>
                      <w:sz w:val="21"/>
                      <w:szCs w:val="21"/>
                      <w:u w:val="none"/>
                      <w:shd w:val="clear" w:color="auto" w:fill="FFFFFF"/>
                    </w:rPr>
                    <w:fldChar w:fldCharType="end"/>
                  </w:r>
                  <w:r>
                    <w:rPr>
                      <w:rFonts w:hint="default" w:ascii="Times New Roman" w:hAnsi="Times New Roman" w:eastAsia="宋体" w:cs="Times New Roman"/>
                      <w:i w:val="0"/>
                      <w:iCs w:val="0"/>
                      <w:caps w:val="0"/>
                      <w:color w:val="auto"/>
                      <w:spacing w:val="0"/>
                      <w:sz w:val="21"/>
                      <w:szCs w:val="21"/>
                      <w:shd w:val="clear" w:color="auto" w:fill="FFFFFF"/>
                    </w:rPr>
                    <w:t>、油类等多数</w:t>
                  </w:r>
                  <w:r>
                    <w:rPr>
                      <w:rFonts w:hint="default" w:ascii="Times New Roman" w:hAnsi="Times New Roman" w:eastAsia="宋体" w:cs="Times New Roman"/>
                      <w:i w:val="0"/>
                      <w:iCs w:val="0"/>
                      <w:caps w:val="0"/>
                      <w:color w:val="auto"/>
                      <w:spacing w:val="0"/>
                      <w:sz w:val="21"/>
                      <w:szCs w:val="21"/>
                      <w:u w:val="none"/>
                      <w:shd w:val="clear" w:color="auto" w:fill="FFFFFF"/>
                    </w:rPr>
                    <w:fldChar w:fldCharType="begin"/>
                  </w:r>
                  <w:r>
                    <w:rPr>
                      <w:rFonts w:hint="default" w:ascii="Times New Roman" w:hAnsi="Times New Roman" w:eastAsia="宋体" w:cs="Times New Roman"/>
                      <w:i w:val="0"/>
                      <w:iCs w:val="0"/>
                      <w:caps w:val="0"/>
                      <w:color w:val="auto"/>
                      <w:spacing w:val="0"/>
                      <w:sz w:val="21"/>
                      <w:szCs w:val="21"/>
                      <w:u w:val="none"/>
                      <w:shd w:val="clear" w:color="auto" w:fill="FFFFFF"/>
                    </w:rPr>
                    <w:instrText xml:space="preserve"> HYPERLINK "https://baike.baidu.com/item/%E6%9C%89%E6%9C%BA%E6%BA%B6%E5%89%82/7921016?fromModule=lemma_inlink" \t "https://baike.baidu.com/item/_blank" </w:instrText>
                  </w:r>
                  <w:r>
                    <w:rPr>
                      <w:rFonts w:hint="default" w:ascii="Times New Roman" w:hAnsi="Times New Roman" w:eastAsia="宋体" w:cs="Times New Roman"/>
                      <w:i w:val="0"/>
                      <w:iCs w:val="0"/>
                      <w:caps w:val="0"/>
                      <w:color w:val="auto"/>
                      <w:spacing w:val="0"/>
                      <w:sz w:val="21"/>
                      <w:szCs w:val="21"/>
                      <w:u w:val="none"/>
                      <w:shd w:val="clear" w:color="auto" w:fill="FFFFFF"/>
                    </w:rPr>
                    <w:fldChar w:fldCharType="separate"/>
                  </w:r>
                  <w:r>
                    <w:rPr>
                      <w:rStyle w:val="33"/>
                      <w:rFonts w:hint="default" w:ascii="Times New Roman" w:hAnsi="Times New Roman" w:eastAsia="宋体" w:cs="Times New Roman"/>
                      <w:i w:val="0"/>
                      <w:iCs w:val="0"/>
                      <w:caps w:val="0"/>
                      <w:color w:val="auto"/>
                      <w:spacing w:val="0"/>
                      <w:sz w:val="21"/>
                      <w:szCs w:val="21"/>
                      <w:u w:val="none"/>
                      <w:shd w:val="clear" w:color="auto" w:fill="FFFFFF"/>
                    </w:rPr>
                    <w:t>有机溶剂</w:t>
                  </w:r>
                  <w:r>
                    <w:rPr>
                      <w:rFonts w:hint="default" w:ascii="Times New Roman" w:hAnsi="Times New Roman" w:eastAsia="宋体" w:cs="Times New Roman"/>
                      <w:i w:val="0"/>
                      <w:iCs w:val="0"/>
                      <w:caps w:val="0"/>
                      <w:color w:val="auto"/>
                      <w:spacing w:val="0"/>
                      <w:sz w:val="21"/>
                      <w:szCs w:val="21"/>
                      <w:u w:val="none"/>
                      <w:shd w:val="clear" w:color="auto" w:fill="FFFFFF"/>
                    </w:rPr>
                    <w:fldChar w:fldCharType="end"/>
                  </w:r>
                  <w:r>
                    <w:rPr>
                      <w:rFonts w:hint="default" w:ascii="Times New Roman" w:hAnsi="Times New Roman" w:eastAsia="宋体" w:cs="Times New Roman"/>
                      <w:i w:val="0"/>
                      <w:iCs w:val="0"/>
                      <w:caps w:val="0"/>
                      <w:color w:val="auto"/>
                      <w:spacing w:val="0"/>
                      <w:sz w:val="21"/>
                      <w:szCs w:val="21"/>
                      <w:shd w:val="clear" w:color="auto" w:fill="FFFFFF"/>
                    </w:rPr>
                    <w:t>。</w:t>
                  </w:r>
                  <w:r>
                    <w:rPr>
                      <w:rFonts w:hint="default" w:ascii="Times New Roman" w:hAnsi="Times New Roman" w:eastAsia="宋体" w:cs="Times New Roman"/>
                      <w:i w:val="0"/>
                      <w:iCs w:val="0"/>
                      <w:caps w:val="0"/>
                      <w:color w:val="auto"/>
                      <w:spacing w:val="0"/>
                      <w:sz w:val="21"/>
                      <w:szCs w:val="21"/>
                      <w:shd w:val="clear" w:color="auto" w:fill="FFFFFF"/>
                      <w:lang w:val="en-US" w:eastAsia="zh-CN"/>
                    </w:rPr>
                    <w:t>密度：0.64～0.66g/cm</w:t>
                  </w:r>
                  <w:r>
                    <w:rPr>
                      <w:rFonts w:hint="default" w:ascii="Times New Roman" w:hAnsi="Times New Roman" w:eastAsia="宋体" w:cs="Times New Roman"/>
                      <w:i w:val="0"/>
                      <w:iCs w:val="0"/>
                      <w:caps w:val="0"/>
                      <w:color w:val="auto"/>
                      <w:spacing w:val="0"/>
                      <w:sz w:val="21"/>
                      <w:szCs w:val="21"/>
                      <w:shd w:val="clear" w:color="auto" w:fill="FFFFFF"/>
                      <w:vertAlign w:val="superscript"/>
                      <w:lang w:val="en-US" w:eastAsia="zh-CN"/>
                    </w:rPr>
                    <w:t>3</w:t>
                  </w:r>
                  <w:r>
                    <w:rPr>
                      <w:rFonts w:hint="default" w:ascii="Times New Roman" w:hAnsi="Times New Roman" w:eastAsia="宋体" w:cs="Times New Roman"/>
                      <w:i w:val="0"/>
                      <w:iCs w:val="0"/>
                      <w:caps w:val="0"/>
                      <w:color w:val="auto"/>
                      <w:spacing w:val="0"/>
                      <w:sz w:val="21"/>
                      <w:szCs w:val="21"/>
                      <w:shd w:val="clear" w:color="auto" w:fill="FFFFFF"/>
                    </w:rPr>
                    <w:t>，</w: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begin"/>
                  </w:r>
                  <w:r>
                    <w:rPr>
                      <w:rFonts w:hint="default" w:ascii="Times New Roman" w:hAnsi="Times New Roman" w:eastAsia="宋体" w:cs="Times New Roman"/>
                      <w:i w:val="0"/>
                      <w:iCs w:val="0"/>
                      <w:caps w:val="0"/>
                      <w:color w:val="auto"/>
                      <w:spacing w:val="0"/>
                      <w:sz w:val="21"/>
                      <w:szCs w:val="21"/>
                      <w:shd w:val="clear" w:color="auto" w:fill="FFFFFF"/>
                      <w:lang w:val="en-US" w:eastAsia="zh-CN"/>
                    </w:rPr>
                    <w:instrText xml:space="preserve"> HYPERLINK "https://baike.baidu.com/item/%E7%88%86%E7%82%B8%E4%B8%8A%E9%99%90/7938538?fromModule=lemma_inlink" \t "https://baike.baidu.com/item/_blank" </w:instrTex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separate"/>
                  </w:r>
                  <w:r>
                    <w:rPr>
                      <w:rFonts w:hint="default" w:ascii="Times New Roman" w:hAnsi="Times New Roman" w:eastAsia="宋体" w:cs="Times New Roman"/>
                      <w:i w:val="0"/>
                      <w:iCs w:val="0"/>
                      <w:caps w:val="0"/>
                      <w:color w:val="auto"/>
                      <w:spacing w:val="0"/>
                      <w:sz w:val="21"/>
                      <w:szCs w:val="21"/>
                      <w:shd w:val="clear" w:color="auto" w:fill="FFFFFF"/>
                    </w:rPr>
                    <w:t>爆炸上限</w: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end"/>
                  </w:r>
                  <w:r>
                    <w:rPr>
                      <w:rFonts w:hint="default" w:ascii="Times New Roman" w:hAnsi="Times New Roman" w:eastAsia="宋体" w:cs="Times New Roman"/>
                      <w:i w:val="0"/>
                      <w:iCs w:val="0"/>
                      <w:caps w:val="0"/>
                      <w:color w:val="auto"/>
                      <w:spacing w:val="0"/>
                      <w:sz w:val="21"/>
                      <w:szCs w:val="21"/>
                      <w:shd w:val="clear" w:color="auto" w:fill="FFFFFF"/>
                      <w:lang w:val="en-US" w:eastAsia="zh-CN"/>
                    </w:rPr>
                    <w:t>（V/V）：8.7%，</w: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begin"/>
                  </w:r>
                  <w:r>
                    <w:rPr>
                      <w:rFonts w:hint="default" w:ascii="Times New Roman" w:hAnsi="Times New Roman" w:eastAsia="宋体" w:cs="Times New Roman"/>
                      <w:i w:val="0"/>
                      <w:iCs w:val="0"/>
                      <w:caps w:val="0"/>
                      <w:color w:val="auto"/>
                      <w:spacing w:val="0"/>
                      <w:sz w:val="21"/>
                      <w:szCs w:val="21"/>
                      <w:shd w:val="clear" w:color="auto" w:fill="FFFFFF"/>
                      <w:lang w:val="en-US" w:eastAsia="zh-CN"/>
                    </w:rPr>
                    <w:instrText xml:space="preserve"> HYPERLINK "https://baike.baidu.com/item/%E7%88%86%E7%82%B8%E4%B8%8B%E9%99%90/2764305?fromModule=lemma_inlink" \t "https://baike.baidu.com/item/_blank" </w:instrTex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separate"/>
                  </w:r>
                  <w:r>
                    <w:rPr>
                      <w:rFonts w:hint="default" w:ascii="Times New Roman" w:hAnsi="Times New Roman" w:eastAsia="宋体" w:cs="Times New Roman"/>
                      <w:i w:val="0"/>
                      <w:iCs w:val="0"/>
                      <w:caps w:val="0"/>
                      <w:color w:val="auto"/>
                      <w:spacing w:val="0"/>
                      <w:sz w:val="21"/>
                      <w:szCs w:val="21"/>
                      <w:shd w:val="clear" w:color="auto" w:fill="FFFFFF"/>
                    </w:rPr>
                    <w:t>爆炸下限</w: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end"/>
                  </w:r>
                  <w:r>
                    <w:rPr>
                      <w:rFonts w:hint="default" w:ascii="Times New Roman" w:hAnsi="Times New Roman" w:eastAsia="宋体" w:cs="Times New Roman"/>
                      <w:i w:val="0"/>
                      <w:iCs w:val="0"/>
                      <w:caps w:val="0"/>
                      <w:color w:val="auto"/>
                      <w:spacing w:val="0"/>
                      <w:sz w:val="21"/>
                      <w:szCs w:val="21"/>
                      <w:shd w:val="clear" w:color="auto" w:fill="FFFFFF"/>
                      <w:lang w:val="en-US" w:eastAsia="zh-CN"/>
                    </w:rPr>
                    <w:t>（V/V）：1.1%，</w: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begin"/>
                  </w:r>
                  <w:r>
                    <w:rPr>
                      <w:rFonts w:hint="default" w:ascii="Times New Roman" w:hAnsi="Times New Roman" w:eastAsia="宋体" w:cs="Times New Roman"/>
                      <w:i w:val="0"/>
                      <w:iCs w:val="0"/>
                      <w:caps w:val="0"/>
                      <w:color w:val="auto"/>
                      <w:spacing w:val="0"/>
                      <w:sz w:val="21"/>
                      <w:szCs w:val="21"/>
                      <w:shd w:val="clear" w:color="auto" w:fill="FFFFFF"/>
                      <w:lang w:val="en-US" w:eastAsia="zh-CN"/>
                    </w:rPr>
                    <w:instrText xml:space="preserve"> HYPERLINK "https://baike.baidu.com/item/%E5%BC%95%E7%87%83%E6%B8%A9%E5%BA%A6/5537779?fromModule=lemma_inlink" \t "https://baike.baidu.com/item/_blank" </w:instrTex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separate"/>
                  </w:r>
                  <w:r>
                    <w:rPr>
                      <w:rFonts w:hint="default" w:ascii="Times New Roman" w:hAnsi="Times New Roman" w:eastAsia="宋体" w:cs="Times New Roman"/>
                      <w:i w:val="0"/>
                      <w:iCs w:val="0"/>
                      <w:caps w:val="0"/>
                      <w:color w:val="auto"/>
                      <w:spacing w:val="0"/>
                      <w:sz w:val="21"/>
                      <w:szCs w:val="21"/>
                      <w:shd w:val="clear" w:color="auto" w:fill="FFFFFF"/>
                    </w:rPr>
                    <w:t>引燃温度</w:t>
                  </w:r>
                  <w:r>
                    <w:rPr>
                      <w:rFonts w:hint="default" w:ascii="Times New Roman" w:hAnsi="Times New Roman" w:eastAsia="宋体" w:cs="Times New Roman"/>
                      <w:i w:val="0"/>
                      <w:iCs w:val="0"/>
                      <w:caps w:val="0"/>
                      <w:color w:val="auto"/>
                      <w:spacing w:val="0"/>
                      <w:sz w:val="21"/>
                      <w:szCs w:val="21"/>
                      <w:shd w:val="clear" w:color="auto" w:fill="FFFFFF"/>
                      <w:lang w:val="en-US" w:eastAsia="zh-CN"/>
                    </w:rPr>
                    <w:fldChar w:fldCharType="end"/>
                  </w:r>
                  <w:r>
                    <w:rPr>
                      <w:rFonts w:hint="default" w:ascii="Times New Roman" w:hAnsi="Times New Roman" w:eastAsia="宋体" w:cs="Times New Roman"/>
                      <w:i w:val="0"/>
                      <w:iCs w:val="0"/>
                      <w:caps w:val="0"/>
                      <w:color w:val="auto"/>
                      <w:spacing w:val="0"/>
                      <w:sz w:val="21"/>
                      <w:szCs w:val="21"/>
                      <w:shd w:val="clear" w:color="auto" w:fill="FFFFFF"/>
                      <w:lang w:val="en-US" w:eastAsia="zh-CN"/>
                    </w:rPr>
                    <w:t>：280℃，易挥发。</w:t>
                  </w:r>
                </w:p>
              </w:tc>
            </w:tr>
          </w:tbl>
          <w:p w14:paraId="1447A2CD">
            <w:pPr>
              <w:spacing w:before="120" w:beforeLines="50"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7</w:t>
            </w:r>
            <w:r>
              <w:rPr>
                <w:rFonts w:hint="default" w:ascii="Times New Roman" w:hAnsi="Times New Roman" w:cs="Times New Roman"/>
                <w:b/>
                <w:bCs/>
                <w:color w:val="auto"/>
                <w:sz w:val="24"/>
              </w:rPr>
              <w:t>、公用工程</w:t>
            </w:r>
          </w:p>
          <w:p w14:paraId="5BDC4BB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本项目公用工程主要包括给排水、供电、供热</w:t>
            </w:r>
            <w:r>
              <w:rPr>
                <w:rFonts w:hint="default" w:ascii="Times New Roman" w:hAnsi="Times New Roman" w:cs="Times New Roman"/>
                <w:color w:val="auto"/>
                <w:sz w:val="24"/>
                <w:lang w:val="en-US" w:eastAsia="zh-CN"/>
              </w:rPr>
              <w:t>制冷</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储运系统</w:t>
            </w:r>
            <w:r>
              <w:rPr>
                <w:rFonts w:hint="default" w:ascii="Times New Roman" w:hAnsi="Times New Roman" w:cs="Times New Roman"/>
                <w:color w:val="auto"/>
                <w:sz w:val="24"/>
              </w:rPr>
              <w:t>等。</w:t>
            </w:r>
          </w:p>
          <w:p w14:paraId="1E6D91B8">
            <w:pPr>
              <w:numPr>
                <w:ilvl w:val="0"/>
                <w:numId w:val="7"/>
              </w:num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给排水</w:t>
            </w:r>
          </w:p>
          <w:p w14:paraId="67E280E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lang w:val="en-US" w:eastAsia="zh-CN"/>
              </w:rPr>
              <w:t>本项目用水主要包括实验用水以及生活用水，</w:t>
            </w:r>
            <w:r>
              <w:rPr>
                <w:rFonts w:hint="default" w:ascii="Times New Roman" w:hAnsi="Times New Roman" w:cs="Times New Roman"/>
                <w:color w:val="auto"/>
                <w:sz w:val="24"/>
                <w:lang w:val="en-US" w:eastAsia="zh-CN"/>
              </w:rPr>
              <w:t>年用水量约</w:t>
            </w:r>
            <w:r>
              <w:rPr>
                <w:rFonts w:hint="eastAsia" w:cs="Times New Roman"/>
                <w:color w:val="auto"/>
                <w:sz w:val="24"/>
                <w:highlight w:val="none"/>
                <w:lang w:val="en-US" w:eastAsia="zh-CN"/>
              </w:rPr>
              <w:t>133.09</w:t>
            </w:r>
            <w:r>
              <w:rPr>
                <w:rFonts w:hint="default" w:ascii="Times New Roman" w:hAnsi="Times New Roman" w:cs="Times New Roman"/>
                <w:color w:val="auto"/>
                <w:sz w:val="24"/>
                <w:highlight w:val="none"/>
                <w:lang w:val="en-US" w:eastAsia="zh-CN"/>
              </w:rPr>
              <w:t>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lang w:val="en-US" w:eastAsia="zh-CN"/>
              </w:rPr>
              <w:t>/a</w:t>
            </w:r>
            <w:r>
              <w:rPr>
                <w:rFonts w:hint="eastAsia" w:cs="Times New Roman"/>
                <w:color w:val="auto"/>
                <w:sz w:val="24"/>
                <w:lang w:val="en-US" w:eastAsia="zh-CN"/>
              </w:rPr>
              <w:t>，</w:t>
            </w:r>
            <w:r>
              <w:rPr>
                <w:rFonts w:hint="default" w:ascii="Times New Roman" w:hAnsi="Times New Roman" w:cs="Times New Roman"/>
                <w:color w:val="auto"/>
                <w:kern w:val="0"/>
                <w:sz w:val="24"/>
                <w:lang w:val="en-US" w:eastAsia="zh-CN"/>
              </w:rPr>
              <w:t>为市政管网</w:t>
            </w:r>
            <w:r>
              <w:rPr>
                <w:rFonts w:hint="eastAsia" w:cs="Times New Roman"/>
                <w:color w:val="auto"/>
                <w:kern w:val="0"/>
                <w:sz w:val="24"/>
                <w:lang w:val="en-US" w:eastAsia="zh-CN"/>
              </w:rPr>
              <w:t>供给。</w:t>
            </w:r>
          </w:p>
          <w:p w14:paraId="47044C6B">
            <w:pPr>
              <w:spacing w:line="360" w:lineRule="auto"/>
              <w:ind w:firstLine="480" w:firstLineChars="200"/>
              <w:rPr>
                <w:rFonts w:hint="default" w:ascii="Times New Roman" w:hAnsi="Times New Roman" w:cs="Times New Roman"/>
                <w:color w:val="auto"/>
                <w:kern w:val="0"/>
                <w:sz w:val="24"/>
                <w:lang w:val="en-US" w:eastAsia="zh-CN"/>
              </w:rPr>
            </w:pPr>
            <w:r>
              <w:rPr>
                <w:rFonts w:hint="eastAsia" w:cs="Times New Roman"/>
                <w:color w:val="auto"/>
                <w:kern w:val="0"/>
                <w:sz w:val="24"/>
                <w:lang w:val="en-US" w:eastAsia="zh-CN"/>
              </w:rPr>
              <w:t>1）实验用水</w:t>
            </w:r>
          </w:p>
          <w:p w14:paraId="14AF5C8F">
            <w:pPr>
              <w:spacing w:line="360" w:lineRule="auto"/>
              <w:ind w:firstLine="480" w:firstLineChars="200"/>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①中药</w:t>
            </w:r>
            <w:bookmarkStart w:id="5" w:name="OLE_LINK3"/>
            <w:r>
              <w:rPr>
                <w:rFonts w:hint="eastAsia" w:cs="Times New Roman"/>
                <w:color w:val="auto"/>
                <w:kern w:val="0"/>
                <w:sz w:val="24"/>
                <w:lang w:val="en-US" w:eastAsia="zh-CN"/>
              </w:rPr>
              <w:t>药材洗润、浸泡、</w:t>
            </w:r>
            <w:r>
              <w:rPr>
                <w:rFonts w:hint="eastAsia" w:ascii="Times New Roman" w:hAnsi="Times New Roman" w:cs="Times New Roman"/>
                <w:color w:val="auto"/>
                <w:kern w:val="0"/>
                <w:sz w:val="24"/>
                <w:lang w:val="en-US" w:eastAsia="zh-CN"/>
              </w:rPr>
              <w:t>蒸煮</w:t>
            </w:r>
            <w:r>
              <w:rPr>
                <w:rFonts w:hint="eastAsia" w:cs="Times New Roman"/>
                <w:color w:val="auto"/>
                <w:kern w:val="0"/>
                <w:sz w:val="24"/>
                <w:lang w:val="en-US" w:eastAsia="zh-CN"/>
              </w:rPr>
              <w:t>用水</w:t>
            </w:r>
            <w:bookmarkEnd w:id="5"/>
          </w:p>
          <w:p w14:paraId="672E70A0">
            <w:pPr>
              <w:spacing w:line="360" w:lineRule="auto"/>
              <w:ind w:firstLine="480" w:firstLineChars="200"/>
              <w:rPr>
                <w:rFonts w:hint="eastAsia" w:cs="Times New Roman"/>
                <w:color w:val="auto"/>
                <w:kern w:val="0"/>
                <w:sz w:val="24"/>
                <w:lang w:val="en-US" w:eastAsia="zh-CN"/>
              </w:rPr>
            </w:pPr>
            <w:r>
              <w:rPr>
                <w:rFonts w:hint="eastAsia" w:cs="Times New Roman"/>
                <w:color w:val="auto"/>
                <w:kern w:val="0"/>
                <w:sz w:val="24"/>
                <w:lang w:val="en-US" w:eastAsia="zh-CN"/>
              </w:rPr>
              <w:t>本次评价参照</w:t>
            </w:r>
            <w:r>
              <w:rPr>
                <w:rFonts w:hint="eastAsia" w:ascii="Times New Roman" w:hAnsi="Times New Roman" w:cs="Times New Roman"/>
                <w:color w:val="auto"/>
                <w:kern w:val="0"/>
                <w:sz w:val="24"/>
                <w:lang w:val="en-US" w:eastAsia="zh-CN"/>
              </w:rPr>
              <w:t>生态环境部发布的《排放源统计调查产排污核算方法和系数手册》（2730中药饮片加工业）的产污系数（规模&lt;200吨-中药饮片/年），工业废水量2.17t/t-产品，主要用于药材的洗润、浸泡、蒸煮等</w:t>
            </w:r>
            <w:r>
              <w:rPr>
                <w:rFonts w:hint="eastAsia" w:cs="Times New Roman"/>
                <w:color w:val="auto"/>
                <w:kern w:val="0"/>
                <w:sz w:val="24"/>
                <w:lang w:val="en-US" w:eastAsia="zh-CN"/>
              </w:rPr>
              <w:t>。</w:t>
            </w:r>
            <w:r>
              <w:rPr>
                <w:rFonts w:hint="eastAsia" w:ascii="Times New Roman" w:hAnsi="Times New Roman" w:cs="Times New Roman"/>
                <w:color w:val="auto"/>
                <w:kern w:val="0"/>
                <w:sz w:val="24"/>
                <w:lang w:val="en-US" w:eastAsia="zh-CN"/>
              </w:rPr>
              <w:t>根据建设</w:t>
            </w:r>
            <w:r>
              <w:rPr>
                <w:rFonts w:hint="eastAsia" w:cs="Times New Roman"/>
                <w:color w:val="auto"/>
                <w:kern w:val="0"/>
                <w:sz w:val="24"/>
                <w:lang w:val="en-US" w:eastAsia="zh-CN"/>
              </w:rPr>
              <w:t>单位</w:t>
            </w:r>
            <w:r>
              <w:rPr>
                <w:rFonts w:hint="eastAsia" w:ascii="Times New Roman" w:hAnsi="Times New Roman" w:cs="Times New Roman"/>
                <w:color w:val="auto"/>
                <w:kern w:val="0"/>
                <w:sz w:val="24"/>
                <w:lang w:val="en-US" w:eastAsia="zh-CN"/>
              </w:rPr>
              <w:t>提供的资料，本项目中药</w:t>
            </w:r>
            <w:r>
              <w:rPr>
                <w:rFonts w:hint="eastAsia" w:cs="Times New Roman"/>
                <w:color w:val="auto"/>
                <w:kern w:val="0"/>
                <w:sz w:val="24"/>
                <w:lang w:val="en-US" w:eastAsia="zh-CN"/>
              </w:rPr>
              <w:t>药材年</w:t>
            </w:r>
            <w:r>
              <w:rPr>
                <w:rFonts w:hint="eastAsia" w:ascii="Times New Roman" w:hAnsi="Times New Roman" w:cs="Times New Roman"/>
                <w:color w:val="auto"/>
                <w:kern w:val="0"/>
                <w:sz w:val="24"/>
                <w:lang w:val="en-US" w:eastAsia="zh-CN"/>
              </w:rPr>
              <w:t>使用量约</w:t>
            </w:r>
            <w:r>
              <w:rPr>
                <w:rFonts w:hint="eastAsia" w:cs="Times New Roman"/>
                <w:color w:val="auto"/>
                <w:kern w:val="0"/>
                <w:sz w:val="24"/>
                <w:lang w:val="en-US" w:eastAsia="zh-CN"/>
              </w:rPr>
              <w:t>900</w:t>
            </w:r>
            <w:r>
              <w:rPr>
                <w:rFonts w:hint="default" w:ascii="Times New Roman" w:hAnsi="Times New Roman" w:cs="Times New Roman"/>
                <w:color w:val="auto"/>
                <w:kern w:val="0"/>
                <w:sz w:val="24"/>
                <w:lang w:val="en-US" w:eastAsia="zh-CN"/>
              </w:rPr>
              <w:t>kg</w:t>
            </w:r>
            <w:r>
              <w:rPr>
                <w:rFonts w:hint="eastAsia" w:ascii="Times New Roman" w:hAnsi="Times New Roman" w:cs="Times New Roman"/>
                <w:color w:val="auto"/>
                <w:kern w:val="0"/>
                <w:sz w:val="24"/>
                <w:lang w:val="en-US" w:eastAsia="zh-CN"/>
              </w:rPr>
              <w:t>，则中药</w:t>
            </w:r>
            <w:r>
              <w:rPr>
                <w:rFonts w:hint="eastAsia" w:cs="Times New Roman"/>
                <w:color w:val="auto"/>
                <w:kern w:val="0"/>
                <w:sz w:val="24"/>
                <w:lang w:val="en-US" w:eastAsia="zh-CN"/>
              </w:rPr>
              <w:t>药材</w:t>
            </w:r>
            <w:r>
              <w:rPr>
                <w:rFonts w:hint="eastAsia" w:ascii="Times New Roman" w:hAnsi="Times New Roman" w:cs="Times New Roman"/>
                <w:color w:val="auto"/>
                <w:kern w:val="0"/>
                <w:sz w:val="24"/>
                <w:lang w:val="en-US" w:eastAsia="zh-CN"/>
              </w:rPr>
              <w:t>洗润、浸泡、蒸煮年</w:t>
            </w:r>
            <w:r>
              <w:rPr>
                <w:rFonts w:hint="eastAsia" w:cs="Times New Roman"/>
                <w:color w:val="auto"/>
                <w:kern w:val="0"/>
                <w:sz w:val="24"/>
                <w:lang w:val="en-US" w:eastAsia="zh-CN"/>
              </w:rPr>
              <w:t>排放水量</w:t>
            </w:r>
            <w:r>
              <w:rPr>
                <w:rFonts w:hint="eastAsia" w:ascii="Times New Roman" w:hAnsi="Times New Roman" w:cs="Times New Roman"/>
                <w:color w:val="auto"/>
                <w:kern w:val="0"/>
                <w:sz w:val="24"/>
                <w:lang w:val="en-US" w:eastAsia="zh-CN"/>
              </w:rPr>
              <w:t>约</w:t>
            </w:r>
            <w:r>
              <w:rPr>
                <w:rFonts w:hint="eastAsia" w:cs="Times New Roman"/>
                <w:color w:val="auto"/>
                <w:kern w:val="0"/>
                <w:sz w:val="24"/>
                <w:lang w:val="en-US" w:eastAsia="zh-CN"/>
              </w:rPr>
              <w:t>1.95</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cs="Times New Roman"/>
                <w:color w:val="auto"/>
                <w:kern w:val="0"/>
                <w:sz w:val="24"/>
                <w:lang w:val="en-US" w:eastAsia="zh-CN"/>
              </w:rPr>
              <w:t>，0.01</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w:t>
            </w:r>
            <w:r>
              <w:rPr>
                <w:rFonts w:hint="eastAsia" w:cs="Times New Roman"/>
                <w:color w:val="auto"/>
                <w:kern w:val="0"/>
                <w:sz w:val="24"/>
                <w:lang w:val="en-US" w:eastAsia="zh-CN"/>
              </w:rPr>
              <w:t>d</w:t>
            </w:r>
            <w:r>
              <w:rPr>
                <w:rFonts w:hint="eastAsia" w:ascii="Times New Roman" w:hAnsi="Times New Roman" w:cs="Times New Roman"/>
                <w:color w:val="auto"/>
                <w:kern w:val="0"/>
                <w:sz w:val="24"/>
                <w:lang w:val="en-US" w:eastAsia="zh-CN"/>
              </w:rPr>
              <w:t>。考虑药材洗润</w:t>
            </w:r>
            <w:r>
              <w:rPr>
                <w:rFonts w:hint="eastAsia" w:cs="Times New Roman"/>
                <w:color w:val="auto"/>
                <w:kern w:val="0"/>
                <w:sz w:val="24"/>
                <w:lang w:val="en-US" w:eastAsia="zh-CN"/>
              </w:rPr>
              <w:t>、浸泡、蒸煮</w:t>
            </w:r>
            <w:r>
              <w:rPr>
                <w:rFonts w:hint="eastAsia" w:ascii="Times New Roman" w:hAnsi="Times New Roman" w:cs="Times New Roman"/>
                <w:color w:val="auto"/>
                <w:kern w:val="0"/>
                <w:sz w:val="24"/>
                <w:lang w:val="en-US" w:eastAsia="zh-CN"/>
              </w:rPr>
              <w:t>过程中要吸收</w:t>
            </w:r>
            <w:r>
              <w:rPr>
                <w:rFonts w:hint="eastAsia" w:cs="Times New Roman"/>
                <w:color w:val="auto"/>
                <w:kern w:val="0"/>
                <w:sz w:val="24"/>
                <w:lang w:val="en-US" w:eastAsia="zh-CN"/>
              </w:rPr>
              <w:t>损耗</w:t>
            </w:r>
            <w:r>
              <w:rPr>
                <w:rFonts w:hint="eastAsia" w:ascii="Times New Roman" w:hAnsi="Times New Roman" w:cs="Times New Roman"/>
                <w:color w:val="auto"/>
                <w:kern w:val="0"/>
                <w:sz w:val="24"/>
                <w:lang w:val="en-US" w:eastAsia="zh-CN"/>
              </w:rPr>
              <w:t>一部分水，排水量约占用水量的</w:t>
            </w:r>
            <w:r>
              <w:rPr>
                <w:rFonts w:hint="eastAsia" w:cs="Times New Roman"/>
                <w:color w:val="auto"/>
                <w:kern w:val="0"/>
                <w:sz w:val="24"/>
                <w:lang w:val="en-US" w:eastAsia="zh-CN"/>
              </w:rPr>
              <w:t>8</w:t>
            </w:r>
            <w:r>
              <w:rPr>
                <w:rFonts w:hint="eastAsia" w:ascii="Times New Roman" w:hAnsi="Times New Roman" w:cs="Times New Roman"/>
                <w:color w:val="auto"/>
                <w:kern w:val="0"/>
                <w:sz w:val="24"/>
                <w:lang w:val="en-US" w:eastAsia="zh-CN"/>
              </w:rPr>
              <w:t>0%，则用水量为2</w:t>
            </w:r>
            <w:r>
              <w:rPr>
                <w:rFonts w:hint="eastAsia" w:cs="Times New Roman"/>
                <w:color w:val="auto"/>
                <w:kern w:val="0"/>
                <w:sz w:val="24"/>
                <w:lang w:val="en-US" w:eastAsia="zh-CN"/>
              </w:rPr>
              <w:t>.</w:t>
            </w:r>
            <w:r>
              <w:rPr>
                <w:rFonts w:hint="eastAsia" w:ascii="Times New Roman" w:hAnsi="Times New Roman" w:cs="Times New Roman"/>
                <w:color w:val="auto"/>
                <w:kern w:val="0"/>
                <w:sz w:val="24"/>
                <w:lang w:val="en-US" w:eastAsia="zh-CN"/>
              </w:rPr>
              <w:t>4</w:t>
            </w:r>
            <w:r>
              <w:rPr>
                <w:rFonts w:hint="eastAsia" w:cs="Times New Roman"/>
                <w:color w:val="auto"/>
                <w:kern w:val="0"/>
                <w:sz w:val="24"/>
                <w:lang w:val="en-US" w:eastAsia="zh-CN"/>
              </w:rPr>
              <w:t>4</w:t>
            </w:r>
            <w:r>
              <w:rPr>
                <w:rFonts w:hint="eastAsia" w:ascii="Times New Roman" w:hAnsi="Times New Roman" w:cs="Times New Roman"/>
                <w:color w:val="auto"/>
                <w:kern w:val="0"/>
                <w:sz w:val="24"/>
                <w:lang w:val="en-US" w:eastAsia="zh-CN"/>
              </w:rPr>
              <w:t>t/a（约0.</w:t>
            </w:r>
            <w:r>
              <w:rPr>
                <w:rFonts w:hint="eastAsia" w:cs="Times New Roman"/>
                <w:color w:val="auto"/>
                <w:kern w:val="0"/>
                <w:sz w:val="24"/>
                <w:lang w:val="en-US" w:eastAsia="zh-CN"/>
              </w:rPr>
              <w:t>012</w:t>
            </w:r>
            <w:r>
              <w:rPr>
                <w:rFonts w:hint="eastAsia" w:ascii="Times New Roman" w:hAnsi="Times New Roman" w:cs="Times New Roman"/>
                <w:color w:val="auto"/>
                <w:kern w:val="0"/>
                <w:sz w:val="24"/>
                <w:lang w:val="en-US" w:eastAsia="zh-CN"/>
              </w:rPr>
              <w:t>t/d）</w:t>
            </w:r>
            <w:r>
              <w:rPr>
                <w:rFonts w:hint="eastAsia" w:cs="Times New Roman"/>
                <w:color w:val="auto"/>
                <w:kern w:val="0"/>
                <w:sz w:val="24"/>
                <w:lang w:val="en-US" w:eastAsia="zh-CN"/>
              </w:rPr>
              <w:t>。</w:t>
            </w:r>
          </w:p>
          <w:p w14:paraId="09C8F0BC">
            <w:pPr>
              <w:spacing w:line="360" w:lineRule="auto"/>
              <w:ind w:firstLine="480" w:firstLineChars="200"/>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②器皿清洗用水</w:t>
            </w:r>
          </w:p>
          <w:p w14:paraId="39F5CF11">
            <w:pPr>
              <w:spacing w:line="360" w:lineRule="auto"/>
              <w:ind w:firstLine="480" w:firstLineChars="200"/>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项目器皿清洗水用水主要为实验检测器皿清洗，根据建设单位提供的资料，年用量约</w:t>
            </w:r>
            <w:r>
              <w:rPr>
                <w:rFonts w:hint="default" w:ascii="Times New Roman" w:hAnsi="Times New Roman" w:cs="Times New Roman"/>
                <w:color w:val="auto"/>
                <w:kern w:val="0"/>
                <w:sz w:val="24"/>
                <w:lang w:val="en-US" w:eastAsia="zh-CN"/>
              </w:rPr>
              <w:t>3m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ascii="Times New Roman" w:hAnsi="Times New Roman" w:cs="Times New Roman"/>
                <w:color w:val="auto"/>
                <w:kern w:val="0"/>
                <w:sz w:val="24"/>
                <w:lang w:val="en-US" w:eastAsia="zh-CN"/>
              </w:rPr>
              <w:t>，0.015</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w:t>
            </w:r>
            <w:r>
              <w:rPr>
                <w:rFonts w:hint="eastAsia" w:ascii="Times New Roman" w:hAnsi="Times New Roman" w:cs="Times New Roman"/>
                <w:color w:val="auto"/>
                <w:kern w:val="0"/>
                <w:sz w:val="24"/>
                <w:lang w:val="en-US" w:eastAsia="zh-CN"/>
              </w:rPr>
              <w:t>d</w:t>
            </w:r>
            <w:r>
              <w:rPr>
                <w:rFonts w:hint="eastAsia" w:cs="Times New Roman"/>
                <w:color w:val="auto"/>
                <w:kern w:val="0"/>
                <w:sz w:val="24"/>
                <w:lang w:val="en-US" w:eastAsia="zh-CN"/>
              </w:rPr>
              <w:t>，为超纯水</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污水产生系数按照</w:t>
            </w:r>
            <w:r>
              <w:rPr>
                <w:rFonts w:hint="eastAsia" w:ascii="Times New Roman" w:hAnsi="Times New Roman" w:cs="Times New Roman"/>
                <w:color w:val="auto"/>
                <w:kern w:val="0"/>
                <w:sz w:val="24"/>
                <w:lang w:val="en-US" w:eastAsia="zh-CN"/>
              </w:rPr>
              <w:t>9</w:t>
            </w:r>
            <w:r>
              <w:rPr>
                <w:rFonts w:hint="default" w:ascii="Times New Roman" w:hAnsi="Times New Roman" w:cs="Times New Roman"/>
                <w:color w:val="auto"/>
                <w:kern w:val="0"/>
                <w:sz w:val="24"/>
                <w:lang w:val="en-US" w:eastAsia="zh-CN"/>
              </w:rPr>
              <w:t>0%计，</w:t>
            </w:r>
            <w:r>
              <w:rPr>
                <w:rFonts w:hint="eastAsia" w:ascii="Times New Roman" w:hAnsi="Times New Roman" w:cs="Times New Roman"/>
                <w:color w:val="auto"/>
                <w:kern w:val="0"/>
                <w:sz w:val="24"/>
                <w:lang w:val="en-US" w:eastAsia="zh-CN"/>
              </w:rPr>
              <w:t>则器皿清洗废水产生量为2.7</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ascii="Times New Roman" w:hAnsi="Times New Roman" w:cs="Times New Roman"/>
                <w:color w:val="auto"/>
                <w:kern w:val="0"/>
                <w:sz w:val="24"/>
                <w:lang w:val="en-US" w:eastAsia="zh-CN"/>
              </w:rPr>
              <w:t>，0.0135</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w:t>
            </w:r>
            <w:r>
              <w:rPr>
                <w:rFonts w:hint="eastAsia" w:ascii="Times New Roman" w:hAnsi="Times New Roman" w:cs="Times New Roman"/>
                <w:color w:val="auto"/>
                <w:kern w:val="0"/>
                <w:sz w:val="24"/>
                <w:lang w:val="en-US" w:eastAsia="zh-CN"/>
              </w:rPr>
              <w:t>d。实验区器皿清洗废水头道废水作为危废处理，产生量约为</w:t>
            </w:r>
            <w:r>
              <w:rPr>
                <w:rFonts w:hint="default" w:ascii="Times New Roman" w:hAnsi="Times New Roman" w:cs="Times New Roman"/>
                <w:color w:val="auto"/>
                <w:kern w:val="0"/>
                <w:sz w:val="24"/>
                <w:lang w:val="en-US" w:eastAsia="zh-CN"/>
              </w:rPr>
              <w:t>0.</w:t>
            </w:r>
            <w:r>
              <w:rPr>
                <w:rFonts w:hint="eastAsia" w:cs="Times New Roman"/>
                <w:color w:val="auto"/>
                <w:kern w:val="0"/>
                <w:sz w:val="24"/>
                <w:lang w:val="en-US" w:eastAsia="zh-CN"/>
              </w:rPr>
              <w:t>9</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ascii="Times New Roman" w:hAnsi="Times New Roman" w:cs="Times New Roman"/>
                <w:color w:val="auto"/>
                <w:kern w:val="0"/>
                <w:sz w:val="24"/>
                <w:lang w:val="en-US" w:eastAsia="zh-CN"/>
              </w:rPr>
              <w:t>，其余清洗废水产生量约</w:t>
            </w:r>
            <w:r>
              <w:rPr>
                <w:rFonts w:hint="eastAsia" w:cs="Times New Roman"/>
                <w:color w:val="auto"/>
                <w:kern w:val="0"/>
                <w:sz w:val="24"/>
                <w:lang w:val="en-US" w:eastAsia="zh-CN"/>
              </w:rPr>
              <w:t>1.8</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cs="Times New Roman"/>
                <w:color w:val="auto"/>
                <w:kern w:val="0"/>
                <w:sz w:val="24"/>
                <w:lang w:val="en-US" w:eastAsia="zh-CN"/>
              </w:rPr>
              <w:t>。</w:t>
            </w:r>
          </w:p>
          <w:p w14:paraId="0273D085">
            <w:pPr>
              <w:spacing w:line="360" w:lineRule="auto"/>
              <w:ind w:firstLine="480" w:firstLineChars="200"/>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③设备清洗用水</w:t>
            </w:r>
          </w:p>
          <w:p w14:paraId="42FD1E01">
            <w:pPr>
              <w:spacing w:line="360" w:lineRule="auto"/>
              <w:ind w:firstLine="480" w:firstLineChars="200"/>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项目</w:t>
            </w:r>
            <w:r>
              <w:rPr>
                <w:rFonts w:hint="eastAsia" w:cs="Times New Roman"/>
                <w:color w:val="auto"/>
                <w:kern w:val="0"/>
                <w:sz w:val="24"/>
                <w:lang w:val="en-US" w:eastAsia="zh-CN"/>
              </w:rPr>
              <w:t>部分</w:t>
            </w:r>
            <w:r>
              <w:rPr>
                <w:rFonts w:hint="eastAsia" w:ascii="Times New Roman" w:hAnsi="Times New Roman" w:cs="Times New Roman"/>
                <w:color w:val="auto"/>
                <w:kern w:val="0"/>
                <w:sz w:val="24"/>
                <w:lang w:val="en-US" w:eastAsia="zh-CN"/>
              </w:rPr>
              <w:t>设备如粉碎机，</w:t>
            </w:r>
            <w:r>
              <w:rPr>
                <w:rFonts w:hint="eastAsia" w:cs="Times New Roman"/>
                <w:color w:val="auto"/>
                <w:kern w:val="0"/>
                <w:sz w:val="24"/>
                <w:lang w:val="en-US" w:eastAsia="zh-CN"/>
              </w:rPr>
              <w:t>蒸发仪</w:t>
            </w:r>
            <w:r>
              <w:rPr>
                <w:rFonts w:hint="eastAsia" w:ascii="Times New Roman" w:hAnsi="Times New Roman" w:cs="Times New Roman"/>
                <w:color w:val="auto"/>
                <w:kern w:val="0"/>
                <w:sz w:val="24"/>
                <w:lang w:val="en-US" w:eastAsia="zh-CN"/>
              </w:rPr>
              <w:t>等，需定期清洗，根据建设单位提供资料，</w:t>
            </w:r>
            <w:r>
              <w:rPr>
                <w:rFonts w:hint="eastAsia" w:cs="Times New Roman"/>
                <w:color w:val="auto"/>
                <w:kern w:val="0"/>
                <w:sz w:val="24"/>
                <w:lang w:val="en-US" w:eastAsia="zh-CN"/>
              </w:rPr>
              <w:t>年清洗约40次，</w:t>
            </w:r>
            <w:r>
              <w:rPr>
                <w:rFonts w:hint="eastAsia" w:ascii="Times New Roman" w:hAnsi="Times New Roman" w:cs="Times New Roman"/>
                <w:color w:val="auto"/>
                <w:kern w:val="0"/>
                <w:sz w:val="24"/>
                <w:lang w:val="en-US" w:eastAsia="zh-CN"/>
              </w:rPr>
              <w:t>用水量约</w:t>
            </w:r>
            <w:r>
              <w:rPr>
                <w:rFonts w:hint="default" w:ascii="Times New Roman" w:hAnsi="Times New Roman" w:cs="Times New Roman"/>
                <w:color w:val="auto"/>
                <w:kern w:val="0"/>
                <w:sz w:val="24"/>
                <w:lang w:val="en-US" w:eastAsia="zh-CN"/>
              </w:rPr>
              <w:t>10L/</w:t>
            </w:r>
            <w:r>
              <w:rPr>
                <w:rFonts w:hint="eastAsia" w:ascii="Times New Roman" w:hAnsi="Times New Roman" w:cs="Times New Roman"/>
                <w:color w:val="auto"/>
                <w:kern w:val="0"/>
                <w:sz w:val="24"/>
                <w:lang w:val="en-US" w:eastAsia="zh-CN"/>
              </w:rPr>
              <w:t>次，因此设备清洗用水量为</w:t>
            </w:r>
            <w:r>
              <w:rPr>
                <w:rFonts w:hint="eastAsia" w:cs="Times New Roman"/>
                <w:color w:val="auto"/>
                <w:kern w:val="0"/>
                <w:sz w:val="24"/>
                <w:lang w:val="en-US" w:eastAsia="zh-CN"/>
              </w:rPr>
              <w:t>0.4</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cs="Times New Roman"/>
                <w:color w:val="auto"/>
                <w:kern w:val="0"/>
                <w:sz w:val="24"/>
                <w:lang w:val="en-US" w:eastAsia="zh-CN"/>
              </w:rPr>
              <w:t>，0.002</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w:t>
            </w:r>
            <w:r>
              <w:rPr>
                <w:rFonts w:hint="eastAsia" w:cs="Times New Roman"/>
                <w:color w:val="auto"/>
                <w:kern w:val="0"/>
                <w:sz w:val="24"/>
                <w:lang w:val="en-US" w:eastAsia="zh-CN"/>
              </w:rPr>
              <w:t>d</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sz w:val="24"/>
              </w:rPr>
              <w:t>污水产生系数按照</w:t>
            </w:r>
            <w:r>
              <w:rPr>
                <w:rFonts w:hint="eastAsia" w:cs="Times New Roman"/>
                <w:color w:val="auto"/>
                <w:sz w:val="24"/>
                <w:lang w:val="en-US" w:eastAsia="zh-CN"/>
              </w:rPr>
              <w:t>9</w:t>
            </w:r>
            <w:r>
              <w:rPr>
                <w:rFonts w:hint="default" w:ascii="Times New Roman" w:hAnsi="Times New Roman" w:cs="Times New Roman"/>
                <w:color w:val="auto"/>
                <w:sz w:val="24"/>
              </w:rPr>
              <w:t>0%计，</w:t>
            </w:r>
            <w:r>
              <w:rPr>
                <w:rFonts w:hint="eastAsia" w:cs="Times New Roman"/>
                <w:color w:val="auto"/>
                <w:sz w:val="24"/>
                <w:lang w:val="en-US" w:eastAsia="zh-CN"/>
              </w:rPr>
              <w:t>则设备清洗废水产生量为0.36</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cs="Times New Roman"/>
                <w:color w:val="auto"/>
                <w:kern w:val="0"/>
                <w:sz w:val="24"/>
                <w:lang w:val="en-US" w:eastAsia="zh-CN"/>
              </w:rPr>
              <w:t>，0.0018</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w:t>
            </w:r>
            <w:r>
              <w:rPr>
                <w:rFonts w:hint="eastAsia" w:cs="Times New Roman"/>
                <w:color w:val="auto"/>
                <w:kern w:val="0"/>
                <w:sz w:val="24"/>
                <w:lang w:val="en-US" w:eastAsia="zh-CN"/>
              </w:rPr>
              <w:t>d。</w:t>
            </w:r>
          </w:p>
          <w:p w14:paraId="49573CA3">
            <w:pPr>
              <w:spacing w:line="360" w:lineRule="auto"/>
              <w:ind w:firstLine="480" w:firstLineChars="200"/>
              <w:rPr>
                <w:rFonts w:hint="default" w:ascii="Times New Roman" w:hAnsi="Times New Roman" w:cs="Times New Roman"/>
                <w:color w:val="auto"/>
                <w:sz w:val="24"/>
                <w:lang w:val="en-US" w:eastAsia="zh-CN"/>
              </w:rPr>
            </w:pPr>
            <w:r>
              <w:rPr>
                <w:rFonts w:hint="eastAsia" w:cs="Times New Roman"/>
                <w:color w:val="auto"/>
                <w:sz w:val="24"/>
                <w:lang w:val="en-US" w:eastAsia="zh-CN"/>
              </w:rPr>
              <w:t>④超纯水制备用水</w:t>
            </w:r>
          </w:p>
          <w:p w14:paraId="6EA1E6A7">
            <w:pPr>
              <w:spacing w:line="360" w:lineRule="auto"/>
              <w:ind w:firstLine="480" w:firstLineChars="200"/>
              <w:rPr>
                <w:rFonts w:hint="default" w:ascii="Times New Roman" w:hAnsi="Times New Roman" w:cs="Times New Roman"/>
                <w:color w:val="auto"/>
                <w:sz w:val="24"/>
                <w:lang w:val="en-US" w:eastAsia="zh-CN"/>
              </w:rPr>
            </w:pPr>
            <w:r>
              <w:rPr>
                <w:rFonts w:hint="eastAsia" w:cs="Times New Roman"/>
                <w:color w:val="auto"/>
                <w:sz w:val="24"/>
                <w:lang w:val="en-US" w:eastAsia="zh-CN"/>
              </w:rPr>
              <w:t>根据建设单位提供的资料，本项目设置1台40L/h的超纯水设备，制水效率为70%，</w:t>
            </w:r>
            <w:r>
              <w:rPr>
                <w:rFonts w:hint="default" w:ascii="Times New Roman" w:hAnsi="Times New Roman" w:cs="Times New Roman"/>
                <w:color w:val="auto"/>
                <w:sz w:val="24"/>
              </w:rPr>
              <w:t>实验过程使用</w:t>
            </w:r>
            <w:r>
              <w:rPr>
                <w:rFonts w:hint="eastAsia" w:cs="Times New Roman"/>
                <w:color w:val="auto"/>
                <w:sz w:val="24"/>
                <w:lang w:val="en-US" w:eastAsia="zh-CN"/>
              </w:rPr>
              <w:t>超</w:t>
            </w:r>
            <w:r>
              <w:rPr>
                <w:rFonts w:hint="default" w:ascii="Times New Roman" w:hAnsi="Times New Roman" w:cs="Times New Roman"/>
                <w:color w:val="auto"/>
                <w:sz w:val="24"/>
              </w:rPr>
              <w:t>纯水量约</w:t>
            </w:r>
            <w:r>
              <w:rPr>
                <w:rFonts w:hint="eastAsia" w:cs="Times New Roman"/>
                <w:color w:val="auto"/>
                <w:sz w:val="24"/>
                <w:lang w:val="en-US" w:eastAsia="zh-CN"/>
              </w:rPr>
              <w:t>0.015</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cs="Times New Roman"/>
                <w:color w:val="auto"/>
                <w:sz w:val="24"/>
                <w:lang w:eastAsia="zh-CN"/>
              </w:rPr>
              <w:t>，</w:t>
            </w:r>
            <w:r>
              <w:rPr>
                <w:rFonts w:hint="eastAsia" w:cs="Times New Roman"/>
                <w:color w:val="auto"/>
                <w:sz w:val="24"/>
                <w:lang w:val="en-US" w:eastAsia="zh-CN"/>
              </w:rPr>
              <w:t>3</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r>
              <w:rPr>
                <w:rFonts w:hint="eastAsia" w:cs="Times New Roman"/>
                <w:color w:val="auto"/>
                <w:sz w:val="24"/>
                <w:lang w:eastAsia="zh-CN"/>
              </w:rPr>
              <w:t>，</w:t>
            </w:r>
            <w:r>
              <w:rPr>
                <w:rFonts w:hint="eastAsia" w:cs="Times New Roman"/>
                <w:color w:val="auto"/>
                <w:sz w:val="24"/>
                <w:lang w:val="en-US" w:eastAsia="zh-CN"/>
              </w:rPr>
              <w:t>经计算所需自来水水量为0.021t/d，4.29t/a。浓水的产生量为0.006t/d，1.29t/a。</w:t>
            </w:r>
          </w:p>
          <w:p w14:paraId="667993D0">
            <w:pPr>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⑤实验平台及</w:t>
            </w:r>
            <w:r>
              <w:rPr>
                <w:rFonts w:hint="default" w:ascii="Times New Roman" w:hAnsi="Times New Roman" w:cs="Times New Roman"/>
                <w:color w:val="auto"/>
                <w:sz w:val="24"/>
                <w:lang w:val="en-US" w:eastAsia="zh-CN"/>
              </w:rPr>
              <w:t>地面</w:t>
            </w:r>
            <w:r>
              <w:rPr>
                <w:rFonts w:hint="eastAsia" w:cs="Times New Roman"/>
                <w:color w:val="auto"/>
                <w:sz w:val="24"/>
                <w:lang w:val="en-US" w:eastAsia="zh-CN"/>
              </w:rPr>
              <w:t>清洗</w:t>
            </w:r>
            <w:r>
              <w:rPr>
                <w:rFonts w:hint="default" w:ascii="Times New Roman" w:hAnsi="Times New Roman" w:cs="Times New Roman"/>
                <w:color w:val="auto"/>
                <w:sz w:val="24"/>
                <w:lang w:val="en-US" w:eastAsia="zh-CN"/>
              </w:rPr>
              <w:t>用水</w:t>
            </w:r>
          </w:p>
          <w:p w14:paraId="0B4FA99B">
            <w:pPr>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实验平台及</w:t>
            </w:r>
            <w:r>
              <w:rPr>
                <w:rFonts w:hint="default" w:ascii="Times New Roman" w:hAnsi="Times New Roman" w:cs="Times New Roman"/>
                <w:color w:val="auto"/>
                <w:sz w:val="24"/>
                <w:lang w:val="en-US" w:eastAsia="zh-CN"/>
              </w:rPr>
              <w:t>地面</w:t>
            </w:r>
            <w:r>
              <w:rPr>
                <w:rFonts w:hint="eastAsia" w:cs="Times New Roman"/>
                <w:color w:val="auto"/>
                <w:sz w:val="24"/>
                <w:lang w:val="en-US" w:eastAsia="zh-CN"/>
              </w:rPr>
              <w:t>约每天清洗</w:t>
            </w:r>
            <w:r>
              <w:rPr>
                <w:rFonts w:hint="default" w:ascii="Times New Roman" w:hAnsi="Times New Roman" w:cs="Times New Roman"/>
                <w:color w:val="auto"/>
                <w:sz w:val="24"/>
                <w:lang w:val="en-US" w:eastAsia="zh-CN"/>
              </w:rPr>
              <w:t>一次，用水量约0.</w:t>
            </w:r>
            <w:r>
              <w:rPr>
                <w:rFonts w:hint="eastAsia" w:cs="Times New Roman"/>
                <w:color w:val="auto"/>
                <w:sz w:val="24"/>
                <w:lang w:val="en-US" w:eastAsia="zh-CN"/>
              </w:rPr>
              <w:t>2</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/次（</w:t>
            </w:r>
            <w:r>
              <w:rPr>
                <w:rFonts w:hint="eastAsia" w:cs="Times New Roman"/>
                <w:color w:val="auto"/>
                <w:sz w:val="24"/>
                <w:lang w:val="en-US" w:eastAsia="zh-CN"/>
              </w:rPr>
              <w:t>40</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w:t>
            </w:r>
            <w:r>
              <w:rPr>
                <w:rFonts w:hint="default" w:ascii="Times New Roman" w:hAnsi="Times New Roman" w:cs="Times New Roman"/>
                <w:color w:val="auto"/>
                <w:kern w:val="0"/>
                <w:sz w:val="24"/>
                <w:lang w:val="en-US" w:eastAsia="zh-CN"/>
              </w:rPr>
              <w:t>废水产生量按用水量的90%计算，产生量约为0.</w:t>
            </w:r>
            <w:r>
              <w:rPr>
                <w:rFonts w:hint="eastAsia" w:cs="Times New Roman"/>
                <w:color w:val="auto"/>
                <w:kern w:val="0"/>
                <w:sz w:val="24"/>
                <w:lang w:val="en-US" w:eastAsia="zh-CN"/>
              </w:rPr>
              <w:t>18</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/次，</w:t>
            </w:r>
            <w:r>
              <w:rPr>
                <w:rFonts w:hint="eastAsia" w:cs="Times New Roman"/>
                <w:color w:val="auto"/>
                <w:kern w:val="0"/>
                <w:sz w:val="24"/>
                <w:lang w:val="en-US" w:eastAsia="zh-CN"/>
              </w:rPr>
              <w:t>36</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lang w:val="en-US" w:eastAsia="zh-CN"/>
              </w:rPr>
              <w:t>/a</w:t>
            </w:r>
            <w:r>
              <w:rPr>
                <w:rFonts w:hint="eastAsia" w:ascii="Times New Roman" w:hAnsi="Times New Roman" w:cs="Times New Roman"/>
                <w:color w:val="auto"/>
                <w:kern w:val="0"/>
                <w:sz w:val="24"/>
                <w:lang w:val="en-US" w:eastAsia="zh-CN"/>
              </w:rPr>
              <w:t>。</w:t>
            </w:r>
          </w:p>
          <w:p w14:paraId="14A9C702">
            <w:pPr>
              <w:spacing w:line="360" w:lineRule="auto"/>
              <w:ind w:firstLine="480" w:firstLineChars="200"/>
              <w:rPr>
                <w:rFonts w:hint="default" w:ascii="Times New Roman" w:hAnsi="Times New Roman" w:cs="Times New Roman"/>
                <w:color w:val="auto"/>
                <w:kern w:val="0"/>
                <w:sz w:val="24"/>
                <w:lang w:val="en-US" w:eastAsia="zh-CN"/>
              </w:rPr>
            </w:pPr>
            <w:r>
              <w:rPr>
                <w:rFonts w:hint="eastAsia" w:cs="Times New Roman"/>
                <w:color w:val="auto"/>
                <w:kern w:val="0"/>
                <w:sz w:val="24"/>
                <w:lang w:val="en-US" w:eastAsia="zh-CN"/>
              </w:rPr>
              <w:t>项目试验过程中产生的实验废水经污水处理设施处理后进入小区现有化粪池，后排入市政污水管网后进入沣西新城沣河污水处理厂进一步处理。</w:t>
            </w:r>
          </w:p>
          <w:p w14:paraId="37B821F0">
            <w:pPr>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2）</w:t>
            </w:r>
            <w:r>
              <w:rPr>
                <w:rFonts w:hint="default" w:ascii="Times New Roman" w:hAnsi="Times New Roman" w:cs="Times New Roman"/>
                <w:color w:val="auto"/>
                <w:sz w:val="24"/>
                <w:lang w:val="en-US" w:eastAsia="zh-CN"/>
              </w:rPr>
              <w:t>生活用水</w:t>
            </w:r>
          </w:p>
          <w:p w14:paraId="4D07ABB5">
            <w:pPr>
              <w:spacing w:line="360" w:lineRule="auto"/>
              <w:ind w:firstLine="480" w:firstLineChars="200"/>
              <w:outlineLvl w:val="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w:t>
            </w:r>
            <w:r>
              <w:rPr>
                <w:rFonts w:hint="default" w:ascii="Times New Roman" w:hAnsi="Times New Roman" w:cs="Times New Roman"/>
                <w:color w:val="auto"/>
                <w:sz w:val="24"/>
              </w:rPr>
              <w:t>项目劳动定员</w:t>
            </w:r>
            <w:r>
              <w:rPr>
                <w:rFonts w:hint="eastAsia" w:cs="Times New Roman"/>
                <w:color w:val="auto"/>
                <w:sz w:val="24"/>
                <w:lang w:val="en-US" w:eastAsia="zh-CN"/>
              </w:rPr>
              <w:t>17</w:t>
            </w:r>
            <w:r>
              <w:rPr>
                <w:rFonts w:hint="default" w:ascii="Times New Roman" w:hAnsi="Times New Roman" w:cs="Times New Roman"/>
                <w:color w:val="auto"/>
                <w:sz w:val="24"/>
              </w:rPr>
              <w:t>人，</w:t>
            </w:r>
            <w:r>
              <w:rPr>
                <w:rFonts w:hint="eastAsia" w:cs="Times New Roman"/>
                <w:color w:val="auto"/>
                <w:sz w:val="24"/>
                <w:lang w:val="en-US" w:eastAsia="zh-CN"/>
              </w:rPr>
              <w:t>本项目不设置食堂，生活用水参考</w:t>
            </w:r>
            <w:r>
              <w:rPr>
                <w:rFonts w:hint="default" w:ascii="Times New Roman" w:hAnsi="Times New Roman" w:cs="Times New Roman"/>
                <w:color w:val="auto"/>
                <w:sz w:val="24"/>
              </w:rPr>
              <w:t>《行业用水定额》（DB61/T943-2020）</w:t>
            </w:r>
            <w:r>
              <w:rPr>
                <w:rFonts w:hint="eastAsia" w:cs="Times New Roman"/>
                <w:color w:val="auto"/>
                <w:sz w:val="24"/>
                <w:lang w:val="en-US" w:eastAsia="zh-CN"/>
              </w:rPr>
              <w:t>中</w:t>
            </w:r>
            <w:r>
              <w:rPr>
                <w:rFonts w:hint="default" w:ascii="Times New Roman" w:hAnsi="Times New Roman" w:cs="Times New Roman"/>
                <w:color w:val="auto"/>
                <w:sz w:val="24"/>
              </w:rPr>
              <w:t>行政办公用水</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职工生活污水</w:t>
            </w:r>
            <w:r>
              <w:rPr>
                <w:rFonts w:hint="default" w:ascii="Times New Roman" w:hAnsi="Times New Roman" w:cs="Times New Roman"/>
                <w:color w:val="auto"/>
                <w:sz w:val="24"/>
                <w:szCs w:val="24"/>
                <w:highlight w:val="none"/>
                <w:lang w:val="en-US" w:eastAsia="zh-CN"/>
              </w:rPr>
              <w:t>定额按</w:t>
            </w:r>
            <w:r>
              <w:rPr>
                <w:rFonts w:hint="eastAsia" w:cs="Times New Roman"/>
                <w:color w:val="auto"/>
                <w:sz w:val="24"/>
                <w:szCs w:val="24"/>
                <w:highlight w:val="none"/>
                <w:lang w:val="en-US" w:eastAsia="zh-CN"/>
              </w:rPr>
              <w:t>25</w:t>
            </w:r>
            <w:r>
              <w:rPr>
                <w:rFonts w:hint="default" w:ascii="Times New Roman" w:hAnsi="Times New Roman" w:cs="Times New Roman"/>
                <w:color w:val="auto"/>
                <w:sz w:val="24"/>
                <w:szCs w:val="24"/>
                <w:highlight w:val="none"/>
              </w:rPr>
              <w:t>L/人</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d</w:t>
            </w:r>
            <w:r>
              <w:rPr>
                <w:rFonts w:hint="eastAsia" w:cs="Times New Roman"/>
                <w:color w:val="auto"/>
                <w:sz w:val="24"/>
                <w:szCs w:val="24"/>
                <w:highlight w:val="none"/>
                <w:lang w:val="en-US" w:eastAsia="zh-CN"/>
              </w:rPr>
              <w:t>计</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rPr>
              <w:t>则本项目生活用水量为</w:t>
            </w:r>
            <w:r>
              <w:rPr>
                <w:rFonts w:hint="eastAsia" w:cs="Times New Roman"/>
                <w:color w:val="auto"/>
                <w:sz w:val="24"/>
                <w:lang w:val="en-US" w:eastAsia="zh-CN"/>
              </w:rPr>
              <w:t>0.43</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cs="Times New Roman"/>
                <w:color w:val="auto"/>
                <w:sz w:val="24"/>
                <w:lang w:val="en-US" w:eastAsia="zh-CN"/>
              </w:rPr>
              <w:t>85</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/a，污水产生系数按照80%计，则本项目员工生活污水产生量为</w:t>
            </w:r>
            <w:r>
              <w:rPr>
                <w:rFonts w:hint="eastAsia" w:cs="Times New Roman"/>
                <w:color w:val="auto"/>
                <w:sz w:val="24"/>
                <w:lang w:val="en-US" w:eastAsia="zh-CN"/>
              </w:rPr>
              <w:t>0.34</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cs="Times New Roman"/>
                <w:color w:val="auto"/>
                <w:sz w:val="24"/>
                <w:lang w:val="en-US" w:eastAsia="zh-CN"/>
              </w:rPr>
              <w:t>68</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/a，生活污水</w:t>
            </w:r>
            <w:r>
              <w:rPr>
                <w:rFonts w:hint="eastAsia" w:cs="Times New Roman"/>
                <w:color w:val="auto"/>
                <w:sz w:val="24"/>
                <w:lang w:val="en-US" w:eastAsia="zh-CN"/>
              </w:rPr>
              <w:t>经小区现有</w:t>
            </w:r>
            <w:r>
              <w:rPr>
                <w:rFonts w:hint="default" w:ascii="Times New Roman" w:hAnsi="Times New Roman" w:cs="Times New Roman"/>
                <w:color w:val="auto"/>
                <w:sz w:val="24"/>
              </w:rPr>
              <w:t>化粪池处理后排入市政管网</w:t>
            </w:r>
            <w:r>
              <w:rPr>
                <w:rFonts w:hint="default" w:ascii="Times New Roman" w:hAnsi="Times New Roman" w:cs="Times New Roman"/>
                <w:color w:val="auto"/>
                <w:kern w:val="0"/>
                <w:sz w:val="24"/>
                <w:lang w:val="en-US" w:eastAsia="zh-CN"/>
              </w:rPr>
              <w:t>，最终进入</w:t>
            </w:r>
            <w:r>
              <w:rPr>
                <w:rFonts w:hint="eastAsia" w:cs="Times New Roman"/>
                <w:color w:val="auto"/>
                <w:kern w:val="0"/>
                <w:sz w:val="24"/>
                <w:lang w:val="en-US" w:eastAsia="zh-CN"/>
              </w:rPr>
              <w:t>沣西新城沣河</w:t>
            </w:r>
            <w:r>
              <w:rPr>
                <w:rFonts w:hint="default" w:ascii="Times New Roman" w:hAnsi="Times New Roman" w:cs="Times New Roman"/>
                <w:color w:val="auto"/>
                <w:kern w:val="0"/>
                <w:sz w:val="24"/>
                <w:lang w:val="en-US" w:eastAsia="zh-CN"/>
              </w:rPr>
              <w:t>污水处理厂进一步处理</w:t>
            </w:r>
            <w:r>
              <w:rPr>
                <w:rFonts w:hint="default" w:ascii="Times New Roman" w:hAnsi="Times New Roman" w:cs="Times New Roman"/>
                <w:color w:val="auto"/>
                <w:sz w:val="24"/>
              </w:rPr>
              <w:t>。</w:t>
            </w:r>
          </w:p>
          <w:p w14:paraId="2D384A7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w:t>
            </w:r>
            <w:r>
              <w:rPr>
                <w:rFonts w:hint="default" w:ascii="Times New Roman" w:hAnsi="Times New Roman" w:cs="Times New Roman"/>
                <w:color w:val="auto"/>
                <w:sz w:val="24"/>
              </w:rPr>
              <w:t>项目用排水情况见表2-</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，水平衡见图2</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w:t>
            </w:r>
          </w:p>
          <w:p w14:paraId="565EA3BC">
            <w:pPr>
              <w:tabs>
                <w:tab w:val="left" w:pos="1045"/>
                <w:tab w:val="left" w:pos="3786"/>
              </w:tabs>
              <w:spacing w:after="21"/>
              <w:ind w:left="363"/>
              <w:jc w:val="center"/>
              <w:rPr>
                <w:rFonts w:hint="default" w:ascii="Times New Roman" w:hAnsi="Times New Roman" w:eastAsia="宋体" w:cs="Times New Roman"/>
                <w:b/>
                <w:color w:val="auto"/>
                <w:lang w:eastAsia="zh-CN"/>
              </w:rPr>
            </w:pPr>
            <w:r>
              <w:rPr>
                <w:rFonts w:hint="default" w:ascii="Times New Roman" w:hAnsi="Times New Roman" w:cs="Times New Roman"/>
                <w:b/>
                <w:color w:val="auto"/>
              </w:rPr>
              <w:t>表2-</w:t>
            </w:r>
            <w:r>
              <w:rPr>
                <w:rFonts w:hint="default" w:ascii="Times New Roman" w:hAnsi="Times New Roman" w:cs="Times New Roman"/>
                <w:b/>
                <w:color w:val="auto"/>
                <w:lang w:val="en-US" w:eastAsia="zh-CN"/>
              </w:rPr>
              <w:t>5</w:t>
            </w:r>
            <w:r>
              <w:rPr>
                <w:rFonts w:hint="eastAsia" w:cs="Times New Roman"/>
                <w:b/>
                <w:color w:val="auto"/>
                <w:lang w:val="en-US" w:eastAsia="zh-CN"/>
              </w:rPr>
              <w:t xml:space="preserve">   </w:t>
            </w:r>
            <w:r>
              <w:rPr>
                <w:rFonts w:hint="default" w:ascii="Times New Roman" w:hAnsi="Times New Roman" w:cs="Times New Roman"/>
                <w:b/>
                <w:color w:val="auto"/>
              </w:rPr>
              <w:t>项目用排水统计一览表</w:t>
            </w:r>
            <w:r>
              <w:rPr>
                <w:rFonts w:hint="eastAsia" w:cs="Times New Roman"/>
                <w:b/>
                <w:color w:val="auto"/>
                <w:lang w:val="en-US" w:eastAsia="zh-CN"/>
              </w:rPr>
              <w:t xml:space="preserve">   </w:t>
            </w:r>
            <w:r>
              <w:rPr>
                <w:rFonts w:hint="default" w:ascii="Times New Roman" w:hAnsi="Times New Roman" w:cs="Times New Roman"/>
                <w:b/>
                <w:color w:val="auto"/>
              </w:rPr>
              <w:t>单位：</w:t>
            </w:r>
            <w:r>
              <w:rPr>
                <w:rFonts w:hint="default" w:ascii="Times New Roman" w:hAnsi="Times New Roman" w:eastAsia="Times New Roman" w:cs="Times New Roman"/>
                <w:b/>
                <w:color w:val="auto"/>
              </w:rPr>
              <w:t>m</w:t>
            </w:r>
            <w:r>
              <w:rPr>
                <w:rFonts w:hint="default" w:ascii="Times New Roman" w:hAnsi="Times New Roman" w:eastAsia="Times New Roman" w:cs="Times New Roman"/>
                <w:b/>
                <w:color w:val="auto"/>
                <w:vertAlign w:val="superscript"/>
              </w:rPr>
              <w:t>3</w:t>
            </w:r>
            <w:r>
              <w:rPr>
                <w:rFonts w:hint="default" w:ascii="Times New Roman" w:hAnsi="Times New Roman" w:eastAsia="Times New Roman" w:cs="Times New Roman"/>
                <w:b/>
                <w:color w:val="auto"/>
              </w:rPr>
              <w:t>/</w:t>
            </w:r>
            <w:r>
              <w:rPr>
                <w:rFonts w:hint="default" w:ascii="Times New Roman" w:hAnsi="Times New Roman" w:cs="Times New Roman" w:eastAsiaTheme="minorEastAsia"/>
                <w:b/>
                <w:color w:val="auto"/>
                <w:lang w:val="en-US" w:eastAsia="zh-CN"/>
              </w:rPr>
              <w:t>d</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651"/>
              <w:gridCol w:w="878"/>
              <w:gridCol w:w="945"/>
              <w:gridCol w:w="903"/>
              <w:gridCol w:w="958"/>
              <w:gridCol w:w="1037"/>
              <w:gridCol w:w="1475"/>
            </w:tblGrid>
            <w:tr w14:paraId="29B5E4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21" w:type="pct"/>
                  <w:vMerge w:val="restart"/>
                  <w:tcBorders>
                    <w:tl2br w:val="nil"/>
                    <w:tr2bl w:val="nil"/>
                  </w:tcBorders>
                  <w:vAlign w:val="center"/>
                </w:tcPr>
                <w:p w14:paraId="32587C2A">
                  <w:pPr>
                    <w:spacing w:line="28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984" w:type="pct"/>
                  <w:vMerge w:val="restart"/>
                  <w:tcBorders>
                    <w:tl2br w:val="nil"/>
                    <w:tr2bl w:val="nil"/>
                  </w:tcBorders>
                  <w:vAlign w:val="center"/>
                </w:tcPr>
                <w:p w14:paraId="08811DC6">
                  <w:pPr>
                    <w:spacing w:line="28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用水分类</w:t>
                  </w:r>
                </w:p>
              </w:tc>
              <w:tc>
                <w:tcPr>
                  <w:tcW w:w="523" w:type="pct"/>
                  <w:vMerge w:val="restart"/>
                  <w:tcBorders>
                    <w:tl2br w:val="nil"/>
                    <w:tr2bl w:val="nil"/>
                  </w:tcBorders>
                  <w:vAlign w:val="center"/>
                </w:tcPr>
                <w:p w14:paraId="77957C8A">
                  <w:pPr>
                    <w:spacing w:line="280" w:lineRule="exact"/>
                    <w:jc w:val="center"/>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总用水量</w:t>
                  </w:r>
                </w:p>
              </w:tc>
              <w:tc>
                <w:tcPr>
                  <w:tcW w:w="1101" w:type="pct"/>
                  <w:gridSpan w:val="2"/>
                  <w:tcBorders>
                    <w:tl2br w:val="nil"/>
                    <w:tr2bl w:val="nil"/>
                  </w:tcBorders>
                  <w:vAlign w:val="center"/>
                </w:tcPr>
                <w:p w14:paraId="13B97830">
                  <w:pPr>
                    <w:spacing w:line="28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用水量</w:t>
                  </w:r>
                </w:p>
              </w:tc>
              <w:tc>
                <w:tcPr>
                  <w:tcW w:w="571" w:type="pct"/>
                  <w:vMerge w:val="restart"/>
                  <w:tcBorders>
                    <w:tl2br w:val="nil"/>
                    <w:tr2bl w:val="nil"/>
                  </w:tcBorders>
                  <w:vAlign w:val="center"/>
                </w:tcPr>
                <w:p w14:paraId="7F8195F2">
                  <w:pPr>
                    <w:spacing w:line="28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损耗量</w:t>
                  </w:r>
                </w:p>
              </w:tc>
              <w:tc>
                <w:tcPr>
                  <w:tcW w:w="618" w:type="pct"/>
                  <w:vMerge w:val="restart"/>
                  <w:tcBorders>
                    <w:tl2br w:val="nil"/>
                    <w:tr2bl w:val="nil"/>
                  </w:tcBorders>
                  <w:vAlign w:val="center"/>
                </w:tcPr>
                <w:p w14:paraId="16B8A8F1">
                  <w:pPr>
                    <w:spacing w:line="28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排水量</w:t>
                  </w:r>
                </w:p>
              </w:tc>
              <w:tc>
                <w:tcPr>
                  <w:tcW w:w="879" w:type="pct"/>
                  <w:vMerge w:val="restart"/>
                  <w:tcBorders>
                    <w:tl2br w:val="nil"/>
                    <w:tr2bl w:val="nil"/>
                  </w:tcBorders>
                  <w:vAlign w:val="center"/>
                </w:tcPr>
                <w:p w14:paraId="295B6B2B">
                  <w:pPr>
                    <w:spacing w:line="28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w:t>
                  </w:r>
                </w:p>
                <w:p w14:paraId="3579B008">
                  <w:pPr>
                    <w:spacing w:line="28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去向</w:t>
                  </w:r>
                </w:p>
              </w:tc>
            </w:tr>
            <w:tr w14:paraId="012E24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21" w:type="pct"/>
                  <w:vMerge w:val="continue"/>
                  <w:tcBorders>
                    <w:tl2br w:val="nil"/>
                    <w:tr2bl w:val="nil"/>
                  </w:tcBorders>
                  <w:vAlign w:val="center"/>
                </w:tcPr>
                <w:p w14:paraId="0521BB9D">
                  <w:pPr>
                    <w:spacing w:line="280" w:lineRule="exact"/>
                    <w:jc w:val="center"/>
                    <w:rPr>
                      <w:rFonts w:hint="default" w:ascii="Times New Roman" w:hAnsi="Times New Roman" w:cs="Times New Roman"/>
                      <w:b/>
                      <w:color w:val="auto"/>
                      <w:sz w:val="21"/>
                      <w:szCs w:val="21"/>
                    </w:rPr>
                  </w:pPr>
                </w:p>
              </w:tc>
              <w:tc>
                <w:tcPr>
                  <w:tcW w:w="984" w:type="pct"/>
                  <w:vMerge w:val="continue"/>
                  <w:tcBorders>
                    <w:tl2br w:val="nil"/>
                    <w:tr2bl w:val="nil"/>
                  </w:tcBorders>
                  <w:vAlign w:val="center"/>
                </w:tcPr>
                <w:p w14:paraId="73754A05">
                  <w:pPr>
                    <w:spacing w:line="280" w:lineRule="exact"/>
                    <w:jc w:val="center"/>
                    <w:rPr>
                      <w:rFonts w:hint="default" w:ascii="Times New Roman" w:hAnsi="Times New Roman" w:cs="Times New Roman"/>
                      <w:b/>
                      <w:color w:val="auto"/>
                      <w:sz w:val="21"/>
                      <w:szCs w:val="21"/>
                    </w:rPr>
                  </w:pPr>
                </w:p>
              </w:tc>
              <w:tc>
                <w:tcPr>
                  <w:tcW w:w="523" w:type="pct"/>
                  <w:vMerge w:val="continue"/>
                  <w:tcBorders>
                    <w:tl2br w:val="nil"/>
                    <w:tr2bl w:val="nil"/>
                  </w:tcBorders>
                  <w:vAlign w:val="center"/>
                </w:tcPr>
                <w:p w14:paraId="5EBFF60B">
                  <w:pPr>
                    <w:spacing w:line="280" w:lineRule="exact"/>
                    <w:jc w:val="center"/>
                    <w:rPr>
                      <w:rFonts w:hint="default" w:ascii="Times New Roman" w:hAnsi="Times New Roman" w:cs="Times New Roman"/>
                      <w:b/>
                      <w:color w:val="auto"/>
                      <w:sz w:val="21"/>
                      <w:szCs w:val="21"/>
                    </w:rPr>
                  </w:pPr>
                </w:p>
              </w:tc>
              <w:tc>
                <w:tcPr>
                  <w:tcW w:w="563" w:type="pct"/>
                  <w:tcBorders>
                    <w:tl2br w:val="nil"/>
                    <w:tr2bl w:val="nil"/>
                  </w:tcBorders>
                  <w:vAlign w:val="center"/>
                </w:tcPr>
                <w:p w14:paraId="779F2983">
                  <w:pPr>
                    <w:spacing w:line="280" w:lineRule="exact"/>
                    <w:jc w:val="center"/>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自来水</w:t>
                  </w:r>
                </w:p>
              </w:tc>
              <w:tc>
                <w:tcPr>
                  <w:tcW w:w="538" w:type="pct"/>
                  <w:tcBorders>
                    <w:tl2br w:val="nil"/>
                    <w:tr2bl w:val="nil"/>
                  </w:tcBorders>
                  <w:vAlign w:val="center"/>
                </w:tcPr>
                <w:p w14:paraId="1313D8B8">
                  <w:pPr>
                    <w:spacing w:line="280" w:lineRule="exact"/>
                    <w:jc w:val="center"/>
                    <w:rPr>
                      <w:rFonts w:hint="default" w:ascii="Times New Roman" w:hAnsi="Times New Roman" w:eastAsia="宋体" w:cs="Times New Roman"/>
                      <w:b/>
                      <w:color w:val="auto"/>
                      <w:sz w:val="21"/>
                      <w:szCs w:val="21"/>
                      <w:lang w:val="en-US" w:eastAsia="zh-CN"/>
                    </w:rPr>
                  </w:pPr>
                  <w:r>
                    <w:rPr>
                      <w:rFonts w:hint="eastAsia" w:cs="Times New Roman"/>
                      <w:b/>
                      <w:color w:val="auto"/>
                      <w:sz w:val="21"/>
                      <w:szCs w:val="21"/>
                      <w:lang w:val="en-US" w:eastAsia="zh-CN"/>
                    </w:rPr>
                    <w:t>超纯</w:t>
                  </w:r>
                  <w:r>
                    <w:rPr>
                      <w:rFonts w:hint="default" w:ascii="Times New Roman" w:hAnsi="Times New Roman" w:cs="Times New Roman"/>
                      <w:b/>
                      <w:color w:val="auto"/>
                      <w:sz w:val="21"/>
                      <w:szCs w:val="21"/>
                      <w:lang w:val="en-US" w:eastAsia="zh-CN"/>
                    </w:rPr>
                    <w:t>水</w:t>
                  </w:r>
                </w:p>
              </w:tc>
              <w:tc>
                <w:tcPr>
                  <w:tcW w:w="571" w:type="pct"/>
                  <w:vMerge w:val="continue"/>
                  <w:tcBorders>
                    <w:tl2br w:val="nil"/>
                    <w:tr2bl w:val="nil"/>
                  </w:tcBorders>
                  <w:vAlign w:val="center"/>
                </w:tcPr>
                <w:p w14:paraId="0ACAA523">
                  <w:pPr>
                    <w:spacing w:line="280" w:lineRule="exact"/>
                    <w:jc w:val="center"/>
                    <w:rPr>
                      <w:rFonts w:hint="default" w:ascii="Times New Roman" w:hAnsi="Times New Roman" w:cs="Times New Roman"/>
                      <w:b/>
                      <w:color w:val="auto"/>
                      <w:sz w:val="21"/>
                      <w:szCs w:val="21"/>
                    </w:rPr>
                  </w:pPr>
                </w:p>
              </w:tc>
              <w:tc>
                <w:tcPr>
                  <w:tcW w:w="618" w:type="pct"/>
                  <w:vMerge w:val="continue"/>
                  <w:tcBorders>
                    <w:tl2br w:val="nil"/>
                    <w:tr2bl w:val="nil"/>
                  </w:tcBorders>
                  <w:vAlign w:val="center"/>
                </w:tcPr>
                <w:p w14:paraId="4C807C2B">
                  <w:pPr>
                    <w:spacing w:line="280" w:lineRule="exact"/>
                    <w:jc w:val="center"/>
                    <w:rPr>
                      <w:rFonts w:hint="default" w:ascii="Times New Roman" w:hAnsi="Times New Roman" w:cs="Times New Roman"/>
                      <w:b/>
                      <w:color w:val="auto"/>
                      <w:sz w:val="21"/>
                      <w:szCs w:val="21"/>
                    </w:rPr>
                  </w:pPr>
                </w:p>
              </w:tc>
              <w:tc>
                <w:tcPr>
                  <w:tcW w:w="879" w:type="pct"/>
                  <w:vMerge w:val="continue"/>
                  <w:tcBorders>
                    <w:tl2br w:val="nil"/>
                    <w:tr2bl w:val="nil"/>
                  </w:tcBorders>
                  <w:vAlign w:val="center"/>
                </w:tcPr>
                <w:p w14:paraId="0D797E4C">
                  <w:pPr>
                    <w:spacing w:line="280" w:lineRule="exact"/>
                    <w:jc w:val="center"/>
                    <w:rPr>
                      <w:rFonts w:hint="default" w:ascii="Times New Roman" w:hAnsi="Times New Roman" w:cs="Times New Roman"/>
                      <w:b/>
                      <w:color w:val="auto"/>
                      <w:sz w:val="21"/>
                      <w:szCs w:val="21"/>
                    </w:rPr>
                  </w:pPr>
                </w:p>
              </w:tc>
            </w:tr>
            <w:tr w14:paraId="44DF64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21" w:type="pct"/>
                  <w:vMerge w:val="restart"/>
                  <w:tcBorders>
                    <w:tl2br w:val="nil"/>
                    <w:tr2bl w:val="nil"/>
                  </w:tcBorders>
                  <w:shd w:val="clear" w:color="auto" w:fill="auto"/>
                  <w:vAlign w:val="center"/>
                </w:tcPr>
                <w:p w14:paraId="106741D9">
                  <w:pPr>
                    <w:spacing w:line="280" w:lineRule="exact"/>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1</w:t>
                  </w:r>
                </w:p>
              </w:tc>
              <w:tc>
                <w:tcPr>
                  <w:tcW w:w="984" w:type="pct"/>
                  <w:vMerge w:val="restart"/>
                  <w:tcBorders>
                    <w:tl2br w:val="nil"/>
                    <w:tr2bl w:val="nil"/>
                  </w:tcBorders>
                  <w:vAlign w:val="center"/>
                </w:tcPr>
                <w:p w14:paraId="7716EE40">
                  <w:pPr>
                    <w:spacing w:line="280" w:lineRule="exact"/>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器皿清洗用水</w:t>
                  </w:r>
                </w:p>
              </w:tc>
              <w:tc>
                <w:tcPr>
                  <w:tcW w:w="523" w:type="pct"/>
                  <w:vMerge w:val="restart"/>
                  <w:tcBorders>
                    <w:tl2br w:val="nil"/>
                    <w:tr2bl w:val="nil"/>
                  </w:tcBorders>
                  <w:vAlign w:val="center"/>
                </w:tcPr>
                <w:p w14:paraId="27F74D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0.015</w:t>
                  </w:r>
                </w:p>
              </w:tc>
              <w:tc>
                <w:tcPr>
                  <w:tcW w:w="563" w:type="pct"/>
                  <w:vMerge w:val="restart"/>
                  <w:tcBorders>
                    <w:tl2br w:val="nil"/>
                    <w:tr2bl w:val="nil"/>
                  </w:tcBorders>
                  <w:vAlign w:val="center"/>
                </w:tcPr>
                <w:p w14:paraId="043AB5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538" w:type="pct"/>
                  <w:vMerge w:val="restart"/>
                  <w:tcBorders>
                    <w:tl2br w:val="nil"/>
                    <w:tr2bl w:val="nil"/>
                  </w:tcBorders>
                  <w:vAlign w:val="center"/>
                </w:tcPr>
                <w:p w14:paraId="064BA4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15</w:t>
                  </w:r>
                </w:p>
              </w:tc>
              <w:tc>
                <w:tcPr>
                  <w:tcW w:w="571" w:type="pct"/>
                  <w:vMerge w:val="restart"/>
                  <w:tcBorders>
                    <w:tl2br w:val="nil"/>
                    <w:tr2bl w:val="nil"/>
                  </w:tcBorders>
                  <w:vAlign w:val="center"/>
                </w:tcPr>
                <w:p w14:paraId="5718B2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0.0015</w:t>
                  </w:r>
                </w:p>
              </w:tc>
              <w:tc>
                <w:tcPr>
                  <w:tcW w:w="618" w:type="pct"/>
                  <w:tcBorders>
                    <w:tl2br w:val="nil"/>
                    <w:tr2bl w:val="nil"/>
                  </w:tcBorders>
                  <w:vAlign w:val="center"/>
                </w:tcPr>
                <w:p w14:paraId="23DE5E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5</w:t>
                  </w:r>
                </w:p>
              </w:tc>
              <w:tc>
                <w:tcPr>
                  <w:tcW w:w="879" w:type="pct"/>
                  <w:tcBorders>
                    <w:tl2br w:val="nil"/>
                    <w:tr2bl w:val="nil"/>
                  </w:tcBorders>
                  <w:vAlign w:val="center"/>
                </w:tcPr>
                <w:p w14:paraId="4B3141C9">
                  <w:pPr>
                    <w:spacing w:line="280" w:lineRule="exact"/>
                    <w:jc w:val="center"/>
                    <w:rPr>
                      <w:rFonts w:hint="default" w:ascii="Times New Roman" w:hAnsi="Times New Roman" w:cs="Times New Roman"/>
                      <w:b w:val="0"/>
                      <w:bCs w:val="0"/>
                      <w:color w:val="auto"/>
                      <w:sz w:val="21"/>
                      <w:szCs w:val="21"/>
                      <w:lang w:val="en-US" w:eastAsia="zh-CN"/>
                    </w:rPr>
                  </w:pPr>
                  <w:r>
                    <w:rPr>
                      <w:rFonts w:hint="eastAsia" w:cs="Times New Roman"/>
                      <w:i w:val="0"/>
                      <w:color w:val="auto"/>
                      <w:kern w:val="0"/>
                      <w:sz w:val="21"/>
                      <w:szCs w:val="21"/>
                      <w:u w:val="none"/>
                      <w:lang w:val="en-US" w:eastAsia="zh-CN" w:bidi="ar"/>
                    </w:rPr>
                    <w:t>废液</w:t>
                  </w:r>
                  <w:r>
                    <w:rPr>
                      <w:rFonts w:hint="default" w:ascii="Times New Roman" w:hAnsi="Times New Roman" w:cs="Times New Roman"/>
                      <w:i w:val="0"/>
                      <w:color w:val="auto"/>
                      <w:kern w:val="0"/>
                      <w:sz w:val="21"/>
                      <w:szCs w:val="21"/>
                      <w:u w:val="none"/>
                      <w:lang w:val="en-US" w:eastAsia="zh-CN" w:bidi="ar"/>
                    </w:rPr>
                    <w:t>收集作为危废处置</w:t>
                  </w:r>
                </w:p>
              </w:tc>
            </w:tr>
            <w:tr w14:paraId="53B83C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21" w:type="pct"/>
                  <w:vMerge w:val="continue"/>
                  <w:tcBorders>
                    <w:tl2br w:val="nil"/>
                    <w:tr2bl w:val="nil"/>
                  </w:tcBorders>
                  <w:shd w:val="clear" w:color="auto" w:fill="auto"/>
                  <w:vAlign w:val="center"/>
                </w:tcPr>
                <w:p w14:paraId="6A85AE1D">
                  <w:pPr>
                    <w:spacing w:line="280" w:lineRule="exact"/>
                    <w:jc w:val="center"/>
                    <w:rPr>
                      <w:rFonts w:hint="default" w:ascii="Times New Roman" w:hAnsi="Times New Roman" w:eastAsia="宋体" w:cs="Times New Roman"/>
                      <w:b w:val="0"/>
                      <w:bCs w:val="0"/>
                      <w:color w:val="auto"/>
                      <w:kern w:val="2"/>
                      <w:sz w:val="21"/>
                      <w:szCs w:val="21"/>
                      <w:lang w:val="en-US" w:eastAsia="zh-CN" w:bidi="ar-SA"/>
                    </w:rPr>
                  </w:pPr>
                </w:p>
              </w:tc>
              <w:tc>
                <w:tcPr>
                  <w:tcW w:w="984" w:type="pct"/>
                  <w:vMerge w:val="continue"/>
                  <w:tcBorders>
                    <w:tl2br w:val="nil"/>
                    <w:tr2bl w:val="nil"/>
                  </w:tcBorders>
                  <w:vAlign w:val="center"/>
                </w:tcPr>
                <w:p w14:paraId="16F2E8E8">
                  <w:pPr>
                    <w:spacing w:line="280" w:lineRule="exact"/>
                    <w:jc w:val="center"/>
                    <w:rPr>
                      <w:rFonts w:hint="eastAsia" w:ascii="Times New Roman" w:hAnsi="Times New Roman" w:cs="Times New Roman"/>
                      <w:b w:val="0"/>
                      <w:bCs w:val="0"/>
                      <w:color w:val="auto"/>
                      <w:sz w:val="21"/>
                      <w:szCs w:val="21"/>
                      <w:lang w:val="en-US" w:eastAsia="zh-CN"/>
                    </w:rPr>
                  </w:pPr>
                </w:p>
              </w:tc>
              <w:tc>
                <w:tcPr>
                  <w:tcW w:w="523" w:type="pct"/>
                  <w:vMerge w:val="continue"/>
                  <w:tcBorders>
                    <w:tl2br w:val="nil"/>
                    <w:tr2bl w:val="nil"/>
                  </w:tcBorders>
                  <w:vAlign w:val="center"/>
                </w:tcPr>
                <w:p w14:paraId="217F28C1">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p>
              </w:tc>
              <w:tc>
                <w:tcPr>
                  <w:tcW w:w="563" w:type="pct"/>
                  <w:vMerge w:val="continue"/>
                  <w:tcBorders>
                    <w:tl2br w:val="nil"/>
                    <w:tr2bl w:val="nil"/>
                  </w:tcBorders>
                  <w:vAlign w:val="center"/>
                </w:tcPr>
                <w:p w14:paraId="4841B5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538" w:type="pct"/>
                  <w:vMerge w:val="continue"/>
                  <w:tcBorders>
                    <w:tl2br w:val="nil"/>
                    <w:tr2bl w:val="nil"/>
                  </w:tcBorders>
                  <w:vAlign w:val="center"/>
                </w:tcPr>
                <w:p w14:paraId="02DA4A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571" w:type="pct"/>
                  <w:vMerge w:val="continue"/>
                  <w:tcBorders>
                    <w:tl2br w:val="nil"/>
                    <w:tr2bl w:val="nil"/>
                  </w:tcBorders>
                  <w:vAlign w:val="center"/>
                </w:tcPr>
                <w:p w14:paraId="347F7948">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p>
              </w:tc>
              <w:tc>
                <w:tcPr>
                  <w:tcW w:w="618" w:type="pct"/>
                  <w:tcBorders>
                    <w:tl2br w:val="nil"/>
                    <w:tr2bl w:val="nil"/>
                  </w:tcBorders>
                  <w:vAlign w:val="center"/>
                </w:tcPr>
                <w:p w14:paraId="7761F6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0.009</w:t>
                  </w:r>
                </w:p>
              </w:tc>
              <w:tc>
                <w:tcPr>
                  <w:tcW w:w="879" w:type="pct"/>
                  <w:vMerge w:val="restart"/>
                  <w:tcBorders>
                    <w:tl2br w:val="nil"/>
                    <w:tr2bl w:val="nil"/>
                  </w:tcBorders>
                  <w:vAlign w:val="center"/>
                </w:tcPr>
                <w:p w14:paraId="1DC858C7">
                  <w:pPr>
                    <w:spacing w:line="280" w:lineRule="exact"/>
                    <w:jc w:val="center"/>
                    <w:rPr>
                      <w:rFonts w:hint="default" w:ascii="Times New Roman" w:hAnsi="Times New Roman"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污水处理设施处理后</w:t>
                  </w:r>
                  <w:r>
                    <w:rPr>
                      <w:rFonts w:hint="default" w:ascii="Times New Roman" w:hAnsi="Times New Roman" w:cs="Times New Roman"/>
                      <w:b w:val="0"/>
                      <w:bCs w:val="0"/>
                      <w:color w:val="auto"/>
                      <w:sz w:val="21"/>
                      <w:szCs w:val="21"/>
                      <w:lang w:val="en-US" w:eastAsia="zh-CN"/>
                    </w:rPr>
                    <w:t>排入</w:t>
                  </w:r>
                  <w:r>
                    <w:rPr>
                      <w:rFonts w:hint="eastAsia" w:cs="Times New Roman"/>
                      <w:b w:val="0"/>
                      <w:bCs w:val="0"/>
                      <w:color w:val="auto"/>
                      <w:sz w:val="21"/>
                      <w:szCs w:val="21"/>
                      <w:lang w:val="en-US" w:eastAsia="zh-CN"/>
                    </w:rPr>
                    <w:t>现有</w:t>
                  </w:r>
                  <w:r>
                    <w:rPr>
                      <w:rFonts w:hint="default" w:ascii="Times New Roman" w:hAnsi="Times New Roman" w:cs="Times New Roman"/>
                      <w:b w:val="0"/>
                      <w:bCs w:val="0"/>
                      <w:color w:val="auto"/>
                      <w:sz w:val="21"/>
                      <w:szCs w:val="21"/>
                      <w:lang w:val="en-US" w:eastAsia="zh-CN"/>
                    </w:rPr>
                    <w:t>化粪池后进入市政污水管网</w:t>
                  </w:r>
                </w:p>
              </w:tc>
            </w:tr>
            <w:tr w14:paraId="00867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21" w:type="pct"/>
                  <w:tcBorders>
                    <w:tl2br w:val="nil"/>
                    <w:tr2bl w:val="nil"/>
                  </w:tcBorders>
                  <w:vAlign w:val="center"/>
                </w:tcPr>
                <w:p w14:paraId="435F3781">
                  <w:pPr>
                    <w:spacing w:line="28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w:t>
                  </w:r>
                </w:p>
              </w:tc>
              <w:tc>
                <w:tcPr>
                  <w:tcW w:w="984" w:type="pct"/>
                  <w:tcBorders>
                    <w:tl2br w:val="nil"/>
                    <w:tr2bl w:val="nil"/>
                  </w:tcBorders>
                  <w:shd w:val="clear" w:color="auto" w:fill="auto"/>
                  <w:vAlign w:val="center"/>
                </w:tcPr>
                <w:p w14:paraId="3C4795F3">
                  <w:pPr>
                    <w:spacing w:line="280" w:lineRule="exact"/>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药材洗润、浸泡、蒸煮用水</w:t>
                  </w:r>
                </w:p>
              </w:tc>
              <w:tc>
                <w:tcPr>
                  <w:tcW w:w="523" w:type="pct"/>
                  <w:tcBorders>
                    <w:tl2br w:val="nil"/>
                    <w:tr2bl w:val="nil"/>
                  </w:tcBorders>
                  <w:shd w:val="clear" w:color="auto" w:fill="auto"/>
                  <w:vAlign w:val="center"/>
                </w:tcPr>
                <w:p w14:paraId="35D72A5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0.012</w:t>
                  </w:r>
                </w:p>
              </w:tc>
              <w:tc>
                <w:tcPr>
                  <w:tcW w:w="563" w:type="pct"/>
                  <w:tcBorders>
                    <w:tl2br w:val="nil"/>
                    <w:tr2bl w:val="nil"/>
                  </w:tcBorders>
                  <w:shd w:val="clear" w:color="auto" w:fill="auto"/>
                  <w:vAlign w:val="center"/>
                </w:tcPr>
                <w:p w14:paraId="228EE2E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0.012</w:t>
                  </w:r>
                </w:p>
              </w:tc>
              <w:tc>
                <w:tcPr>
                  <w:tcW w:w="538" w:type="pct"/>
                  <w:tcBorders>
                    <w:tl2br w:val="nil"/>
                    <w:tr2bl w:val="nil"/>
                  </w:tcBorders>
                  <w:shd w:val="clear" w:color="auto" w:fill="auto"/>
                  <w:vAlign w:val="center"/>
                </w:tcPr>
                <w:p w14:paraId="2C3A00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571" w:type="pct"/>
                  <w:tcBorders>
                    <w:tl2br w:val="nil"/>
                    <w:tr2bl w:val="nil"/>
                  </w:tcBorders>
                  <w:shd w:val="clear" w:color="auto" w:fill="auto"/>
                  <w:vAlign w:val="center"/>
                </w:tcPr>
                <w:p w14:paraId="41C66CA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002</w:t>
                  </w:r>
                </w:p>
              </w:tc>
              <w:tc>
                <w:tcPr>
                  <w:tcW w:w="618" w:type="pct"/>
                  <w:tcBorders>
                    <w:tl2br w:val="nil"/>
                    <w:tr2bl w:val="nil"/>
                  </w:tcBorders>
                  <w:shd w:val="clear" w:color="auto" w:fill="auto"/>
                  <w:vAlign w:val="center"/>
                </w:tcPr>
                <w:p w14:paraId="7CDF5EE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.01</w:t>
                  </w:r>
                </w:p>
              </w:tc>
              <w:tc>
                <w:tcPr>
                  <w:tcW w:w="879" w:type="pct"/>
                  <w:vMerge w:val="continue"/>
                  <w:tcBorders>
                    <w:tl2br w:val="nil"/>
                    <w:tr2bl w:val="nil"/>
                  </w:tcBorders>
                  <w:shd w:val="clear" w:color="auto" w:fill="auto"/>
                  <w:vAlign w:val="center"/>
                </w:tcPr>
                <w:p w14:paraId="40F12B3B">
                  <w:pPr>
                    <w:spacing w:line="280" w:lineRule="exact"/>
                    <w:jc w:val="center"/>
                    <w:rPr>
                      <w:rFonts w:hint="eastAsia" w:ascii="Times New Roman" w:hAnsi="Times New Roman" w:eastAsia="宋体" w:cs="Times New Roman"/>
                      <w:b w:val="0"/>
                      <w:bCs w:val="0"/>
                      <w:color w:val="auto"/>
                      <w:kern w:val="2"/>
                      <w:sz w:val="21"/>
                      <w:szCs w:val="21"/>
                      <w:lang w:val="en-US" w:eastAsia="zh-CN" w:bidi="ar-SA"/>
                    </w:rPr>
                  </w:pPr>
                </w:p>
              </w:tc>
            </w:tr>
            <w:tr w14:paraId="06305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1" w:type="pct"/>
                  <w:tcBorders>
                    <w:tl2br w:val="nil"/>
                    <w:tr2bl w:val="nil"/>
                  </w:tcBorders>
                  <w:shd w:val="clear" w:color="auto" w:fill="auto"/>
                  <w:vAlign w:val="center"/>
                </w:tcPr>
                <w:p w14:paraId="77378230">
                  <w:pPr>
                    <w:spacing w:line="280" w:lineRule="exact"/>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3</w:t>
                  </w:r>
                </w:p>
              </w:tc>
              <w:tc>
                <w:tcPr>
                  <w:tcW w:w="984" w:type="pct"/>
                  <w:tcBorders>
                    <w:tl2br w:val="nil"/>
                    <w:tr2bl w:val="nil"/>
                  </w:tcBorders>
                  <w:vAlign w:val="center"/>
                </w:tcPr>
                <w:p w14:paraId="46E7FA86">
                  <w:pPr>
                    <w:spacing w:line="280" w:lineRule="exact"/>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设备</w:t>
                  </w:r>
                  <w:r>
                    <w:rPr>
                      <w:rFonts w:hint="default" w:ascii="Times New Roman" w:hAnsi="Times New Roman" w:cs="Times New Roman"/>
                      <w:b w:val="0"/>
                      <w:bCs w:val="0"/>
                      <w:color w:val="auto"/>
                      <w:sz w:val="21"/>
                      <w:szCs w:val="21"/>
                      <w:lang w:val="en-US" w:eastAsia="zh-CN"/>
                    </w:rPr>
                    <w:t>清洗用水</w:t>
                  </w:r>
                </w:p>
              </w:tc>
              <w:tc>
                <w:tcPr>
                  <w:tcW w:w="523" w:type="pct"/>
                  <w:tcBorders>
                    <w:tl2br w:val="nil"/>
                    <w:tr2bl w:val="nil"/>
                  </w:tcBorders>
                  <w:vAlign w:val="center"/>
                </w:tcPr>
                <w:p w14:paraId="652104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02</w:t>
                  </w:r>
                </w:p>
              </w:tc>
              <w:tc>
                <w:tcPr>
                  <w:tcW w:w="563" w:type="pct"/>
                  <w:tcBorders>
                    <w:tl2br w:val="nil"/>
                    <w:tr2bl w:val="nil"/>
                  </w:tcBorders>
                  <w:vAlign w:val="center"/>
                </w:tcPr>
                <w:p w14:paraId="33E210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0.002</w:t>
                  </w:r>
                </w:p>
              </w:tc>
              <w:tc>
                <w:tcPr>
                  <w:tcW w:w="538" w:type="pct"/>
                  <w:tcBorders>
                    <w:tl2br w:val="nil"/>
                    <w:tr2bl w:val="nil"/>
                  </w:tcBorders>
                  <w:vAlign w:val="center"/>
                </w:tcPr>
                <w:p w14:paraId="0C1315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571" w:type="pct"/>
                  <w:tcBorders>
                    <w:tl2br w:val="nil"/>
                    <w:tr2bl w:val="nil"/>
                  </w:tcBorders>
                  <w:vAlign w:val="center"/>
                </w:tcPr>
                <w:p w14:paraId="31D383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0.0002</w:t>
                  </w:r>
                </w:p>
              </w:tc>
              <w:tc>
                <w:tcPr>
                  <w:tcW w:w="618" w:type="pct"/>
                  <w:tcBorders>
                    <w:tl2br w:val="nil"/>
                    <w:tr2bl w:val="nil"/>
                  </w:tcBorders>
                  <w:vAlign w:val="center"/>
                </w:tcPr>
                <w:p w14:paraId="246342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0.0018</w:t>
                  </w:r>
                </w:p>
              </w:tc>
              <w:tc>
                <w:tcPr>
                  <w:tcW w:w="879" w:type="pct"/>
                  <w:vMerge w:val="continue"/>
                  <w:tcBorders>
                    <w:tl2br w:val="nil"/>
                    <w:tr2bl w:val="nil"/>
                  </w:tcBorders>
                  <w:vAlign w:val="center"/>
                </w:tcPr>
                <w:p w14:paraId="560893B6">
                  <w:pPr>
                    <w:spacing w:line="280" w:lineRule="exact"/>
                    <w:jc w:val="center"/>
                    <w:rPr>
                      <w:rFonts w:hint="default" w:ascii="Times New Roman" w:hAnsi="Times New Roman" w:cs="Times New Roman"/>
                      <w:i w:val="0"/>
                      <w:color w:val="auto"/>
                      <w:kern w:val="0"/>
                      <w:sz w:val="21"/>
                      <w:szCs w:val="21"/>
                      <w:u w:val="none"/>
                      <w:lang w:val="en-US" w:eastAsia="zh-CN" w:bidi="ar"/>
                    </w:rPr>
                  </w:pPr>
                </w:p>
              </w:tc>
            </w:tr>
            <w:tr w14:paraId="1B3E7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1" w:type="pct"/>
                  <w:tcBorders>
                    <w:tl2br w:val="nil"/>
                    <w:tr2bl w:val="nil"/>
                  </w:tcBorders>
                  <w:shd w:val="clear" w:color="auto" w:fill="auto"/>
                  <w:vAlign w:val="center"/>
                </w:tcPr>
                <w:p w14:paraId="605F1DC5">
                  <w:pPr>
                    <w:spacing w:line="280" w:lineRule="exact"/>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4</w:t>
                  </w:r>
                </w:p>
              </w:tc>
              <w:tc>
                <w:tcPr>
                  <w:tcW w:w="984" w:type="pct"/>
                  <w:tcBorders>
                    <w:tl2br w:val="nil"/>
                    <w:tr2bl w:val="nil"/>
                  </w:tcBorders>
                  <w:vAlign w:val="center"/>
                </w:tcPr>
                <w:p w14:paraId="64ABE9B7">
                  <w:pPr>
                    <w:spacing w:line="280" w:lineRule="exact"/>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纯水制备</w:t>
                  </w:r>
                  <w:r>
                    <w:rPr>
                      <w:rFonts w:hint="eastAsia" w:cs="Times New Roman"/>
                      <w:b w:val="0"/>
                      <w:bCs w:val="0"/>
                      <w:color w:val="auto"/>
                      <w:sz w:val="21"/>
                      <w:szCs w:val="21"/>
                      <w:lang w:val="en-US" w:eastAsia="zh-CN"/>
                    </w:rPr>
                    <w:t>用水</w:t>
                  </w:r>
                </w:p>
              </w:tc>
              <w:tc>
                <w:tcPr>
                  <w:tcW w:w="523" w:type="pct"/>
                  <w:tcBorders>
                    <w:tl2br w:val="nil"/>
                    <w:tr2bl w:val="nil"/>
                  </w:tcBorders>
                  <w:vAlign w:val="center"/>
                </w:tcPr>
                <w:p w14:paraId="358C69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0.021</w:t>
                  </w:r>
                </w:p>
              </w:tc>
              <w:tc>
                <w:tcPr>
                  <w:tcW w:w="563" w:type="pct"/>
                  <w:tcBorders>
                    <w:tl2br w:val="nil"/>
                    <w:tr2bl w:val="nil"/>
                  </w:tcBorders>
                  <w:vAlign w:val="center"/>
                </w:tcPr>
                <w:p w14:paraId="34B6BE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0.021</w:t>
                  </w:r>
                </w:p>
              </w:tc>
              <w:tc>
                <w:tcPr>
                  <w:tcW w:w="538" w:type="pct"/>
                  <w:tcBorders>
                    <w:tl2br w:val="nil"/>
                    <w:tr2bl w:val="nil"/>
                  </w:tcBorders>
                  <w:vAlign w:val="center"/>
                </w:tcPr>
                <w:p w14:paraId="6A0E5D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w:t>
                  </w:r>
                </w:p>
              </w:tc>
              <w:tc>
                <w:tcPr>
                  <w:tcW w:w="571" w:type="pct"/>
                  <w:tcBorders>
                    <w:tl2br w:val="nil"/>
                    <w:tr2bl w:val="nil"/>
                  </w:tcBorders>
                  <w:vAlign w:val="center"/>
                </w:tcPr>
                <w:p w14:paraId="5AE796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618" w:type="pct"/>
                  <w:tcBorders>
                    <w:tl2br w:val="nil"/>
                    <w:tr2bl w:val="nil"/>
                  </w:tcBorders>
                  <w:vAlign w:val="center"/>
                </w:tcPr>
                <w:p w14:paraId="0A82FC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0.006</w:t>
                  </w:r>
                </w:p>
              </w:tc>
              <w:tc>
                <w:tcPr>
                  <w:tcW w:w="879" w:type="pct"/>
                  <w:vMerge w:val="continue"/>
                  <w:tcBorders>
                    <w:tl2br w:val="nil"/>
                    <w:tr2bl w:val="nil"/>
                  </w:tcBorders>
                  <w:vAlign w:val="center"/>
                </w:tcPr>
                <w:p w14:paraId="1923264C">
                  <w:pPr>
                    <w:spacing w:line="280" w:lineRule="exact"/>
                    <w:jc w:val="center"/>
                    <w:rPr>
                      <w:rFonts w:hint="default" w:ascii="Times New Roman" w:hAnsi="Times New Roman" w:cs="Times New Roman"/>
                      <w:i w:val="0"/>
                      <w:color w:val="auto"/>
                      <w:kern w:val="0"/>
                      <w:sz w:val="21"/>
                      <w:szCs w:val="21"/>
                      <w:u w:val="none"/>
                      <w:lang w:val="en-US" w:eastAsia="zh-CN" w:bidi="ar"/>
                    </w:rPr>
                  </w:pPr>
                </w:p>
              </w:tc>
            </w:tr>
            <w:tr w14:paraId="11477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1" w:type="pct"/>
                  <w:tcBorders>
                    <w:tl2br w:val="nil"/>
                    <w:tr2bl w:val="nil"/>
                  </w:tcBorders>
                  <w:shd w:val="clear" w:color="auto" w:fill="auto"/>
                  <w:vAlign w:val="center"/>
                </w:tcPr>
                <w:p w14:paraId="6584D04D">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5</w:t>
                  </w:r>
                </w:p>
              </w:tc>
              <w:tc>
                <w:tcPr>
                  <w:tcW w:w="984" w:type="pct"/>
                  <w:tcBorders>
                    <w:tl2br w:val="nil"/>
                    <w:tr2bl w:val="nil"/>
                  </w:tcBorders>
                  <w:shd w:val="clear" w:color="auto" w:fill="auto"/>
                  <w:vAlign w:val="center"/>
                </w:tcPr>
                <w:p w14:paraId="7CF1B441">
                  <w:pPr>
                    <w:spacing w:line="280" w:lineRule="exact"/>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实验平台及</w:t>
                  </w:r>
                  <w:r>
                    <w:rPr>
                      <w:rFonts w:hint="default" w:ascii="Times New Roman" w:hAnsi="Times New Roman" w:cs="Times New Roman"/>
                      <w:b w:val="0"/>
                      <w:bCs w:val="0"/>
                      <w:color w:val="auto"/>
                      <w:sz w:val="21"/>
                      <w:szCs w:val="21"/>
                      <w:lang w:val="en-US" w:eastAsia="zh-CN"/>
                    </w:rPr>
                    <w:t>地面</w:t>
                  </w:r>
                  <w:r>
                    <w:rPr>
                      <w:rFonts w:hint="eastAsia" w:ascii="Times New Roman" w:hAnsi="Times New Roman" w:cs="Times New Roman"/>
                      <w:b w:val="0"/>
                      <w:bCs w:val="0"/>
                      <w:color w:val="auto"/>
                      <w:sz w:val="21"/>
                      <w:szCs w:val="21"/>
                      <w:lang w:val="en-US" w:eastAsia="zh-CN"/>
                    </w:rPr>
                    <w:t>清洗</w:t>
                  </w:r>
                  <w:r>
                    <w:rPr>
                      <w:rFonts w:hint="default" w:ascii="Times New Roman" w:hAnsi="Times New Roman" w:cs="Times New Roman"/>
                      <w:b w:val="0"/>
                      <w:bCs w:val="0"/>
                      <w:color w:val="auto"/>
                      <w:sz w:val="21"/>
                      <w:szCs w:val="21"/>
                      <w:lang w:val="en-US" w:eastAsia="zh-CN"/>
                    </w:rPr>
                    <w:t>用水</w:t>
                  </w:r>
                </w:p>
              </w:tc>
              <w:tc>
                <w:tcPr>
                  <w:tcW w:w="523" w:type="pct"/>
                  <w:tcBorders>
                    <w:tl2br w:val="nil"/>
                    <w:tr2bl w:val="nil"/>
                  </w:tcBorders>
                  <w:shd w:val="clear" w:color="auto" w:fill="auto"/>
                  <w:vAlign w:val="center"/>
                </w:tcPr>
                <w:p w14:paraId="3A4C6B5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w:t>
                  </w:r>
                </w:p>
              </w:tc>
              <w:tc>
                <w:tcPr>
                  <w:tcW w:w="563" w:type="pct"/>
                  <w:tcBorders>
                    <w:tl2br w:val="nil"/>
                    <w:tr2bl w:val="nil"/>
                  </w:tcBorders>
                  <w:shd w:val="clear" w:color="auto" w:fill="auto"/>
                  <w:vAlign w:val="center"/>
                </w:tcPr>
                <w:p w14:paraId="44C2E4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w:t>
                  </w:r>
                </w:p>
              </w:tc>
              <w:tc>
                <w:tcPr>
                  <w:tcW w:w="538" w:type="pct"/>
                  <w:tcBorders>
                    <w:tl2br w:val="nil"/>
                    <w:tr2bl w:val="nil"/>
                  </w:tcBorders>
                  <w:shd w:val="clear" w:color="auto" w:fill="auto"/>
                  <w:vAlign w:val="center"/>
                </w:tcPr>
                <w:p w14:paraId="6C7D0E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571" w:type="pct"/>
                  <w:tcBorders>
                    <w:tl2br w:val="nil"/>
                    <w:tr2bl w:val="nil"/>
                  </w:tcBorders>
                  <w:shd w:val="clear" w:color="auto" w:fill="auto"/>
                  <w:vAlign w:val="center"/>
                </w:tcPr>
                <w:p w14:paraId="4DC2A1B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2</w:t>
                  </w:r>
                </w:p>
              </w:tc>
              <w:tc>
                <w:tcPr>
                  <w:tcW w:w="618" w:type="pct"/>
                  <w:tcBorders>
                    <w:tl2br w:val="nil"/>
                    <w:tr2bl w:val="nil"/>
                  </w:tcBorders>
                  <w:shd w:val="clear" w:color="auto" w:fill="auto"/>
                  <w:vAlign w:val="center"/>
                </w:tcPr>
                <w:p w14:paraId="03034C9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0.18</w:t>
                  </w:r>
                </w:p>
              </w:tc>
              <w:tc>
                <w:tcPr>
                  <w:tcW w:w="879" w:type="pct"/>
                  <w:vMerge w:val="continue"/>
                  <w:tcBorders>
                    <w:tl2br w:val="nil"/>
                    <w:tr2bl w:val="nil"/>
                  </w:tcBorders>
                  <w:vAlign w:val="center"/>
                </w:tcPr>
                <w:p w14:paraId="02AECD30">
                  <w:pPr>
                    <w:spacing w:line="280" w:lineRule="exact"/>
                    <w:jc w:val="center"/>
                    <w:rPr>
                      <w:rFonts w:hint="default" w:ascii="Times New Roman" w:hAnsi="Times New Roman" w:cs="Times New Roman"/>
                      <w:i w:val="0"/>
                      <w:color w:val="auto"/>
                      <w:kern w:val="0"/>
                      <w:sz w:val="21"/>
                      <w:szCs w:val="21"/>
                      <w:u w:val="none"/>
                      <w:lang w:val="en-US" w:eastAsia="zh-CN" w:bidi="ar"/>
                    </w:rPr>
                  </w:pPr>
                </w:p>
              </w:tc>
            </w:tr>
            <w:tr w14:paraId="22FA3E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9" w:hRule="atLeast"/>
                <w:jc w:val="center"/>
              </w:trPr>
              <w:tc>
                <w:tcPr>
                  <w:tcW w:w="321" w:type="pct"/>
                  <w:tcBorders>
                    <w:tl2br w:val="nil"/>
                    <w:tr2bl w:val="nil"/>
                  </w:tcBorders>
                  <w:shd w:val="clear" w:color="auto" w:fill="auto"/>
                  <w:vAlign w:val="center"/>
                </w:tcPr>
                <w:p w14:paraId="0E3E4D75">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w:t>
                  </w:r>
                </w:p>
              </w:tc>
              <w:tc>
                <w:tcPr>
                  <w:tcW w:w="984" w:type="pct"/>
                  <w:tcBorders>
                    <w:tl2br w:val="nil"/>
                    <w:tr2bl w:val="nil"/>
                  </w:tcBorders>
                  <w:shd w:val="clear" w:color="auto" w:fill="auto"/>
                  <w:vAlign w:val="center"/>
                </w:tcPr>
                <w:p w14:paraId="0040ECC2">
                  <w:pPr>
                    <w:spacing w:line="280" w:lineRule="exact"/>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生活用水</w:t>
                  </w:r>
                </w:p>
              </w:tc>
              <w:tc>
                <w:tcPr>
                  <w:tcW w:w="523" w:type="pct"/>
                  <w:tcBorders>
                    <w:tl2br w:val="nil"/>
                    <w:tr2bl w:val="nil"/>
                  </w:tcBorders>
                  <w:shd w:val="clear" w:color="auto" w:fill="auto"/>
                  <w:vAlign w:val="center"/>
                </w:tcPr>
                <w:p w14:paraId="0FE139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0.43</w:t>
                  </w:r>
                </w:p>
              </w:tc>
              <w:tc>
                <w:tcPr>
                  <w:tcW w:w="563" w:type="pct"/>
                  <w:tcBorders>
                    <w:tl2br w:val="nil"/>
                    <w:tr2bl w:val="nil"/>
                  </w:tcBorders>
                  <w:shd w:val="clear" w:color="auto" w:fill="auto"/>
                  <w:vAlign w:val="center"/>
                </w:tcPr>
                <w:p w14:paraId="564734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0.43</w:t>
                  </w:r>
                </w:p>
              </w:tc>
              <w:tc>
                <w:tcPr>
                  <w:tcW w:w="538" w:type="pct"/>
                  <w:tcBorders>
                    <w:tl2br w:val="nil"/>
                    <w:tr2bl w:val="nil"/>
                  </w:tcBorders>
                  <w:shd w:val="clear" w:color="auto" w:fill="auto"/>
                  <w:vAlign w:val="center"/>
                </w:tcPr>
                <w:p w14:paraId="364647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571" w:type="pct"/>
                  <w:tcBorders>
                    <w:tl2br w:val="nil"/>
                    <w:tr2bl w:val="nil"/>
                  </w:tcBorders>
                  <w:shd w:val="clear" w:color="auto" w:fill="auto"/>
                  <w:vAlign w:val="center"/>
                </w:tcPr>
                <w:p w14:paraId="03FAA9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09</w:t>
                  </w:r>
                </w:p>
              </w:tc>
              <w:tc>
                <w:tcPr>
                  <w:tcW w:w="618" w:type="pct"/>
                  <w:tcBorders>
                    <w:tl2br w:val="nil"/>
                    <w:tr2bl w:val="nil"/>
                  </w:tcBorders>
                  <w:shd w:val="clear" w:color="auto" w:fill="auto"/>
                  <w:vAlign w:val="center"/>
                </w:tcPr>
                <w:p w14:paraId="5C9F1A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0.34</w:t>
                  </w:r>
                </w:p>
              </w:tc>
              <w:tc>
                <w:tcPr>
                  <w:tcW w:w="879" w:type="pct"/>
                  <w:tcBorders>
                    <w:tl2br w:val="nil"/>
                    <w:tr2bl w:val="nil"/>
                  </w:tcBorders>
                  <w:vAlign w:val="center"/>
                </w:tcPr>
                <w:p w14:paraId="1F911499">
                  <w:pPr>
                    <w:spacing w:line="280" w:lineRule="exact"/>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排入化粪池处理后进入市政污水管网</w:t>
                  </w:r>
                </w:p>
              </w:tc>
            </w:tr>
            <w:tr w14:paraId="7E165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5" w:type="pct"/>
                  <w:gridSpan w:val="2"/>
                  <w:tcBorders>
                    <w:tl2br w:val="nil"/>
                    <w:tr2bl w:val="nil"/>
                  </w:tcBorders>
                  <w:vAlign w:val="center"/>
                </w:tcPr>
                <w:p w14:paraId="34AC4DB8">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合计</w:t>
                  </w:r>
                </w:p>
              </w:tc>
              <w:tc>
                <w:tcPr>
                  <w:tcW w:w="523" w:type="pct"/>
                  <w:tcBorders>
                    <w:tl2br w:val="nil"/>
                    <w:tr2bl w:val="nil"/>
                  </w:tcBorders>
                  <w:vAlign w:val="center"/>
                </w:tcPr>
                <w:p w14:paraId="384C5E5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0.68</w:t>
                  </w:r>
                </w:p>
              </w:tc>
              <w:tc>
                <w:tcPr>
                  <w:tcW w:w="563" w:type="pct"/>
                  <w:tcBorders>
                    <w:tl2br w:val="nil"/>
                    <w:tr2bl w:val="nil"/>
                  </w:tcBorders>
                  <w:vAlign w:val="center"/>
                </w:tcPr>
                <w:p w14:paraId="078CD4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0.665</w:t>
                  </w:r>
                </w:p>
              </w:tc>
              <w:tc>
                <w:tcPr>
                  <w:tcW w:w="538" w:type="pct"/>
                  <w:tcBorders>
                    <w:tl2br w:val="nil"/>
                    <w:tr2bl w:val="nil"/>
                  </w:tcBorders>
                  <w:vAlign w:val="center"/>
                </w:tcPr>
                <w:p w14:paraId="0254B1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0.015</w:t>
                  </w:r>
                </w:p>
              </w:tc>
              <w:tc>
                <w:tcPr>
                  <w:tcW w:w="571" w:type="pct"/>
                  <w:tcBorders>
                    <w:tl2br w:val="nil"/>
                    <w:tr2bl w:val="nil"/>
                  </w:tcBorders>
                  <w:vAlign w:val="center"/>
                </w:tcPr>
                <w:p w14:paraId="2EA67D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0.1137</w:t>
                  </w:r>
                </w:p>
              </w:tc>
              <w:tc>
                <w:tcPr>
                  <w:tcW w:w="618" w:type="pct"/>
                  <w:tcBorders>
                    <w:tl2br w:val="nil"/>
                    <w:tr2bl w:val="nil"/>
                  </w:tcBorders>
                  <w:vAlign w:val="center"/>
                </w:tcPr>
                <w:p w14:paraId="02D366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0.5513</w:t>
                  </w:r>
                </w:p>
              </w:tc>
              <w:tc>
                <w:tcPr>
                  <w:tcW w:w="879" w:type="pct"/>
                  <w:tcBorders>
                    <w:tl2br w:val="nil"/>
                    <w:tr2bl w:val="nil"/>
                  </w:tcBorders>
                  <w:vAlign w:val="center"/>
                </w:tcPr>
                <w:p w14:paraId="7839DBE5">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bl>
          <w:p w14:paraId="1D3A0306">
            <w:pPr>
              <w:spacing w:line="360" w:lineRule="auto"/>
              <w:ind w:firstLine="480" w:firstLineChars="200"/>
              <w:rPr>
                <w:rFonts w:hint="default" w:ascii="Times New Roman" w:hAnsi="Times New Roman" w:cs="Times New Roman"/>
                <w:color w:val="auto"/>
                <w:sz w:val="24"/>
              </w:rPr>
            </w:pPr>
          </w:p>
          <w:p w14:paraId="21122D90">
            <w:pPr>
              <w:spacing w:line="360" w:lineRule="auto"/>
              <w:ind w:firstLine="480" w:firstLineChars="200"/>
              <w:rPr>
                <w:rFonts w:hint="default" w:ascii="Times New Roman" w:hAnsi="Times New Roman" w:cs="Times New Roman"/>
                <w:color w:val="auto"/>
                <w:sz w:val="24"/>
              </w:rPr>
            </w:pPr>
          </w:p>
          <w:p w14:paraId="5BC27330">
            <w:pPr>
              <w:spacing w:line="360" w:lineRule="auto"/>
              <w:ind w:firstLine="480" w:firstLineChars="200"/>
              <w:rPr>
                <w:rFonts w:hint="default" w:ascii="Times New Roman" w:hAnsi="Times New Roman" w:cs="Times New Roman"/>
                <w:color w:val="auto"/>
                <w:sz w:val="24"/>
              </w:rPr>
            </w:pPr>
          </w:p>
          <w:p w14:paraId="7086AB4B">
            <w:pPr>
              <w:spacing w:line="360" w:lineRule="auto"/>
              <w:ind w:firstLine="480" w:firstLineChars="200"/>
              <w:rPr>
                <w:rFonts w:hint="default" w:ascii="Times New Roman" w:hAnsi="Times New Roman" w:cs="Times New Roman"/>
                <w:color w:val="auto"/>
                <w:sz w:val="24"/>
              </w:rPr>
            </w:pPr>
          </w:p>
          <w:p w14:paraId="1980CEBC">
            <w:pPr>
              <w:spacing w:line="360" w:lineRule="auto"/>
              <w:ind w:firstLine="480" w:firstLineChars="200"/>
              <w:rPr>
                <w:rFonts w:hint="default" w:ascii="Times New Roman" w:hAnsi="Times New Roman" w:cs="Times New Roman"/>
                <w:color w:val="auto"/>
                <w:sz w:val="24"/>
              </w:rPr>
            </w:pPr>
          </w:p>
          <w:p w14:paraId="7A8DB1CD">
            <w:pPr>
              <w:spacing w:line="360" w:lineRule="auto"/>
              <w:ind w:firstLine="480" w:firstLineChars="200"/>
              <w:rPr>
                <w:rFonts w:hint="default" w:ascii="Times New Roman" w:hAnsi="Times New Roman" w:cs="Times New Roman"/>
                <w:color w:val="auto"/>
                <w:sz w:val="24"/>
              </w:rPr>
            </w:pPr>
          </w:p>
          <w:p w14:paraId="6446A927">
            <w:pPr>
              <w:spacing w:line="360" w:lineRule="auto"/>
              <w:ind w:firstLine="480" w:firstLineChars="200"/>
              <w:rPr>
                <w:rFonts w:hint="default" w:ascii="Times New Roman" w:hAnsi="Times New Roman" w:cs="Times New Roman"/>
                <w:color w:val="auto"/>
                <w:sz w:val="24"/>
              </w:rPr>
            </w:pPr>
          </w:p>
          <w:p w14:paraId="7CD90462">
            <w:pPr>
              <w:tabs>
                <w:tab w:val="left" w:pos="1045"/>
                <w:tab w:val="left" w:pos="3786"/>
              </w:tabs>
              <w:spacing w:after="21"/>
              <w:ind w:left="363"/>
              <w:jc w:val="right"/>
              <w:rPr>
                <w:rFonts w:hint="default" w:ascii="Times New Roman" w:hAnsi="Times New Roman" w:cs="Times New Roman"/>
                <w:b/>
                <w:color w:val="auto"/>
              </w:rPr>
            </w:pPr>
          </w:p>
          <w:p w14:paraId="010298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mc:AlternateContent>
                <mc:Choice Requires="wpc">
                  <w:drawing>
                    <wp:inline distT="0" distB="0" distL="0" distR="0">
                      <wp:extent cx="5342255" cy="4551045"/>
                      <wp:effectExtent l="0" t="0" r="6985" b="5715"/>
                      <wp:docPr id="264" name="画布 264"/>
                      <wp:cNvGraphicFramePr/>
                      <a:graphic xmlns:a="http://schemas.openxmlformats.org/drawingml/2006/main">
                        <a:graphicData uri="http://schemas.microsoft.com/office/word/2010/wordprocessingCanvas">
                          <wpc:wpc>
                            <wpc:bg>
                              <a:noFill/>
                            </wpc:bg>
                            <wpc:whole>
                              <a:ln>
                                <a:noFill/>
                              </a:ln>
                            </wpc:whole>
                            <wps:wsp>
                              <wps:cNvPr id="65" name="矩形 280"/>
                              <wps:cNvSpPr>
                                <a:spLocks noChangeArrowheads="1"/>
                              </wps:cNvSpPr>
                              <wps:spPr bwMode="auto">
                                <a:xfrm>
                                  <a:off x="160020" y="1894840"/>
                                  <a:ext cx="305435" cy="612140"/>
                                </a:xfrm>
                                <a:prstGeom prst="rect">
                                  <a:avLst/>
                                </a:prstGeom>
                                <a:solidFill>
                                  <a:srgbClr val="FFFFFF"/>
                                </a:solidFill>
                                <a:ln w="9525">
                                  <a:noFill/>
                                  <a:miter lim="800000"/>
                                </a:ln>
                              </wps:spPr>
                              <wps:txbx>
                                <w:txbxContent>
                                  <w:p w14:paraId="2F959752">
                                    <w:pPr>
                                      <w:rPr>
                                        <w:b/>
                                        <w:szCs w:val="21"/>
                                      </w:rPr>
                                    </w:pPr>
                                    <w:r>
                                      <w:rPr>
                                        <w:rFonts w:hint="eastAsia"/>
                                        <w:b/>
                                        <w:szCs w:val="21"/>
                                      </w:rPr>
                                      <w:t>新鲜水</w:t>
                                    </w:r>
                                  </w:p>
                                </w:txbxContent>
                              </wps:txbx>
                              <wps:bodyPr rot="0" vert="horz" wrap="square" lIns="91440" tIns="45720" rIns="91440" bIns="45720" anchor="t" anchorCtr="0" upright="1">
                                <a:noAutofit/>
                              </wps:bodyPr>
                            </wps:wsp>
                            <wps:wsp>
                              <wps:cNvPr id="66" name="直线 282"/>
                              <wps:cNvCnPr>
                                <a:cxnSpLocks noChangeShapeType="1"/>
                              </wps:cNvCnPr>
                              <wps:spPr bwMode="auto">
                                <a:xfrm>
                                  <a:off x="951865" y="536575"/>
                                  <a:ext cx="635" cy="3263265"/>
                                </a:xfrm>
                                <a:prstGeom prst="line">
                                  <a:avLst/>
                                </a:prstGeom>
                                <a:noFill/>
                                <a:ln w="9525">
                                  <a:solidFill>
                                    <a:srgbClr val="000000"/>
                                  </a:solidFill>
                                  <a:round/>
                                </a:ln>
                              </wps:spPr>
                              <wps:bodyPr/>
                            </wps:wsp>
                            <wps:wsp>
                              <wps:cNvPr id="68" name="直线 299"/>
                              <wps:cNvCnPr>
                                <a:cxnSpLocks noChangeShapeType="1"/>
                              </wps:cNvCnPr>
                              <wps:spPr bwMode="auto">
                                <a:xfrm>
                                  <a:off x="950595" y="538491"/>
                                  <a:ext cx="419100" cy="0"/>
                                </a:xfrm>
                                <a:prstGeom prst="line">
                                  <a:avLst/>
                                </a:prstGeom>
                                <a:noFill/>
                                <a:ln w="9525">
                                  <a:solidFill>
                                    <a:srgbClr val="000000"/>
                                  </a:solidFill>
                                  <a:round/>
                                  <a:tailEnd type="triangle" w="med" len="med"/>
                                </a:ln>
                              </wps:spPr>
                              <wps:bodyPr/>
                            </wps:wsp>
                            <wps:wsp>
                              <wps:cNvPr id="69" name="矩形 305"/>
                              <wps:cNvSpPr>
                                <a:spLocks noChangeArrowheads="1"/>
                              </wps:cNvSpPr>
                              <wps:spPr bwMode="auto">
                                <a:xfrm>
                                  <a:off x="2539365" y="384175"/>
                                  <a:ext cx="1007745" cy="304800"/>
                                </a:xfrm>
                                <a:prstGeom prst="rect">
                                  <a:avLst/>
                                </a:prstGeom>
                                <a:solidFill>
                                  <a:srgbClr val="FFFFFF"/>
                                </a:solidFill>
                                <a:ln w="9525">
                                  <a:solidFill>
                                    <a:srgbClr val="000000"/>
                                  </a:solidFill>
                                  <a:miter lim="800000"/>
                                </a:ln>
                              </wps:spPr>
                              <wps:txbx>
                                <w:txbxContent>
                                  <w:p w14:paraId="0DC33102">
                                    <w:pPr>
                                      <w:jc w:val="center"/>
                                      <w:rPr>
                                        <w:rFonts w:hint="default"/>
                                        <w:lang w:val="en-US"/>
                                      </w:rPr>
                                    </w:pPr>
                                    <w:r>
                                      <w:rPr>
                                        <w:rFonts w:hint="eastAsia"/>
                                        <w:b w:val="0"/>
                                        <w:bCs w:val="0"/>
                                        <w:color w:val="auto"/>
                                        <w:sz w:val="21"/>
                                        <w:szCs w:val="21"/>
                                        <w:lang w:val="en-US" w:eastAsia="zh-CN"/>
                                      </w:rPr>
                                      <w:t>器皿清洗用水</w:t>
                                    </w:r>
                                  </w:p>
                                </w:txbxContent>
                              </wps:txbx>
                              <wps:bodyPr rot="0" vert="horz" wrap="square" lIns="91440" tIns="45720" rIns="91440" bIns="45720" anchor="t" anchorCtr="0" upright="1">
                                <a:noAutofit/>
                              </wps:bodyPr>
                            </wps:wsp>
                            <wps:wsp>
                              <wps:cNvPr id="70" name="文本框 194"/>
                              <wps:cNvSpPr txBox="1">
                                <a:spLocks noChangeArrowheads="1"/>
                              </wps:cNvSpPr>
                              <wps:spPr bwMode="auto">
                                <a:xfrm>
                                  <a:off x="923925" y="310515"/>
                                  <a:ext cx="457200" cy="184785"/>
                                </a:xfrm>
                                <a:prstGeom prst="rect">
                                  <a:avLst/>
                                </a:prstGeom>
                                <a:solidFill>
                                  <a:srgbClr val="FFFFFF">
                                    <a:alpha val="0"/>
                                  </a:srgbClr>
                                </a:solidFill>
                                <a:ln>
                                  <a:noFill/>
                                </a:ln>
                              </wps:spPr>
                              <wps:txbx>
                                <w:txbxContent>
                                  <w:p w14:paraId="7F5D9712">
                                    <w:pPr>
                                      <w:jc w:val="center"/>
                                      <w:rPr>
                                        <w:rFonts w:hint="default" w:eastAsia="宋体"/>
                                        <w:szCs w:val="21"/>
                                        <w:lang w:val="en-US" w:eastAsia="zh-CN"/>
                                      </w:rPr>
                                    </w:pPr>
                                    <w:r>
                                      <w:rPr>
                                        <w:rFonts w:hint="eastAsia"/>
                                        <w:szCs w:val="21"/>
                                        <w:lang w:val="en-US" w:eastAsia="zh-CN"/>
                                      </w:rPr>
                                      <w:t>0.021</w:t>
                                    </w:r>
                                  </w:p>
                                </w:txbxContent>
                              </wps:txbx>
                              <wps:bodyPr rot="0" vert="horz" wrap="square" lIns="0" tIns="0" rIns="0" bIns="0" anchor="t" anchorCtr="0" upright="1">
                                <a:noAutofit/>
                              </wps:bodyPr>
                            </wps:wsp>
                            <wps:wsp>
                              <wps:cNvPr id="71" name="文本框 202"/>
                              <wps:cNvSpPr txBox="1">
                                <a:spLocks noChangeArrowheads="1"/>
                              </wps:cNvSpPr>
                              <wps:spPr bwMode="auto">
                                <a:xfrm>
                                  <a:off x="481965" y="2053590"/>
                                  <a:ext cx="516890" cy="228600"/>
                                </a:xfrm>
                                <a:prstGeom prst="rect">
                                  <a:avLst/>
                                </a:prstGeom>
                                <a:solidFill>
                                  <a:srgbClr val="FFFFFF">
                                    <a:alpha val="3137"/>
                                  </a:srgbClr>
                                </a:solidFill>
                                <a:ln>
                                  <a:noFill/>
                                </a:ln>
                              </wps:spPr>
                              <wps:txbx>
                                <w:txbxContent>
                                  <w:p w14:paraId="4DF2EFB8">
                                    <w:pPr>
                                      <w:rPr>
                                        <w:rFonts w:hint="default" w:eastAsia="宋体"/>
                                        <w:szCs w:val="21"/>
                                        <w:lang w:val="en-US" w:eastAsia="zh-CN"/>
                                      </w:rPr>
                                    </w:pPr>
                                    <w:r>
                                      <w:rPr>
                                        <w:rFonts w:hint="eastAsia"/>
                                        <w:szCs w:val="21"/>
                                        <w:lang w:val="en-US" w:eastAsia="zh-CN"/>
                                      </w:rPr>
                                      <w:t>0.665</w:t>
                                    </w:r>
                                  </w:p>
                                </w:txbxContent>
                              </wps:txbx>
                              <wps:bodyPr rot="0" vert="horz" wrap="square" lIns="0" tIns="0" rIns="0" bIns="0" anchor="t" anchorCtr="0" upright="1">
                                <a:noAutofit/>
                              </wps:bodyPr>
                            </wps:wsp>
                            <wps:wsp>
                              <wps:cNvPr id="72" name="直接连接符 112"/>
                              <wps:cNvCnPr>
                                <a:cxnSpLocks noChangeShapeType="1"/>
                              </wps:cNvCnPr>
                              <wps:spPr bwMode="auto">
                                <a:xfrm>
                                  <a:off x="466090" y="2196465"/>
                                  <a:ext cx="484505" cy="0"/>
                                </a:xfrm>
                                <a:prstGeom prst="line">
                                  <a:avLst/>
                                </a:prstGeom>
                                <a:noFill/>
                                <a:ln w="12700" cap="flat" cmpd="sng" algn="ctr">
                                  <a:solidFill>
                                    <a:srgbClr val="000000"/>
                                  </a:solidFill>
                                  <a:prstDash val="solid"/>
                                  <a:miter lim="800000"/>
                                  <a:tailEnd type="none" w="med" len="med"/>
                                </a:ln>
                              </wps:spPr>
                              <wps:bodyPr/>
                            </wps:wsp>
                            <wps:wsp>
                              <wps:cNvPr id="73" name="直接箭头连接符 116"/>
                              <wps:cNvCnPr>
                                <a:cxnSpLocks noChangeShapeType="1"/>
                                <a:stCxn id="91" idx="3"/>
                                <a:endCxn id="148" idx="1"/>
                              </wps:cNvCnPr>
                              <wps:spPr bwMode="auto">
                                <a:xfrm>
                                  <a:off x="3245485" y="3095625"/>
                                  <a:ext cx="680085" cy="4445"/>
                                </a:xfrm>
                                <a:prstGeom prst="straightConnector1">
                                  <a:avLst/>
                                </a:prstGeom>
                                <a:noFill/>
                                <a:ln w="9525">
                                  <a:solidFill>
                                    <a:srgbClr val="000000"/>
                                  </a:solidFill>
                                  <a:round/>
                                  <a:tailEnd type="triangle" w="med" len="med"/>
                                </a:ln>
                              </wps:spPr>
                              <wps:bodyPr/>
                            </wps:wsp>
                            <wps:wsp>
                              <wps:cNvPr id="74" name="矩形 154"/>
                              <wps:cNvSpPr>
                                <a:spLocks noChangeArrowheads="1"/>
                              </wps:cNvSpPr>
                              <wps:spPr bwMode="auto">
                                <a:xfrm>
                                  <a:off x="1382395" y="1597660"/>
                                  <a:ext cx="1795145" cy="303530"/>
                                </a:xfrm>
                                <a:prstGeom prst="rect">
                                  <a:avLst/>
                                </a:prstGeom>
                                <a:solidFill>
                                  <a:srgbClr val="FFFFFF"/>
                                </a:solidFill>
                                <a:ln w="9525">
                                  <a:solidFill>
                                    <a:srgbClr val="000000"/>
                                  </a:solidFill>
                                  <a:miter lim="800000"/>
                                </a:ln>
                              </wps:spPr>
                              <wps:txbx>
                                <w:txbxContent>
                                  <w:p w14:paraId="35561BC5">
                                    <w:pPr>
                                      <w:rPr>
                                        <w:rFonts w:hint="eastAsia"/>
                                        <w:lang w:val="en-US" w:eastAsia="zh-CN"/>
                                      </w:rPr>
                                    </w:pPr>
                                    <w:r>
                                      <w:rPr>
                                        <w:rFonts w:hint="eastAsia" w:ascii="Times New Roman" w:hAnsi="Times New Roman" w:cs="Times New Roman"/>
                                        <w:b w:val="0"/>
                                        <w:bCs w:val="0"/>
                                        <w:color w:val="auto"/>
                                        <w:sz w:val="21"/>
                                        <w:szCs w:val="21"/>
                                        <w:lang w:val="en-US" w:eastAsia="zh-CN"/>
                                      </w:rPr>
                                      <w:t>药材洗润、浸泡、蒸煮用水</w:t>
                                    </w:r>
                                  </w:p>
                                </w:txbxContent>
                              </wps:txbx>
                              <wps:bodyPr rot="0" vert="horz" wrap="square" lIns="91440" tIns="45720" rIns="91440" bIns="45720" anchor="t" anchorCtr="0" upright="1">
                                <a:noAutofit/>
                              </wps:bodyPr>
                            </wps:wsp>
                            <wps:wsp>
                              <wps:cNvPr id="75" name="矩形 238"/>
                              <wps:cNvSpPr>
                                <a:spLocks noChangeArrowheads="1"/>
                              </wps:cNvSpPr>
                              <wps:spPr bwMode="auto">
                                <a:xfrm>
                                  <a:off x="4256405" y="3658870"/>
                                  <a:ext cx="638175" cy="262890"/>
                                </a:xfrm>
                                <a:prstGeom prst="rect">
                                  <a:avLst/>
                                </a:prstGeom>
                                <a:solidFill>
                                  <a:srgbClr val="FFFFFF"/>
                                </a:solidFill>
                                <a:ln w="9525">
                                  <a:solidFill>
                                    <a:srgbClr val="000000"/>
                                  </a:solidFill>
                                  <a:miter lim="800000"/>
                                </a:ln>
                              </wps:spPr>
                              <wps:txbx>
                                <w:txbxContent>
                                  <w:p w14:paraId="710ABA2B">
                                    <w:pPr>
                                      <w:pStyle w:val="24"/>
                                      <w:spacing w:before="0" w:beforeAutospacing="0" w:after="0" w:afterAutospacing="0"/>
                                      <w:jc w:val="center"/>
                                      <w:rPr>
                                        <w:szCs w:val="24"/>
                                      </w:rPr>
                                    </w:pPr>
                                    <w:r>
                                      <w:rPr>
                                        <w:rFonts w:hint="eastAsia" w:ascii="Times New Roman"/>
                                        <w:color w:val="000000"/>
                                        <w:kern w:val="2"/>
                                        <w:sz w:val="21"/>
                                        <w:szCs w:val="21"/>
                                        <w:lang w:val="en-US" w:eastAsia="zh-CN"/>
                                      </w:rPr>
                                      <w:t>化粪池</w:t>
                                    </w:r>
                                  </w:p>
                                </w:txbxContent>
                              </wps:txbx>
                              <wps:bodyPr rot="0" vert="horz" wrap="square" lIns="91440" tIns="45720" rIns="91440" bIns="45720" anchor="t" anchorCtr="0" upright="1">
                                <a:noAutofit/>
                              </wps:bodyPr>
                            </wps:wsp>
                            <wps:wsp>
                              <wps:cNvPr id="76" name="文本框 194"/>
                              <wps:cNvSpPr txBox="1">
                                <a:spLocks noChangeArrowheads="1"/>
                              </wps:cNvSpPr>
                              <wps:spPr bwMode="auto">
                                <a:xfrm>
                                  <a:off x="979805" y="2864485"/>
                                  <a:ext cx="363220" cy="219710"/>
                                </a:xfrm>
                                <a:prstGeom prst="rect">
                                  <a:avLst/>
                                </a:prstGeom>
                                <a:solidFill>
                                  <a:srgbClr val="FFFFFF">
                                    <a:alpha val="0"/>
                                  </a:srgbClr>
                                </a:solidFill>
                                <a:ln>
                                  <a:noFill/>
                                </a:ln>
                              </wps:spPr>
                              <wps:txbx>
                                <w:txbxContent>
                                  <w:p w14:paraId="7CA30C92">
                                    <w:pPr>
                                      <w:pStyle w:val="24"/>
                                      <w:spacing w:before="0" w:beforeAutospacing="0" w:after="0" w:afterAutospacing="0"/>
                                      <w:jc w:val="center"/>
                                      <w:rPr>
                                        <w:rFonts w:hint="default" w:eastAsia="宋体"/>
                                        <w:szCs w:val="24"/>
                                        <w:lang w:val="en-US" w:eastAsia="zh-CN"/>
                                      </w:rPr>
                                    </w:pPr>
                                    <w:r>
                                      <w:rPr>
                                        <w:rFonts w:hint="eastAsia" w:ascii="Times New Roman" w:hAnsi="Times New Roman"/>
                                        <w:kern w:val="2"/>
                                        <w:sz w:val="21"/>
                                        <w:szCs w:val="21"/>
                                        <w:lang w:val="en-US" w:eastAsia="zh-CN"/>
                                      </w:rPr>
                                      <w:t>0.2</w:t>
                                    </w:r>
                                  </w:p>
                                </w:txbxContent>
                              </wps:txbx>
                              <wps:bodyPr rot="0" vert="horz" wrap="square" lIns="0" tIns="0" rIns="0" bIns="0" anchor="t" anchorCtr="0" upright="1">
                                <a:noAutofit/>
                              </wps:bodyPr>
                            </wps:wsp>
                            <wps:wsp>
                              <wps:cNvPr id="78" name="文本框 194"/>
                              <wps:cNvSpPr txBox="1">
                                <a:spLocks noChangeArrowheads="1"/>
                              </wps:cNvSpPr>
                              <wps:spPr bwMode="auto">
                                <a:xfrm>
                                  <a:off x="3101975" y="2910840"/>
                                  <a:ext cx="518160" cy="234315"/>
                                </a:xfrm>
                                <a:prstGeom prst="rect">
                                  <a:avLst/>
                                </a:prstGeom>
                                <a:solidFill>
                                  <a:srgbClr val="FFFFFF">
                                    <a:alpha val="0"/>
                                  </a:srgbClr>
                                </a:solidFill>
                                <a:ln>
                                  <a:noFill/>
                                </a:ln>
                              </wps:spPr>
                              <wps:txbx>
                                <w:txbxContent>
                                  <w:p w14:paraId="0FB344FC">
                                    <w:pPr>
                                      <w:pStyle w:val="24"/>
                                      <w:spacing w:before="0" w:beforeAutospacing="0" w:after="0" w:afterAutospacing="0"/>
                                      <w:jc w:val="center"/>
                                      <w:rPr>
                                        <w:rFonts w:hint="default" w:ascii="Times New Roman" w:hAnsi="Times New Roman" w:eastAsia="宋体" w:cs="Times New Roman"/>
                                        <w:szCs w:val="24"/>
                                        <w:lang w:val="en-US" w:eastAsia="zh-CN"/>
                                      </w:rPr>
                                    </w:pPr>
                                    <w:r>
                                      <w:rPr>
                                        <w:rFonts w:hint="eastAsia" w:ascii="Times New Roman" w:hAnsi="Times New Roman" w:cs="Times New Roman"/>
                                        <w:kern w:val="2"/>
                                        <w:sz w:val="21"/>
                                        <w:szCs w:val="21"/>
                                        <w:lang w:val="en-US" w:eastAsia="zh-CN"/>
                                      </w:rPr>
                                      <w:t>0.18</w:t>
                                    </w:r>
                                  </w:p>
                                </w:txbxContent>
                              </wps:txbx>
                              <wps:bodyPr rot="0" vert="horz" wrap="square" lIns="0" tIns="0" rIns="0" bIns="0" anchor="t" anchorCtr="0" upright="1">
                                <a:noAutofit/>
                              </wps:bodyPr>
                            </wps:wsp>
                            <wps:wsp>
                              <wps:cNvPr id="79" name="文本框 84"/>
                              <wps:cNvSpPr txBox="1">
                                <a:spLocks noChangeArrowheads="1"/>
                              </wps:cNvSpPr>
                              <wps:spPr bwMode="auto">
                                <a:xfrm>
                                  <a:off x="1821180" y="2644775"/>
                                  <a:ext cx="497205" cy="220345"/>
                                </a:xfrm>
                                <a:prstGeom prst="rect">
                                  <a:avLst/>
                                </a:prstGeom>
                                <a:solidFill>
                                  <a:srgbClr val="FFFFFF">
                                    <a:alpha val="3137"/>
                                  </a:srgbClr>
                                </a:solidFill>
                                <a:ln>
                                  <a:noFill/>
                                </a:ln>
                              </wps:spPr>
                              <wps:txbx>
                                <w:txbxContent>
                                  <w:p w14:paraId="279A9CC7">
                                    <w:pPr>
                                      <w:pStyle w:val="24"/>
                                      <w:spacing w:before="0" w:beforeAutospacing="0" w:after="0" w:afterAutospacing="0"/>
                                      <w:ind w:firstLine="216"/>
                                      <w:jc w:val="both"/>
                                      <w:rPr>
                                        <w:rFonts w:hint="default" w:eastAsia="宋体"/>
                                        <w:szCs w:val="24"/>
                                        <w:lang w:val="en-US" w:eastAsia="zh-CN"/>
                                      </w:rPr>
                                    </w:pPr>
                                    <w:r>
                                      <w:rPr>
                                        <w:rFonts w:hint="eastAsia" w:ascii="Times New Roman" w:hAnsi="Times New Roman"/>
                                        <w:kern w:val="2"/>
                                        <w:sz w:val="21"/>
                                        <w:szCs w:val="21"/>
                                        <w:lang w:val="en-US" w:eastAsia="zh-CN"/>
                                      </w:rPr>
                                      <w:t>0.02</w:t>
                                    </w:r>
                                  </w:p>
                                </w:txbxContent>
                              </wps:txbx>
                              <wps:bodyPr rot="0" vert="horz" wrap="square" lIns="0" tIns="0" rIns="0" bIns="0" anchor="t" anchorCtr="0" upright="1">
                                <a:noAutofit/>
                              </wps:bodyPr>
                            </wps:wsp>
                            <wps:wsp>
                              <wps:cNvPr id="80" name="文本框 194"/>
                              <wps:cNvSpPr txBox="1">
                                <a:spLocks noChangeArrowheads="1"/>
                              </wps:cNvSpPr>
                              <wps:spPr bwMode="auto">
                                <a:xfrm>
                                  <a:off x="970280" y="1577340"/>
                                  <a:ext cx="398780" cy="210185"/>
                                </a:xfrm>
                                <a:prstGeom prst="rect">
                                  <a:avLst/>
                                </a:prstGeom>
                                <a:solidFill>
                                  <a:srgbClr val="FFFFFF">
                                    <a:alpha val="0"/>
                                  </a:srgbClr>
                                </a:solidFill>
                                <a:ln>
                                  <a:noFill/>
                                </a:ln>
                              </wps:spPr>
                              <wps:txbx>
                                <w:txbxContent>
                                  <w:p w14:paraId="5C4937AA">
                                    <w:pPr>
                                      <w:jc w:val="center"/>
                                      <w:rPr>
                                        <w:rFonts w:hint="default" w:eastAsia="宋体"/>
                                        <w:szCs w:val="21"/>
                                        <w:lang w:val="en-US" w:eastAsia="zh-CN"/>
                                      </w:rPr>
                                    </w:pPr>
                                    <w:r>
                                      <w:rPr>
                                        <w:rFonts w:hint="eastAsia"/>
                                        <w:szCs w:val="21"/>
                                        <w:lang w:val="en-US" w:eastAsia="zh-CN"/>
                                      </w:rPr>
                                      <w:t>0.012</w:t>
                                    </w:r>
                                  </w:p>
                                </w:txbxContent>
                              </wps:txbx>
                              <wps:bodyPr rot="0" vert="horz" wrap="square" lIns="0" tIns="0" rIns="0" bIns="0" anchor="t" anchorCtr="0" upright="1">
                                <a:noAutofit/>
                              </wps:bodyPr>
                            </wps:wsp>
                            <wps:wsp>
                              <wps:cNvPr id="81" name="直线 283"/>
                              <wps:cNvCnPr>
                                <a:cxnSpLocks noChangeShapeType="1"/>
                              </wps:cNvCnPr>
                              <wps:spPr bwMode="auto">
                                <a:xfrm>
                                  <a:off x="942975" y="2341880"/>
                                  <a:ext cx="419100" cy="635"/>
                                </a:xfrm>
                                <a:prstGeom prst="line">
                                  <a:avLst/>
                                </a:prstGeom>
                                <a:noFill/>
                                <a:ln w="9525">
                                  <a:solidFill>
                                    <a:srgbClr val="000000"/>
                                  </a:solidFill>
                                  <a:round/>
                                  <a:tailEnd type="triangle" w="med" len="med"/>
                                </a:ln>
                              </wps:spPr>
                              <wps:bodyPr/>
                            </wps:wsp>
                            <wps:wsp>
                              <wps:cNvPr id="82" name="文本框 84"/>
                              <wps:cNvSpPr txBox="1">
                                <a:spLocks noChangeArrowheads="1"/>
                              </wps:cNvSpPr>
                              <wps:spPr bwMode="auto">
                                <a:xfrm>
                                  <a:off x="1753870" y="3343275"/>
                                  <a:ext cx="495300" cy="228600"/>
                                </a:xfrm>
                                <a:prstGeom prst="rect">
                                  <a:avLst/>
                                </a:prstGeom>
                                <a:solidFill>
                                  <a:srgbClr val="FFFFFF">
                                    <a:alpha val="3137"/>
                                  </a:srgbClr>
                                </a:solidFill>
                                <a:ln>
                                  <a:noFill/>
                                </a:ln>
                              </wps:spPr>
                              <wps:txbx>
                                <w:txbxContent>
                                  <w:p w14:paraId="234D4488">
                                    <w:pPr>
                                      <w:ind w:firstLine="210" w:firstLineChars="100"/>
                                      <w:rPr>
                                        <w:rFonts w:hint="default" w:eastAsia="宋体"/>
                                        <w:szCs w:val="21"/>
                                        <w:lang w:val="en-US" w:eastAsia="zh-CN"/>
                                      </w:rPr>
                                    </w:pPr>
                                    <w:r>
                                      <w:rPr>
                                        <w:rFonts w:hint="eastAsia"/>
                                        <w:szCs w:val="21"/>
                                        <w:lang w:val="en-US" w:eastAsia="zh-CN"/>
                                      </w:rPr>
                                      <w:t>0.09</w:t>
                                    </w:r>
                                  </w:p>
                                </w:txbxContent>
                              </wps:txbx>
                              <wps:bodyPr rot="0" vert="horz" wrap="square" lIns="0" tIns="0" rIns="0" bIns="0" anchor="t" anchorCtr="0" upright="1">
                                <a:noAutofit/>
                              </wps:bodyPr>
                            </wps:wsp>
                            <wps:wsp>
                              <wps:cNvPr id="83" name="直线 197"/>
                              <wps:cNvCnPr>
                                <a:cxnSpLocks noChangeShapeType="1"/>
                              </wps:cNvCnPr>
                              <wps:spPr bwMode="auto">
                                <a:xfrm flipV="1">
                                  <a:off x="1605915" y="3487420"/>
                                  <a:ext cx="228600" cy="190500"/>
                                </a:xfrm>
                                <a:prstGeom prst="line">
                                  <a:avLst/>
                                </a:prstGeom>
                                <a:noFill/>
                                <a:ln w="9525">
                                  <a:solidFill>
                                    <a:srgbClr val="000000"/>
                                  </a:solidFill>
                                  <a:prstDash val="dash"/>
                                  <a:round/>
                                  <a:tailEnd type="triangle" w="med" len="med"/>
                                </a:ln>
                              </wps:spPr>
                              <wps:bodyPr/>
                            </wps:wsp>
                            <wps:wsp>
                              <wps:cNvPr id="86" name="直线 283"/>
                              <wps:cNvCnPr>
                                <a:cxnSpLocks noChangeShapeType="1"/>
                              </wps:cNvCnPr>
                              <wps:spPr bwMode="auto">
                                <a:xfrm>
                                  <a:off x="958850" y="3803650"/>
                                  <a:ext cx="419100" cy="635"/>
                                </a:xfrm>
                                <a:prstGeom prst="line">
                                  <a:avLst/>
                                </a:prstGeom>
                                <a:noFill/>
                                <a:ln w="9525">
                                  <a:solidFill>
                                    <a:srgbClr val="000000"/>
                                  </a:solidFill>
                                  <a:round/>
                                  <a:tailEnd type="triangle" w="med" len="med"/>
                                </a:ln>
                              </wps:spPr>
                              <wps:bodyPr/>
                            </wps:wsp>
                            <wps:wsp>
                              <wps:cNvPr id="87" name="矩形 32"/>
                              <wps:cNvSpPr>
                                <a:spLocks noChangeArrowheads="1"/>
                              </wps:cNvSpPr>
                              <wps:spPr bwMode="auto">
                                <a:xfrm>
                                  <a:off x="1377950" y="3677920"/>
                                  <a:ext cx="1014095" cy="304800"/>
                                </a:xfrm>
                                <a:prstGeom prst="rect">
                                  <a:avLst/>
                                </a:prstGeom>
                                <a:solidFill>
                                  <a:srgbClr val="FFFFFF"/>
                                </a:solidFill>
                                <a:ln w="9525">
                                  <a:solidFill>
                                    <a:srgbClr val="000000"/>
                                  </a:solidFill>
                                  <a:miter lim="800000"/>
                                </a:ln>
                              </wps:spPr>
                              <wps:txbx>
                                <w:txbxContent>
                                  <w:p w14:paraId="16CCA1A9">
                                    <w:pPr>
                                      <w:pStyle w:val="24"/>
                                      <w:spacing w:before="0" w:beforeAutospacing="0" w:after="0" w:afterAutospacing="0"/>
                                      <w:jc w:val="center"/>
                                      <w:rPr>
                                        <w:rFonts w:hint="default" w:eastAsia="宋体"/>
                                        <w:szCs w:val="24"/>
                                        <w:lang w:val="en-US" w:eastAsia="zh-CN"/>
                                      </w:rPr>
                                    </w:pPr>
                                    <w:r>
                                      <w:rPr>
                                        <w:rFonts w:hint="eastAsia" w:ascii="Times New Roman"/>
                                        <w:color w:val="000000"/>
                                        <w:kern w:val="2"/>
                                        <w:sz w:val="21"/>
                                        <w:szCs w:val="21"/>
                                        <w:lang w:val="en-US" w:eastAsia="zh-CN"/>
                                      </w:rPr>
                                      <w:t>生活用水</w:t>
                                    </w:r>
                                  </w:p>
                                  <w:p w14:paraId="1D6BA9D9">
                                    <w:pPr>
                                      <w:pStyle w:val="24"/>
                                      <w:spacing w:before="0" w:beforeAutospacing="0" w:after="0" w:afterAutospacing="0"/>
                                      <w:jc w:val="both"/>
                                      <w:rPr>
                                        <w:szCs w:val="24"/>
                                      </w:rPr>
                                    </w:pPr>
                                  </w:p>
                                </w:txbxContent>
                              </wps:txbx>
                              <wps:bodyPr rot="0" vert="horz" wrap="square" lIns="91440" tIns="45720" rIns="91440" bIns="45720" anchor="t" anchorCtr="0" upright="1">
                                <a:noAutofit/>
                              </wps:bodyPr>
                            </wps:wsp>
                            <wps:wsp>
                              <wps:cNvPr id="88" name="文本框 84"/>
                              <wps:cNvSpPr txBox="1">
                                <a:spLocks noChangeArrowheads="1"/>
                              </wps:cNvSpPr>
                              <wps:spPr bwMode="auto">
                                <a:xfrm>
                                  <a:off x="2077720" y="1908175"/>
                                  <a:ext cx="638810" cy="228600"/>
                                </a:xfrm>
                                <a:prstGeom prst="rect">
                                  <a:avLst/>
                                </a:prstGeom>
                                <a:solidFill>
                                  <a:srgbClr val="FFFFFF">
                                    <a:alpha val="3137"/>
                                  </a:srgbClr>
                                </a:solidFill>
                                <a:ln>
                                  <a:noFill/>
                                </a:ln>
                              </wps:spPr>
                              <wps:txbx>
                                <w:txbxContent>
                                  <w:p w14:paraId="434F268C">
                                    <w:pPr>
                                      <w:ind w:firstLine="210" w:firstLineChars="100"/>
                                      <w:rPr>
                                        <w:rFonts w:hint="default" w:eastAsia="宋体"/>
                                        <w:szCs w:val="21"/>
                                        <w:lang w:val="en-US" w:eastAsia="zh-CN"/>
                                      </w:rPr>
                                    </w:pPr>
                                    <w:r>
                                      <w:rPr>
                                        <w:rFonts w:hint="eastAsia"/>
                                        <w:szCs w:val="21"/>
                                        <w:lang w:val="en-US" w:eastAsia="zh-CN"/>
                                      </w:rPr>
                                      <w:t>0.0002</w:t>
                                    </w:r>
                                  </w:p>
                                </w:txbxContent>
                              </wps:txbx>
                              <wps:bodyPr rot="0" vert="horz" wrap="square" lIns="0" tIns="0" rIns="0" bIns="0" anchor="t" anchorCtr="0" upright="1">
                                <a:noAutofit/>
                              </wps:bodyPr>
                            </wps:wsp>
                            <wps:wsp>
                              <wps:cNvPr id="89" name="直线 197"/>
                              <wps:cNvCnPr>
                                <a:cxnSpLocks noChangeShapeType="1"/>
                              </wps:cNvCnPr>
                              <wps:spPr bwMode="auto">
                                <a:xfrm flipV="1">
                                  <a:off x="1890395" y="2002155"/>
                                  <a:ext cx="228600" cy="190500"/>
                                </a:xfrm>
                                <a:prstGeom prst="line">
                                  <a:avLst/>
                                </a:prstGeom>
                                <a:noFill/>
                                <a:ln w="9525">
                                  <a:solidFill>
                                    <a:srgbClr val="000000"/>
                                  </a:solidFill>
                                  <a:prstDash val="dash"/>
                                  <a:round/>
                                  <a:tailEnd type="triangle" w="med" len="med"/>
                                </a:ln>
                              </wps:spPr>
                              <wps:bodyPr/>
                            </wps:wsp>
                            <wps:wsp>
                              <wps:cNvPr id="90" name="文本框 84"/>
                              <wps:cNvSpPr txBox="1">
                                <a:spLocks noChangeArrowheads="1"/>
                              </wps:cNvSpPr>
                              <wps:spPr bwMode="auto">
                                <a:xfrm>
                                  <a:off x="1051560" y="2172335"/>
                                  <a:ext cx="300990" cy="228600"/>
                                </a:xfrm>
                                <a:prstGeom prst="rect">
                                  <a:avLst/>
                                </a:prstGeom>
                                <a:solidFill>
                                  <a:srgbClr val="FFFFFF">
                                    <a:alpha val="3137"/>
                                  </a:srgbClr>
                                </a:solidFill>
                                <a:ln>
                                  <a:noFill/>
                                </a:ln>
                              </wps:spPr>
                              <wps:txbx>
                                <w:txbxContent>
                                  <w:p w14:paraId="35235B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0.002</w:t>
                                    </w:r>
                                  </w:p>
                                </w:txbxContent>
                              </wps:txbx>
                              <wps:bodyPr rot="0" vert="horz" wrap="square" lIns="0" tIns="0" rIns="0" bIns="0" anchor="t" anchorCtr="0" upright="1">
                                <a:noAutofit/>
                              </wps:bodyPr>
                            </wps:wsp>
                            <wps:wsp>
                              <wps:cNvPr id="92" name="直线 283"/>
                              <wps:cNvCnPr>
                                <a:cxnSpLocks noChangeShapeType="1"/>
                              </wps:cNvCnPr>
                              <wps:spPr bwMode="auto">
                                <a:xfrm>
                                  <a:off x="951865" y="3077845"/>
                                  <a:ext cx="419100" cy="635"/>
                                </a:xfrm>
                                <a:prstGeom prst="line">
                                  <a:avLst/>
                                </a:prstGeom>
                                <a:noFill/>
                                <a:ln w="9525">
                                  <a:solidFill>
                                    <a:srgbClr val="000000"/>
                                  </a:solidFill>
                                  <a:round/>
                                  <a:tailEnd type="triangle" w="med" len="med"/>
                                </a:ln>
                              </wps:spPr>
                              <wps:bodyPr/>
                            </wps:wsp>
                            <wps:wsp>
                              <wps:cNvPr id="93" name="直线 197"/>
                              <wps:cNvCnPr>
                                <a:cxnSpLocks noChangeShapeType="1"/>
                              </wps:cNvCnPr>
                              <wps:spPr bwMode="auto">
                                <a:xfrm flipV="1">
                                  <a:off x="1674495" y="2760980"/>
                                  <a:ext cx="228600" cy="190500"/>
                                </a:xfrm>
                                <a:prstGeom prst="line">
                                  <a:avLst/>
                                </a:prstGeom>
                                <a:noFill/>
                                <a:ln w="9525">
                                  <a:solidFill>
                                    <a:srgbClr val="000000"/>
                                  </a:solidFill>
                                  <a:prstDash val="dash"/>
                                  <a:round/>
                                  <a:tailEnd type="triangle" w="med" len="med"/>
                                </a:ln>
                              </wps:spPr>
                              <wps:bodyPr/>
                            </wps:wsp>
                            <wps:wsp>
                              <wps:cNvPr id="94" name="文本框 84"/>
                              <wps:cNvSpPr txBox="1">
                                <a:spLocks noChangeArrowheads="1"/>
                              </wps:cNvSpPr>
                              <wps:spPr bwMode="auto">
                                <a:xfrm>
                                  <a:off x="3740785" y="2097405"/>
                                  <a:ext cx="459740" cy="228600"/>
                                </a:xfrm>
                                <a:prstGeom prst="rect">
                                  <a:avLst/>
                                </a:prstGeom>
                                <a:solidFill>
                                  <a:srgbClr val="FFFFFF">
                                    <a:alpha val="3137"/>
                                  </a:srgbClr>
                                </a:solidFill>
                                <a:ln>
                                  <a:noFill/>
                                </a:ln>
                              </wps:spPr>
                              <wps:txbx>
                                <w:txbxContent>
                                  <w:p w14:paraId="36B481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0.0018</w:t>
                                    </w:r>
                                  </w:p>
                                </w:txbxContent>
                              </wps:txbx>
                              <wps:bodyPr rot="0" vert="horz" wrap="square" lIns="0" tIns="0" rIns="0" bIns="0" anchor="t" anchorCtr="0" upright="1">
                                <a:noAutofit/>
                              </wps:bodyPr>
                            </wps:wsp>
                            <wps:wsp>
                              <wps:cNvPr id="97" name="文本框 84"/>
                              <wps:cNvSpPr txBox="1">
                                <a:spLocks noChangeArrowheads="1"/>
                              </wps:cNvSpPr>
                              <wps:spPr bwMode="auto">
                                <a:xfrm>
                                  <a:off x="1017905" y="3601085"/>
                                  <a:ext cx="351790" cy="160020"/>
                                </a:xfrm>
                                <a:prstGeom prst="rect">
                                  <a:avLst/>
                                </a:prstGeom>
                                <a:solidFill>
                                  <a:srgbClr val="FFFFFF">
                                    <a:alpha val="3137"/>
                                  </a:srgbClr>
                                </a:solidFill>
                                <a:ln>
                                  <a:noFill/>
                                </a:ln>
                              </wps:spPr>
                              <wps:txbx>
                                <w:txbxContent>
                                  <w:p w14:paraId="4D0D9C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0.43</w:t>
                                    </w:r>
                                  </w:p>
                                </w:txbxContent>
                              </wps:txbx>
                              <wps:bodyPr rot="0" vert="horz" wrap="square" lIns="0" tIns="0" rIns="0" bIns="0" anchor="t" anchorCtr="0" upright="1">
                                <a:noAutofit/>
                              </wps:bodyPr>
                            </wps:wsp>
                            <wps:wsp>
                              <wps:cNvPr id="99" name="矩形 17"/>
                              <wps:cNvSpPr>
                                <a:spLocks noChangeArrowheads="1"/>
                              </wps:cNvSpPr>
                              <wps:spPr bwMode="auto">
                                <a:xfrm>
                                  <a:off x="1394460" y="2183130"/>
                                  <a:ext cx="1608455" cy="304800"/>
                                </a:xfrm>
                                <a:prstGeom prst="rect">
                                  <a:avLst/>
                                </a:prstGeom>
                                <a:solidFill>
                                  <a:srgbClr val="FFFFFF"/>
                                </a:solidFill>
                                <a:ln w="9525">
                                  <a:solidFill>
                                    <a:srgbClr val="000000"/>
                                  </a:solidFill>
                                  <a:miter lim="800000"/>
                                </a:ln>
                              </wps:spPr>
                              <wps:txbx>
                                <w:txbxContent>
                                  <w:p w14:paraId="2B5C3793">
                                    <w:pPr>
                                      <w:jc w:val="center"/>
                                      <w:rPr>
                                        <w:rFonts w:hint="default" w:eastAsia="宋体"/>
                                        <w:lang w:val="en-US" w:eastAsia="zh-CN"/>
                                      </w:rPr>
                                    </w:pPr>
                                    <w:r>
                                      <w:rPr>
                                        <w:rFonts w:hint="eastAsia"/>
                                        <w:lang w:val="en-US" w:eastAsia="zh-CN"/>
                                      </w:rPr>
                                      <w:t>设备清洗用水</w:t>
                                    </w:r>
                                  </w:p>
                                </w:txbxContent>
                              </wps:txbx>
                              <wps:bodyPr rot="0" vert="horz" wrap="square" lIns="91440" tIns="45720" rIns="91440" bIns="45720" anchor="t" anchorCtr="0" upright="1">
                                <a:noAutofit/>
                              </wps:bodyPr>
                            </wps:wsp>
                            <wps:wsp>
                              <wps:cNvPr id="101" name="直接箭头连接符 116"/>
                              <wps:cNvCnPr>
                                <a:cxnSpLocks noChangeShapeType="1"/>
                                <a:stCxn id="178" idx="3"/>
                              </wps:cNvCnPr>
                              <wps:spPr bwMode="auto">
                                <a:xfrm>
                                  <a:off x="3002915" y="2316480"/>
                                  <a:ext cx="1584000" cy="0"/>
                                </a:xfrm>
                                <a:prstGeom prst="straightConnector1">
                                  <a:avLst/>
                                </a:prstGeom>
                                <a:noFill/>
                                <a:ln w="9525">
                                  <a:solidFill>
                                    <a:srgbClr val="000000"/>
                                  </a:solidFill>
                                  <a:round/>
                                  <a:tailEnd type="triangle" w="med" len="med"/>
                                </a:ln>
                              </wps:spPr>
                              <wps:bodyPr/>
                            </wps:wsp>
                            <wps:wsp>
                              <wps:cNvPr id="103" name="直线 283"/>
                              <wps:cNvCnPr>
                                <a:cxnSpLocks noChangeShapeType="1"/>
                              </wps:cNvCnPr>
                              <wps:spPr bwMode="auto">
                                <a:xfrm>
                                  <a:off x="949325" y="1785620"/>
                                  <a:ext cx="419100" cy="635"/>
                                </a:xfrm>
                                <a:prstGeom prst="line">
                                  <a:avLst/>
                                </a:prstGeom>
                                <a:noFill/>
                                <a:ln w="9525">
                                  <a:solidFill>
                                    <a:srgbClr val="000000"/>
                                  </a:solidFill>
                                  <a:round/>
                                  <a:tailEnd type="triangle" w="med" len="med"/>
                                </a:ln>
                              </wps:spPr>
                              <wps:bodyPr/>
                            </wps:wsp>
                            <wps:wsp>
                              <wps:cNvPr id="105" name="文本框 84"/>
                              <wps:cNvSpPr txBox="1">
                                <a:spLocks noChangeArrowheads="1"/>
                              </wps:cNvSpPr>
                              <wps:spPr bwMode="auto">
                                <a:xfrm>
                                  <a:off x="3016885" y="102235"/>
                                  <a:ext cx="615315" cy="220345"/>
                                </a:xfrm>
                                <a:prstGeom prst="rect">
                                  <a:avLst/>
                                </a:prstGeom>
                                <a:solidFill>
                                  <a:srgbClr val="FFFFFF">
                                    <a:alpha val="3137"/>
                                  </a:srgbClr>
                                </a:solidFill>
                                <a:ln>
                                  <a:noFill/>
                                </a:ln>
                              </wps:spPr>
                              <wps:txbx>
                                <w:txbxContent>
                                  <w:p w14:paraId="6153DDBF">
                                    <w:pPr>
                                      <w:pStyle w:val="24"/>
                                      <w:spacing w:before="0" w:beforeAutospacing="0" w:after="0" w:afterAutospacing="0"/>
                                      <w:ind w:firstLine="216"/>
                                      <w:jc w:val="both"/>
                                      <w:rPr>
                                        <w:rFonts w:hint="default" w:eastAsia="宋体"/>
                                        <w:szCs w:val="24"/>
                                        <w:lang w:val="en-US" w:eastAsia="zh-CN"/>
                                      </w:rPr>
                                    </w:pPr>
                                    <w:r>
                                      <w:rPr>
                                        <w:rFonts w:hint="eastAsia" w:ascii="Times New Roman" w:hAnsi="Times New Roman"/>
                                        <w:kern w:val="2"/>
                                        <w:sz w:val="21"/>
                                        <w:szCs w:val="21"/>
                                        <w:lang w:val="en-US" w:eastAsia="zh-CN"/>
                                      </w:rPr>
                                      <w:t>0.0015</w:t>
                                    </w:r>
                                  </w:p>
                                </w:txbxContent>
                              </wps:txbx>
                              <wps:bodyPr rot="0" vert="horz" wrap="square" lIns="0" tIns="0" rIns="0" bIns="0" anchor="t" anchorCtr="0" upright="1">
                                <a:noAutofit/>
                              </wps:bodyPr>
                            </wps:wsp>
                            <wps:wsp>
                              <wps:cNvPr id="106" name="直线 197"/>
                              <wps:cNvCnPr>
                                <a:cxnSpLocks noChangeShapeType="1"/>
                              </wps:cNvCnPr>
                              <wps:spPr bwMode="auto">
                                <a:xfrm flipV="1">
                                  <a:off x="2894965" y="190500"/>
                                  <a:ext cx="228600" cy="190500"/>
                                </a:xfrm>
                                <a:prstGeom prst="line">
                                  <a:avLst/>
                                </a:prstGeom>
                                <a:noFill/>
                                <a:ln w="9525">
                                  <a:solidFill>
                                    <a:srgbClr val="000000"/>
                                  </a:solidFill>
                                  <a:prstDash val="dash"/>
                                  <a:round/>
                                  <a:tailEnd type="triangle" w="med" len="med"/>
                                </a:ln>
                              </wps:spPr>
                              <wps:bodyPr/>
                            </wps:wsp>
                            <wps:wsp>
                              <wps:cNvPr id="107" name="文本框 84"/>
                              <wps:cNvSpPr txBox="1">
                                <a:spLocks noChangeArrowheads="1"/>
                              </wps:cNvSpPr>
                              <wps:spPr bwMode="auto">
                                <a:xfrm>
                                  <a:off x="2771140" y="3650615"/>
                                  <a:ext cx="391795" cy="228600"/>
                                </a:xfrm>
                                <a:prstGeom prst="rect">
                                  <a:avLst/>
                                </a:prstGeom>
                                <a:solidFill>
                                  <a:srgbClr val="FFFFFF">
                                    <a:alpha val="3137"/>
                                  </a:srgbClr>
                                </a:solidFill>
                                <a:ln>
                                  <a:noFill/>
                                </a:ln>
                              </wps:spPr>
                              <wps:txbx>
                                <w:txbxContent>
                                  <w:p w14:paraId="5F2BF8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0.34</w:t>
                                    </w:r>
                                  </w:p>
                                </w:txbxContent>
                              </wps:txbx>
                              <wps:bodyPr rot="0" vert="horz" wrap="square" lIns="0" tIns="0" rIns="0" bIns="0" anchor="t" anchorCtr="0" upright="1">
                                <a:noAutofit/>
                              </wps:bodyPr>
                            </wps:wsp>
                            <wps:wsp>
                              <wps:cNvPr id="111" name="直接箭头连接符 116"/>
                              <wps:cNvCnPr>
                                <a:cxnSpLocks noChangeShapeType="1"/>
                              </wps:cNvCnPr>
                              <wps:spPr bwMode="auto">
                                <a:xfrm flipV="1">
                                  <a:off x="2387600" y="3816350"/>
                                  <a:ext cx="1803400" cy="0"/>
                                </a:xfrm>
                                <a:prstGeom prst="straightConnector1">
                                  <a:avLst/>
                                </a:prstGeom>
                                <a:noFill/>
                                <a:ln w="9525">
                                  <a:solidFill>
                                    <a:srgbClr val="000000"/>
                                  </a:solidFill>
                                  <a:round/>
                                  <a:tailEnd type="triangle" w="med" len="med"/>
                                </a:ln>
                              </wps:spPr>
                              <wps:bodyPr/>
                            </wps:wsp>
                            <wps:wsp>
                              <wps:cNvPr id="112" name="直接箭头连接符 116"/>
                              <wps:cNvCnPr>
                                <a:cxnSpLocks noChangeShapeType="1"/>
                                <a:endCxn id="116" idx="1"/>
                              </wps:cNvCnPr>
                              <wps:spPr bwMode="auto">
                                <a:xfrm>
                                  <a:off x="3544570" y="540385"/>
                                  <a:ext cx="704850" cy="0"/>
                                </a:xfrm>
                                <a:prstGeom prst="straightConnector1">
                                  <a:avLst/>
                                </a:prstGeom>
                                <a:noFill/>
                                <a:ln w="9525">
                                  <a:solidFill>
                                    <a:srgbClr val="000000"/>
                                  </a:solidFill>
                                  <a:round/>
                                  <a:tailEnd type="triangle" w="med" len="med"/>
                                </a:ln>
                              </wps:spPr>
                              <wps:bodyPr/>
                            </wps:wsp>
                            <wps:wsp>
                              <wps:cNvPr id="114" name="矩形 238"/>
                              <wps:cNvSpPr>
                                <a:spLocks noChangeArrowheads="1"/>
                              </wps:cNvSpPr>
                              <wps:spPr bwMode="auto">
                                <a:xfrm>
                                  <a:off x="4050030" y="4266565"/>
                                  <a:ext cx="1005840" cy="262890"/>
                                </a:xfrm>
                                <a:prstGeom prst="rect">
                                  <a:avLst/>
                                </a:prstGeom>
                                <a:solidFill>
                                  <a:srgbClr val="FFFFFF"/>
                                </a:solidFill>
                                <a:ln w="9525">
                                  <a:noFill/>
                                  <a:miter lim="800000"/>
                                </a:ln>
                              </wps:spPr>
                              <wps:txbx>
                                <w:txbxContent>
                                  <w:p w14:paraId="52C7DB62">
                                    <w:pPr>
                                      <w:pStyle w:val="24"/>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szCs w:val="24"/>
                                      </w:rPr>
                                    </w:pPr>
                                    <w:r>
                                      <w:rPr>
                                        <w:rFonts w:hint="eastAsia" w:ascii="Times New Roman"/>
                                        <w:color w:val="000000"/>
                                        <w:kern w:val="2"/>
                                        <w:sz w:val="21"/>
                                        <w:szCs w:val="21"/>
                                        <w:lang w:val="en-US" w:eastAsia="zh-CN"/>
                                      </w:rPr>
                                      <w:t>市政污水管网</w:t>
                                    </w:r>
                                  </w:p>
                                </w:txbxContent>
                              </wps:txbx>
                              <wps:bodyPr rot="0" vert="horz" wrap="square" lIns="91440" tIns="45720" rIns="91440" bIns="45720" anchor="t" anchorCtr="0" upright="1">
                                <a:noAutofit/>
                              </wps:bodyPr>
                            </wps:wsp>
                            <wps:wsp>
                              <wps:cNvPr id="115" name="文本框 84"/>
                              <wps:cNvSpPr txBox="1">
                                <a:spLocks noChangeArrowheads="1"/>
                              </wps:cNvSpPr>
                              <wps:spPr bwMode="auto">
                                <a:xfrm>
                                  <a:off x="4147185" y="4062095"/>
                                  <a:ext cx="391795" cy="217170"/>
                                </a:xfrm>
                                <a:prstGeom prst="rect">
                                  <a:avLst/>
                                </a:prstGeom>
                                <a:solidFill>
                                  <a:srgbClr val="FFFFFF">
                                    <a:alpha val="3137"/>
                                  </a:srgbClr>
                                </a:solidFill>
                                <a:ln>
                                  <a:noFill/>
                                </a:ln>
                              </wps:spPr>
                              <wps:txbx>
                                <w:txbxContent>
                                  <w:p w14:paraId="19E18C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0.5468</w:t>
                                    </w:r>
                                  </w:p>
                                </w:txbxContent>
                              </wps:txbx>
                              <wps:bodyPr rot="0" vert="horz" wrap="square" lIns="0" tIns="0" rIns="0" bIns="0" anchor="t" anchorCtr="0" upright="1">
                                <a:noAutofit/>
                              </wps:bodyPr>
                            </wps:wsp>
                            <wps:wsp>
                              <wps:cNvPr id="116" name="矩形 238"/>
                              <wps:cNvSpPr>
                                <a:spLocks noChangeArrowheads="1"/>
                              </wps:cNvSpPr>
                              <wps:spPr bwMode="auto">
                                <a:xfrm>
                                  <a:off x="4249420" y="287020"/>
                                  <a:ext cx="1054735" cy="506095"/>
                                </a:xfrm>
                                <a:prstGeom prst="rect">
                                  <a:avLst/>
                                </a:prstGeom>
                                <a:solidFill>
                                  <a:srgbClr val="FFFFFF"/>
                                </a:solidFill>
                                <a:ln w="9525">
                                  <a:noFill/>
                                  <a:miter lim="800000"/>
                                </a:ln>
                              </wps:spPr>
                              <wps:txbx>
                                <w:txbxContent>
                                  <w:p w14:paraId="2D6BD166">
                                    <w:pPr>
                                      <w:pStyle w:val="24"/>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szCs w:val="24"/>
                                        <w:lang w:val="en-US"/>
                                      </w:rPr>
                                    </w:pPr>
                                    <w:r>
                                      <w:rPr>
                                        <w:rFonts w:hint="eastAsia" w:ascii="Times New Roman"/>
                                        <w:color w:val="000000"/>
                                        <w:kern w:val="2"/>
                                        <w:sz w:val="21"/>
                                        <w:szCs w:val="21"/>
                                        <w:lang w:val="en-US" w:eastAsia="zh-CN"/>
                                      </w:rPr>
                                      <w:t>头道清洗废水作为危废处置</w:t>
                                    </w:r>
                                  </w:p>
                                </w:txbxContent>
                              </wps:txbx>
                              <wps:bodyPr rot="0" vert="horz" wrap="square" lIns="91440" tIns="45720" rIns="91440" bIns="45720" anchor="t" anchorCtr="0" upright="1">
                                <a:noAutofit/>
                              </wps:bodyPr>
                            </wps:wsp>
                            <wps:wsp>
                              <wps:cNvPr id="118" name="文本框 84"/>
                              <wps:cNvSpPr txBox="1">
                                <a:spLocks noChangeArrowheads="1"/>
                              </wps:cNvSpPr>
                              <wps:spPr bwMode="auto">
                                <a:xfrm>
                                  <a:off x="3575050" y="278130"/>
                                  <a:ext cx="561340" cy="186690"/>
                                </a:xfrm>
                                <a:prstGeom prst="rect">
                                  <a:avLst/>
                                </a:prstGeom>
                                <a:solidFill>
                                  <a:srgbClr val="FFFFFF">
                                    <a:alpha val="3137"/>
                                  </a:srgbClr>
                                </a:solidFill>
                                <a:ln>
                                  <a:noFill/>
                                </a:ln>
                              </wps:spPr>
                              <wps:txbx>
                                <w:txbxContent>
                                  <w:p w14:paraId="5A05B1AF">
                                    <w:pPr>
                                      <w:ind w:firstLine="210" w:firstLineChars="100"/>
                                      <w:rPr>
                                        <w:rFonts w:hint="default" w:eastAsia="宋体"/>
                                        <w:szCs w:val="21"/>
                                        <w:lang w:val="en-US" w:eastAsia="zh-CN"/>
                                      </w:rPr>
                                    </w:pPr>
                                    <w:r>
                                      <w:rPr>
                                        <w:rFonts w:hint="eastAsia"/>
                                        <w:szCs w:val="21"/>
                                        <w:lang w:val="en-US" w:eastAsia="zh-CN"/>
                                      </w:rPr>
                                      <w:t>0.0045</w:t>
                                    </w:r>
                                  </w:p>
                                </w:txbxContent>
                              </wps:txbx>
                              <wps:bodyPr rot="0" vert="horz" wrap="square" lIns="0" tIns="0" rIns="0" bIns="0" anchor="t" anchorCtr="0" upright="1">
                                <a:noAutofit/>
                              </wps:bodyPr>
                            </wps:wsp>
                            <wps:wsp>
                              <wps:cNvPr id="123" name="文本框 84"/>
                              <wps:cNvSpPr txBox="1">
                                <a:spLocks noChangeArrowheads="1"/>
                              </wps:cNvSpPr>
                              <wps:spPr bwMode="auto">
                                <a:xfrm>
                                  <a:off x="2282825" y="1386840"/>
                                  <a:ext cx="590550" cy="220345"/>
                                </a:xfrm>
                                <a:prstGeom prst="rect">
                                  <a:avLst/>
                                </a:prstGeom>
                                <a:solidFill>
                                  <a:srgbClr val="FFFFFF">
                                    <a:alpha val="3137"/>
                                  </a:srgbClr>
                                </a:solidFill>
                                <a:ln>
                                  <a:noFill/>
                                </a:ln>
                              </wps:spPr>
                              <wps:txbx>
                                <w:txbxContent>
                                  <w:p w14:paraId="03584093">
                                    <w:pPr>
                                      <w:pStyle w:val="24"/>
                                      <w:spacing w:before="0" w:beforeAutospacing="0" w:after="0" w:afterAutospacing="0"/>
                                      <w:ind w:firstLine="216"/>
                                      <w:jc w:val="both"/>
                                      <w:rPr>
                                        <w:rFonts w:hint="default" w:eastAsia="宋体"/>
                                        <w:szCs w:val="24"/>
                                        <w:lang w:val="en-US" w:eastAsia="zh-CN"/>
                                      </w:rPr>
                                    </w:pPr>
                                    <w:r>
                                      <w:rPr>
                                        <w:rFonts w:hint="eastAsia" w:ascii="Times New Roman" w:hAnsi="Times New Roman"/>
                                        <w:kern w:val="2"/>
                                        <w:sz w:val="21"/>
                                        <w:szCs w:val="21"/>
                                        <w:lang w:val="en-US" w:eastAsia="zh-CN"/>
                                      </w:rPr>
                                      <w:t>0.002</w:t>
                                    </w:r>
                                  </w:p>
                                </w:txbxContent>
                              </wps:txbx>
                              <wps:bodyPr rot="0" vert="horz" wrap="square" lIns="0" tIns="0" rIns="0" bIns="0" anchor="t" anchorCtr="0" upright="1">
                                <a:noAutofit/>
                              </wps:bodyPr>
                            </wps:wsp>
                            <wps:wsp>
                              <wps:cNvPr id="124" name="直线 197"/>
                              <wps:cNvCnPr>
                                <a:cxnSpLocks noChangeShapeType="1"/>
                              </wps:cNvCnPr>
                              <wps:spPr bwMode="auto">
                                <a:xfrm flipV="1">
                                  <a:off x="2136140" y="1418590"/>
                                  <a:ext cx="228600" cy="190500"/>
                                </a:xfrm>
                                <a:prstGeom prst="line">
                                  <a:avLst/>
                                </a:prstGeom>
                                <a:noFill/>
                                <a:ln w="9525">
                                  <a:solidFill>
                                    <a:srgbClr val="000000"/>
                                  </a:solidFill>
                                  <a:prstDash val="dash"/>
                                  <a:round/>
                                  <a:tailEnd type="triangle" w="med" len="med"/>
                                </a:ln>
                              </wps:spPr>
                              <wps:bodyPr/>
                            </wps:wsp>
                            <wps:wsp>
                              <wps:cNvPr id="125" name="直接箭头连接符 116"/>
                              <wps:cNvCnPr>
                                <a:cxnSpLocks noChangeShapeType="1"/>
                              </wps:cNvCnPr>
                              <wps:spPr bwMode="auto">
                                <a:xfrm>
                                  <a:off x="3182620" y="1724025"/>
                                  <a:ext cx="1410335" cy="0"/>
                                </a:xfrm>
                                <a:prstGeom prst="straightConnector1">
                                  <a:avLst/>
                                </a:prstGeom>
                                <a:noFill/>
                                <a:ln w="9525">
                                  <a:solidFill>
                                    <a:srgbClr val="000000"/>
                                  </a:solidFill>
                                  <a:round/>
                                  <a:tailEnd type="triangle" w="med" len="med"/>
                                </a:ln>
                              </wps:spPr>
                              <wps:bodyPr/>
                            </wps:wsp>
                            <wps:wsp>
                              <wps:cNvPr id="126" name="文本框 84"/>
                              <wps:cNvSpPr txBox="1">
                                <a:spLocks noChangeArrowheads="1"/>
                              </wps:cNvSpPr>
                              <wps:spPr bwMode="auto">
                                <a:xfrm>
                                  <a:off x="3712210" y="1539240"/>
                                  <a:ext cx="561340" cy="228600"/>
                                </a:xfrm>
                                <a:prstGeom prst="rect">
                                  <a:avLst/>
                                </a:prstGeom>
                                <a:solidFill>
                                  <a:srgbClr val="FFFFFF">
                                    <a:alpha val="3137"/>
                                  </a:srgbClr>
                                </a:solidFill>
                                <a:ln>
                                  <a:noFill/>
                                </a:ln>
                              </wps:spPr>
                              <wps:txbx>
                                <w:txbxContent>
                                  <w:p w14:paraId="107909E3">
                                    <w:pPr>
                                      <w:ind w:firstLine="210" w:firstLineChars="100"/>
                                      <w:rPr>
                                        <w:rFonts w:hint="default" w:eastAsia="宋体"/>
                                        <w:szCs w:val="21"/>
                                        <w:lang w:val="en-US" w:eastAsia="zh-CN"/>
                                      </w:rPr>
                                    </w:pPr>
                                    <w:r>
                                      <w:rPr>
                                        <w:rFonts w:hint="eastAsia"/>
                                        <w:szCs w:val="21"/>
                                        <w:lang w:val="en-US" w:eastAsia="zh-CN"/>
                                      </w:rPr>
                                      <w:t>0.01</w:t>
                                    </w:r>
                                  </w:p>
                                </w:txbxContent>
                              </wps:txbx>
                              <wps:bodyPr rot="0" vert="horz" wrap="square" lIns="0" tIns="0" rIns="0" bIns="0" anchor="t" anchorCtr="0" upright="1">
                                <a:noAutofit/>
                              </wps:bodyPr>
                            </wps:wsp>
                            <wps:wsp>
                              <wps:cNvPr id="127" name="矩形 238"/>
                              <wps:cNvSpPr>
                                <a:spLocks noChangeArrowheads="1"/>
                              </wps:cNvSpPr>
                              <wps:spPr bwMode="auto">
                                <a:xfrm>
                                  <a:off x="1365250" y="408305"/>
                                  <a:ext cx="617855" cy="255270"/>
                                </a:xfrm>
                                <a:prstGeom prst="rect">
                                  <a:avLst/>
                                </a:prstGeom>
                                <a:solidFill>
                                  <a:srgbClr val="FFFFFF"/>
                                </a:solidFill>
                                <a:ln w="9525">
                                  <a:solidFill>
                                    <a:schemeClr val="tx1"/>
                                  </a:solidFill>
                                  <a:miter lim="800000"/>
                                </a:ln>
                              </wps:spPr>
                              <wps:txbx>
                                <w:txbxContent>
                                  <w:p w14:paraId="7C871EC9">
                                    <w:pPr>
                                      <w:pStyle w:val="24"/>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eastAsia="宋体"/>
                                        <w:sz w:val="21"/>
                                        <w:szCs w:val="21"/>
                                        <w:lang w:val="en-US" w:eastAsia="zh-CN"/>
                                      </w:rPr>
                                    </w:pPr>
                                    <w:r>
                                      <w:rPr>
                                        <w:rFonts w:hint="eastAsia"/>
                                        <w:sz w:val="21"/>
                                        <w:szCs w:val="21"/>
                                        <w:lang w:val="en-US" w:eastAsia="zh-CN"/>
                                      </w:rPr>
                                      <w:t>纯水机</w:t>
                                    </w:r>
                                  </w:p>
                                </w:txbxContent>
                              </wps:txbx>
                              <wps:bodyPr rot="0" vert="horz" wrap="square" lIns="91440" tIns="45720" rIns="91440" bIns="45720" anchor="t" anchorCtr="0" upright="1">
                                <a:noAutofit/>
                              </wps:bodyPr>
                            </wps:wsp>
                            <wps:wsp>
                              <wps:cNvPr id="129" name="直线 299"/>
                              <wps:cNvCnPr>
                                <a:cxnSpLocks noChangeShapeType="1"/>
                              </wps:cNvCnPr>
                              <wps:spPr bwMode="auto">
                                <a:xfrm>
                                  <a:off x="2000885" y="542925"/>
                                  <a:ext cx="539115" cy="0"/>
                                </a:xfrm>
                                <a:prstGeom prst="line">
                                  <a:avLst/>
                                </a:prstGeom>
                                <a:noFill/>
                                <a:ln w="9525">
                                  <a:solidFill>
                                    <a:srgbClr val="000000"/>
                                  </a:solidFill>
                                  <a:round/>
                                  <a:tailEnd type="triangle" w="med" len="med"/>
                                </a:ln>
                              </wps:spPr>
                              <wps:bodyPr/>
                            </wps:wsp>
                            <wps:wsp>
                              <wps:cNvPr id="130" name="文本框 194"/>
                              <wps:cNvSpPr txBox="1">
                                <a:spLocks noChangeArrowheads="1"/>
                              </wps:cNvSpPr>
                              <wps:spPr bwMode="auto">
                                <a:xfrm>
                                  <a:off x="1974215" y="314960"/>
                                  <a:ext cx="457200" cy="184785"/>
                                </a:xfrm>
                                <a:prstGeom prst="rect">
                                  <a:avLst/>
                                </a:prstGeom>
                                <a:solidFill>
                                  <a:srgbClr val="FFFFFF">
                                    <a:alpha val="0"/>
                                  </a:srgbClr>
                                </a:solidFill>
                                <a:ln>
                                  <a:noFill/>
                                </a:ln>
                              </wps:spPr>
                              <wps:txbx>
                                <w:txbxContent>
                                  <w:p w14:paraId="3856EB07">
                                    <w:pPr>
                                      <w:jc w:val="center"/>
                                      <w:rPr>
                                        <w:rFonts w:hint="default" w:eastAsia="宋体"/>
                                        <w:szCs w:val="21"/>
                                        <w:lang w:val="en-US" w:eastAsia="zh-CN"/>
                                      </w:rPr>
                                    </w:pPr>
                                    <w:r>
                                      <w:rPr>
                                        <w:rFonts w:hint="eastAsia"/>
                                        <w:szCs w:val="21"/>
                                        <w:lang w:val="en-US" w:eastAsia="zh-CN"/>
                                      </w:rPr>
                                      <w:t>0.015</w:t>
                                    </w:r>
                                  </w:p>
                                </w:txbxContent>
                              </wps:txbx>
                              <wps:bodyPr rot="0" vert="horz" wrap="square" lIns="0" tIns="0" rIns="0" bIns="0" anchor="t" anchorCtr="0" upright="1">
                                <a:noAutofit/>
                              </wps:bodyPr>
                            </wps:wsp>
                            <wps:wsp>
                              <wps:cNvPr id="132" name="肘形连接符 132"/>
                              <wps:cNvCnPr/>
                              <wps:spPr>
                                <a:xfrm>
                                  <a:off x="1611630" y="679450"/>
                                  <a:ext cx="2981325" cy="462280"/>
                                </a:xfrm>
                                <a:prstGeom prst="bentConnector3">
                                  <a:avLst>
                                    <a:gd name="adj1" fmla="val 319"/>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4" name="文本框 84"/>
                              <wps:cNvSpPr txBox="1">
                                <a:spLocks noChangeArrowheads="1"/>
                              </wps:cNvSpPr>
                              <wps:spPr bwMode="auto">
                                <a:xfrm>
                                  <a:off x="2084705" y="949960"/>
                                  <a:ext cx="882650" cy="186690"/>
                                </a:xfrm>
                                <a:prstGeom prst="rect">
                                  <a:avLst/>
                                </a:prstGeom>
                                <a:solidFill>
                                  <a:srgbClr val="FFFFFF">
                                    <a:alpha val="3137"/>
                                  </a:srgbClr>
                                </a:solidFill>
                                <a:ln>
                                  <a:noFill/>
                                </a:ln>
                              </wps:spPr>
                              <wps:txbx>
                                <w:txbxContent>
                                  <w:p w14:paraId="4E4DC883">
                                    <w:pPr>
                                      <w:ind w:firstLine="210" w:firstLineChars="100"/>
                                      <w:rPr>
                                        <w:rFonts w:hint="default" w:eastAsia="宋体"/>
                                        <w:szCs w:val="21"/>
                                        <w:lang w:val="en-US" w:eastAsia="zh-CN"/>
                                      </w:rPr>
                                    </w:pPr>
                                    <w:r>
                                      <w:rPr>
                                        <w:rFonts w:hint="eastAsia"/>
                                        <w:szCs w:val="21"/>
                                        <w:lang w:val="en-US" w:eastAsia="zh-CN"/>
                                      </w:rPr>
                                      <w:t>浓水0.006</w:t>
                                    </w:r>
                                  </w:p>
                                </w:txbxContent>
                              </wps:txbx>
                              <wps:bodyPr rot="0" vert="horz" wrap="square" lIns="0" tIns="0" rIns="0" bIns="0" anchor="t" anchorCtr="0" upright="1">
                                <a:noAutofit/>
                              </wps:bodyPr>
                            </wps:wsp>
                            <wps:wsp>
                              <wps:cNvPr id="141" name="直接箭头连接符 116"/>
                              <wps:cNvCnPr>
                                <a:cxnSpLocks noChangeShapeType="1"/>
                              </wps:cNvCnPr>
                              <wps:spPr bwMode="auto">
                                <a:xfrm flipH="1">
                                  <a:off x="3238500" y="694690"/>
                                  <a:ext cx="0" cy="432000"/>
                                </a:xfrm>
                                <a:prstGeom prst="straightConnector1">
                                  <a:avLst/>
                                </a:prstGeom>
                                <a:noFill/>
                                <a:ln w="9525">
                                  <a:solidFill>
                                    <a:srgbClr val="000000"/>
                                  </a:solidFill>
                                  <a:round/>
                                  <a:tailEnd type="triangle" w="med" len="med"/>
                                </a:ln>
                              </wps:spPr>
                              <wps:bodyPr/>
                            </wps:wsp>
                            <wps:wsp>
                              <wps:cNvPr id="142" name="文本框 84"/>
                              <wps:cNvSpPr txBox="1">
                                <a:spLocks noChangeArrowheads="1"/>
                              </wps:cNvSpPr>
                              <wps:spPr bwMode="auto">
                                <a:xfrm>
                                  <a:off x="3126105" y="789305"/>
                                  <a:ext cx="561340" cy="186690"/>
                                </a:xfrm>
                                <a:prstGeom prst="rect">
                                  <a:avLst/>
                                </a:prstGeom>
                                <a:solidFill>
                                  <a:srgbClr val="FFFFFF">
                                    <a:alpha val="3137"/>
                                  </a:srgbClr>
                                </a:solidFill>
                                <a:ln>
                                  <a:noFill/>
                                </a:ln>
                              </wps:spPr>
                              <wps:txbx>
                                <w:txbxContent>
                                  <w:p w14:paraId="2D801CFB">
                                    <w:pPr>
                                      <w:ind w:firstLine="210" w:firstLineChars="100"/>
                                      <w:rPr>
                                        <w:rFonts w:hint="default" w:eastAsia="宋体"/>
                                        <w:szCs w:val="21"/>
                                        <w:lang w:val="en-US" w:eastAsia="zh-CN"/>
                                      </w:rPr>
                                    </w:pPr>
                                    <w:r>
                                      <w:rPr>
                                        <w:rFonts w:hint="eastAsia"/>
                                        <w:szCs w:val="21"/>
                                        <w:lang w:val="en-US" w:eastAsia="zh-CN"/>
                                      </w:rPr>
                                      <w:t>0.009</w:t>
                                    </w:r>
                                  </w:p>
                                </w:txbxContent>
                              </wps:txbx>
                              <wps:bodyPr rot="0" vert="horz" wrap="square" lIns="0" tIns="0" rIns="0" bIns="0" anchor="t" anchorCtr="0" upright="1">
                                <a:noAutofit/>
                              </wps:bodyPr>
                            </wps:wsp>
                            <wps:wsp>
                              <wps:cNvPr id="144" name="直接箭头连接符 249"/>
                              <wps:cNvCnPr>
                                <a:cxnSpLocks noChangeShapeType="1"/>
                              </wps:cNvCnPr>
                              <wps:spPr bwMode="auto">
                                <a:xfrm>
                                  <a:off x="4572000" y="1121410"/>
                                  <a:ext cx="0" cy="1835150"/>
                                </a:xfrm>
                                <a:prstGeom prst="straightConnector1">
                                  <a:avLst/>
                                </a:prstGeom>
                                <a:noFill/>
                                <a:ln w="9525" cap="flat" cmpd="sng" algn="ctr">
                                  <a:solidFill>
                                    <a:srgbClr val="000000"/>
                                  </a:solidFill>
                                  <a:prstDash val="solid"/>
                                  <a:miter lim="800000"/>
                                  <a:tailEnd type="triangle" w="med" len="med"/>
                                </a:ln>
                              </wps:spPr>
                              <wps:bodyPr/>
                            </wps:wsp>
                            <wps:wsp>
                              <wps:cNvPr id="148" name="矩形 238"/>
                              <wps:cNvSpPr>
                                <a:spLocks noChangeArrowheads="1"/>
                              </wps:cNvSpPr>
                              <wps:spPr bwMode="auto">
                                <a:xfrm>
                                  <a:off x="3925570" y="2956560"/>
                                  <a:ext cx="1304290" cy="286385"/>
                                </a:xfrm>
                                <a:prstGeom prst="rect">
                                  <a:avLst/>
                                </a:prstGeom>
                                <a:solidFill>
                                  <a:srgbClr val="FFFFFF"/>
                                </a:solidFill>
                                <a:ln w="9525">
                                  <a:solidFill>
                                    <a:srgbClr val="000000"/>
                                  </a:solidFill>
                                  <a:miter lim="800000"/>
                                </a:ln>
                              </wps:spPr>
                              <wps:txbx>
                                <w:txbxContent>
                                  <w:p w14:paraId="1B900ACC">
                                    <w:pPr>
                                      <w:pStyle w:val="24"/>
                                      <w:spacing w:before="0" w:beforeAutospacing="0" w:after="0" w:afterAutospacing="0"/>
                                      <w:jc w:val="center"/>
                                      <w:rPr>
                                        <w:rFonts w:hint="default"/>
                                        <w:szCs w:val="24"/>
                                        <w:lang w:val="en-US"/>
                                      </w:rPr>
                                    </w:pPr>
                                    <w:r>
                                      <w:rPr>
                                        <w:rFonts w:hint="eastAsia" w:ascii="Times New Roman"/>
                                        <w:color w:val="000000"/>
                                        <w:kern w:val="2"/>
                                        <w:sz w:val="21"/>
                                        <w:szCs w:val="21"/>
                                        <w:lang w:val="en-US" w:eastAsia="zh-CN"/>
                                      </w:rPr>
                                      <w:t>污水处理设施</w:t>
                                    </w:r>
                                  </w:p>
                                </w:txbxContent>
                              </wps:txbx>
                              <wps:bodyPr rot="0" vert="horz" wrap="square" lIns="91440" tIns="45720" rIns="91440" bIns="45720" anchor="t" anchorCtr="0" upright="1">
                                <a:noAutofit/>
                              </wps:bodyPr>
                            </wps:wsp>
                            <wps:wsp>
                              <wps:cNvPr id="149" name="文本框 84"/>
                              <wps:cNvSpPr txBox="1">
                                <a:spLocks noChangeArrowheads="1"/>
                              </wps:cNvSpPr>
                              <wps:spPr bwMode="auto">
                                <a:xfrm>
                                  <a:off x="3820795" y="958850"/>
                                  <a:ext cx="561340" cy="186690"/>
                                </a:xfrm>
                                <a:prstGeom prst="rect">
                                  <a:avLst/>
                                </a:prstGeom>
                                <a:solidFill>
                                  <a:srgbClr val="FFFFFF">
                                    <a:alpha val="3137"/>
                                  </a:srgbClr>
                                </a:solidFill>
                                <a:ln>
                                  <a:noFill/>
                                </a:ln>
                              </wps:spPr>
                              <wps:txbx>
                                <w:txbxContent>
                                  <w:p w14:paraId="4F198EB5">
                                    <w:pPr>
                                      <w:ind w:firstLine="210" w:firstLineChars="100"/>
                                      <w:rPr>
                                        <w:rFonts w:hint="default" w:eastAsia="宋体"/>
                                        <w:szCs w:val="21"/>
                                        <w:lang w:val="en-US" w:eastAsia="zh-CN"/>
                                      </w:rPr>
                                    </w:pPr>
                                    <w:r>
                                      <w:rPr>
                                        <w:rFonts w:hint="eastAsia"/>
                                        <w:szCs w:val="21"/>
                                        <w:lang w:val="en-US" w:eastAsia="zh-CN"/>
                                      </w:rPr>
                                      <w:t>0.015</w:t>
                                    </w:r>
                                  </w:p>
                                </w:txbxContent>
                              </wps:txbx>
                              <wps:bodyPr rot="0" vert="horz" wrap="square" lIns="0" tIns="0" rIns="0" bIns="0" anchor="t" anchorCtr="0" upright="1">
                                <a:noAutofit/>
                              </wps:bodyPr>
                            </wps:wsp>
                            <wps:wsp>
                              <wps:cNvPr id="155" name="直接箭头连接符 249"/>
                              <wps:cNvCnPr>
                                <a:cxnSpLocks noChangeShapeType="1"/>
                              </wps:cNvCnPr>
                              <wps:spPr bwMode="auto">
                                <a:xfrm flipH="1">
                                  <a:off x="4591050" y="3944620"/>
                                  <a:ext cx="0" cy="321945"/>
                                </a:xfrm>
                                <a:prstGeom prst="straightConnector1">
                                  <a:avLst/>
                                </a:prstGeom>
                                <a:noFill/>
                                <a:ln w="9525" cap="flat" cmpd="sng" algn="ctr">
                                  <a:solidFill>
                                    <a:srgbClr val="000000"/>
                                  </a:solidFill>
                                  <a:prstDash val="solid"/>
                                  <a:miter lim="800000"/>
                                  <a:tailEnd type="triangle" w="med" len="med"/>
                                </a:ln>
                              </wps:spPr>
                              <wps:bodyPr/>
                            </wps:wsp>
                            <wps:wsp>
                              <wps:cNvPr id="157" name="矩形 154"/>
                              <wps:cNvSpPr>
                                <a:spLocks noChangeArrowheads="1"/>
                              </wps:cNvSpPr>
                              <wps:spPr bwMode="auto">
                                <a:xfrm>
                                  <a:off x="1356995" y="2948305"/>
                                  <a:ext cx="1795145" cy="303530"/>
                                </a:xfrm>
                                <a:prstGeom prst="rect">
                                  <a:avLst/>
                                </a:prstGeom>
                                <a:solidFill>
                                  <a:srgbClr val="FFFFFF"/>
                                </a:solidFill>
                                <a:ln w="9525">
                                  <a:solidFill>
                                    <a:srgbClr val="000000"/>
                                  </a:solidFill>
                                  <a:miter lim="800000"/>
                                </a:ln>
                              </wps:spPr>
                              <wps:txbx>
                                <w:txbxContent>
                                  <w:p w14:paraId="4C220344">
                                    <w:pPr>
                                      <w:rPr>
                                        <w:rFonts w:hint="eastAsia"/>
                                        <w:lang w:val="en-US" w:eastAsia="zh-CN"/>
                                      </w:rPr>
                                    </w:pPr>
                                    <w:r>
                                      <w:rPr>
                                        <w:rFonts w:hint="eastAsia" w:ascii="Times New Roman" w:hAnsi="Times New Roman" w:cs="Times New Roman"/>
                                        <w:b w:val="0"/>
                                        <w:bCs w:val="0"/>
                                        <w:color w:val="auto"/>
                                        <w:sz w:val="21"/>
                                        <w:szCs w:val="21"/>
                                        <w:lang w:val="en-US" w:eastAsia="zh-CN"/>
                                      </w:rPr>
                                      <w:t>实验平台及</w:t>
                                    </w:r>
                                    <w:r>
                                      <w:rPr>
                                        <w:rFonts w:hint="default" w:ascii="Times New Roman" w:hAnsi="Times New Roman" w:cs="Times New Roman"/>
                                        <w:b w:val="0"/>
                                        <w:bCs w:val="0"/>
                                        <w:color w:val="auto"/>
                                        <w:sz w:val="21"/>
                                        <w:szCs w:val="21"/>
                                        <w:lang w:val="en-US" w:eastAsia="zh-CN"/>
                                      </w:rPr>
                                      <w:t>地面</w:t>
                                    </w:r>
                                    <w:r>
                                      <w:rPr>
                                        <w:rFonts w:hint="eastAsia" w:ascii="Times New Roman" w:hAnsi="Times New Roman" w:cs="Times New Roman"/>
                                        <w:b w:val="0"/>
                                        <w:bCs w:val="0"/>
                                        <w:color w:val="auto"/>
                                        <w:sz w:val="21"/>
                                        <w:szCs w:val="21"/>
                                        <w:lang w:val="en-US" w:eastAsia="zh-CN"/>
                                      </w:rPr>
                                      <w:t>清洗</w:t>
                                    </w:r>
                                    <w:r>
                                      <w:rPr>
                                        <w:rFonts w:hint="default" w:ascii="Times New Roman" w:hAnsi="Times New Roman" w:cs="Times New Roman"/>
                                        <w:b w:val="0"/>
                                        <w:bCs w:val="0"/>
                                        <w:color w:val="auto"/>
                                        <w:sz w:val="21"/>
                                        <w:szCs w:val="21"/>
                                        <w:lang w:val="en-US" w:eastAsia="zh-CN"/>
                                      </w:rPr>
                                      <w:t>用水</w:t>
                                    </w:r>
                                  </w:p>
                                </w:txbxContent>
                              </wps:txbx>
                              <wps:bodyPr rot="0" vert="horz" wrap="square" lIns="91440" tIns="45720" rIns="91440" bIns="45720" anchor="t" anchorCtr="0" upright="1">
                                <a:noAutofit/>
                              </wps:bodyPr>
                            </wps:wsp>
                            <wps:wsp>
                              <wps:cNvPr id="159" name="直接箭头连接符 249"/>
                              <wps:cNvCnPr>
                                <a:cxnSpLocks noChangeShapeType="1"/>
                                <a:stCxn id="148" idx="2"/>
                                <a:endCxn id="75" idx="0"/>
                              </wps:cNvCnPr>
                              <wps:spPr bwMode="auto">
                                <a:xfrm flipH="1">
                                  <a:off x="4575810" y="3242945"/>
                                  <a:ext cx="1905" cy="415925"/>
                                </a:xfrm>
                                <a:prstGeom prst="straightConnector1">
                                  <a:avLst/>
                                </a:prstGeom>
                                <a:noFill/>
                                <a:ln w="9525" cap="flat" cmpd="sng" algn="ctr">
                                  <a:solidFill>
                                    <a:srgbClr val="000000"/>
                                  </a:solidFill>
                                  <a:prstDash val="solid"/>
                                  <a:miter lim="800000"/>
                                  <a:tailEnd type="triangle" w="med" len="med"/>
                                </a:ln>
                              </wps:spPr>
                              <wps:bodyPr/>
                            </wps:wsp>
                          </wpc:wpc>
                        </a:graphicData>
                      </a:graphic>
                    </wp:inline>
                  </w:drawing>
                </mc:Choice>
                <mc:Fallback>
                  <w:pict>
                    <v:group id="_x0000_s1026" o:spid="_x0000_s1026" o:spt="203" style="height:358.35pt;width:420.65pt;" coordsize="5342255,4551045" editas="canvas" o:gfxdata="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">
                      <o:lock v:ext="edit" aspectratio="f"/>
                      <v:shape id="_x0000_s1026" o:spid="_x0000_s1026" style="position:absolute;left:0;top:0;height:4551045;width:5342255;" filled="f" stroked="f" coordsize="21600,21600" o:gfxdata="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">
                        <v:fill on="f" focussize="0,0"/>
                        <v:stroke on="f"/>
                        <v:imagedata o:title=""/>
                        <o:lock v:ext="edit" aspectratio="f"/>
                      </v:shape>
                      <v:rect id="矩形 280" o:spid="_x0000_s1026" o:spt="1" style="position:absolute;left:160020;top:1894840;height:612140;width:305435;" fillcolor="#FFFFFF" filled="t" stroked="f" coordsize="21600,21600" o:gfxdata="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fx9QdUAAAAFAQAADwAAAAAAAAABACAAAAAiAAAAZHJz&#10;L2Rvd25yZXYueG1sUEsBAhQAFAAAAAgAh07iQPAbOn9AAgAAXgQAAA4AAAAAAAAAAQAgAAAAJAEA&#10;AGRycy9lMm9Eb2MueG1sUEsFBgAAAAAGAAYAWQEAANYFAAAAAA==&#10;">
                        <v:fill on="t" focussize="0,0"/>
                        <v:stroke on="f" miterlimit="8" joinstyle="miter"/>
                        <v:imagedata o:title=""/>
                        <o:lock v:ext="edit" aspectratio="f"/>
                        <v:textbox>
                          <w:txbxContent>
                            <w:p w14:paraId="2F959752">
                              <w:pPr>
                                <w:rPr>
                                  <w:b/>
                                  <w:szCs w:val="21"/>
                                </w:rPr>
                              </w:pPr>
                              <w:r>
                                <w:rPr>
                                  <w:rFonts w:hint="eastAsia"/>
                                  <w:b/>
                                  <w:szCs w:val="21"/>
                                </w:rPr>
                                <w:t>新鲜水</w:t>
                              </w:r>
                            </w:p>
                          </w:txbxContent>
                        </v:textbox>
                      </v:rect>
                      <v:line id="直线 282" o:spid="_x0000_s1026" o:spt="20" style="position:absolute;left:951865;top:536575;height:3263265;width:635;" filled="f" stroked="t" coordsize="21600,21600" o:gfxdata="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GGWtdUAAAAF&#10;AQAADwAAAAAAAAABACAAAAAiAAAAZHJzL2Rvd25yZXYueG1sUEsBAhQAFAAAAAgAh07iQPs+9R7m&#10;AQAAsAMAAA4AAAAAAAAAAQAgAAAAJAEAAGRycy9lMm9Eb2MueG1sUEsFBgAAAAAGAAYAWQEAAHwF&#10;AAAAAA==&#10;">
                        <v:fill on="f" focussize="0,0"/>
                        <v:stroke color="#000000" joinstyle="round"/>
                        <v:imagedata o:title=""/>
                        <o:lock v:ext="edit" aspectratio="f"/>
                      </v:line>
                      <v:line id="直线 299" o:spid="_x0000_s1026" o:spt="20" style="position:absolute;left:950595;top:538491;height:0;width:419100;" filled="f" stroked="t" coordsize="21600,21600" o:gfxdata="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sVNdXXAAAABQEAAA8AAAAAAAAAAQAgAAAAIgAAAGRycy9kb3du&#10;cmV2LnhtbFBLAQIUABQAAAAIAIdO4kDYbYAqAAIAANsDAAAOAAAAAAAAAAEAIAAAACYBAABkcnMv&#10;ZTJvRG9jLnhtbFBLBQYAAAAABgAGAFkBAACYBQAAAAA=&#10;">
                        <v:fill on="f" focussize="0,0"/>
                        <v:stroke color="#000000" joinstyle="round" endarrow="block"/>
                        <v:imagedata o:title=""/>
                        <o:lock v:ext="edit" aspectratio="f"/>
                      </v:line>
                      <v:rect id="矩形 305" o:spid="_x0000_s1026" o:spt="1" style="position:absolute;left:2539365;top:384175;height:304800;width:1007745;"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MFsh/VAAAABQEAAA8AAAAAAAAAAQAg&#10;AAAAIgAAAGRycy9kb3ducmV2LnhtbFBLAQIUABQAAAAIAIdO4kCW0TF3SgIAAIgEAAAOAAAAAAAA&#10;AAEAIAAAACQBAABkcnMvZTJvRG9jLnhtbFBLBQYAAAAABgAGAFkBAADgBQAAAAA=&#10;">
                        <v:fill on="t" focussize="0,0"/>
                        <v:stroke color="#000000" miterlimit="8" joinstyle="miter"/>
                        <v:imagedata o:title=""/>
                        <o:lock v:ext="edit" aspectratio="f"/>
                        <v:textbox>
                          <w:txbxContent>
                            <w:p w14:paraId="0DC33102">
                              <w:pPr>
                                <w:jc w:val="center"/>
                                <w:rPr>
                                  <w:rFonts w:hint="default"/>
                                  <w:lang w:val="en-US"/>
                                </w:rPr>
                              </w:pPr>
                              <w:r>
                                <w:rPr>
                                  <w:rFonts w:hint="eastAsia"/>
                                  <w:b w:val="0"/>
                                  <w:bCs w:val="0"/>
                                  <w:color w:val="auto"/>
                                  <w:sz w:val="21"/>
                                  <w:szCs w:val="21"/>
                                  <w:lang w:val="en-US" w:eastAsia="zh-CN"/>
                                </w:rPr>
                                <w:t>器皿清洗用水</w:t>
                              </w:r>
                            </w:p>
                          </w:txbxContent>
                        </v:textbox>
                      </v:rect>
                      <v:shape id="文本框 194" o:spid="_x0000_s1026" o:spt="202" type="#_x0000_t202" style="position:absolute;left:923925;top:310515;height:184785;width:457200;" fillcolor="#FFFFFF" filled="t" stroked="f" coordsize="21600,21600" o:gfxdata="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GosPrUAAAABQEAAA8AAAAAAAAAAQAgAAAAIgAAAGRycy9kb3du&#10;cmV2LnhtbFBLAQIUABQAAAAIAIdO4kA/f77pPAIAAFcEAAAOAAAAAAAAAAEAIAAAACMBAABkcnMv&#10;ZTJvRG9jLnhtbFBLBQYAAAAABgAGAFkBAADRBQAAAAA=&#10;">
                        <v:fill on="t" opacity="0f" focussize="0,0"/>
                        <v:stroke on="f"/>
                        <v:imagedata o:title=""/>
                        <o:lock v:ext="edit" aspectratio="f"/>
                        <v:textbox inset="0mm,0mm,0mm,0mm">
                          <w:txbxContent>
                            <w:p w14:paraId="7F5D9712">
                              <w:pPr>
                                <w:jc w:val="center"/>
                                <w:rPr>
                                  <w:rFonts w:hint="default" w:eastAsia="宋体"/>
                                  <w:szCs w:val="21"/>
                                  <w:lang w:val="en-US" w:eastAsia="zh-CN"/>
                                </w:rPr>
                              </w:pPr>
                              <w:r>
                                <w:rPr>
                                  <w:rFonts w:hint="eastAsia"/>
                                  <w:szCs w:val="21"/>
                                  <w:lang w:val="en-US" w:eastAsia="zh-CN"/>
                                </w:rPr>
                                <w:t>0.021</w:t>
                              </w:r>
                            </w:p>
                          </w:txbxContent>
                        </v:textbox>
                      </v:shape>
                      <v:shape id="文本框 202" o:spid="_x0000_s1026" o:spt="202" type="#_x0000_t202" style="position:absolute;left:481965;top:2053590;height:228600;width:51689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7QZ7tYAAAAFAQAADwAAAAAAAAABACAAAAAiAAAAZHJz&#10;L2Rvd25yZXYueG1sUEsBAhQAFAAAAAgAh07iQMOip1o/AgAAWwQAAA4AAAAAAAAAAQAgAAAAJQEA&#10;AGRycy9lMm9Eb2MueG1sUEsFBgAAAAAGAAYAWQEAANYFAAAAAA==&#10;">
                        <v:fill on="t" opacity="2055f" focussize="0,0"/>
                        <v:stroke on="f"/>
                        <v:imagedata o:title=""/>
                        <o:lock v:ext="edit" aspectratio="f"/>
                        <v:textbox inset="0mm,0mm,0mm,0mm">
                          <w:txbxContent>
                            <w:p w14:paraId="4DF2EFB8">
                              <w:pPr>
                                <w:rPr>
                                  <w:rFonts w:hint="default" w:eastAsia="宋体"/>
                                  <w:szCs w:val="21"/>
                                  <w:lang w:val="en-US" w:eastAsia="zh-CN"/>
                                </w:rPr>
                              </w:pPr>
                              <w:r>
                                <w:rPr>
                                  <w:rFonts w:hint="eastAsia"/>
                                  <w:szCs w:val="21"/>
                                  <w:lang w:val="en-US" w:eastAsia="zh-CN"/>
                                </w:rPr>
                                <w:t>0.665</w:t>
                              </w:r>
                            </w:p>
                          </w:txbxContent>
                        </v:textbox>
                      </v:shape>
                      <v:line id="直接连接符 112" o:spid="_x0000_s1026" o:spt="20" style="position:absolute;left:466090;top:2196465;height:0;width:484505;" filled="f" stroked="t" coordsize="21600,21600" o:gfxdata="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xKowI1wAAAAUBAAAPAAAAAAAAAAEAIAAAACIAAABkcnMvZG93bnJldi54bWxQ&#10;SwECFAAUAAAACACHTuJAaxC/IjECAAApBAAADgAAAAAAAAABACAAAAAmAQAAZHJzL2Uyb0RvYy54&#10;bWxQSwUGAAAAAAYABgBZAQAAyQUAAAAA&#10;">
                        <v:fill on="f" focussize="0,0"/>
                        <v:stroke weight="1pt" color="#000000" miterlimit="8" joinstyle="miter"/>
                        <v:imagedata o:title=""/>
                        <o:lock v:ext="edit" aspectratio="f"/>
                      </v:line>
                      <v:shape id="直接箭头连接符 116" o:spid="_x0000_s1026" o:spt="32" type="#_x0000_t32" style="position:absolute;left:3245485;top:3095625;height:4445;width:680085;" filled="f" stroked="t" coordsize="21600,21600" o:gfxdata="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eU+v1wAAAAUBAAAPAAAAAAAAAAEAIAAAACIAAABkcnMvZG93bnJl&#10;di54bWxQSwECFAAUAAAACACHTuJAyKJ2izcCAAAzBAAADgAAAAAAAAABACAAAAAmAQAAZHJzL2Uy&#10;b0RvYy54bWxQSwUGAAAAAAYABgBZAQAAzwUAAAAA&#10;">
                        <v:fill on="f" focussize="0,0"/>
                        <v:stroke color="#000000" joinstyle="round" endarrow="block"/>
                        <v:imagedata o:title=""/>
                        <o:lock v:ext="edit" aspectratio="f"/>
                      </v:shape>
                      <v:rect id="矩形 154" o:spid="_x0000_s1026" o:spt="1" style="position:absolute;left:1382395;top:1597660;height:303530;width:1795145;"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MFsh/VAAAABQEAAA8AAAAAAAAAAQAgAAAA&#10;IgAAAGRycy9kb3ducmV2LnhtbFBLAQIUABQAAAAIAIdO4kCer3/ZRwIAAIkEAAAOAAAAAAAAAAEA&#10;IAAAACQBAABkcnMvZTJvRG9jLnhtbFBLBQYAAAAABgAGAFkBAADdBQAAAAA=&#10;">
                        <v:fill on="t" focussize="0,0"/>
                        <v:stroke color="#000000" miterlimit="8" joinstyle="miter"/>
                        <v:imagedata o:title=""/>
                        <o:lock v:ext="edit" aspectratio="f"/>
                        <v:textbox>
                          <w:txbxContent>
                            <w:p w14:paraId="35561BC5">
                              <w:pPr>
                                <w:rPr>
                                  <w:rFonts w:hint="eastAsia"/>
                                  <w:lang w:val="en-US" w:eastAsia="zh-CN"/>
                                </w:rPr>
                              </w:pPr>
                              <w:r>
                                <w:rPr>
                                  <w:rFonts w:hint="eastAsia" w:ascii="Times New Roman" w:hAnsi="Times New Roman" w:cs="Times New Roman"/>
                                  <w:b w:val="0"/>
                                  <w:bCs w:val="0"/>
                                  <w:color w:val="auto"/>
                                  <w:sz w:val="21"/>
                                  <w:szCs w:val="21"/>
                                  <w:lang w:val="en-US" w:eastAsia="zh-CN"/>
                                </w:rPr>
                                <w:t>药材洗润、浸泡、蒸煮用水</w:t>
                              </w:r>
                            </w:p>
                          </w:txbxContent>
                        </v:textbox>
                      </v:rect>
                      <v:rect id="矩形 238" o:spid="_x0000_s1026" o:spt="1" style="position:absolute;left:4256405;top:3658870;height:262890;width:638175;"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MFsh/VAAAABQEAAA8AAAAAAAAAAQAgAAAA&#10;IgAAAGRycy9kb3ducmV2LnhtbFBLAQIUABQAAAAIAIdO4kC14t4XRwIAAIgEAAAOAAAAAAAAAAEA&#10;IAAAACQBAABkcnMvZTJvRG9jLnhtbFBLBQYAAAAABgAGAFkBAADdBQAAAAA=&#10;">
                        <v:fill on="t" focussize="0,0"/>
                        <v:stroke color="#000000" miterlimit="8" joinstyle="miter"/>
                        <v:imagedata o:title=""/>
                        <o:lock v:ext="edit" aspectratio="f"/>
                        <v:textbox>
                          <w:txbxContent>
                            <w:p w14:paraId="710ABA2B">
                              <w:pPr>
                                <w:pStyle w:val="24"/>
                                <w:spacing w:before="0" w:beforeAutospacing="0" w:after="0" w:afterAutospacing="0"/>
                                <w:jc w:val="center"/>
                                <w:rPr>
                                  <w:szCs w:val="24"/>
                                </w:rPr>
                              </w:pPr>
                              <w:r>
                                <w:rPr>
                                  <w:rFonts w:hint="eastAsia" w:ascii="Times New Roman"/>
                                  <w:color w:val="000000"/>
                                  <w:kern w:val="2"/>
                                  <w:sz w:val="21"/>
                                  <w:szCs w:val="21"/>
                                  <w:lang w:val="en-US" w:eastAsia="zh-CN"/>
                                </w:rPr>
                                <w:t>化粪池</w:t>
                              </w:r>
                            </w:p>
                          </w:txbxContent>
                        </v:textbox>
                      </v:rect>
                      <v:shape id="文本框 194" o:spid="_x0000_s1026" o:spt="202" type="#_x0000_t202" style="position:absolute;left:979805;top:2864485;height:219710;width:363220;" fillcolor="#FFFFFF" filled="t" stroked="f" coordsize="21600,21600" o:gfxdata="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hqLD61AAAAAUBAAAPAAAAAAAAAAEAIAAAACIAAABkcnMvZG93&#10;bnJldi54bWxQSwECFAAUAAAACACHTuJA+c42aD0CAABYBAAADgAAAAAAAAABACAAAAAjAQAAZHJz&#10;L2Uyb0RvYy54bWxQSwUGAAAAAAYABgBZAQAA0gUAAAAA&#10;">
                        <v:fill on="t" opacity="0f" focussize="0,0"/>
                        <v:stroke on="f"/>
                        <v:imagedata o:title=""/>
                        <o:lock v:ext="edit" aspectratio="f"/>
                        <v:textbox inset="0mm,0mm,0mm,0mm">
                          <w:txbxContent>
                            <w:p w14:paraId="7CA30C92">
                              <w:pPr>
                                <w:pStyle w:val="24"/>
                                <w:spacing w:before="0" w:beforeAutospacing="0" w:after="0" w:afterAutospacing="0"/>
                                <w:jc w:val="center"/>
                                <w:rPr>
                                  <w:rFonts w:hint="default" w:eastAsia="宋体"/>
                                  <w:szCs w:val="24"/>
                                  <w:lang w:val="en-US" w:eastAsia="zh-CN"/>
                                </w:rPr>
                              </w:pPr>
                              <w:r>
                                <w:rPr>
                                  <w:rFonts w:hint="eastAsia" w:ascii="Times New Roman" w:hAnsi="Times New Roman"/>
                                  <w:kern w:val="2"/>
                                  <w:sz w:val="21"/>
                                  <w:szCs w:val="21"/>
                                  <w:lang w:val="en-US" w:eastAsia="zh-CN"/>
                                </w:rPr>
                                <w:t>0.2</w:t>
                              </w:r>
                            </w:p>
                          </w:txbxContent>
                        </v:textbox>
                      </v:shape>
                      <v:shape id="文本框 194" o:spid="_x0000_s1026" o:spt="202" type="#_x0000_t202" style="position:absolute;left:3101975;top:2910840;height:234315;width:518160;" fillcolor="#FFFFFF" filled="t" stroked="f" coordsize="21600,21600" o:gfxdata="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hqLD61AAAAAUBAAAPAAAAAAAAAAEAIAAAACIAAABkcnMvZG93&#10;bnJldi54bWxQSwECFAAUAAAACACHTuJAIpbeSz0CAABZBAAADgAAAAAAAAABACAAAAAjAQAAZHJz&#10;L2Uyb0RvYy54bWxQSwUGAAAAAAYABgBZAQAA0gUAAAAA&#10;">
                        <v:fill on="t" opacity="0f" focussize="0,0"/>
                        <v:stroke on="f"/>
                        <v:imagedata o:title=""/>
                        <o:lock v:ext="edit" aspectratio="f"/>
                        <v:textbox inset="0mm,0mm,0mm,0mm">
                          <w:txbxContent>
                            <w:p w14:paraId="0FB344FC">
                              <w:pPr>
                                <w:pStyle w:val="24"/>
                                <w:spacing w:before="0" w:beforeAutospacing="0" w:after="0" w:afterAutospacing="0"/>
                                <w:jc w:val="center"/>
                                <w:rPr>
                                  <w:rFonts w:hint="default" w:ascii="Times New Roman" w:hAnsi="Times New Roman" w:eastAsia="宋体" w:cs="Times New Roman"/>
                                  <w:szCs w:val="24"/>
                                  <w:lang w:val="en-US" w:eastAsia="zh-CN"/>
                                </w:rPr>
                              </w:pPr>
                              <w:r>
                                <w:rPr>
                                  <w:rFonts w:hint="eastAsia" w:ascii="Times New Roman" w:hAnsi="Times New Roman" w:cs="Times New Roman"/>
                                  <w:kern w:val="2"/>
                                  <w:sz w:val="21"/>
                                  <w:szCs w:val="21"/>
                                  <w:lang w:val="en-US" w:eastAsia="zh-CN"/>
                                </w:rPr>
                                <w:t>0.18</w:t>
                              </w:r>
                            </w:p>
                          </w:txbxContent>
                        </v:textbox>
                      </v:shape>
                      <v:shape id="文本框 84" o:spid="_x0000_s1026" o:spt="202" type="#_x0000_t202" style="position:absolute;left:1821180;top:2644775;height:220345;width:497205;"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7QZ7tYAAAAFAQAADwAAAAAAAAABACAAAAAiAAAAZHJz&#10;L2Rvd25yZXYueG1sUEsBAhQAFAAAAAgAh07iQHThGC0/AgAAWwQAAA4AAAAAAAAAAQAgAAAAJQEA&#10;AGRycy9lMm9Eb2MueG1sUEsFBgAAAAAGAAYAWQEAANYFAAAAAA==&#10;">
                        <v:fill on="t" opacity="2055f" focussize="0,0"/>
                        <v:stroke on="f"/>
                        <v:imagedata o:title=""/>
                        <o:lock v:ext="edit" aspectratio="f"/>
                        <v:textbox inset="0mm,0mm,0mm,0mm">
                          <w:txbxContent>
                            <w:p w14:paraId="279A9CC7">
                              <w:pPr>
                                <w:pStyle w:val="24"/>
                                <w:spacing w:before="0" w:beforeAutospacing="0" w:after="0" w:afterAutospacing="0"/>
                                <w:ind w:firstLine="216"/>
                                <w:jc w:val="both"/>
                                <w:rPr>
                                  <w:rFonts w:hint="default" w:eastAsia="宋体"/>
                                  <w:szCs w:val="24"/>
                                  <w:lang w:val="en-US" w:eastAsia="zh-CN"/>
                                </w:rPr>
                              </w:pPr>
                              <w:r>
                                <w:rPr>
                                  <w:rFonts w:hint="eastAsia" w:ascii="Times New Roman" w:hAnsi="Times New Roman"/>
                                  <w:kern w:val="2"/>
                                  <w:sz w:val="21"/>
                                  <w:szCs w:val="21"/>
                                  <w:lang w:val="en-US" w:eastAsia="zh-CN"/>
                                </w:rPr>
                                <w:t>0.02</w:t>
                              </w:r>
                            </w:p>
                          </w:txbxContent>
                        </v:textbox>
                      </v:shape>
                      <v:shape id="文本框 194" o:spid="_x0000_s1026" o:spt="202" type="#_x0000_t202" style="position:absolute;left:970280;top:1577340;height:210185;width:398780;" fillcolor="#FFFFFF" filled="t" stroked="f" coordsize="21600,21600" o:gfxdata="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qLD61AAAAAUBAAAPAAAAAAAAAAEAIAAAACIAAABkcnMvZG93bnJl&#10;di54bWxQSwECFAAUAAAACACHTuJALZZqxzoCAABYBAAADgAAAAAAAAABACAAAAAjAQAAZHJzL2Uy&#10;b0RvYy54bWxQSwUGAAAAAAYABgBZAQAAzwUAAAAA&#10;">
                        <v:fill on="t" opacity="0f" focussize="0,0"/>
                        <v:stroke on="f"/>
                        <v:imagedata o:title=""/>
                        <o:lock v:ext="edit" aspectratio="f"/>
                        <v:textbox inset="0mm,0mm,0mm,0mm">
                          <w:txbxContent>
                            <w:p w14:paraId="5C4937AA">
                              <w:pPr>
                                <w:jc w:val="center"/>
                                <w:rPr>
                                  <w:rFonts w:hint="default" w:eastAsia="宋体"/>
                                  <w:szCs w:val="21"/>
                                  <w:lang w:val="en-US" w:eastAsia="zh-CN"/>
                                </w:rPr>
                              </w:pPr>
                              <w:r>
                                <w:rPr>
                                  <w:rFonts w:hint="eastAsia"/>
                                  <w:szCs w:val="21"/>
                                  <w:lang w:val="en-US" w:eastAsia="zh-CN"/>
                                </w:rPr>
                                <w:t>0.012</w:t>
                              </w:r>
                            </w:p>
                          </w:txbxContent>
                        </v:textbox>
                      </v:shape>
                      <v:line id="直线 283" o:spid="_x0000_s1026" o:spt="20" style="position:absolute;left:942975;top:2341880;height:635;width:419100;" filled="f" stroked="t" coordsize="21600,21600" o:gfxdata="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U11dcAAAAFAQAADwAAAAAAAAABACAAAAAiAAAAZHJzL2Rv&#10;d25yZXYueG1sUEsBAhQAFAAAAAgAh07iQDU3RPsCAgAA3gMAAA4AAAAAAAAAAQAgAAAAJgEAAGRy&#10;cy9lMm9Eb2MueG1sUEsFBgAAAAAGAAYAWQEAAJoFAAAAAA==&#10;">
                        <v:fill on="f" focussize="0,0"/>
                        <v:stroke color="#000000" joinstyle="round" endarrow="block"/>
                        <v:imagedata o:title=""/>
                        <o:lock v:ext="edit" aspectratio="f"/>
                      </v:line>
                      <v:shape id="文本框 84" o:spid="_x0000_s1026" o:spt="202" type="#_x0000_t202" style="position:absolute;left:1753870;top:3343275;height:228600;width:49530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7QZ7tYAAAAFAQAADwAAAAAAAAABACAAAAAiAAAAZHJzL2Rv&#10;d25yZXYueG1sUEsBAhQAFAAAAAgAh07iQFL/4vA8AgAAWwQAAA4AAAAAAAAAAQAgAAAAJQEAAGRy&#10;cy9lMm9Eb2MueG1sUEsFBgAAAAAGAAYAWQEAANMFAAAAAA==&#10;">
                        <v:fill on="t" opacity="2055f" focussize="0,0"/>
                        <v:stroke on="f"/>
                        <v:imagedata o:title=""/>
                        <o:lock v:ext="edit" aspectratio="f"/>
                        <v:textbox inset="0mm,0mm,0mm,0mm">
                          <w:txbxContent>
                            <w:p w14:paraId="234D4488">
                              <w:pPr>
                                <w:ind w:firstLine="210" w:firstLineChars="100"/>
                                <w:rPr>
                                  <w:rFonts w:hint="default" w:eastAsia="宋体"/>
                                  <w:szCs w:val="21"/>
                                  <w:lang w:val="en-US" w:eastAsia="zh-CN"/>
                                </w:rPr>
                              </w:pPr>
                              <w:r>
                                <w:rPr>
                                  <w:rFonts w:hint="eastAsia"/>
                                  <w:szCs w:val="21"/>
                                  <w:lang w:val="en-US" w:eastAsia="zh-CN"/>
                                </w:rPr>
                                <w:t>0.09</w:t>
                              </w:r>
                            </w:p>
                          </w:txbxContent>
                        </v:textbox>
                      </v:shape>
                      <v:line id="直线 197" o:spid="_x0000_s1026" o:spt="20" style="position:absolute;left:1605915;top:3487420;flip:y;height:190500;width:228600;" filled="f" stroked="t" coordsize="21600,21600" o:gfxdata="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q8BA9UAAAAFAQAADwAAAAAA&#10;AAABACAAAAAiAAAAZHJzL2Rvd25yZXYueG1sUEsBAhQAFAAAAAgAh07iQBSdmzEWAgAABAQAAA4A&#10;AAAAAAAAAQAgAAAAJAEAAGRycy9lMm9Eb2MueG1sUEsFBgAAAAAGAAYAWQEAAKwFAAAAAA==&#10;">
                        <v:fill on="f" focussize="0,0"/>
                        <v:stroke color="#000000" joinstyle="round" dashstyle="dash" endarrow="block"/>
                        <v:imagedata o:title=""/>
                        <o:lock v:ext="edit" aspectratio="f"/>
                      </v:line>
                      <v:line id="直线 283" o:spid="_x0000_s1026" o:spt="20" style="position:absolute;left:958850;top:3803650;height:635;width:419100;" filled="f" stroked="t" coordsize="21600,21600" o:gfxdata="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sVNdXXAAAABQEAAA8AAAAAAAAAAQAgAAAAIgAAAGRycy9kb3du&#10;cmV2LnhtbFBLAQIUABQAAAAIAIdO4kD72eMTAAIAAN4DAAAOAAAAAAAAAAEAIAAAACYBAABkcnMv&#10;ZTJvRG9jLnhtbFBLBQYAAAAABgAGAFkBAACYBQAAAAA=&#10;">
                        <v:fill on="f" focussize="0,0"/>
                        <v:stroke color="#000000" joinstyle="round" endarrow="block"/>
                        <v:imagedata o:title=""/>
                        <o:lock v:ext="edit" aspectratio="f"/>
                      </v:line>
                      <v:rect id="矩形 32" o:spid="_x0000_s1026" o:spt="1" style="position:absolute;left:1377950;top:3677920;height:304800;width:1014095;"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MFsh/VAAAABQEAAA8AAAAAAAAAAQAgAAAAIgAA&#10;AGRycy9kb3ducmV2LnhtbFBLAQIUABQAAAAIAIdO4kAMoo7vRAIAAIgEAAAOAAAAAAAAAAEAIAAA&#10;ACQBAABkcnMvZTJvRG9jLnhtbFBLBQYAAAAABgAGAFkBAADaBQAAAAA=&#10;">
                        <v:fill on="t" focussize="0,0"/>
                        <v:stroke color="#000000" miterlimit="8" joinstyle="miter"/>
                        <v:imagedata o:title=""/>
                        <o:lock v:ext="edit" aspectratio="f"/>
                        <v:textbox>
                          <w:txbxContent>
                            <w:p w14:paraId="16CCA1A9">
                              <w:pPr>
                                <w:pStyle w:val="24"/>
                                <w:spacing w:before="0" w:beforeAutospacing="0" w:after="0" w:afterAutospacing="0"/>
                                <w:jc w:val="center"/>
                                <w:rPr>
                                  <w:rFonts w:hint="default" w:eastAsia="宋体"/>
                                  <w:szCs w:val="24"/>
                                  <w:lang w:val="en-US" w:eastAsia="zh-CN"/>
                                </w:rPr>
                              </w:pPr>
                              <w:r>
                                <w:rPr>
                                  <w:rFonts w:hint="eastAsia" w:ascii="Times New Roman"/>
                                  <w:color w:val="000000"/>
                                  <w:kern w:val="2"/>
                                  <w:sz w:val="21"/>
                                  <w:szCs w:val="21"/>
                                  <w:lang w:val="en-US" w:eastAsia="zh-CN"/>
                                </w:rPr>
                                <w:t>生活用水</w:t>
                              </w:r>
                            </w:p>
                            <w:p w14:paraId="1D6BA9D9">
                              <w:pPr>
                                <w:pStyle w:val="24"/>
                                <w:spacing w:before="0" w:beforeAutospacing="0" w:after="0" w:afterAutospacing="0"/>
                                <w:jc w:val="both"/>
                                <w:rPr>
                                  <w:szCs w:val="24"/>
                                </w:rPr>
                              </w:pPr>
                            </w:p>
                          </w:txbxContent>
                        </v:textbox>
                      </v:rect>
                      <v:shape id="文本框 84" o:spid="_x0000_s1026" o:spt="202" type="#_x0000_t202" style="position:absolute;left:2077720;top:1908175;height:228600;width:63881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7QZ7tYAAAAFAQAADwAAAAAAAAABACAAAAAiAAAAZHJz&#10;L2Rvd25yZXYueG1sUEsBAhQAFAAAAAgAh07iQB5bgQc/AgAAWwQAAA4AAAAAAAAAAQAgAAAAJQEA&#10;AGRycy9lMm9Eb2MueG1sUEsFBgAAAAAGAAYAWQEAANYFAAAAAA==&#10;">
                        <v:fill on="t" opacity="2055f" focussize="0,0"/>
                        <v:stroke on="f"/>
                        <v:imagedata o:title=""/>
                        <o:lock v:ext="edit" aspectratio="f"/>
                        <v:textbox inset="0mm,0mm,0mm,0mm">
                          <w:txbxContent>
                            <w:p w14:paraId="434F268C">
                              <w:pPr>
                                <w:ind w:firstLine="210" w:firstLineChars="100"/>
                                <w:rPr>
                                  <w:rFonts w:hint="default" w:eastAsia="宋体"/>
                                  <w:szCs w:val="21"/>
                                  <w:lang w:val="en-US" w:eastAsia="zh-CN"/>
                                </w:rPr>
                              </w:pPr>
                              <w:r>
                                <w:rPr>
                                  <w:rFonts w:hint="eastAsia"/>
                                  <w:szCs w:val="21"/>
                                  <w:lang w:val="en-US" w:eastAsia="zh-CN"/>
                                </w:rPr>
                                <w:t>0.0002</w:t>
                              </w:r>
                            </w:p>
                          </w:txbxContent>
                        </v:textbox>
                      </v:shape>
                      <v:line id="直线 197" o:spid="_x0000_s1026" o:spt="20" style="position:absolute;left:1890395;top:2002155;flip:y;height:190500;width:228600;" filled="f" stroked="t" coordsize="21600,21600" o:gfxdata="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irwED1QAAAAUBAAAPAAAAAAAA&#10;AAEAIAAAACIAAABkcnMvZG93bnJldi54bWxQSwECFAAUAAAACACHTuJAmz7mCBUCAAAEBAAADgAA&#10;AAAAAAABACAAAAAkAQAAZHJzL2Uyb0RvYy54bWxQSwUGAAAAAAYABgBZAQAAqwUAAAAA&#10;">
                        <v:fill on="f" focussize="0,0"/>
                        <v:stroke color="#000000" joinstyle="round" dashstyle="dash" endarrow="block"/>
                        <v:imagedata o:title=""/>
                        <o:lock v:ext="edit" aspectratio="f"/>
                      </v:line>
                      <v:shape id="文本框 84" o:spid="_x0000_s1026" o:spt="202" type="#_x0000_t202" style="position:absolute;left:1051560;top:2172335;height:228600;width:30099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e0Ge7WAAAABQEAAA8AAAAAAAAAAQAgAAAAIgAAAGRycy9k&#10;b3ducmV2LnhtbFBLAQIUABQAAAAIAIdO4kBfrxn9PQIAAFsEAAAOAAAAAAAAAAEAIAAAACUBAABk&#10;cnMvZTJvRG9jLnhtbFBLBQYAAAAABgAGAFkBAADUBQAAAAA=&#10;">
                        <v:fill on="t" opacity="2055f" focussize="0,0"/>
                        <v:stroke on="f"/>
                        <v:imagedata o:title=""/>
                        <o:lock v:ext="edit" aspectratio="f"/>
                        <v:textbox inset="0mm,0mm,0mm,0mm">
                          <w:txbxContent>
                            <w:p w14:paraId="35235B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0.002</w:t>
                              </w:r>
                            </w:p>
                          </w:txbxContent>
                        </v:textbox>
                      </v:shape>
                      <v:line id="直线 283" o:spid="_x0000_s1026" o:spt="20" style="position:absolute;left:951865;top:3077845;height:635;width:419100;" filled="f" stroked="t" coordsize="21600,21600" o:gfxdata="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U11dcAAAAFAQAADwAAAAAAAAABACAAAAAiAAAAZHJzL2Rv&#10;d25yZXYueG1sUEsBAhQAFAAAAAgAh07iQDFJDNMCAgAA3gMAAA4AAAAAAAAAAQAgAAAAJgEAAGRy&#10;cy9lMm9Eb2MueG1sUEsFBgAAAAAGAAYAWQEAAJoFAAAAAA==&#10;">
                        <v:fill on="f" focussize="0,0"/>
                        <v:stroke color="#000000" joinstyle="round" endarrow="block"/>
                        <v:imagedata o:title=""/>
                        <o:lock v:ext="edit" aspectratio="f"/>
                      </v:line>
                      <v:line id="直线 197" o:spid="_x0000_s1026" o:spt="20" style="position:absolute;left:1674495;top:2760980;flip:y;height:190500;width:228600;" filled="f" stroked="t" coordsize="21600,21600" o:gfxdata="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irwED1QAAAAUBAAAPAAAAAAAA&#10;AAEAIAAAACIAAABkcnMvZG93bnJldi54bWxQSwECFAAUAAAACACHTuJAjIxhphUCAAAEBAAADgAA&#10;AAAAAAABACAAAAAkAQAAZHJzL2Uyb0RvYy54bWxQSwUGAAAAAAYABgBZAQAAqwUAAAAA&#10;">
                        <v:fill on="f" focussize="0,0"/>
                        <v:stroke color="#000000" joinstyle="round" dashstyle="dash" endarrow="block"/>
                        <v:imagedata o:title=""/>
                        <o:lock v:ext="edit" aspectratio="f"/>
                      </v:line>
                      <v:shape id="文本框 84" o:spid="_x0000_s1026" o:spt="202" type="#_x0000_t202" style="position:absolute;left:3740785;top:2097405;height:228600;width:45974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HtBnu1gAAAAUBAAAPAAAAAAAAAAEAIAAAACIAAABkcnMv&#10;ZG93bnJldi54bWxQSwECFAAUAAAACACHTuJAgmoVXz4CAABbBAAADgAAAAAAAAABACAAAAAlAQAA&#10;ZHJzL2Uyb0RvYy54bWxQSwUGAAAAAAYABgBZAQAA1QUAAAAA&#10;">
                        <v:fill on="t" opacity="2055f" focussize="0,0"/>
                        <v:stroke on="f"/>
                        <v:imagedata o:title=""/>
                        <o:lock v:ext="edit" aspectratio="f"/>
                        <v:textbox inset="0mm,0mm,0mm,0mm">
                          <w:txbxContent>
                            <w:p w14:paraId="36B481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0.0018</w:t>
                              </w:r>
                            </w:p>
                          </w:txbxContent>
                        </v:textbox>
                      </v:shape>
                      <v:shape id="文本框 84" o:spid="_x0000_s1026" o:spt="202" type="#_x0000_t202" style="position:absolute;left:1017905;top:3601085;height:160020;width:35179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HtBnu1gAAAAUBAAAPAAAAAAAAAAEAIAAAACIAAABkcnMv&#10;ZG93bnJldi54bWxQSwECFAAUAAAACACHTuJAnY9BlT4CAABbBAAADgAAAAAAAAABACAAAAAlAQAA&#10;ZHJzL2Uyb0RvYy54bWxQSwUGAAAAAAYABgBZAQAA1QUAAAAA&#10;">
                        <v:fill on="t" opacity="2055f" focussize="0,0"/>
                        <v:stroke on="f"/>
                        <v:imagedata o:title=""/>
                        <o:lock v:ext="edit" aspectratio="f"/>
                        <v:textbox inset="0mm,0mm,0mm,0mm">
                          <w:txbxContent>
                            <w:p w14:paraId="4D0D9C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0.43</w:t>
                              </w:r>
                            </w:p>
                          </w:txbxContent>
                        </v:textbox>
                      </v:shape>
                      <v:rect id="矩形 17" o:spid="_x0000_s1026" o:spt="1" style="position:absolute;left:1394460;top:2183130;height:304800;width:1608455;"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BbIf1QAAAAUBAAAPAAAAAAAAAAEAIAAA&#10;ACIAAABkcnMvZG93bnJldi54bWxQSwECFAAUAAAACACHTuJA+g6k8kgCAACIBAAADgAAAAAAAAAB&#10;ACAAAAAkAQAAZHJzL2Uyb0RvYy54bWxQSwUGAAAAAAYABgBZAQAA3gUAAAAA&#10;">
                        <v:fill on="t" focussize="0,0"/>
                        <v:stroke color="#000000" miterlimit="8" joinstyle="miter"/>
                        <v:imagedata o:title=""/>
                        <o:lock v:ext="edit" aspectratio="f"/>
                        <v:textbox>
                          <w:txbxContent>
                            <w:p w14:paraId="2B5C3793">
                              <w:pPr>
                                <w:jc w:val="center"/>
                                <w:rPr>
                                  <w:rFonts w:hint="default" w:eastAsia="宋体"/>
                                  <w:lang w:val="en-US" w:eastAsia="zh-CN"/>
                                </w:rPr>
                              </w:pPr>
                              <w:r>
                                <w:rPr>
                                  <w:rFonts w:hint="eastAsia"/>
                                  <w:lang w:val="en-US" w:eastAsia="zh-CN"/>
                                </w:rPr>
                                <w:t>设备清洗用水</w:t>
                              </w:r>
                            </w:p>
                          </w:txbxContent>
                        </v:textbox>
                      </v:rect>
                      <v:shape id="直接箭头连接符 116" o:spid="_x0000_s1026" o:spt="32" type="#_x0000_t32" style="position:absolute;left:3002915;top:2316480;height:0;width:1584000;" filled="f" stroked="t" coordsize="21600,21600" o:gfxdata="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XlPr9cAAAAFAQAADwAAAAAAAAABACAAAAAiAAAAZHJzL2Rvd25yZXYueG1sUEsB&#10;AhQAFAAAAAgAh07iQEAaPvsvAgAAFwQAAA4AAAAAAAAAAQAgAAAAJgEAAGRycy9lMm9Eb2MueG1s&#10;UEsFBgAAAAAGAAYAWQEAAMcFAAAAAA==&#10;">
                        <v:fill on="f" focussize="0,0"/>
                        <v:stroke color="#000000" joinstyle="round" endarrow="block"/>
                        <v:imagedata o:title=""/>
                        <o:lock v:ext="edit" aspectratio="f"/>
                      </v:shape>
                      <v:line id="直线 283" o:spid="_x0000_s1026" o:spt="20" style="position:absolute;left:949325;top:1785620;height:635;width:419100;" filled="f" stroked="t" coordsize="21600,21600" o:gfxdata="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FTXV1wAAAAUBAAAPAAAAAAAAAAEAIAAAACIAAABkcnMvZG93&#10;bnJldi54bWxQSwECFAAUAAAACACHTuJAlvnkfwECAADfAwAADgAAAAAAAAABACAAAAAmAQAAZHJz&#10;L2Uyb0RvYy54bWxQSwUGAAAAAAYABgBZAQAAmQUAAAAA&#10;">
                        <v:fill on="f" focussize="0,0"/>
                        <v:stroke color="#000000" joinstyle="round" endarrow="block"/>
                        <v:imagedata o:title=""/>
                        <o:lock v:ext="edit" aspectratio="f"/>
                      </v:line>
                      <v:shape id="文本框 84" o:spid="_x0000_s1026" o:spt="202" type="#_x0000_t202" style="position:absolute;left:3016885;top:102235;height:220345;width:615315;"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e0Ge7WAAAABQEAAA8AAAAAAAAAAQAgAAAAIgAAAGRycy9k&#10;b3ducmV2LnhtbFBLAQIUABQAAAAIAIdO4kBcevJPPQIAAFsEAAAOAAAAAAAAAAEAIAAAACUBAABk&#10;cnMvZTJvRG9jLnhtbFBLBQYAAAAABgAGAFkBAADUBQAAAAA=&#10;">
                        <v:fill on="t" opacity="2055f" focussize="0,0"/>
                        <v:stroke on="f"/>
                        <v:imagedata o:title=""/>
                        <o:lock v:ext="edit" aspectratio="f"/>
                        <v:textbox inset="0mm,0mm,0mm,0mm">
                          <w:txbxContent>
                            <w:p w14:paraId="6153DDBF">
                              <w:pPr>
                                <w:pStyle w:val="24"/>
                                <w:spacing w:before="0" w:beforeAutospacing="0" w:after="0" w:afterAutospacing="0"/>
                                <w:ind w:firstLine="216"/>
                                <w:jc w:val="both"/>
                                <w:rPr>
                                  <w:rFonts w:hint="default" w:eastAsia="宋体"/>
                                  <w:szCs w:val="24"/>
                                  <w:lang w:val="en-US" w:eastAsia="zh-CN"/>
                                </w:rPr>
                              </w:pPr>
                              <w:r>
                                <w:rPr>
                                  <w:rFonts w:hint="eastAsia" w:ascii="Times New Roman" w:hAnsi="Times New Roman"/>
                                  <w:kern w:val="2"/>
                                  <w:sz w:val="21"/>
                                  <w:szCs w:val="21"/>
                                  <w:lang w:val="en-US" w:eastAsia="zh-CN"/>
                                </w:rPr>
                                <w:t>0.0015</w:t>
                              </w:r>
                            </w:p>
                          </w:txbxContent>
                        </v:textbox>
                      </v:shape>
                      <v:line id="直线 197" o:spid="_x0000_s1026" o:spt="20" style="position:absolute;left:2894965;top:190500;flip:y;height:190500;width:228600;" filled="f" stroked="t" coordsize="21600,21600" o:gfxdata="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rwED1QAAAAUBAAAPAAAAAAAAAAEAIAAA&#10;ACIAAABkcnMvZG93bnJldi54bWxQSwECFAAUAAAACACHTuJAUsm7WQ8CAAAEBAAADgAAAAAAAAAB&#10;ACAAAAAkAQAAZHJzL2Uyb0RvYy54bWxQSwUGAAAAAAYABgBZAQAApQUAAAAA&#10;">
                        <v:fill on="f" focussize="0,0"/>
                        <v:stroke color="#000000" joinstyle="round" dashstyle="dash" endarrow="block"/>
                        <v:imagedata o:title=""/>
                        <o:lock v:ext="edit" aspectratio="f"/>
                      </v:line>
                      <v:shape id="文本框 84" o:spid="_x0000_s1026" o:spt="202" type="#_x0000_t202" style="position:absolute;left:2771140;top:3650615;height:228600;width:391795;"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HtBnu1gAAAAUBAAAPAAAAAAAAAAEAIAAAACIAAABk&#10;cnMvZG93bnJldi54bWxQSwECFAAUAAAACACHTuJAySusc0ECAABcBAAADgAAAAAAAAABACAAAAAl&#10;AQAAZHJzL2Uyb0RvYy54bWxQSwUGAAAAAAYABgBZAQAA2AUAAAAA&#10;">
                        <v:fill on="t" opacity="2055f" focussize="0,0"/>
                        <v:stroke on="f"/>
                        <v:imagedata o:title=""/>
                        <o:lock v:ext="edit" aspectratio="f"/>
                        <v:textbox inset="0mm,0mm,0mm,0mm">
                          <w:txbxContent>
                            <w:p w14:paraId="5F2BF8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0.34</w:t>
                              </w:r>
                            </w:p>
                          </w:txbxContent>
                        </v:textbox>
                      </v:shape>
                      <v:shape id="直接箭头连接符 116" o:spid="_x0000_s1026" o:spt="32" type="#_x0000_t32" style="position:absolute;left:2387600;top:3816350;flip:y;height:0;width:1803400;" filled="f" stroked="t" coordsize="21600,21600" o:gfxdata="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x&#10;5WfR1wAAAAUBAAAPAAAAAAAAAAEAIAAAACIAAABkcnMvZG93bnJldi54bWxQSwECFAAUAAAACACH&#10;TuJAwtZ9rSUCAAAGBAAADgAAAAAAAAABACAAAAAmAQAAZHJzL2Uyb0RvYy54bWxQSwUGAAAAAAYA&#10;BgBZAQAAvQUAAAAA&#10;">
                        <v:fill on="f" focussize="0,0"/>
                        <v:stroke color="#000000" joinstyle="round" endarrow="block"/>
                        <v:imagedata o:title=""/>
                        <o:lock v:ext="edit" aspectratio="f"/>
                      </v:shape>
                      <v:shape id="直接箭头连接符 116" o:spid="_x0000_s1026" o:spt="32" type="#_x0000_t32" style="position:absolute;left:3544570;top:540385;height:0;width:704850;" filled="f" stroked="t" coordsize="21600,21600" o:gfxdata="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eU+v1wAAAAUBAAAPAAAAAAAAAAEAIAAAACIAAABkcnMvZG93bnJldi54bWxQSwECFAAU&#10;AAAACACHTuJAFYn1lSsCAAAWBAAADgAAAAAAAAABACAAAAAmAQAAZHJzL2Uyb0RvYy54bWxQSwUG&#10;AAAAAAYABgBZAQAAwwUAAAAA&#10;">
                        <v:fill on="f" focussize="0,0"/>
                        <v:stroke color="#000000" joinstyle="round" endarrow="block"/>
                        <v:imagedata o:title=""/>
                        <o:lock v:ext="edit" aspectratio="f"/>
                      </v:shape>
                      <v:rect id="矩形 238" o:spid="_x0000_s1026" o:spt="1" style="position:absolute;left:4050030;top:4266565;height:262890;width:1005840;" fillcolor="#FFFFFF" filled="t" stroked="f" coordsize="21600,21600" o:gfxdata="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n8fUHVAAAABQEAAA8AAAAAAAAAAQAgAAAAIgAA&#10;AGRycy9kb3ducmV2LnhtbFBLAQIUABQAAAAIAIdO4kBJfbrcRAIAAGEEAAAOAAAAAAAAAAEAIAAA&#10;ACQBAABkcnMvZTJvRG9jLnhtbFBLBQYAAAAABgAGAFkBAADaBQAAAAA=&#10;">
                        <v:fill on="t" focussize="0,0"/>
                        <v:stroke on="f" miterlimit="8" joinstyle="miter"/>
                        <v:imagedata o:title=""/>
                        <o:lock v:ext="edit" aspectratio="f"/>
                        <v:textbox>
                          <w:txbxContent>
                            <w:p w14:paraId="52C7DB62">
                              <w:pPr>
                                <w:pStyle w:val="24"/>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szCs w:val="24"/>
                                </w:rPr>
                              </w:pPr>
                              <w:r>
                                <w:rPr>
                                  <w:rFonts w:hint="eastAsia" w:ascii="Times New Roman"/>
                                  <w:color w:val="000000"/>
                                  <w:kern w:val="2"/>
                                  <w:sz w:val="21"/>
                                  <w:szCs w:val="21"/>
                                  <w:lang w:val="en-US" w:eastAsia="zh-CN"/>
                                </w:rPr>
                                <w:t>市政污水管网</w:t>
                              </w:r>
                            </w:p>
                          </w:txbxContent>
                        </v:textbox>
                      </v:rect>
                      <v:shape id="文本框 84" o:spid="_x0000_s1026" o:spt="202" type="#_x0000_t202" style="position:absolute;left:4147185;top:4062095;height:217170;width:391795;"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7QZ7tYAAAAFAQAADwAAAAAAAAABACAAAAAiAAAAZHJz&#10;L2Rvd25yZXYueG1sUEsBAhQAFAAAAAgAh07iQBOfEII/AgAAXAQAAA4AAAAAAAAAAQAgAAAAJQEA&#10;AGRycy9lMm9Eb2MueG1sUEsFBgAAAAAGAAYAWQEAANYFAAAAAA==&#10;">
                        <v:fill on="t" opacity="2055f" focussize="0,0"/>
                        <v:stroke on="f"/>
                        <v:imagedata o:title=""/>
                        <o:lock v:ext="edit" aspectratio="f"/>
                        <v:textbox inset="0mm,0mm,0mm,0mm">
                          <w:txbxContent>
                            <w:p w14:paraId="19E18C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szCs w:val="21"/>
                                  <w:lang w:val="en-US" w:eastAsia="zh-CN"/>
                                </w:rPr>
                              </w:pPr>
                              <w:r>
                                <w:rPr>
                                  <w:rFonts w:hint="eastAsia"/>
                                  <w:szCs w:val="21"/>
                                  <w:lang w:val="en-US" w:eastAsia="zh-CN"/>
                                </w:rPr>
                                <w:t>0.5468</w:t>
                              </w:r>
                            </w:p>
                          </w:txbxContent>
                        </v:textbox>
                      </v:shape>
                      <v:rect id="矩形 238" o:spid="_x0000_s1026" o:spt="1" style="position:absolute;left:4249420;top:287020;height:506095;width:1054735;" fillcolor="#FFFFFF" filled="t" stroked="f" coordsize="21600,21600" o:gfxdata="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fx9QdUAAAAFAQAADwAAAAAAAAABACAAAAAiAAAA&#10;ZHJzL2Rvd25yZXYueG1sUEsBAhQAFAAAAAgAh07iQLFEHsNDAgAAYAQAAA4AAAAAAAAAAQAgAAAA&#10;JAEAAGRycy9lMm9Eb2MueG1sUEsFBgAAAAAGAAYAWQEAANkFAAAAAA==&#10;">
                        <v:fill on="t" focussize="0,0"/>
                        <v:stroke on="f" miterlimit="8" joinstyle="miter"/>
                        <v:imagedata o:title=""/>
                        <o:lock v:ext="edit" aspectratio="f"/>
                        <v:textbox>
                          <w:txbxContent>
                            <w:p w14:paraId="2D6BD166">
                              <w:pPr>
                                <w:pStyle w:val="24"/>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szCs w:val="24"/>
                                  <w:lang w:val="en-US"/>
                                </w:rPr>
                              </w:pPr>
                              <w:r>
                                <w:rPr>
                                  <w:rFonts w:hint="eastAsia" w:ascii="Times New Roman"/>
                                  <w:color w:val="000000"/>
                                  <w:kern w:val="2"/>
                                  <w:sz w:val="21"/>
                                  <w:szCs w:val="21"/>
                                  <w:lang w:val="en-US" w:eastAsia="zh-CN"/>
                                </w:rPr>
                                <w:t>头道清洗废水作为危废处置</w:t>
                              </w:r>
                            </w:p>
                          </w:txbxContent>
                        </v:textbox>
                      </v:rect>
                      <v:shape id="文本框 84" o:spid="_x0000_s1026" o:spt="202" type="#_x0000_t202" style="position:absolute;left:3575050;top:278130;height:186690;width:56134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HtBnu1gAAAAUBAAAPAAAAAAAAAAEAIAAAACIAAABkcnMv&#10;ZG93bnJldi54bWxQSwECFAAUAAAACACHTuJALn3CBz4CAABbBAAADgAAAAAAAAABACAAAAAlAQAA&#10;ZHJzL2Uyb0RvYy54bWxQSwUGAAAAAAYABgBZAQAA1QUAAAAA&#10;">
                        <v:fill on="t" opacity="2055f" focussize="0,0"/>
                        <v:stroke on="f"/>
                        <v:imagedata o:title=""/>
                        <o:lock v:ext="edit" aspectratio="f"/>
                        <v:textbox inset="0mm,0mm,0mm,0mm">
                          <w:txbxContent>
                            <w:p w14:paraId="5A05B1AF">
                              <w:pPr>
                                <w:ind w:firstLine="210" w:firstLineChars="100"/>
                                <w:rPr>
                                  <w:rFonts w:hint="default" w:eastAsia="宋体"/>
                                  <w:szCs w:val="21"/>
                                  <w:lang w:val="en-US" w:eastAsia="zh-CN"/>
                                </w:rPr>
                              </w:pPr>
                              <w:r>
                                <w:rPr>
                                  <w:rFonts w:hint="eastAsia"/>
                                  <w:szCs w:val="21"/>
                                  <w:lang w:val="en-US" w:eastAsia="zh-CN"/>
                                </w:rPr>
                                <w:t>0.0045</w:t>
                              </w:r>
                            </w:p>
                          </w:txbxContent>
                        </v:textbox>
                      </v:shape>
                      <v:shape id="文本框 84" o:spid="_x0000_s1026" o:spt="202" type="#_x0000_t202" style="position:absolute;left:2282825;top:1386840;height:220345;width:59055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e0Ge7WAAAABQEAAA8AAAAAAAAAAQAgAAAAIgAAAGRycy9k&#10;b3ducmV2LnhtbFBLAQIUABQAAAAIAIdO4kCnS3whPQIAAFwEAAAOAAAAAAAAAAEAIAAAACUBAABk&#10;cnMvZTJvRG9jLnhtbFBLBQYAAAAABgAGAFkBAADUBQAAAAA=&#10;">
                        <v:fill on="t" opacity="2055f" focussize="0,0"/>
                        <v:stroke on="f"/>
                        <v:imagedata o:title=""/>
                        <o:lock v:ext="edit" aspectratio="f"/>
                        <v:textbox inset="0mm,0mm,0mm,0mm">
                          <w:txbxContent>
                            <w:p w14:paraId="03584093">
                              <w:pPr>
                                <w:pStyle w:val="24"/>
                                <w:spacing w:before="0" w:beforeAutospacing="0" w:after="0" w:afterAutospacing="0"/>
                                <w:ind w:firstLine="216"/>
                                <w:jc w:val="both"/>
                                <w:rPr>
                                  <w:rFonts w:hint="default" w:eastAsia="宋体"/>
                                  <w:szCs w:val="24"/>
                                  <w:lang w:val="en-US" w:eastAsia="zh-CN"/>
                                </w:rPr>
                              </w:pPr>
                              <w:r>
                                <w:rPr>
                                  <w:rFonts w:hint="eastAsia" w:ascii="Times New Roman" w:hAnsi="Times New Roman"/>
                                  <w:kern w:val="2"/>
                                  <w:sz w:val="21"/>
                                  <w:szCs w:val="21"/>
                                  <w:lang w:val="en-US" w:eastAsia="zh-CN"/>
                                </w:rPr>
                                <w:t>0.002</w:t>
                              </w:r>
                            </w:p>
                          </w:txbxContent>
                        </v:textbox>
                      </v:shape>
                      <v:line id="直线 197" o:spid="_x0000_s1026" o:spt="20" style="position:absolute;left:2136140;top:1418590;flip:y;height:190500;width:228600;" filled="f" stroked="t" coordsize="21600,21600" o:gfxdata="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KvAQPVAAAABQEAAA8AAAAAAAAA&#10;AQAgAAAAIgAAAGRycy9kb3ducmV2LnhtbFBLAQIUABQAAAAIAIdO4kD3kYTtFAIAAAUEAAAOAAAA&#10;AAAAAAEAIAAAACQBAABkcnMvZTJvRG9jLnhtbFBLBQYAAAAABgAGAFkBAACqBQAAAAA=&#10;">
                        <v:fill on="f" focussize="0,0"/>
                        <v:stroke color="#000000" joinstyle="round" dashstyle="dash" endarrow="block"/>
                        <v:imagedata o:title=""/>
                        <o:lock v:ext="edit" aspectratio="f"/>
                      </v:line>
                      <v:shape id="直接箭头连接符 116" o:spid="_x0000_s1026" o:spt="32" type="#_x0000_t32" style="position:absolute;left:3182620;top:1724025;height:0;width:1410335;" filled="f" stroked="t" coordsize="21600,21600" o:gfxdata="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F5T6/XAAAA&#10;BQEAAA8AAAAAAAAAAQAgAAAAIgAAAGRycy9kb3ducmV2LnhtbFBLAQIUABQAAAAIAIdO4kBkq1ze&#10;HgIAAPwDAAAOAAAAAAAAAAEAIAAAACYBAABkcnMvZTJvRG9jLnhtbFBLBQYAAAAABgAGAFkBAAC2&#10;BQAAAAA=&#10;">
                        <v:fill on="f" focussize="0,0"/>
                        <v:stroke color="#000000" joinstyle="round" endarrow="block"/>
                        <v:imagedata o:title=""/>
                        <o:lock v:ext="edit" aspectratio="f"/>
                      </v:shape>
                      <v:shape id="文本框 84" o:spid="_x0000_s1026" o:spt="202" type="#_x0000_t202" style="position:absolute;left:3712210;top:1539240;height:228600;width:56134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HtBnu1gAAAAUBAAAPAAAAAAAAAAEAIAAAACIAAABkcnMv&#10;ZG93bnJldi54bWxQSwECFAAUAAAACACHTuJAD6gUwT4CAABcBAAADgAAAAAAAAABACAAAAAlAQAA&#10;ZHJzL2Uyb0RvYy54bWxQSwUGAAAAAAYABgBZAQAA1QUAAAAA&#10;">
                        <v:fill on="t" opacity="2055f" focussize="0,0"/>
                        <v:stroke on="f"/>
                        <v:imagedata o:title=""/>
                        <o:lock v:ext="edit" aspectratio="f"/>
                        <v:textbox inset="0mm,0mm,0mm,0mm">
                          <w:txbxContent>
                            <w:p w14:paraId="107909E3">
                              <w:pPr>
                                <w:ind w:firstLine="210" w:firstLineChars="100"/>
                                <w:rPr>
                                  <w:rFonts w:hint="default" w:eastAsia="宋体"/>
                                  <w:szCs w:val="21"/>
                                  <w:lang w:val="en-US" w:eastAsia="zh-CN"/>
                                </w:rPr>
                              </w:pPr>
                              <w:r>
                                <w:rPr>
                                  <w:rFonts w:hint="eastAsia"/>
                                  <w:szCs w:val="21"/>
                                  <w:lang w:val="en-US" w:eastAsia="zh-CN"/>
                                </w:rPr>
                                <w:t>0.01</w:t>
                              </w:r>
                            </w:p>
                          </w:txbxContent>
                        </v:textbox>
                      </v:shape>
                      <v:rect id="矩形 238" o:spid="_x0000_s1026" o:spt="1" style="position:absolute;left:1365250;top:408305;height:255270;width:617855;"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BbIf1QAAAAUBAAAPAAAAAAAAAAEAIAAA&#10;ACIAAABkcnMvZG93bnJldi54bWxQSwECFAAUAAAACACHTuJAgP7kJEgCAACIBAAADgAAAAAAAAAB&#10;ACAAAAAkAQAAZHJzL2Uyb0RvYy54bWxQSwUGAAAAAAYABgBZAQAA3gUAAAAA&#10;">
                        <v:fill on="t" focussize="0,0"/>
                        <v:stroke color="#000000 [3213]" miterlimit="8" joinstyle="miter"/>
                        <v:imagedata o:title=""/>
                        <o:lock v:ext="edit" aspectratio="f"/>
                        <v:textbox>
                          <w:txbxContent>
                            <w:p w14:paraId="7C871EC9">
                              <w:pPr>
                                <w:pStyle w:val="24"/>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eastAsia="宋体"/>
                                  <w:sz w:val="21"/>
                                  <w:szCs w:val="21"/>
                                  <w:lang w:val="en-US" w:eastAsia="zh-CN"/>
                                </w:rPr>
                              </w:pPr>
                              <w:r>
                                <w:rPr>
                                  <w:rFonts w:hint="eastAsia"/>
                                  <w:sz w:val="21"/>
                                  <w:szCs w:val="21"/>
                                  <w:lang w:val="en-US" w:eastAsia="zh-CN"/>
                                </w:rPr>
                                <w:t>纯水机</w:t>
                              </w:r>
                            </w:p>
                          </w:txbxContent>
                        </v:textbox>
                      </v:rect>
                      <v:line id="直线 299" o:spid="_x0000_s1026" o:spt="20" style="position:absolute;left:2000885;top:542925;height:0;width:539115;" filled="f" stroked="t" coordsize="21600,21600" o:gfxdata="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U11dcAAAAFAQAADwAAAAAAAAABACAAAAAiAAAAZHJzL2Rvd25y&#10;ZXYueG1sUEsBAhQAFAAAAAgAh07iQMJg90D/AQAA3QMAAA4AAAAAAAAAAQAgAAAAJgEAAGRycy9l&#10;Mm9Eb2MueG1sUEsFBgAAAAAGAAYAWQEAAJcFAAAAAA==&#10;">
                        <v:fill on="f" focussize="0,0"/>
                        <v:stroke color="#000000" joinstyle="round" endarrow="block"/>
                        <v:imagedata o:title=""/>
                        <o:lock v:ext="edit" aspectratio="f"/>
                      </v:line>
                      <v:shape id="文本框 194" o:spid="_x0000_s1026" o:spt="202" type="#_x0000_t202" style="position:absolute;left:1974215;top:314960;height:184785;width:457200;" fillcolor="#FFFFFF" filled="t" stroked="f" coordsize="21600,21600" o:gfxdata="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hqLD61AAAAAUBAAAPAAAAAAAAAAEAIAAAACIAAABkcnMvZG93&#10;bnJldi54bWxQSwECFAAUAAAACACHTuJAdh1+oj0CAABZBAAADgAAAAAAAAABACAAAAAjAQAAZHJz&#10;L2Uyb0RvYy54bWxQSwUGAAAAAAYABgBZAQAA0gUAAAAA&#10;">
                        <v:fill on="t" opacity="0f" focussize="0,0"/>
                        <v:stroke on="f"/>
                        <v:imagedata o:title=""/>
                        <o:lock v:ext="edit" aspectratio="f"/>
                        <v:textbox inset="0mm,0mm,0mm,0mm">
                          <w:txbxContent>
                            <w:p w14:paraId="3856EB07">
                              <w:pPr>
                                <w:jc w:val="center"/>
                                <w:rPr>
                                  <w:rFonts w:hint="default" w:eastAsia="宋体"/>
                                  <w:szCs w:val="21"/>
                                  <w:lang w:val="en-US" w:eastAsia="zh-CN"/>
                                </w:rPr>
                              </w:pPr>
                              <w:r>
                                <w:rPr>
                                  <w:rFonts w:hint="eastAsia"/>
                                  <w:szCs w:val="21"/>
                                  <w:lang w:val="en-US" w:eastAsia="zh-CN"/>
                                </w:rPr>
                                <w:t>0.015</w:t>
                              </w:r>
                            </w:p>
                          </w:txbxContent>
                        </v:textbox>
                      </v:shape>
                      <v:shape id="_x0000_s1026" o:spid="_x0000_s1026" o:spt="34" type="#_x0000_t34" style="position:absolute;left:1611630;top:679450;height:462280;width:2981325;" filled="f" stroked="t" coordsize="21600,21600" o:gfxdata="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C5v01gAAAAUBAAAPAAAAAAAAAAEAIAAAACIAAABkcnMvZG93bnJldi54bWxQ&#10;SwECFAAUAAAACACHTuJAFAAuuDICAAAoBAAADgAAAAAAAAABACAAAAAlAQAAZHJzL2Uyb0RvYy54&#10;bWxQSwUGAAAAAAYABgBZAQAAyQUAAAAA&#10;" adj="69">
                        <v:fill on="f" focussize="0,0"/>
                        <v:stroke color="#000000 [3213]" miterlimit="8" joinstyle="miter" endarrow="block"/>
                        <v:imagedata o:title=""/>
                        <o:lock v:ext="edit" aspectratio="f"/>
                      </v:shape>
                      <v:shape id="文本框 84" o:spid="_x0000_s1026" o:spt="202" type="#_x0000_t202" style="position:absolute;left:2084705;top:949960;height:186690;width:88265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e0Ge7WAAAABQEAAA8AAAAAAAAAAQAgAAAAIgAAAGRy&#10;cy9kb3ducmV2LnhtbFBLAQIUABQAAAAIAIdO4kDxj0d/QAIAAFsEAAAOAAAAAAAAAAEAIAAAACUB&#10;AABkcnMvZTJvRG9jLnhtbFBLBQYAAAAABgAGAFkBAADXBQAAAAA=&#10;">
                        <v:fill on="t" opacity="2055f" focussize="0,0"/>
                        <v:stroke on="f"/>
                        <v:imagedata o:title=""/>
                        <o:lock v:ext="edit" aspectratio="f"/>
                        <v:textbox inset="0mm,0mm,0mm,0mm">
                          <w:txbxContent>
                            <w:p w14:paraId="4E4DC883">
                              <w:pPr>
                                <w:ind w:firstLine="210" w:firstLineChars="100"/>
                                <w:rPr>
                                  <w:rFonts w:hint="default" w:eastAsia="宋体"/>
                                  <w:szCs w:val="21"/>
                                  <w:lang w:val="en-US" w:eastAsia="zh-CN"/>
                                </w:rPr>
                              </w:pPr>
                              <w:r>
                                <w:rPr>
                                  <w:rFonts w:hint="eastAsia"/>
                                  <w:szCs w:val="21"/>
                                  <w:lang w:val="en-US" w:eastAsia="zh-CN"/>
                                </w:rPr>
                                <w:t>浓水0.006</w:t>
                              </w:r>
                            </w:p>
                          </w:txbxContent>
                        </v:textbox>
                      </v:shape>
                      <v:shape id="直接箭头连接符 116" o:spid="_x0000_s1026" o:spt="32" type="#_x0000_t32" style="position:absolute;left:3238500;top:694690;flip:x;height:432000;width:0;" filled="f" stroked="t" coordsize="21600,21600" o:gfxdata="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Hl&#10;Z9HXAAAABQEAAA8AAAAAAAAAAQAgAAAAIgAAAGRycy9kb3ducmV2LnhtbFBLAQIUABQAAAAIAIdO&#10;4kARte01JAIAAAQEAAAOAAAAAAAAAAEAIAAAACYBAABkcnMvZTJvRG9jLnhtbFBLBQYAAAAABgAG&#10;AFkBAAC8BQAAAAA=&#10;">
                        <v:fill on="f" focussize="0,0"/>
                        <v:stroke color="#000000" joinstyle="round" endarrow="block"/>
                        <v:imagedata o:title=""/>
                        <o:lock v:ext="edit" aspectratio="f"/>
                      </v:shape>
                      <v:shape id="文本框 84" o:spid="_x0000_s1026" o:spt="202" type="#_x0000_t202" style="position:absolute;left:3126105;top:789305;height:186690;width:56134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7QZ7tYAAAAFAQAADwAAAAAAAAABACAAAAAiAAAAZHJz&#10;L2Rvd25yZXYueG1sUEsBAhQAFAAAAAgAh07iQKRmylA/AgAAWwQAAA4AAAAAAAAAAQAgAAAAJQEA&#10;AGRycy9lMm9Eb2MueG1sUEsFBgAAAAAGAAYAWQEAANYFAAAAAA==&#10;">
                        <v:fill on="t" opacity="2055f" focussize="0,0"/>
                        <v:stroke on="f"/>
                        <v:imagedata o:title=""/>
                        <o:lock v:ext="edit" aspectratio="f"/>
                        <v:textbox inset="0mm,0mm,0mm,0mm">
                          <w:txbxContent>
                            <w:p w14:paraId="2D801CFB">
                              <w:pPr>
                                <w:ind w:firstLine="210" w:firstLineChars="100"/>
                                <w:rPr>
                                  <w:rFonts w:hint="default" w:eastAsia="宋体"/>
                                  <w:szCs w:val="21"/>
                                  <w:lang w:val="en-US" w:eastAsia="zh-CN"/>
                                </w:rPr>
                              </w:pPr>
                              <w:r>
                                <w:rPr>
                                  <w:rFonts w:hint="eastAsia"/>
                                  <w:szCs w:val="21"/>
                                  <w:lang w:val="en-US" w:eastAsia="zh-CN"/>
                                </w:rPr>
                                <w:t>0.009</w:t>
                              </w:r>
                            </w:p>
                          </w:txbxContent>
                        </v:textbox>
                      </v:shape>
                      <v:shape id="直接箭头连接符 249" o:spid="_x0000_s1026" o:spt="32" type="#_x0000_t32" style="position:absolute;left:4572000;top:1121410;height:1835150;width:0;" filled="f" stroked="t" coordsize="21600,21600" o:gfxdata="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HCZOdMAAAAFAQAADwAAAAAAAAABACAAAAAiAAAAZHJz&#10;L2Rvd25yZXYueG1sUEsBAhQAFAAAAAgAh07iQNi+FstCAgAAQwQAAA4AAAAAAAAAAQAgAAAAIgEA&#10;AGRycy9lMm9Eb2MueG1sUEsFBgAAAAAGAAYAWQEAANYFAAAAAA==&#10;">
                        <v:fill on="f" focussize="0,0"/>
                        <v:stroke color="#000000" miterlimit="8" joinstyle="miter" endarrow="block"/>
                        <v:imagedata o:title=""/>
                        <o:lock v:ext="edit" aspectratio="f"/>
                      </v:shape>
                      <v:rect id="矩形 238" o:spid="_x0000_s1026" o:spt="1" style="position:absolute;left:3925570;top:2956560;height:286385;width:1304290;"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BbIf1QAAAAUBAAAPAAAAAAAAAAEAIAAA&#10;ACIAAABkcnMvZG93bnJldi54bWxQSwECFAAUAAAACACHTuJASF7nckgCAACKBAAADgAAAAAAAAAB&#10;ACAAAAAkAQAAZHJzL2Uyb0RvYy54bWxQSwUGAAAAAAYABgBZAQAA3gUAAAAA&#10;">
                        <v:fill on="t" focussize="0,0"/>
                        <v:stroke color="#000000" miterlimit="8" joinstyle="miter"/>
                        <v:imagedata o:title=""/>
                        <o:lock v:ext="edit" aspectratio="f"/>
                        <v:textbox>
                          <w:txbxContent>
                            <w:p w14:paraId="1B900ACC">
                              <w:pPr>
                                <w:pStyle w:val="24"/>
                                <w:spacing w:before="0" w:beforeAutospacing="0" w:after="0" w:afterAutospacing="0"/>
                                <w:jc w:val="center"/>
                                <w:rPr>
                                  <w:rFonts w:hint="default"/>
                                  <w:szCs w:val="24"/>
                                  <w:lang w:val="en-US"/>
                                </w:rPr>
                              </w:pPr>
                              <w:r>
                                <w:rPr>
                                  <w:rFonts w:hint="eastAsia" w:ascii="Times New Roman"/>
                                  <w:color w:val="000000"/>
                                  <w:kern w:val="2"/>
                                  <w:sz w:val="21"/>
                                  <w:szCs w:val="21"/>
                                  <w:lang w:val="en-US" w:eastAsia="zh-CN"/>
                                </w:rPr>
                                <w:t>污水处理设施</w:t>
                              </w:r>
                            </w:p>
                          </w:txbxContent>
                        </v:textbox>
                      </v:rect>
                      <v:shape id="文本框 84" o:spid="_x0000_s1026" o:spt="202" type="#_x0000_t202" style="position:absolute;left:3820795;top:958850;height:186690;width:561340;" fillcolor="#FFFFFF" filled="t" stroked="f" coordsize="21600,21600" o:gfxdata="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e0Ge7WAAAABQEAAA8AAAAAAAAAAQAgAAAAIgAAAGRy&#10;cy9kb3ducmV2LnhtbFBLAQIUABQAAAAIAIdO4kBACVxqQAIAAFsEAAAOAAAAAAAAAAEAIAAAACUB&#10;AABkcnMvZTJvRG9jLnhtbFBLBQYAAAAABgAGAFkBAADXBQAAAAA=&#10;">
                        <v:fill on="t" opacity="2055f" focussize="0,0"/>
                        <v:stroke on="f"/>
                        <v:imagedata o:title=""/>
                        <o:lock v:ext="edit" aspectratio="f"/>
                        <v:textbox inset="0mm,0mm,0mm,0mm">
                          <w:txbxContent>
                            <w:p w14:paraId="4F198EB5">
                              <w:pPr>
                                <w:ind w:firstLine="210" w:firstLineChars="100"/>
                                <w:rPr>
                                  <w:rFonts w:hint="default" w:eastAsia="宋体"/>
                                  <w:szCs w:val="21"/>
                                  <w:lang w:val="en-US" w:eastAsia="zh-CN"/>
                                </w:rPr>
                              </w:pPr>
                              <w:r>
                                <w:rPr>
                                  <w:rFonts w:hint="eastAsia"/>
                                  <w:szCs w:val="21"/>
                                  <w:lang w:val="en-US" w:eastAsia="zh-CN"/>
                                </w:rPr>
                                <w:t>0.015</w:t>
                              </w:r>
                            </w:p>
                          </w:txbxContent>
                        </v:textbox>
                      </v:shape>
                      <v:shape id="直接箭头连接符 249" o:spid="_x0000_s1026" o:spt="32" type="#_x0000_t32" style="position:absolute;left:4591050;top:3944620;flip:x;height:321945;width:0;" filled="f" stroked="t" coordsize="21600,21600" o:gfxdata="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uSF79QAAAAFAQAADwAAAAAAAAABACAA&#10;AAAiAAAAZHJzL2Rvd25yZXYueG1sUEsBAhQAFAAAAAgAh07iQG40TnlKAgAATAQAAA4AAAAAAAAA&#10;AQAgAAAAIwEAAGRycy9lMm9Eb2MueG1sUEsFBgAAAAAGAAYAWQEAAN8FAAAAAA==&#10;">
                        <v:fill on="f" focussize="0,0"/>
                        <v:stroke color="#000000" miterlimit="8" joinstyle="miter" endarrow="block"/>
                        <v:imagedata o:title=""/>
                        <o:lock v:ext="edit" aspectratio="f"/>
                      </v:shape>
                      <v:rect id="矩形 154" o:spid="_x0000_s1026" o:spt="1" style="position:absolute;left:1356995;top:2948305;height:303530;width:1795145;" fillcolor="#FFFFFF" filled="t" stroked="t" coordsize="21600,21600" o:gfxdata="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wWyH9UAAAAFAQAADwAAAAAAAAABACAA&#10;AAAiAAAAZHJzL2Rvd25yZXYueG1sUEsBAhQAFAAAAAgAh07iQCT5H3BJAgAAigQAAA4AAAAAAAAA&#10;AQAgAAAAJAEAAGRycy9lMm9Eb2MueG1sUEsFBgAAAAAGAAYAWQEAAN8FAAAAAA==&#10;">
                        <v:fill on="t" focussize="0,0"/>
                        <v:stroke color="#000000" miterlimit="8" joinstyle="miter"/>
                        <v:imagedata o:title=""/>
                        <o:lock v:ext="edit" aspectratio="f"/>
                        <v:textbox>
                          <w:txbxContent>
                            <w:p w14:paraId="4C220344">
                              <w:pPr>
                                <w:rPr>
                                  <w:rFonts w:hint="eastAsia"/>
                                  <w:lang w:val="en-US" w:eastAsia="zh-CN"/>
                                </w:rPr>
                              </w:pPr>
                              <w:r>
                                <w:rPr>
                                  <w:rFonts w:hint="eastAsia" w:ascii="Times New Roman" w:hAnsi="Times New Roman" w:cs="Times New Roman"/>
                                  <w:b w:val="0"/>
                                  <w:bCs w:val="0"/>
                                  <w:color w:val="auto"/>
                                  <w:sz w:val="21"/>
                                  <w:szCs w:val="21"/>
                                  <w:lang w:val="en-US" w:eastAsia="zh-CN"/>
                                </w:rPr>
                                <w:t>实验平台及</w:t>
                              </w:r>
                              <w:r>
                                <w:rPr>
                                  <w:rFonts w:hint="default" w:ascii="Times New Roman" w:hAnsi="Times New Roman" w:cs="Times New Roman"/>
                                  <w:b w:val="0"/>
                                  <w:bCs w:val="0"/>
                                  <w:color w:val="auto"/>
                                  <w:sz w:val="21"/>
                                  <w:szCs w:val="21"/>
                                  <w:lang w:val="en-US" w:eastAsia="zh-CN"/>
                                </w:rPr>
                                <w:t>地面</w:t>
                              </w:r>
                              <w:r>
                                <w:rPr>
                                  <w:rFonts w:hint="eastAsia" w:ascii="Times New Roman" w:hAnsi="Times New Roman" w:cs="Times New Roman"/>
                                  <w:b w:val="0"/>
                                  <w:bCs w:val="0"/>
                                  <w:color w:val="auto"/>
                                  <w:sz w:val="21"/>
                                  <w:szCs w:val="21"/>
                                  <w:lang w:val="en-US" w:eastAsia="zh-CN"/>
                                </w:rPr>
                                <w:t>清洗</w:t>
                              </w:r>
                              <w:r>
                                <w:rPr>
                                  <w:rFonts w:hint="default" w:ascii="Times New Roman" w:hAnsi="Times New Roman" w:cs="Times New Roman"/>
                                  <w:b w:val="0"/>
                                  <w:bCs w:val="0"/>
                                  <w:color w:val="auto"/>
                                  <w:sz w:val="21"/>
                                  <w:szCs w:val="21"/>
                                  <w:lang w:val="en-US" w:eastAsia="zh-CN"/>
                                </w:rPr>
                                <w:t>用水</w:t>
                              </w:r>
                            </w:p>
                          </w:txbxContent>
                        </v:textbox>
                      </v:rect>
                      <v:shape id="直接箭头连接符 249" o:spid="_x0000_s1026" o:spt="32" type="#_x0000_t32" style="position:absolute;left:4575810;top:3242945;flip:x;height:415925;width:1905;" filled="f" stroked="t" coordsize="21600,21600" o:gfxdata="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uSF79QAAAAFAQAADwAAAAAAAAABACAAAAAiAAAAZHJzL2Rvd25yZXYueG1sUEsBAhQAFAAA&#10;AAgAh07iQIElMN5lAgAAhQQAAA4AAAAAAAAAAQAgAAAAIwEAAGRycy9lMm9Eb2MueG1sUEsFBgAA&#10;AAAGAAYAWQEAAPoFAAAAAA==&#10;">
                        <v:fill on="f" focussize="0,0"/>
                        <v:stroke color="#000000" miterlimit="8" joinstyle="miter" endarrow="block"/>
                        <v:imagedata o:title=""/>
                        <o:lock v:ext="edit" aspectratio="f"/>
                      </v:shape>
                      <w10:wrap type="none"/>
                      <w10:anchorlock/>
                    </v:group>
                  </w:pict>
                </mc:Fallback>
              </mc:AlternateContent>
            </w:r>
          </w:p>
          <w:p w14:paraId="0044B67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color w:val="auto"/>
                <w:szCs w:val="21"/>
              </w:rPr>
            </w:pPr>
            <w:r>
              <w:rPr>
                <w:rFonts w:hint="default" w:ascii="Times New Roman" w:hAnsi="Times New Roman" w:cs="Times New Roman"/>
                <w:b/>
                <w:bCs/>
                <w:color w:val="auto"/>
                <w:szCs w:val="21"/>
              </w:rPr>
              <w:t>图2</w:t>
            </w:r>
            <w:r>
              <w:rPr>
                <w:rFonts w:hint="default" w:ascii="Times New Roman" w:hAnsi="Times New Roman" w:cs="Times New Roman"/>
                <w:b/>
                <w:bCs/>
                <w:color w:val="auto"/>
                <w:szCs w:val="21"/>
                <w:lang w:val="en-US" w:eastAsia="zh-CN"/>
              </w:rPr>
              <w:t>-1</w:t>
            </w:r>
            <w:r>
              <w:rPr>
                <w:rFonts w:hint="eastAsia" w:cs="Times New Roman"/>
                <w:b/>
                <w:bCs/>
                <w:color w:val="auto"/>
                <w:szCs w:val="21"/>
                <w:lang w:val="en-US" w:eastAsia="zh-CN"/>
              </w:rPr>
              <w:t xml:space="preserve">  </w:t>
            </w:r>
            <w:r>
              <w:rPr>
                <w:rFonts w:hint="default" w:ascii="Times New Roman" w:hAnsi="Times New Roman" w:cs="Times New Roman"/>
                <w:b/>
                <w:bCs/>
                <w:color w:val="auto"/>
                <w:szCs w:val="21"/>
              </w:rPr>
              <w:t>项目水平衡图</w:t>
            </w:r>
            <w:r>
              <w:rPr>
                <w:rFonts w:hint="eastAsia" w:cs="Times New Roman"/>
                <w:b/>
                <w:bCs/>
                <w:color w:val="auto"/>
                <w:szCs w:val="21"/>
                <w:lang w:val="en-US" w:eastAsia="zh-CN"/>
              </w:rPr>
              <w:t xml:space="preserve">    </w:t>
            </w:r>
            <w:r>
              <w:rPr>
                <w:rFonts w:hint="default" w:ascii="Times New Roman" w:hAnsi="Times New Roman" w:cs="Times New Roman"/>
                <w:b/>
                <w:bCs/>
                <w:color w:val="auto"/>
                <w:szCs w:val="21"/>
              </w:rPr>
              <w:t>单位：</w:t>
            </w:r>
            <w:r>
              <w:rPr>
                <w:rFonts w:hint="default" w:ascii="Times New Roman" w:hAnsi="Times New Roman" w:cs="Times New Roman"/>
                <w:b/>
                <w:color w:val="auto"/>
                <w:szCs w:val="21"/>
              </w:rPr>
              <w:t>m</w:t>
            </w:r>
            <w:r>
              <w:rPr>
                <w:rFonts w:hint="default" w:ascii="Times New Roman" w:hAnsi="Times New Roman" w:cs="Times New Roman"/>
                <w:b/>
                <w:color w:val="auto"/>
                <w:szCs w:val="21"/>
                <w:vertAlign w:val="superscript"/>
              </w:rPr>
              <w:t>3</w:t>
            </w:r>
            <w:r>
              <w:rPr>
                <w:rFonts w:hint="default" w:ascii="Times New Roman" w:hAnsi="Times New Roman" w:cs="Times New Roman"/>
                <w:b/>
                <w:color w:val="auto"/>
                <w:szCs w:val="21"/>
              </w:rPr>
              <w:t>/</w:t>
            </w:r>
            <w:r>
              <w:rPr>
                <w:rFonts w:hint="default" w:ascii="Times New Roman" w:hAnsi="Times New Roman" w:cs="Times New Roman"/>
                <w:b/>
                <w:color w:val="auto"/>
                <w:szCs w:val="21"/>
                <w:lang w:val="en-US" w:eastAsia="zh-CN"/>
              </w:rPr>
              <w:t>d</w:t>
            </w:r>
          </w:p>
          <w:p w14:paraId="3B4D9721">
            <w:pPr>
              <w:keepNext w:val="0"/>
              <w:keepLines w:val="0"/>
              <w:pageBreakBefore w:val="0"/>
              <w:widowControl w:val="0"/>
              <w:kinsoku/>
              <w:wordWrap/>
              <w:overflowPunct/>
              <w:topLinePunct w:val="0"/>
              <w:autoSpaceDE/>
              <w:autoSpaceDN/>
              <w:bidi w:val="0"/>
              <w:adjustRightInd/>
              <w:snapToGrid/>
              <w:spacing w:before="120" w:beforeLines="50"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（2）供电</w:t>
            </w:r>
          </w:p>
          <w:p w14:paraId="0524380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rPr>
              <w:t>本项目供电由</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小区</w:t>
            </w:r>
            <w:r>
              <w:rPr>
                <w:rFonts w:hint="default" w:ascii="Times New Roman" w:hAnsi="Times New Roman" w:cs="Times New Roman"/>
                <w:color w:val="auto"/>
                <w:sz w:val="24"/>
              </w:rPr>
              <w:t>现有供电系统接入，</w:t>
            </w:r>
            <w:r>
              <w:rPr>
                <w:rFonts w:hint="default" w:ascii="Times New Roman" w:hAnsi="Times New Roman" w:cs="Times New Roman"/>
                <w:color w:val="auto"/>
                <w:sz w:val="24"/>
                <w:highlight w:val="none"/>
              </w:rPr>
              <w:t>年用电量约</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万k</w:t>
            </w:r>
            <w:r>
              <w:rPr>
                <w:rFonts w:hint="default" w:ascii="Times New Roman" w:hAnsi="Times New Roman" w:cs="Times New Roman"/>
                <w:color w:val="auto"/>
                <w:sz w:val="24"/>
                <w:highlight w:val="none"/>
                <w:lang w:val="en-US" w:eastAsia="zh-CN"/>
              </w:rPr>
              <w:t>W</w:t>
            </w:r>
            <w:r>
              <w:rPr>
                <w:rFonts w:hint="default" w:ascii="Times New Roman" w:hAnsi="Times New Roman" w:cs="Times New Roman"/>
                <w:color w:val="auto"/>
                <w:sz w:val="24"/>
                <w:highlight w:val="none"/>
              </w:rPr>
              <w:t>▪h。</w:t>
            </w:r>
          </w:p>
          <w:p w14:paraId="2968042F">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（3）供热制冷</w:t>
            </w:r>
          </w:p>
          <w:p w14:paraId="14FBF73F">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项目办公</w:t>
            </w:r>
            <w:r>
              <w:rPr>
                <w:rFonts w:hint="default" w:ascii="Times New Roman" w:hAnsi="Times New Roman" w:cs="Times New Roman"/>
                <w:bCs/>
                <w:color w:val="auto"/>
                <w:sz w:val="24"/>
                <w:lang w:val="en-US" w:eastAsia="zh-CN"/>
              </w:rPr>
              <w:t>区及实验室</w:t>
            </w:r>
            <w:r>
              <w:rPr>
                <w:rFonts w:hint="default" w:ascii="Times New Roman" w:hAnsi="Times New Roman" w:cs="Times New Roman"/>
                <w:bCs/>
                <w:color w:val="auto"/>
                <w:sz w:val="24"/>
              </w:rPr>
              <w:t>取暖制冷采用单体空调。</w:t>
            </w:r>
          </w:p>
          <w:p w14:paraId="4DB3119F">
            <w:pPr>
              <w:spacing w:line="360" w:lineRule="auto"/>
              <w:ind w:firstLine="482" w:firstLineChars="200"/>
              <w:rPr>
                <w:rFonts w:hint="default" w:ascii="Times New Roman" w:hAnsi="Times New Roman" w:cs="Times New Roman"/>
                <w:bCs/>
                <w:color w:val="auto"/>
                <w:sz w:val="24"/>
                <w:lang w:val="en-US" w:eastAsia="zh-CN"/>
              </w:rPr>
            </w:pPr>
            <w:r>
              <w:rPr>
                <w:rFonts w:hint="default" w:ascii="Times New Roman" w:hAnsi="Times New Roman" w:cs="Times New Roman"/>
                <w:b/>
                <w:bCs/>
                <w:color w:val="auto"/>
                <w:sz w:val="24"/>
                <w:lang w:val="en-US" w:eastAsia="zh-CN"/>
              </w:rPr>
              <w:t>（</w:t>
            </w:r>
            <w:r>
              <w:rPr>
                <w:rFonts w:hint="eastAsia" w:cs="Times New Roman"/>
                <w:b/>
                <w:bCs/>
                <w:color w:val="auto"/>
                <w:sz w:val="24"/>
                <w:lang w:val="en-US" w:eastAsia="zh-CN"/>
              </w:rPr>
              <w:t>4</w:t>
            </w:r>
            <w:r>
              <w:rPr>
                <w:rFonts w:hint="default" w:ascii="Times New Roman" w:hAnsi="Times New Roman" w:cs="Times New Roman"/>
                <w:b/>
                <w:bCs/>
                <w:color w:val="auto"/>
                <w:sz w:val="24"/>
                <w:lang w:val="en-US" w:eastAsia="zh-CN"/>
              </w:rPr>
              <w:t>）储运系统</w:t>
            </w:r>
          </w:p>
          <w:p w14:paraId="183D55AF">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bCs/>
                <w:color w:val="auto"/>
                <w:sz w:val="24"/>
                <w:lang w:val="en-US" w:eastAsia="zh-CN"/>
              </w:rPr>
              <w:t>项目设置一处留样室，</w:t>
            </w:r>
            <w:r>
              <w:rPr>
                <w:rFonts w:hint="eastAsia" w:cs="Times New Roman"/>
                <w:bCs/>
                <w:color w:val="auto"/>
                <w:sz w:val="24"/>
                <w:lang w:val="en-US" w:eastAsia="zh-CN"/>
              </w:rPr>
              <w:t>收集</w:t>
            </w:r>
            <w:r>
              <w:rPr>
                <w:rFonts w:hint="default" w:ascii="Times New Roman" w:hAnsi="Times New Roman" w:cs="Times New Roman"/>
                <w:bCs/>
                <w:color w:val="auto"/>
                <w:sz w:val="24"/>
                <w:lang w:val="en-US" w:eastAsia="zh-CN"/>
              </w:rPr>
              <w:t>的样品存放于此，</w:t>
            </w:r>
            <w:r>
              <w:rPr>
                <w:rFonts w:hint="eastAsia" w:cs="Times New Roman"/>
                <w:bCs/>
                <w:color w:val="auto"/>
                <w:sz w:val="24"/>
                <w:lang w:val="en-US" w:eastAsia="zh-CN"/>
              </w:rPr>
              <w:t>化学试剂</w:t>
            </w:r>
            <w:r>
              <w:rPr>
                <w:rFonts w:hint="default" w:ascii="Times New Roman" w:hAnsi="Times New Roman" w:cs="Times New Roman"/>
                <w:bCs/>
                <w:color w:val="auto"/>
                <w:sz w:val="24"/>
                <w:lang w:val="en-US" w:eastAsia="zh-CN"/>
              </w:rPr>
              <w:t>单独</w:t>
            </w:r>
            <w:r>
              <w:rPr>
                <w:rFonts w:hint="eastAsia" w:cs="Times New Roman"/>
                <w:bCs/>
                <w:color w:val="auto"/>
                <w:sz w:val="24"/>
                <w:lang w:val="en-US" w:eastAsia="zh-CN"/>
              </w:rPr>
              <w:t>存放于</w:t>
            </w:r>
            <w:r>
              <w:rPr>
                <w:rFonts w:hint="default" w:ascii="Times New Roman" w:hAnsi="Times New Roman" w:eastAsia="宋体" w:cs="Times New Roman"/>
                <w:color w:val="auto"/>
                <w:kern w:val="0"/>
                <w:sz w:val="24"/>
                <w:szCs w:val="24"/>
                <w:lang w:val="en-US" w:eastAsia="zh-CN" w:bidi="ar"/>
              </w:rPr>
              <w:t>试剂存</w:t>
            </w:r>
            <w:r>
              <w:rPr>
                <w:rFonts w:hint="eastAsia" w:cs="Times New Roman"/>
                <w:color w:val="auto"/>
                <w:kern w:val="0"/>
                <w:sz w:val="24"/>
                <w:szCs w:val="24"/>
                <w:lang w:val="en-US" w:eastAsia="zh-CN" w:bidi="ar"/>
              </w:rPr>
              <w:t>室</w:t>
            </w:r>
            <w:r>
              <w:rPr>
                <w:rFonts w:hint="default" w:ascii="Times New Roman" w:hAnsi="Times New Roman" w:eastAsia="宋体" w:cs="Times New Roman"/>
                <w:color w:val="auto"/>
                <w:kern w:val="0"/>
                <w:sz w:val="24"/>
                <w:szCs w:val="24"/>
                <w:lang w:val="en-US" w:eastAsia="zh-CN" w:bidi="ar"/>
              </w:rPr>
              <w:t>。</w:t>
            </w:r>
          </w:p>
          <w:p w14:paraId="456BA30A">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8</w:t>
            </w:r>
            <w:r>
              <w:rPr>
                <w:rFonts w:hint="default" w:ascii="Times New Roman" w:hAnsi="Times New Roman" w:cs="Times New Roman"/>
                <w:b/>
                <w:bCs/>
                <w:color w:val="auto"/>
                <w:sz w:val="24"/>
              </w:rPr>
              <w:t>、劳动定员与工作制度</w:t>
            </w:r>
          </w:p>
          <w:p w14:paraId="0F915F4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w:t>
            </w:r>
            <w:r>
              <w:rPr>
                <w:rFonts w:hint="default" w:ascii="Times New Roman" w:hAnsi="Times New Roman" w:cs="Times New Roman"/>
                <w:color w:val="auto"/>
                <w:sz w:val="24"/>
              </w:rPr>
              <w:t>劳动定员</w:t>
            </w:r>
            <w:r>
              <w:rPr>
                <w:rFonts w:hint="eastAsia" w:cs="Times New Roman"/>
                <w:color w:val="auto"/>
                <w:sz w:val="24"/>
                <w:lang w:val="en-US" w:eastAsia="zh-CN"/>
              </w:rPr>
              <w:t>17</w:t>
            </w:r>
            <w:r>
              <w:rPr>
                <w:rFonts w:hint="default" w:ascii="Times New Roman" w:hAnsi="Times New Roman" w:cs="Times New Roman"/>
                <w:color w:val="auto"/>
                <w:sz w:val="24"/>
              </w:rPr>
              <w:t>人，</w:t>
            </w:r>
            <w:r>
              <w:rPr>
                <w:rFonts w:hint="default" w:ascii="Times New Roman" w:hAnsi="Times New Roman" w:cs="Times New Roman"/>
                <w:color w:val="auto"/>
                <w:sz w:val="24"/>
                <w:lang w:val="en-US" w:eastAsia="zh-CN"/>
              </w:rPr>
              <w:t>厂区内不设</w:t>
            </w:r>
            <w:r>
              <w:rPr>
                <w:rFonts w:hint="default" w:ascii="Times New Roman" w:hAnsi="Times New Roman" w:cs="Times New Roman"/>
                <w:color w:val="auto"/>
                <w:sz w:val="24"/>
              </w:rPr>
              <w:t>食</w:t>
            </w:r>
            <w:r>
              <w:rPr>
                <w:rFonts w:hint="default" w:ascii="Times New Roman" w:hAnsi="Times New Roman" w:cs="Times New Roman"/>
                <w:color w:val="auto"/>
                <w:sz w:val="24"/>
                <w:lang w:val="en-US" w:eastAsia="zh-CN"/>
              </w:rPr>
              <w:t>堂</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单班制，每班8小时，年</w:t>
            </w:r>
            <w:r>
              <w:rPr>
                <w:rFonts w:hint="default" w:ascii="Times New Roman" w:hAnsi="Times New Roman" w:cs="Times New Roman"/>
                <w:color w:val="auto"/>
                <w:sz w:val="24"/>
                <w:lang w:val="en-US" w:eastAsia="zh-CN"/>
              </w:rPr>
              <w:t>工作约</w:t>
            </w:r>
            <w:r>
              <w:rPr>
                <w:rFonts w:hint="eastAsia" w:cs="Times New Roman"/>
                <w:color w:val="auto"/>
                <w:sz w:val="24"/>
                <w:lang w:val="en-US" w:eastAsia="zh-CN"/>
              </w:rPr>
              <w:t>200</w:t>
            </w:r>
            <w:r>
              <w:rPr>
                <w:rFonts w:hint="default" w:ascii="Times New Roman" w:hAnsi="Times New Roman" w:cs="Times New Roman"/>
                <w:color w:val="auto"/>
                <w:sz w:val="24"/>
              </w:rPr>
              <w:t>天。</w:t>
            </w:r>
          </w:p>
          <w:p w14:paraId="676341BC">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9、平面布置</w:t>
            </w:r>
          </w:p>
          <w:p w14:paraId="19BD698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w:t>
            </w:r>
            <w:r>
              <w:rPr>
                <w:rFonts w:hint="eastAsia" w:cs="Times New Roman"/>
                <w:color w:val="auto"/>
                <w:sz w:val="24"/>
                <w:lang w:val="en-US" w:eastAsia="zh-CN"/>
              </w:rPr>
              <w:t>位于</w:t>
            </w:r>
            <w:r>
              <w:rPr>
                <w:rFonts w:hint="eastAsia" w:ascii="Times New Roman" w:hAnsi="Times New Roman" w:eastAsia="宋体" w:cs="Times New Roman"/>
                <w:color w:val="auto"/>
                <w:sz w:val="24"/>
                <w:szCs w:val="24"/>
                <w:highlight w:val="none"/>
                <w:lang w:val="en-US" w:eastAsia="zh-CN"/>
              </w:rPr>
              <w:t>隆桥瑞苑12号楼商业三层</w:t>
            </w:r>
            <w:r>
              <w:rPr>
                <w:rFonts w:hint="eastAsia" w:cs="Times New Roman"/>
                <w:color w:val="auto"/>
                <w:sz w:val="24"/>
                <w:szCs w:val="24"/>
                <w:highlight w:val="none"/>
                <w:lang w:val="en-US" w:eastAsia="zh-CN"/>
              </w:rPr>
              <w:t>北侧区域</w:t>
            </w:r>
            <w:r>
              <w:rPr>
                <w:rFonts w:hint="eastAsia" w:ascii="Times New Roman" w:hAnsi="Times New Roman" w:eastAsia="宋体" w:cs="Times New Roman"/>
                <w:color w:val="auto"/>
                <w:sz w:val="24"/>
                <w:szCs w:val="24"/>
                <w:highlight w:val="none"/>
                <w:lang w:val="en-US" w:eastAsia="zh-CN"/>
              </w:rPr>
              <w:t>，实验室南北布局，北侧主要为办公区，南侧为实验区域，主要包括前处理室、一般仪器室、精密仪器室、理化室、药剂室</w:t>
            </w:r>
            <w:r>
              <w:rPr>
                <w:rFonts w:hint="eastAsia" w:cs="Times New Roman"/>
                <w:color w:val="auto"/>
                <w:sz w:val="24"/>
                <w:lang w:val="en-US" w:eastAsia="zh-CN"/>
              </w:rPr>
              <w:t>。</w:t>
            </w:r>
            <w:r>
              <w:rPr>
                <w:rFonts w:hint="default" w:ascii="Times New Roman" w:hAnsi="Times New Roman" w:cs="Times New Roman"/>
                <w:color w:val="auto"/>
                <w:sz w:val="24"/>
                <w:lang w:val="en-US" w:eastAsia="zh-CN"/>
              </w:rPr>
              <w:t>从生产转运以及功能分区布置等方面来看，项目总体布局合理。</w:t>
            </w:r>
          </w:p>
          <w:p w14:paraId="3943653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具体平面布局详见附图4。</w:t>
            </w:r>
          </w:p>
        </w:tc>
      </w:tr>
      <w:tr w14:paraId="4124E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04" w:type="dxa"/>
            <w:vAlign w:val="center"/>
          </w:tcPr>
          <w:p w14:paraId="1BA0775A">
            <w:pPr>
              <w:pStyle w:val="24"/>
              <w:adjustRightInd w:val="0"/>
              <w:snapToGrid w:val="0"/>
              <w:spacing w:before="0" w:beforeAutospacing="0" w:after="0" w:afterAutospacing="0"/>
              <w:jc w:val="center"/>
              <w:rPr>
                <w:rFonts w:hint="default" w:ascii="Times New Roman" w:hAnsi="Times New Roman" w:cs="Times New Roman"/>
                <w:b/>
                <w:color w:val="auto"/>
                <w:szCs w:val="24"/>
              </w:rPr>
            </w:pPr>
            <w:r>
              <w:rPr>
                <w:rFonts w:hint="default" w:ascii="Times New Roman" w:hAnsi="Times New Roman" w:cs="Times New Roman"/>
                <w:b/>
                <w:color w:val="auto"/>
                <w:szCs w:val="24"/>
              </w:rPr>
              <w:t>工艺流程和产排污环节</w:t>
            </w:r>
          </w:p>
        </w:tc>
        <w:tc>
          <w:tcPr>
            <w:tcW w:w="8317" w:type="dxa"/>
          </w:tcPr>
          <w:p w14:paraId="13109355">
            <w:pPr>
              <w:spacing w:line="360" w:lineRule="auto"/>
              <w:ind w:firstLine="482" w:firstLineChars="200"/>
              <w:rPr>
                <w:rFonts w:hint="default" w:ascii="Times New Roman" w:hAnsi="Times New Roman" w:eastAsia="宋体" w:cs="Times New Roman"/>
                <w:b/>
                <w:bCs/>
                <w:color w:val="auto"/>
                <w:sz w:val="24"/>
                <w:lang w:val="en-US" w:eastAsia="zh-CN"/>
              </w:rPr>
            </w:pPr>
            <w:bookmarkStart w:id="6" w:name="OLE_LINK16"/>
            <w:r>
              <w:rPr>
                <w:rFonts w:hint="default" w:ascii="Times New Roman" w:hAnsi="Times New Roman" w:eastAsia="宋体" w:cs="Times New Roman"/>
                <w:b/>
                <w:bCs/>
                <w:color w:val="auto"/>
                <w:sz w:val="24"/>
                <w:lang w:val="en-US" w:eastAsia="zh-CN"/>
              </w:rPr>
              <w:t>1</w:t>
            </w:r>
            <w:r>
              <w:rPr>
                <w:rFonts w:hint="eastAsia" w:ascii="Times New Roman" w:hAnsi="Times New Roman" w:eastAsia="宋体" w:cs="Times New Roman"/>
                <w:b/>
                <w:bCs/>
                <w:color w:val="auto"/>
                <w:sz w:val="24"/>
                <w:lang w:val="en-US" w:eastAsia="zh-CN"/>
              </w:rPr>
              <w:t>、施工期</w:t>
            </w:r>
          </w:p>
          <w:p w14:paraId="6977C10D">
            <w:pPr>
              <w:spacing w:line="360" w:lineRule="auto"/>
              <w:ind w:firstLine="480" w:firstLineChars="200"/>
              <w:rPr>
                <w:rFonts w:hint="default"/>
                <w:color w:val="auto"/>
                <w:lang w:val="en-US"/>
              </w:rPr>
            </w:pPr>
            <w:r>
              <w:rPr>
                <w:rFonts w:hint="eastAsia" w:ascii="宋体" w:hAnsi="宋体" w:eastAsia="宋体" w:cs="宋体"/>
                <w:color w:val="auto"/>
                <w:kern w:val="0"/>
                <w:sz w:val="24"/>
                <w:szCs w:val="24"/>
                <w:lang w:val="en-US" w:eastAsia="zh-CN" w:bidi="ar"/>
              </w:rPr>
              <w:t>本项目租赁区域已</w:t>
            </w:r>
            <w:r>
              <w:rPr>
                <w:rFonts w:hint="eastAsia" w:ascii="Times New Roman" w:hAnsi="Times New Roman" w:eastAsia="宋体" w:cs="Times New Roman"/>
                <w:color w:val="auto"/>
                <w:sz w:val="24"/>
                <w:szCs w:val="24"/>
                <w:highlight w:val="none"/>
                <w:lang w:val="en-US" w:eastAsia="zh-CN"/>
              </w:rPr>
              <w:t>完成</w:t>
            </w:r>
            <w:r>
              <w:rPr>
                <w:rFonts w:hint="eastAsia" w:ascii="宋体" w:hAnsi="宋体" w:eastAsia="宋体" w:cs="宋体"/>
                <w:color w:val="auto"/>
                <w:kern w:val="0"/>
                <w:sz w:val="24"/>
                <w:szCs w:val="24"/>
                <w:lang w:val="en-US" w:eastAsia="zh-CN" w:bidi="ar"/>
              </w:rPr>
              <w:t>内部装修和水电、消防设施，施工期仅对</w:t>
            </w:r>
            <w:r>
              <w:rPr>
                <w:rFonts w:hint="eastAsia" w:cs="Times New Roman"/>
                <w:color w:val="auto"/>
                <w:sz w:val="24"/>
                <w:lang w:val="en-US" w:eastAsia="zh-CN"/>
              </w:rPr>
              <w:t>实验室</w:t>
            </w:r>
            <w:r>
              <w:rPr>
                <w:rFonts w:hint="eastAsia" w:ascii="宋体" w:hAnsi="宋体" w:eastAsia="宋体" w:cs="宋体"/>
                <w:color w:val="auto"/>
                <w:kern w:val="0"/>
                <w:sz w:val="24"/>
                <w:szCs w:val="24"/>
                <w:lang w:val="en-US" w:eastAsia="zh-CN" w:bidi="ar"/>
              </w:rPr>
              <w:t>仪器、环保设备的安装，不涉及土建施工。施工期废气主要为施工机械及运输车辆废气；废水主要为施工人员</w:t>
            </w:r>
            <w:r>
              <w:rPr>
                <w:rFonts w:hint="eastAsia" w:ascii="宋体" w:hAnsi="宋体" w:cs="宋体"/>
                <w:color w:val="auto"/>
                <w:kern w:val="0"/>
                <w:sz w:val="24"/>
                <w:szCs w:val="24"/>
                <w:lang w:val="en-US" w:eastAsia="zh-CN" w:bidi="ar"/>
              </w:rPr>
              <w:t>生活污水</w:t>
            </w:r>
            <w:r>
              <w:rPr>
                <w:rFonts w:hint="eastAsia" w:ascii="宋体" w:hAnsi="宋体" w:eastAsia="宋体" w:cs="宋体"/>
                <w:color w:val="auto"/>
                <w:kern w:val="0"/>
                <w:sz w:val="24"/>
                <w:szCs w:val="24"/>
                <w:lang w:val="en-US" w:eastAsia="zh-CN" w:bidi="ar"/>
              </w:rPr>
              <w:t>；施工期噪声主要是施工机械设备噪声和运输车辆运行噪声；施工期固体废物主要包括施工人员的生活垃圾、废包装材料等。</w:t>
            </w:r>
          </w:p>
          <w:p w14:paraId="2485E9A6">
            <w:pPr>
              <w:spacing w:line="360" w:lineRule="auto"/>
              <w:ind w:firstLine="482" w:firstLineChars="200"/>
              <w:rPr>
                <w:rFonts w:hint="default" w:ascii="Times New Roman" w:hAnsi="Times New Roman" w:eastAsia="宋体" w:cs="Times New Roman"/>
                <w:b/>
                <w:bCs/>
                <w:color w:val="auto"/>
                <w:sz w:val="24"/>
                <w:lang w:val="en-US" w:eastAsia="zh-CN"/>
              </w:rPr>
            </w:pPr>
            <w:r>
              <w:rPr>
                <w:rFonts w:hint="eastAsia" w:eastAsia="宋体" w:cs="Times New Roman"/>
                <w:b/>
                <w:bCs/>
                <w:color w:val="auto"/>
                <w:sz w:val="24"/>
                <w:lang w:val="en-US" w:eastAsia="zh-CN"/>
              </w:rPr>
              <w:t>2</w:t>
            </w:r>
            <w:r>
              <w:rPr>
                <w:rFonts w:hint="eastAsia" w:ascii="Times New Roman" w:hAnsi="Times New Roman" w:eastAsia="宋体" w:cs="Times New Roman"/>
                <w:b/>
                <w:bCs/>
                <w:color w:val="auto"/>
                <w:sz w:val="24"/>
                <w:lang w:val="en-US" w:eastAsia="zh-CN"/>
              </w:rPr>
              <w:t>、</w:t>
            </w:r>
            <w:r>
              <w:rPr>
                <w:rFonts w:hint="eastAsia" w:eastAsia="宋体" w:cs="Times New Roman"/>
                <w:b/>
                <w:bCs/>
                <w:color w:val="auto"/>
                <w:sz w:val="24"/>
                <w:lang w:val="en-US" w:eastAsia="zh-CN"/>
              </w:rPr>
              <w:t>运营</w:t>
            </w:r>
            <w:r>
              <w:rPr>
                <w:rFonts w:hint="eastAsia" w:ascii="Times New Roman" w:hAnsi="Times New Roman" w:eastAsia="宋体" w:cs="Times New Roman"/>
                <w:b/>
                <w:bCs/>
                <w:color w:val="auto"/>
                <w:sz w:val="24"/>
                <w:lang w:val="en-US" w:eastAsia="zh-CN"/>
              </w:rPr>
              <w:t>期</w:t>
            </w:r>
          </w:p>
          <w:p w14:paraId="075C1977">
            <w:pPr>
              <w:spacing w:line="360" w:lineRule="auto"/>
              <w:ind w:firstLine="480" w:firstLineChars="200"/>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本项目对中药材的有效成分进行检测，</w:t>
            </w:r>
            <w:r>
              <w:rPr>
                <w:rFonts w:hint="eastAsia" w:ascii="宋体" w:hAnsi="宋体" w:eastAsia="宋体" w:cs="宋体"/>
                <w:color w:val="auto"/>
                <w:kern w:val="0"/>
                <w:sz w:val="24"/>
                <w:szCs w:val="24"/>
                <w:lang w:val="en-US" w:eastAsia="zh-CN" w:bidi="ar"/>
              </w:rPr>
              <w:t>运营期</w:t>
            </w:r>
            <w:r>
              <w:rPr>
                <w:rFonts w:hint="eastAsia" w:ascii="宋体" w:hAnsi="宋体" w:cs="宋体"/>
                <w:color w:val="auto"/>
                <w:kern w:val="0"/>
                <w:sz w:val="24"/>
                <w:szCs w:val="24"/>
                <w:lang w:val="en-US" w:eastAsia="zh-CN" w:bidi="ar"/>
              </w:rPr>
              <w:t>主要</w:t>
            </w:r>
            <w:r>
              <w:rPr>
                <w:rFonts w:hint="eastAsia" w:ascii="宋体" w:hAnsi="宋体" w:eastAsia="宋体" w:cs="宋体"/>
                <w:color w:val="auto"/>
                <w:kern w:val="0"/>
                <w:sz w:val="24"/>
                <w:szCs w:val="24"/>
                <w:lang w:val="en-US" w:eastAsia="zh-CN" w:bidi="ar"/>
              </w:rPr>
              <w:t>工艺流程及产污环节如下：</w:t>
            </w:r>
          </w:p>
          <w:p w14:paraId="044CB0A9">
            <w:pPr>
              <w:keepNext w:val="0"/>
              <w:keepLines w:val="0"/>
              <w:widowControl/>
              <w:suppressLineNumbers w:val="0"/>
              <w:jc w:val="left"/>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drawing>
                <wp:inline distT="0" distB="0" distL="114300" distR="114300">
                  <wp:extent cx="5332095" cy="5044440"/>
                  <wp:effectExtent l="0" t="0" r="0" b="0"/>
                  <wp:docPr id="3" name="图片 3" descr="工艺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流程图3"/>
                          <pic:cNvPicPr>
                            <a:picLocks noChangeAspect="1"/>
                          </pic:cNvPicPr>
                        </pic:nvPicPr>
                        <pic:blipFill>
                          <a:blip r:embed="rId8"/>
                          <a:srcRect t="4987"/>
                          <a:stretch>
                            <a:fillRect/>
                          </a:stretch>
                        </pic:blipFill>
                        <pic:spPr>
                          <a:xfrm>
                            <a:off x="0" y="0"/>
                            <a:ext cx="5332095" cy="5044440"/>
                          </a:xfrm>
                          <a:prstGeom prst="rect">
                            <a:avLst/>
                          </a:prstGeom>
                        </pic:spPr>
                      </pic:pic>
                    </a:graphicData>
                  </a:graphic>
                </wp:inline>
              </w:drawing>
            </w:r>
          </w:p>
          <w:p w14:paraId="7F5B5A42">
            <w:pPr>
              <w:keepNext w:val="0"/>
              <w:keepLines w:val="0"/>
              <w:widowControl/>
              <w:suppressLineNumbers w:val="0"/>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cs="Times New Roman"/>
                <w:b/>
                <w:bCs/>
                <w:color w:val="auto"/>
                <w:szCs w:val="21"/>
              </w:rPr>
              <w:t>图2</w:t>
            </w:r>
            <w:r>
              <w:rPr>
                <w:rFonts w:hint="default" w:ascii="Times New Roman" w:hAnsi="Times New Roman" w:cs="Times New Roman"/>
                <w:b/>
                <w:bCs/>
                <w:color w:val="auto"/>
                <w:szCs w:val="21"/>
                <w:lang w:val="en-US" w:eastAsia="zh-CN"/>
              </w:rPr>
              <w:t>-</w:t>
            </w:r>
            <w:r>
              <w:rPr>
                <w:rFonts w:hint="eastAsia" w:ascii="Times New Roman" w:hAnsi="Times New Roman" w:cs="Times New Roman"/>
                <w:b/>
                <w:bCs/>
                <w:color w:val="auto"/>
                <w:szCs w:val="21"/>
                <w:lang w:val="en-US" w:eastAsia="zh-CN"/>
              </w:rPr>
              <w:t>2</w:t>
            </w:r>
            <w:r>
              <w:rPr>
                <w:rFonts w:hint="eastAsia" w:cs="Times New Roman"/>
                <w:b/>
                <w:bCs/>
                <w:color w:val="auto"/>
                <w:szCs w:val="21"/>
                <w:lang w:val="en-US" w:eastAsia="zh-CN"/>
              </w:rPr>
              <w:t xml:space="preserve">  </w:t>
            </w:r>
            <w:r>
              <w:rPr>
                <w:rFonts w:hint="default" w:ascii="Times New Roman" w:hAnsi="Times New Roman" w:cs="Times New Roman"/>
                <w:b/>
                <w:bCs/>
                <w:color w:val="auto"/>
                <w:szCs w:val="21"/>
              </w:rPr>
              <w:t>项目</w:t>
            </w:r>
            <w:r>
              <w:rPr>
                <w:rFonts w:hint="eastAsia" w:cs="Times New Roman"/>
                <w:b/>
                <w:bCs/>
                <w:color w:val="auto"/>
                <w:szCs w:val="21"/>
                <w:lang w:val="en-US" w:eastAsia="zh-CN"/>
              </w:rPr>
              <w:t>工艺流程及产污环节</w:t>
            </w:r>
            <w:r>
              <w:rPr>
                <w:rFonts w:hint="default" w:ascii="Times New Roman" w:hAnsi="Times New Roman" w:cs="Times New Roman"/>
                <w:b/>
                <w:bCs/>
                <w:color w:val="auto"/>
                <w:szCs w:val="21"/>
              </w:rPr>
              <w:t>图</w:t>
            </w:r>
          </w:p>
          <w:p w14:paraId="6DAB4C3B">
            <w:pPr>
              <w:spacing w:line="360" w:lineRule="auto"/>
              <w:ind w:firstLine="482" w:firstLineChars="200"/>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工艺流程简述：</w:t>
            </w:r>
          </w:p>
          <w:p w14:paraId="2908B9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①炮制</w:t>
            </w:r>
            <w:r>
              <w:rPr>
                <w:rFonts w:hint="default"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本项目试验所用中药药材均为</w:t>
            </w:r>
            <w:r>
              <w:rPr>
                <w:rFonts w:hint="default" w:ascii="宋体" w:hAnsi="宋体" w:eastAsia="宋体" w:cs="宋体"/>
                <w:color w:val="auto"/>
                <w:kern w:val="0"/>
                <w:sz w:val="24"/>
                <w:szCs w:val="24"/>
                <w:lang w:val="en-US" w:eastAsia="zh-CN" w:bidi="ar"/>
              </w:rPr>
              <w:t>净选</w:t>
            </w:r>
            <w:r>
              <w:rPr>
                <w:rFonts w:hint="eastAsia" w:ascii="宋体" w:hAnsi="宋体" w:eastAsia="宋体" w:cs="宋体"/>
                <w:color w:val="auto"/>
                <w:kern w:val="0"/>
                <w:sz w:val="24"/>
                <w:szCs w:val="24"/>
                <w:lang w:val="en-US" w:eastAsia="zh-CN" w:bidi="ar"/>
              </w:rPr>
              <w:t>后的药材，不再进一步进行挑选，</w:t>
            </w:r>
            <w:r>
              <w:rPr>
                <w:rFonts w:hint="eastAsia" w:ascii="宋体" w:hAnsi="宋体" w:cs="宋体"/>
                <w:color w:val="auto"/>
                <w:kern w:val="0"/>
                <w:sz w:val="24"/>
                <w:szCs w:val="24"/>
                <w:lang w:val="en-US" w:eastAsia="zh-CN" w:bidi="ar"/>
              </w:rPr>
              <w:t>不同药材选择性</w:t>
            </w:r>
            <w:r>
              <w:rPr>
                <w:rFonts w:hint="default" w:ascii="宋体" w:hAnsi="宋体" w:eastAsia="宋体" w:cs="宋体"/>
                <w:color w:val="auto"/>
                <w:kern w:val="0"/>
                <w:sz w:val="24"/>
                <w:szCs w:val="24"/>
                <w:lang w:val="en-US" w:eastAsia="zh-CN" w:bidi="ar"/>
              </w:rPr>
              <w:t>进行洗、润</w:t>
            </w:r>
            <w:r>
              <w:rPr>
                <w:rFonts w:hint="eastAsia" w:ascii="宋体" w:hAnsi="宋体" w:eastAsia="宋体" w:cs="宋体"/>
                <w:color w:val="auto"/>
                <w:kern w:val="0"/>
                <w:sz w:val="24"/>
                <w:szCs w:val="24"/>
                <w:lang w:val="en-US" w:eastAsia="zh-CN" w:bidi="ar"/>
              </w:rPr>
              <w:t>、切、烘干、粉碎</w:t>
            </w:r>
            <w:r>
              <w:rPr>
                <w:rFonts w:hint="default" w:ascii="宋体" w:hAnsi="宋体" w:eastAsia="宋体" w:cs="宋体"/>
                <w:color w:val="auto"/>
                <w:kern w:val="0"/>
                <w:sz w:val="24"/>
                <w:szCs w:val="24"/>
                <w:lang w:val="en-US" w:eastAsia="zh-CN" w:bidi="ar"/>
              </w:rPr>
              <w:t>等</w:t>
            </w:r>
            <w:r>
              <w:rPr>
                <w:rFonts w:hint="eastAsia" w:ascii="宋体" w:hAnsi="宋体" w:eastAsia="宋体" w:cs="宋体"/>
                <w:color w:val="auto"/>
                <w:kern w:val="0"/>
                <w:sz w:val="24"/>
                <w:szCs w:val="24"/>
                <w:lang w:val="en-US" w:eastAsia="zh-CN" w:bidi="ar"/>
              </w:rPr>
              <w:t>前</w:t>
            </w:r>
            <w:r>
              <w:rPr>
                <w:rFonts w:hint="default" w:ascii="宋体" w:hAnsi="宋体" w:eastAsia="宋体" w:cs="宋体"/>
                <w:color w:val="auto"/>
                <w:kern w:val="0"/>
                <w:sz w:val="24"/>
                <w:szCs w:val="24"/>
                <w:lang w:val="en-US" w:eastAsia="zh-CN" w:bidi="ar"/>
              </w:rPr>
              <w:t>处理过程，以适于下道工序的要求。</w:t>
            </w:r>
            <w:r>
              <w:rPr>
                <w:rFonts w:hint="eastAsia" w:ascii="宋体" w:hAnsi="宋体" w:eastAsia="宋体" w:cs="宋体"/>
                <w:color w:val="auto"/>
                <w:kern w:val="0"/>
                <w:sz w:val="24"/>
                <w:szCs w:val="24"/>
                <w:lang w:val="en-US" w:eastAsia="zh-CN" w:bidi="ar"/>
              </w:rPr>
              <w:t>此</w:t>
            </w:r>
            <w:r>
              <w:rPr>
                <w:rFonts w:hint="default" w:ascii="宋体" w:hAnsi="宋体" w:eastAsia="宋体" w:cs="宋体"/>
                <w:color w:val="auto"/>
                <w:kern w:val="0"/>
                <w:sz w:val="24"/>
                <w:szCs w:val="24"/>
                <w:lang w:val="en-US" w:eastAsia="zh-CN" w:bidi="ar"/>
              </w:rPr>
              <w:t>过程会产生</w:t>
            </w:r>
            <w:r>
              <w:rPr>
                <w:rFonts w:hint="eastAsia" w:ascii="宋体" w:hAnsi="宋体" w:eastAsia="宋体" w:cs="宋体"/>
                <w:color w:val="auto"/>
                <w:kern w:val="0"/>
                <w:sz w:val="24"/>
                <w:szCs w:val="24"/>
                <w:lang w:val="en-US" w:eastAsia="zh-CN" w:bidi="ar"/>
              </w:rPr>
              <w:t>药材洗润、浸泡用水，</w:t>
            </w:r>
            <w:r>
              <w:rPr>
                <w:rFonts w:hint="eastAsia" w:ascii="宋体" w:hAnsi="宋体" w:cs="宋体"/>
                <w:color w:val="auto"/>
                <w:kern w:val="0"/>
                <w:sz w:val="24"/>
                <w:szCs w:val="24"/>
                <w:lang w:val="en-US" w:eastAsia="zh-CN" w:bidi="ar"/>
              </w:rPr>
              <w:t>原料粉碎产生的</w:t>
            </w:r>
            <w:r>
              <w:rPr>
                <w:rFonts w:hint="eastAsia" w:ascii="宋体" w:hAnsi="宋体" w:eastAsia="宋体" w:cs="宋体"/>
                <w:color w:val="auto"/>
                <w:kern w:val="0"/>
                <w:sz w:val="24"/>
                <w:szCs w:val="24"/>
                <w:lang w:val="en-US" w:eastAsia="zh-CN" w:bidi="ar"/>
              </w:rPr>
              <w:t>颗粒物，噪声</w:t>
            </w:r>
            <w:r>
              <w:rPr>
                <w:rFonts w:hint="default" w:ascii="宋体" w:hAnsi="宋体" w:eastAsia="宋体" w:cs="宋体"/>
                <w:color w:val="auto"/>
                <w:kern w:val="0"/>
                <w:sz w:val="24"/>
                <w:szCs w:val="24"/>
                <w:lang w:val="en-US" w:eastAsia="zh-CN" w:bidi="ar"/>
              </w:rPr>
              <w:t>。</w:t>
            </w:r>
          </w:p>
          <w:p w14:paraId="0523AB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②蒸煮过滤：将处理好的不同种类的中药材料加入水进行加热蒸煮，蒸煮温度约</w:t>
            </w:r>
            <w:r>
              <w:rPr>
                <w:rFonts w:hint="default" w:ascii="宋体" w:hAnsi="宋体" w:eastAsia="宋体" w:cs="宋体"/>
                <w:color w:val="auto"/>
                <w:kern w:val="0"/>
                <w:sz w:val="24"/>
                <w:szCs w:val="24"/>
                <w:lang w:val="en-US" w:eastAsia="zh-CN" w:bidi="ar"/>
              </w:rPr>
              <w:t>100</w:t>
            </w:r>
            <w:r>
              <w:rPr>
                <w:rFonts w:hint="eastAsia" w:ascii="宋体" w:hAnsi="宋体" w:eastAsia="宋体" w:cs="宋体"/>
                <w:color w:val="auto"/>
                <w:kern w:val="0"/>
                <w:sz w:val="24"/>
                <w:szCs w:val="24"/>
                <w:lang w:val="en-US" w:eastAsia="zh-CN" w:bidi="ar"/>
              </w:rPr>
              <w:t>℃，蒸煮后煮液进行过滤，过滤后药渣进行二次蒸煮过滤。将一次蒸煮过滤和二次蒸煮过滤的药液收集备用。</w:t>
            </w:r>
            <w:r>
              <w:rPr>
                <w:rFonts w:hint="eastAsia" w:ascii="宋体" w:hAnsi="宋体" w:cs="宋体"/>
                <w:color w:val="auto"/>
                <w:kern w:val="0"/>
                <w:sz w:val="24"/>
                <w:szCs w:val="24"/>
                <w:lang w:val="en-US" w:eastAsia="zh-CN" w:bidi="ar"/>
              </w:rPr>
              <w:t>此过程会产生</w:t>
            </w:r>
            <w:r>
              <w:rPr>
                <w:rFonts w:hint="eastAsia" w:ascii="宋体" w:hAnsi="宋体" w:eastAsia="宋体" w:cs="宋体"/>
                <w:color w:val="auto"/>
                <w:kern w:val="0"/>
                <w:sz w:val="24"/>
                <w:szCs w:val="24"/>
                <w:lang w:val="en-US" w:eastAsia="zh-CN" w:bidi="ar"/>
              </w:rPr>
              <w:t>二次蒸煮过滤后的药渣</w:t>
            </w:r>
            <w:r>
              <w:rPr>
                <w:rFonts w:hint="eastAsia" w:ascii="宋体" w:hAnsi="宋体" w:cs="宋体"/>
                <w:color w:val="auto"/>
                <w:kern w:val="0"/>
                <w:sz w:val="24"/>
                <w:szCs w:val="24"/>
                <w:lang w:val="en-US" w:eastAsia="zh-CN" w:bidi="ar"/>
              </w:rPr>
              <w:t>，异味以及废水</w:t>
            </w:r>
            <w:r>
              <w:rPr>
                <w:rFonts w:hint="eastAsia" w:ascii="宋体" w:hAnsi="宋体" w:eastAsia="宋体" w:cs="宋体"/>
                <w:color w:val="auto"/>
                <w:kern w:val="0"/>
                <w:sz w:val="24"/>
                <w:szCs w:val="24"/>
                <w:lang w:val="en-US" w:eastAsia="zh-CN" w:bidi="ar"/>
              </w:rPr>
              <w:t>。</w:t>
            </w:r>
          </w:p>
          <w:p w14:paraId="354514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③浓缩：将药液放入旋转蒸发仪内对药液进行浓缩，浓缩为稠膏，浓缩温度约</w:t>
            </w:r>
            <w:r>
              <w:rPr>
                <w:rFonts w:hint="default" w:ascii="宋体" w:hAnsi="宋体" w:eastAsia="宋体" w:cs="宋体"/>
                <w:color w:val="auto"/>
                <w:kern w:val="0"/>
                <w:sz w:val="24"/>
                <w:szCs w:val="24"/>
                <w:lang w:val="en-US" w:eastAsia="zh-CN" w:bidi="ar"/>
              </w:rPr>
              <w:t>100</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此过程会产生异味气体。</w:t>
            </w:r>
          </w:p>
          <w:p w14:paraId="04D948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④干燥：将浓缩稠膏放入喷雾干燥机干燥，干燥温度约</w:t>
            </w:r>
            <w:r>
              <w:rPr>
                <w:rFonts w:hint="default" w:ascii="宋体" w:hAnsi="宋体" w:eastAsia="宋体" w:cs="宋体"/>
                <w:color w:val="auto"/>
                <w:kern w:val="0"/>
                <w:sz w:val="24"/>
                <w:szCs w:val="24"/>
                <w:lang w:val="en-US" w:eastAsia="zh-CN" w:bidi="ar"/>
              </w:rPr>
              <w:t>105</w:t>
            </w:r>
            <w:r>
              <w:rPr>
                <w:rFonts w:hint="eastAsia" w:ascii="宋体" w:hAnsi="宋体" w:eastAsia="宋体" w:cs="宋体"/>
                <w:color w:val="auto"/>
                <w:kern w:val="0"/>
                <w:sz w:val="24"/>
                <w:szCs w:val="24"/>
                <w:lang w:val="en-US" w:eastAsia="zh-CN" w:bidi="ar"/>
              </w:rPr>
              <w:t>℃，湿度范围为</w:t>
            </w:r>
            <w:r>
              <w:rPr>
                <w:rFonts w:hint="default" w:ascii="宋体" w:hAnsi="宋体" w:eastAsia="宋体" w:cs="宋体"/>
                <w:color w:val="auto"/>
                <w:kern w:val="0"/>
                <w:sz w:val="24"/>
                <w:szCs w:val="24"/>
                <w:lang w:val="en-US" w:eastAsia="zh-CN" w:bidi="ar"/>
              </w:rPr>
              <w:t>40</w:t>
            </w:r>
            <w:r>
              <w:rPr>
                <w:rFonts w:hint="eastAsia" w:ascii="宋体" w:hAnsi="宋体" w:cs="宋体"/>
                <w:color w:val="auto"/>
                <w:kern w:val="0"/>
                <w:sz w:val="24"/>
                <w:szCs w:val="24"/>
                <w:lang w:val="en-US" w:eastAsia="zh-CN" w:bidi="ar"/>
              </w:rPr>
              <w:t>%～</w:t>
            </w:r>
            <w:r>
              <w:rPr>
                <w:rFonts w:hint="default" w:ascii="宋体" w:hAnsi="宋体" w:eastAsia="宋体" w:cs="宋体"/>
                <w:color w:val="auto"/>
                <w:kern w:val="0"/>
                <w:sz w:val="24"/>
                <w:szCs w:val="24"/>
                <w:lang w:val="en-US" w:eastAsia="zh-CN" w:bidi="ar"/>
              </w:rPr>
              <w:t>60</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，此过程会产生噪声。</w:t>
            </w:r>
          </w:p>
          <w:p w14:paraId="11566A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⑤</w:t>
            </w:r>
            <w:r>
              <w:rPr>
                <w:rFonts w:hint="eastAsia" w:ascii="宋体" w:hAnsi="宋体" w:cs="宋体"/>
                <w:color w:val="auto"/>
                <w:kern w:val="0"/>
                <w:sz w:val="24"/>
                <w:szCs w:val="24"/>
                <w:lang w:val="en-US" w:eastAsia="zh-CN" w:bidi="ar"/>
              </w:rPr>
              <w:t>压干：</w:t>
            </w:r>
            <w:r>
              <w:rPr>
                <w:rFonts w:hint="eastAsia" w:ascii="宋体" w:hAnsi="宋体" w:eastAsia="宋体" w:cs="宋体"/>
                <w:color w:val="auto"/>
                <w:kern w:val="0"/>
                <w:sz w:val="24"/>
                <w:szCs w:val="24"/>
                <w:lang w:val="en-US" w:eastAsia="zh-CN" w:bidi="ar"/>
              </w:rPr>
              <w:t>干燥后的药品放入压片机进行压干，用于后续进一步检测，此过程会产生噪声。</w:t>
            </w:r>
          </w:p>
          <w:p w14:paraId="6A553C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⑥称量：将待检样品用分析天平称取所需量，此工序无污染物产生。</w:t>
            </w:r>
          </w:p>
          <w:p w14:paraId="7068A3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⑦样品处理：在通风橱内操作，对称量好的样品根据检验方法的不同加入不同种类的试剂，主要污染物为溶剂挥发产生的挥发性有机物、</w:t>
            </w:r>
            <w:r>
              <w:rPr>
                <w:rFonts w:hint="eastAsia" w:ascii="宋体" w:hAnsi="宋体" w:eastAsia="宋体" w:cs="宋体"/>
                <w:color w:val="auto"/>
                <w:kern w:val="0"/>
                <w:sz w:val="24"/>
                <w:szCs w:val="24"/>
                <w:highlight w:val="none"/>
                <w:lang w:val="en-US" w:eastAsia="zh-CN" w:bidi="ar"/>
              </w:rPr>
              <w:t>氨气</w:t>
            </w:r>
            <w:r>
              <w:rPr>
                <w:rFonts w:hint="eastAsia" w:ascii="宋体" w:hAnsi="宋体" w:eastAsia="宋体" w:cs="宋体"/>
                <w:color w:val="auto"/>
                <w:kern w:val="0"/>
                <w:sz w:val="24"/>
                <w:szCs w:val="24"/>
                <w:lang w:val="en-US" w:eastAsia="zh-CN" w:bidi="ar"/>
              </w:rPr>
              <w:t>，器皿清洗废水、废液、废试剂瓶等。</w:t>
            </w:r>
          </w:p>
          <w:p w14:paraId="7BC055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⑧仪器检测：用不同的检测仪器对处理后的样品进行分析。</w:t>
            </w:r>
          </w:p>
          <w:bookmarkEnd w:id="6"/>
          <w:p w14:paraId="6CC82F6C">
            <w:pPr>
              <w:keepNext w:val="0"/>
              <w:keepLines w:val="0"/>
              <w:pageBreakBefore/>
              <w:widowControl w:val="0"/>
              <w:kinsoku/>
              <w:wordWrap/>
              <w:overflowPunct/>
              <w:topLinePunct w:val="0"/>
              <w:autoSpaceDE/>
              <w:autoSpaceDN/>
              <w:bidi w:val="0"/>
              <w:adjustRightInd/>
              <w:snapToGrid/>
              <w:ind w:firstLine="422" w:firstLineChars="200"/>
              <w:jc w:val="center"/>
              <w:textAlignment w:val="auto"/>
              <w:rPr>
                <w:rFonts w:hint="default" w:ascii="Times New Roman" w:hAnsi="Times New Roman" w:cs="Times New Roman"/>
                <w:b/>
                <w:color w:val="auto"/>
                <w:szCs w:val="21"/>
                <w:lang w:val="zh-CN"/>
              </w:rPr>
            </w:pPr>
            <w:r>
              <w:rPr>
                <w:rFonts w:hint="default" w:ascii="Times New Roman" w:hAnsi="Times New Roman" w:cs="Times New Roman"/>
                <w:b/>
                <w:color w:val="auto"/>
                <w:szCs w:val="21"/>
                <w:lang w:val="zh-CN"/>
              </w:rPr>
              <w:t>表</w:t>
            </w:r>
            <w:r>
              <w:rPr>
                <w:rFonts w:hint="default" w:ascii="Times New Roman" w:hAnsi="Times New Roman" w:cs="Times New Roman"/>
                <w:b/>
                <w:color w:val="auto"/>
                <w:szCs w:val="21"/>
              </w:rPr>
              <w:t>2-</w:t>
            </w:r>
            <w:r>
              <w:rPr>
                <w:rFonts w:hint="default" w:ascii="Times New Roman" w:hAnsi="Times New Roman" w:cs="Times New Roman"/>
                <w:b/>
                <w:color w:val="auto"/>
                <w:szCs w:val="21"/>
                <w:lang w:val="en-US" w:eastAsia="zh-CN"/>
              </w:rPr>
              <w:t>6</w:t>
            </w:r>
            <w:r>
              <w:rPr>
                <w:rFonts w:hint="eastAsia" w:cs="Times New Roman"/>
                <w:b/>
                <w:color w:val="auto"/>
                <w:szCs w:val="21"/>
                <w:lang w:val="en-US" w:eastAsia="zh-CN"/>
              </w:rPr>
              <w:t xml:space="preserve">  </w:t>
            </w:r>
            <w:r>
              <w:rPr>
                <w:rFonts w:hint="default" w:ascii="Times New Roman" w:hAnsi="Times New Roman" w:cs="Times New Roman"/>
                <w:b/>
                <w:color w:val="auto"/>
                <w:szCs w:val="21"/>
                <w:lang w:val="zh-CN"/>
              </w:rPr>
              <w:t>项目产污环节汇总一览表</w:t>
            </w:r>
          </w:p>
          <w:tbl>
            <w:tblPr>
              <w:tblStyle w:val="28"/>
              <w:tblW w:w="820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86"/>
              <w:gridCol w:w="742"/>
              <w:gridCol w:w="1672"/>
              <w:gridCol w:w="1743"/>
              <w:gridCol w:w="988"/>
              <w:gridCol w:w="2278"/>
            </w:tblGrid>
            <w:tr w14:paraId="003CA1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tcMar>
                    <w:left w:w="28" w:type="dxa"/>
                    <w:right w:w="28" w:type="dxa"/>
                  </w:tcMar>
                  <w:vAlign w:val="center"/>
                </w:tcPr>
                <w:p w14:paraId="0C8C9413">
                  <w:pPr>
                    <w:tabs>
                      <w:tab w:val="left" w:pos="945"/>
                    </w:tabs>
                    <w:spacing w:line="32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w:t>
                  </w:r>
                </w:p>
                <w:p w14:paraId="4CFA5427">
                  <w:pPr>
                    <w:tabs>
                      <w:tab w:val="left" w:pos="945"/>
                    </w:tabs>
                    <w:spacing w:line="320" w:lineRule="exact"/>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类别</w:t>
                  </w:r>
                </w:p>
              </w:tc>
              <w:tc>
                <w:tcPr>
                  <w:tcW w:w="742" w:type="dxa"/>
                  <w:tcMar>
                    <w:left w:w="28" w:type="dxa"/>
                    <w:right w:w="28" w:type="dxa"/>
                  </w:tcMar>
                  <w:vAlign w:val="center"/>
                </w:tcPr>
                <w:p w14:paraId="53C32748">
                  <w:pPr>
                    <w:tabs>
                      <w:tab w:val="left" w:pos="945"/>
                    </w:tabs>
                    <w:snapToGrid w:val="0"/>
                    <w:jc w:val="center"/>
                    <w:rPr>
                      <w:rFonts w:hint="eastAsia" w:ascii="Times New Roman" w:hAnsi="Times New Roman" w:eastAsia="宋体" w:cs="Times New Roman"/>
                      <w:b/>
                      <w:color w:val="auto"/>
                      <w:sz w:val="21"/>
                      <w:szCs w:val="21"/>
                      <w:lang w:eastAsia="zh-CN"/>
                    </w:rPr>
                  </w:pPr>
                  <w:r>
                    <w:rPr>
                      <w:rFonts w:hint="eastAsia" w:cs="Times New Roman"/>
                      <w:b/>
                      <w:color w:val="auto"/>
                      <w:sz w:val="21"/>
                      <w:szCs w:val="21"/>
                      <w:lang w:val="en-US" w:eastAsia="zh-CN"/>
                    </w:rPr>
                    <w:t>编号</w:t>
                  </w:r>
                </w:p>
              </w:tc>
              <w:tc>
                <w:tcPr>
                  <w:tcW w:w="1672" w:type="dxa"/>
                  <w:tcMar>
                    <w:left w:w="28" w:type="dxa"/>
                    <w:right w:w="28" w:type="dxa"/>
                  </w:tcMar>
                  <w:vAlign w:val="center"/>
                </w:tcPr>
                <w:p w14:paraId="4D7B583C">
                  <w:pPr>
                    <w:tabs>
                      <w:tab w:val="left" w:pos="945"/>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产生工序</w:t>
                  </w:r>
                </w:p>
              </w:tc>
              <w:tc>
                <w:tcPr>
                  <w:tcW w:w="1743" w:type="dxa"/>
                  <w:tcMar>
                    <w:left w:w="28" w:type="dxa"/>
                    <w:right w:w="28" w:type="dxa"/>
                  </w:tcMar>
                  <w:vAlign w:val="center"/>
                </w:tcPr>
                <w:p w14:paraId="435DF6EF">
                  <w:pPr>
                    <w:tabs>
                      <w:tab w:val="left" w:pos="945"/>
                    </w:tabs>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主要污染因子</w:t>
                  </w:r>
                </w:p>
              </w:tc>
              <w:tc>
                <w:tcPr>
                  <w:tcW w:w="988" w:type="dxa"/>
                  <w:tcMar>
                    <w:left w:w="28" w:type="dxa"/>
                    <w:right w:w="28" w:type="dxa"/>
                  </w:tcMar>
                  <w:vAlign w:val="center"/>
                </w:tcPr>
                <w:p w14:paraId="59A7B20B">
                  <w:pPr>
                    <w:tabs>
                      <w:tab w:val="left" w:pos="945"/>
                    </w:tabs>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产生特征</w:t>
                  </w:r>
                </w:p>
              </w:tc>
              <w:tc>
                <w:tcPr>
                  <w:tcW w:w="2278" w:type="dxa"/>
                  <w:tcMar>
                    <w:left w:w="28" w:type="dxa"/>
                    <w:right w:w="28" w:type="dxa"/>
                  </w:tcMar>
                  <w:vAlign w:val="center"/>
                </w:tcPr>
                <w:p w14:paraId="2034D4F5">
                  <w:pPr>
                    <w:tabs>
                      <w:tab w:val="left" w:pos="945"/>
                    </w:tabs>
                    <w:adjustRightIn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去向</w:t>
                  </w:r>
                </w:p>
              </w:tc>
            </w:tr>
            <w:tr w14:paraId="0D2647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restart"/>
                  <w:tcMar>
                    <w:left w:w="28" w:type="dxa"/>
                    <w:right w:w="28" w:type="dxa"/>
                  </w:tcMar>
                  <w:vAlign w:val="center"/>
                </w:tcPr>
                <w:p w14:paraId="1DD626DB">
                  <w:pPr>
                    <w:tabs>
                      <w:tab w:val="left" w:pos="945"/>
                    </w:tabs>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742" w:type="dxa"/>
                  <w:vMerge w:val="restart"/>
                  <w:tcMar>
                    <w:left w:w="28" w:type="dxa"/>
                    <w:right w:w="28" w:type="dxa"/>
                  </w:tcMar>
                  <w:vAlign w:val="center"/>
                </w:tcPr>
                <w:p w14:paraId="6BEE89DA">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G1</w:t>
                  </w:r>
                </w:p>
              </w:tc>
              <w:tc>
                <w:tcPr>
                  <w:tcW w:w="1672" w:type="dxa"/>
                  <w:vMerge w:val="restart"/>
                  <w:tcMar>
                    <w:left w:w="28" w:type="dxa"/>
                    <w:right w:w="28" w:type="dxa"/>
                  </w:tcMar>
                  <w:vAlign w:val="center"/>
                </w:tcPr>
                <w:p w14:paraId="2DBD23F4">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化学实验操作过程</w:t>
                  </w:r>
                </w:p>
              </w:tc>
              <w:tc>
                <w:tcPr>
                  <w:tcW w:w="1743" w:type="dxa"/>
                  <w:tcMar>
                    <w:left w:w="28" w:type="dxa"/>
                    <w:right w:w="28" w:type="dxa"/>
                  </w:tcMar>
                  <w:vAlign w:val="center"/>
                </w:tcPr>
                <w:p w14:paraId="4BA2DA7F">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非甲烷总烃</w:t>
                  </w:r>
                </w:p>
              </w:tc>
              <w:tc>
                <w:tcPr>
                  <w:tcW w:w="988" w:type="dxa"/>
                  <w:tcMar>
                    <w:left w:w="28" w:type="dxa"/>
                    <w:right w:w="28" w:type="dxa"/>
                  </w:tcMar>
                  <w:vAlign w:val="center"/>
                </w:tcPr>
                <w:p w14:paraId="3C70B77A">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间断</w:t>
                  </w:r>
                </w:p>
              </w:tc>
              <w:tc>
                <w:tcPr>
                  <w:tcW w:w="2278" w:type="dxa"/>
                  <w:tcMar>
                    <w:left w:w="28" w:type="dxa"/>
                    <w:right w:w="28" w:type="dxa"/>
                  </w:tcMar>
                  <w:vAlign w:val="center"/>
                </w:tcPr>
                <w:p w14:paraId="1497D86C">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收集后引至楼顶经活性炭吸附装置处理后高空排放DA001</w:t>
                  </w:r>
                </w:p>
              </w:tc>
            </w:tr>
            <w:tr w14:paraId="1C570C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6" w:type="dxa"/>
                  <w:vMerge w:val="continue"/>
                  <w:tcMar>
                    <w:left w:w="28" w:type="dxa"/>
                    <w:right w:w="28" w:type="dxa"/>
                  </w:tcMar>
                  <w:vAlign w:val="center"/>
                </w:tcPr>
                <w:p w14:paraId="11FD84D4">
                  <w:pPr>
                    <w:tabs>
                      <w:tab w:val="left" w:pos="945"/>
                    </w:tabs>
                    <w:spacing w:line="320" w:lineRule="exact"/>
                    <w:jc w:val="center"/>
                    <w:rPr>
                      <w:rFonts w:hint="default" w:ascii="Times New Roman" w:hAnsi="Times New Roman" w:cs="Times New Roman"/>
                      <w:color w:val="auto"/>
                      <w:sz w:val="21"/>
                      <w:szCs w:val="21"/>
                    </w:rPr>
                  </w:pPr>
                </w:p>
              </w:tc>
              <w:tc>
                <w:tcPr>
                  <w:tcW w:w="742" w:type="dxa"/>
                  <w:vMerge w:val="continue"/>
                  <w:tcMar>
                    <w:left w:w="28" w:type="dxa"/>
                    <w:right w:w="28" w:type="dxa"/>
                  </w:tcMar>
                  <w:vAlign w:val="center"/>
                </w:tcPr>
                <w:p w14:paraId="6AC4CA2E">
                  <w:pPr>
                    <w:tabs>
                      <w:tab w:val="left" w:pos="945"/>
                    </w:tabs>
                    <w:snapToGrid w:val="0"/>
                    <w:jc w:val="center"/>
                    <w:rPr>
                      <w:rFonts w:hint="default" w:ascii="Times New Roman" w:hAnsi="Times New Roman" w:cs="Times New Roman"/>
                      <w:color w:val="auto"/>
                      <w:sz w:val="21"/>
                      <w:szCs w:val="21"/>
                    </w:rPr>
                  </w:pPr>
                </w:p>
              </w:tc>
              <w:tc>
                <w:tcPr>
                  <w:tcW w:w="1672" w:type="dxa"/>
                  <w:vMerge w:val="continue"/>
                  <w:tcMar>
                    <w:left w:w="28" w:type="dxa"/>
                    <w:right w:w="28" w:type="dxa"/>
                  </w:tcMar>
                  <w:vAlign w:val="center"/>
                </w:tcPr>
                <w:p w14:paraId="153BC13D">
                  <w:pPr>
                    <w:tabs>
                      <w:tab w:val="left" w:pos="945"/>
                    </w:tabs>
                    <w:adjustRightInd w:val="0"/>
                    <w:jc w:val="center"/>
                    <w:rPr>
                      <w:rFonts w:hint="default" w:ascii="Times New Roman" w:hAnsi="Times New Roman" w:cs="Times New Roman"/>
                      <w:color w:val="auto"/>
                      <w:kern w:val="2"/>
                      <w:sz w:val="21"/>
                      <w:szCs w:val="21"/>
                      <w:lang w:val="en-US" w:eastAsia="zh-CN" w:bidi="ar-SA"/>
                    </w:rPr>
                  </w:pPr>
                </w:p>
              </w:tc>
              <w:tc>
                <w:tcPr>
                  <w:tcW w:w="1743" w:type="dxa"/>
                  <w:tcMar>
                    <w:left w:w="28" w:type="dxa"/>
                    <w:right w:w="28" w:type="dxa"/>
                  </w:tcMar>
                  <w:vAlign w:val="center"/>
                </w:tcPr>
                <w:p w14:paraId="2F84C29F">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氨气</w:t>
                  </w:r>
                </w:p>
              </w:tc>
              <w:tc>
                <w:tcPr>
                  <w:tcW w:w="988" w:type="dxa"/>
                  <w:tcMar>
                    <w:left w:w="28" w:type="dxa"/>
                    <w:right w:w="28" w:type="dxa"/>
                  </w:tcMar>
                  <w:vAlign w:val="center"/>
                </w:tcPr>
                <w:p w14:paraId="47D939B2">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间断</w:t>
                  </w:r>
                </w:p>
              </w:tc>
              <w:tc>
                <w:tcPr>
                  <w:tcW w:w="2278" w:type="dxa"/>
                  <w:vMerge w:val="restart"/>
                  <w:tcMar>
                    <w:left w:w="28" w:type="dxa"/>
                    <w:right w:w="28" w:type="dxa"/>
                  </w:tcMar>
                  <w:vAlign w:val="center"/>
                </w:tcPr>
                <w:p w14:paraId="41509EF7">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无组织排放</w:t>
                  </w:r>
                </w:p>
              </w:tc>
            </w:tr>
            <w:tr w14:paraId="446C8E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6" w:type="dxa"/>
                  <w:vMerge w:val="continue"/>
                  <w:tcMar>
                    <w:left w:w="28" w:type="dxa"/>
                    <w:right w:w="28" w:type="dxa"/>
                  </w:tcMar>
                  <w:vAlign w:val="center"/>
                </w:tcPr>
                <w:p w14:paraId="041A44FA">
                  <w:pPr>
                    <w:tabs>
                      <w:tab w:val="left" w:pos="945"/>
                    </w:tabs>
                    <w:spacing w:line="320" w:lineRule="exact"/>
                    <w:jc w:val="center"/>
                    <w:rPr>
                      <w:rFonts w:hint="default" w:ascii="Times New Roman" w:hAnsi="Times New Roman" w:cs="Times New Roman"/>
                      <w:color w:val="auto"/>
                      <w:sz w:val="21"/>
                      <w:szCs w:val="21"/>
                    </w:rPr>
                  </w:pPr>
                </w:p>
              </w:tc>
              <w:tc>
                <w:tcPr>
                  <w:tcW w:w="742" w:type="dxa"/>
                  <w:shd w:val="clear" w:color="auto" w:fill="auto"/>
                  <w:tcMar>
                    <w:left w:w="28" w:type="dxa"/>
                    <w:right w:w="28" w:type="dxa"/>
                  </w:tcMar>
                  <w:vAlign w:val="center"/>
                </w:tcPr>
                <w:p w14:paraId="2527BC9D">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G2</w:t>
                  </w:r>
                </w:p>
              </w:tc>
              <w:tc>
                <w:tcPr>
                  <w:tcW w:w="1672" w:type="dxa"/>
                  <w:shd w:val="clear" w:color="auto" w:fill="auto"/>
                  <w:tcMar>
                    <w:left w:w="28" w:type="dxa"/>
                    <w:right w:w="28" w:type="dxa"/>
                  </w:tcMar>
                  <w:vAlign w:val="center"/>
                </w:tcPr>
                <w:p w14:paraId="17230032">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粉碎</w:t>
                  </w:r>
                </w:p>
              </w:tc>
              <w:tc>
                <w:tcPr>
                  <w:tcW w:w="1743" w:type="dxa"/>
                  <w:shd w:val="clear" w:color="auto" w:fill="auto"/>
                  <w:tcMar>
                    <w:left w:w="28" w:type="dxa"/>
                    <w:right w:w="28" w:type="dxa"/>
                  </w:tcMar>
                  <w:vAlign w:val="center"/>
                </w:tcPr>
                <w:p w14:paraId="60DC3019">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颗粒物</w:t>
                  </w:r>
                </w:p>
              </w:tc>
              <w:tc>
                <w:tcPr>
                  <w:tcW w:w="988" w:type="dxa"/>
                  <w:shd w:val="clear" w:color="auto" w:fill="auto"/>
                  <w:tcMar>
                    <w:left w:w="28" w:type="dxa"/>
                    <w:right w:w="28" w:type="dxa"/>
                  </w:tcMar>
                  <w:vAlign w:val="center"/>
                </w:tcPr>
                <w:p w14:paraId="07077A86">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间断</w:t>
                  </w:r>
                </w:p>
              </w:tc>
              <w:tc>
                <w:tcPr>
                  <w:tcW w:w="2278" w:type="dxa"/>
                  <w:vMerge w:val="continue"/>
                  <w:tcMar>
                    <w:left w:w="28" w:type="dxa"/>
                    <w:right w:w="28" w:type="dxa"/>
                  </w:tcMar>
                  <w:vAlign w:val="center"/>
                </w:tcPr>
                <w:p w14:paraId="4A01C947">
                  <w:pPr>
                    <w:tabs>
                      <w:tab w:val="left" w:pos="945"/>
                    </w:tabs>
                    <w:adjustRightInd w:val="0"/>
                    <w:jc w:val="center"/>
                    <w:rPr>
                      <w:rFonts w:hint="eastAsia" w:cs="Times New Roman"/>
                      <w:color w:val="auto"/>
                      <w:kern w:val="2"/>
                      <w:sz w:val="21"/>
                      <w:szCs w:val="21"/>
                      <w:lang w:val="en-US" w:eastAsia="zh-CN" w:bidi="ar-SA"/>
                    </w:rPr>
                  </w:pPr>
                </w:p>
              </w:tc>
            </w:tr>
            <w:tr w14:paraId="7AD65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continue"/>
                  <w:tcMar>
                    <w:left w:w="28" w:type="dxa"/>
                    <w:right w:w="28" w:type="dxa"/>
                  </w:tcMar>
                  <w:vAlign w:val="center"/>
                </w:tcPr>
                <w:p w14:paraId="791FB1C7">
                  <w:pPr>
                    <w:tabs>
                      <w:tab w:val="left" w:pos="945"/>
                    </w:tabs>
                    <w:spacing w:line="320" w:lineRule="exact"/>
                    <w:jc w:val="center"/>
                    <w:rPr>
                      <w:rFonts w:hint="default" w:ascii="Times New Roman" w:hAnsi="Times New Roman" w:cs="Times New Roman"/>
                      <w:color w:val="auto"/>
                      <w:sz w:val="21"/>
                      <w:szCs w:val="21"/>
                    </w:rPr>
                  </w:pPr>
                </w:p>
              </w:tc>
              <w:tc>
                <w:tcPr>
                  <w:tcW w:w="742" w:type="dxa"/>
                  <w:shd w:val="clear" w:color="auto" w:fill="auto"/>
                  <w:tcMar>
                    <w:left w:w="28" w:type="dxa"/>
                    <w:right w:w="28" w:type="dxa"/>
                  </w:tcMar>
                  <w:vAlign w:val="center"/>
                </w:tcPr>
                <w:p w14:paraId="30D0C837">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G3</w:t>
                  </w:r>
                </w:p>
              </w:tc>
              <w:tc>
                <w:tcPr>
                  <w:tcW w:w="1672" w:type="dxa"/>
                  <w:tcMar>
                    <w:left w:w="28" w:type="dxa"/>
                    <w:right w:w="28" w:type="dxa"/>
                  </w:tcMar>
                  <w:vAlign w:val="center"/>
                </w:tcPr>
                <w:p w14:paraId="017DFE18">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蒸煮、浓缩</w:t>
                  </w:r>
                </w:p>
              </w:tc>
              <w:tc>
                <w:tcPr>
                  <w:tcW w:w="1743" w:type="dxa"/>
                  <w:tcMar>
                    <w:left w:w="28" w:type="dxa"/>
                    <w:right w:w="28" w:type="dxa"/>
                  </w:tcMar>
                  <w:vAlign w:val="center"/>
                </w:tcPr>
                <w:p w14:paraId="0B8BD124">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异味（臭气浓度）</w:t>
                  </w:r>
                </w:p>
              </w:tc>
              <w:tc>
                <w:tcPr>
                  <w:tcW w:w="988" w:type="dxa"/>
                  <w:tcMar>
                    <w:left w:w="28" w:type="dxa"/>
                    <w:right w:w="28" w:type="dxa"/>
                  </w:tcMar>
                  <w:vAlign w:val="center"/>
                </w:tcPr>
                <w:p w14:paraId="63C31FE7">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间断</w:t>
                  </w:r>
                </w:p>
              </w:tc>
              <w:tc>
                <w:tcPr>
                  <w:tcW w:w="2278" w:type="dxa"/>
                  <w:tcMar>
                    <w:left w:w="28" w:type="dxa"/>
                    <w:right w:w="28" w:type="dxa"/>
                  </w:tcMar>
                  <w:vAlign w:val="center"/>
                </w:tcPr>
                <w:p w14:paraId="2D7D5C9E">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收集后引至楼顶经活性炭吸附装置处理后高空排放DA002</w:t>
                  </w:r>
                </w:p>
              </w:tc>
            </w:tr>
            <w:tr w14:paraId="4E98C9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786" w:type="dxa"/>
                  <w:vMerge w:val="restart"/>
                  <w:tcMar>
                    <w:left w:w="28" w:type="dxa"/>
                    <w:right w:w="28" w:type="dxa"/>
                  </w:tcMar>
                  <w:vAlign w:val="center"/>
                </w:tcPr>
                <w:p w14:paraId="25E111F8">
                  <w:pPr>
                    <w:tabs>
                      <w:tab w:val="left" w:pos="945"/>
                    </w:tabs>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742" w:type="dxa"/>
                  <w:tcMar>
                    <w:left w:w="28" w:type="dxa"/>
                    <w:right w:w="28" w:type="dxa"/>
                  </w:tcMar>
                  <w:vAlign w:val="center"/>
                </w:tcPr>
                <w:p w14:paraId="55A34321">
                  <w:pPr>
                    <w:tabs>
                      <w:tab w:val="left" w:pos="945"/>
                    </w:tabs>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W1</w:t>
                  </w:r>
                </w:p>
              </w:tc>
              <w:tc>
                <w:tcPr>
                  <w:tcW w:w="1672" w:type="dxa"/>
                  <w:tcMar>
                    <w:left w:w="28" w:type="dxa"/>
                    <w:right w:w="28" w:type="dxa"/>
                  </w:tcMar>
                  <w:vAlign w:val="center"/>
                </w:tcPr>
                <w:p w14:paraId="3E485885">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设备、器皿</w:t>
                  </w:r>
                  <w:r>
                    <w:rPr>
                      <w:rFonts w:hint="default" w:ascii="Times New Roman" w:hAnsi="Times New Roman" w:cs="Times New Roman"/>
                      <w:color w:val="auto"/>
                      <w:kern w:val="2"/>
                      <w:sz w:val="21"/>
                      <w:szCs w:val="21"/>
                      <w:lang w:val="en-US" w:eastAsia="zh-CN" w:bidi="ar-SA"/>
                    </w:rPr>
                    <w:t>清洗废水</w:t>
                  </w:r>
                  <w:r>
                    <w:rPr>
                      <w:rFonts w:hint="eastAsia" w:cs="Times New Roman"/>
                      <w:color w:val="auto"/>
                      <w:kern w:val="2"/>
                      <w:sz w:val="21"/>
                      <w:szCs w:val="21"/>
                      <w:lang w:val="en-US" w:eastAsia="zh-CN" w:bidi="ar-SA"/>
                    </w:rPr>
                    <w:t>，实验台及</w:t>
                  </w:r>
                  <w:r>
                    <w:rPr>
                      <w:rFonts w:hint="default" w:ascii="Times New Roman" w:hAnsi="Times New Roman" w:cs="Times New Roman"/>
                      <w:color w:val="auto"/>
                      <w:kern w:val="2"/>
                      <w:sz w:val="21"/>
                      <w:szCs w:val="21"/>
                      <w:lang w:val="en-US" w:eastAsia="zh-CN" w:bidi="ar-SA"/>
                    </w:rPr>
                    <w:t>拖布清洗废</w:t>
                  </w:r>
                  <w:r>
                    <w:rPr>
                      <w:rFonts w:hint="default" w:cs="Times New Roman"/>
                      <w:color w:val="auto"/>
                      <w:kern w:val="2"/>
                      <w:sz w:val="21"/>
                      <w:szCs w:val="21"/>
                      <w:lang w:val="en-US" w:eastAsia="zh-CN" w:bidi="ar-SA"/>
                    </w:rPr>
                    <w:t>水</w:t>
                  </w:r>
                  <w:r>
                    <w:rPr>
                      <w:rFonts w:hint="eastAsia" w:cs="Times New Roman"/>
                      <w:color w:val="auto"/>
                      <w:kern w:val="2"/>
                      <w:sz w:val="21"/>
                      <w:szCs w:val="21"/>
                      <w:lang w:val="en-US" w:eastAsia="zh-CN" w:bidi="ar-SA"/>
                    </w:rPr>
                    <w:t>，药材洗润、浸泡、蒸煮用水、浓水</w:t>
                  </w:r>
                </w:p>
              </w:tc>
              <w:tc>
                <w:tcPr>
                  <w:tcW w:w="1743" w:type="dxa"/>
                  <w:tcMar>
                    <w:left w:w="28" w:type="dxa"/>
                    <w:right w:w="28" w:type="dxa"/>
                  </w:tcMar>
                  <w:vAlign w:val="center"/>
                </w:tcPr>
                <w:p w14:paraId="13D997F4">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pH、</w:t>
                  </w:r>
                  <w:r>
                    <w:rPr>
                      <w:rFonts w:hint="default" w:ascii="Times New Roman" w:hAnsi="Times New Roman" w:cs="Times New Roman"/>
                      <w:color w:val="auto"/>
                      <w:sz w:val="21"/>
                      <w:szCs w:val="21"/>
                    </w:rPr>
                    <w:t>COD、BOD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、SS、氨氮等</w:t>
                  </w:r>
                </w:p>
              </w:tc>
              <w:tc>
                <w:tcPr>
                  <w:tcW w:w="988" w:type="dxa"/>
                  <w:tcMar>
                    <w:left w:w="28" w:type="dxa"/>
                    <w:right w:w="28" w:type="dxa"/>
                  </w:tcMar>
                  <w:vAlign w:val="center"/>
                </w:tcPr>
                <w:p w14:paraId="419687BC">
                  <w:pPr>
                    <w:tabs>
                      <w:tab w:val="left" w:pos="945"/>
                    </w:tabs>
                    <w:adjustRightIn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间断</w:t>
                  </w:r>
                </w:p>
              </w:tc>
              <w:tc>
                <w:tcPr>
                  <w:tcW w:w="2278" w:type="dxa"/>
                  <w:tcMar>
                    <w:left w:w="28" w:type="dxa"/>
                    <w:right w:w="28" w:type="dxa"/>
                  </w:tcMar>
                  <w:vAlign w:val="center"/>
                </w:tcPr>
                <w:p w14:paraId="57036FDE">
                  <w:pPr>
                    <w:tabs>
                      <w:tab w:val="left" w:pos="945"/>
                    </w:tabs>
                    <w:adjustRightIn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经污水处理设施处理</w:t>
                  </w:r>
                  <w:r>
                    <w:rPr>
                      <w:rFonts w:hint="default" w:ascii="Times New Roman" w:hAnsi="Times New Roman" w:cs="Times New Roman"/>
                      <w:color w:val="auto"/>
                      <w:sz w:val="21"/>
                      <w:szCs w:val="21"/>
                      <w:lang w:val="en-US" w:eastAsia="zh-CN"/>
                    </w:rPr>
                    <w:t>后排入</w:t>
                  </w:r>
                  <w:r>
                    <w:rPr>
                      <w:rFonts w:hint="eastAsia" w:cs="Times New Roman"/>
                      <w:color w:val="auto"/>
                      <w:sz w:val="21"/>
                      <w:szCs w:val="21"/>
                      <w:lang w:val="en-US" w:eastAsia="zh-CN"/>
                    </w:rPr>
                    <w:t>现有</w:t>
                  </w:r>
                  <w:r>
                    <w:rPr>
                      <w:rFonts w:hint="default" w:ascii="Times New Roman" w:hAnsi="Times New Roman" w:cs="Times New Roman"/>
                      <w:color w:val="auto"/>
                      <w:sz w:val="21"/>
                      <w:szCs w:val="21"/>
                      <w:lang w:val="en-US" w:eastAsia="zh-CN"/>
                    </w:rPr>
                    <w:t>化粪池进入市政污水管网</w:t>
                  </w:r>
                </w:p>
              </w:tc>
            </w:tr>
            <w:tr w14:paraId="08E91C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786" w:type="dxa"/>
                  <w:vMerge w:val="continue"/>
                  <w:tcMar>
                    <w:left w:w="28" w:type="dxa"/>
                    <w:right w:w="28" w:type="dxa"/>
                  </w:tcMar>
                  <w:vAlign w:val="center"/>
                </w:tcPr>
                <w:p w14:paraId="32B11A89">
                  <w:pPr>
                    <w:tabs>
                      <w:tab w:val="left" w:pos="945"/>
                    </w:tabs>
                    <w:spacing w:line="320" w:lineRule="exact"/>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188CC84C">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w:t>
                  </w:r>
                  <w:r>
                    <w:rPr>
                      <w:rFonts w:hint="default" w:ascii="Times New Roman" w:hAnsi="Times New Roman" w:cs="Times New Roman"/>
                      <w:color w:val="auto"/>
                      <w:sz w:val="21"/>
                      <w:szCs w:val="21"/>
                      <w:lang w:val="en-US" w:eastAsia="zh-CN"/>
                    </w:rPr>
                    <w:t>2</w:t>
                  </w:r>
                </w:p>
              </w:tc>
              <w:tc>
                <w:tcPr>
                  <w:tcW w:w="1672" w:type="dxa"/>
                  <w:tcMar>
                    <w:left w:w="28" w:type="dxa"/>
                    <w:right w:w="28" w:type="dxa"/>
                  </w:tcMar>
                  <w:vAlign w:val="center"/>
                </w:tcPr>
                <w:p w14:paraId="3A44608B">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员工生活污水</w:t>
                  </w:r>
                </w:p>
              </w:tc>
              <w:tc>
                <w:tcPr>
                  <w:tcW w:w="1743" w:type="dxa"/>
                  <w:tcMar>
                    <w:left w:w="28" w:type="dxa"/>
                    <w:right w:w="28" w:type="dxa"/>
                  </w:tcMar>
                  <w:vAlign w:val="center"/>
                </w:tcPr>
                <w:p w14:paraId="14E1C213">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COD、BOD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、SS、氨氮等</w:t>
                  </w:r>
                </w:p>
              </w:tc>
              <w:tc>
                <w:tcPr>
                  <w:tcW w:w="988" w:type="dxa"/>
                  <w:tcMar>
                    <w:left w:w="28" w:type="dxa"/>
                    <w:right w:w="28" w:type="dxa"/>
                  </w:tcMar>
                  <w:vAlign w:val="center"/>
                </w:tcPr>
                <w:p w14:paraId="15212395">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间断</w:t>
                  </w:r>
                </w:p>
              </w:tc>
              <w:tc>
                <w:tcPr>
                  <w:tcW w:w="2278" w:type="dxa"/>
                  <w:tcMar>
                    <w:left w:w="28" w:type="dxa"/>
                    <w:right w:w="28" w:type="dxa"/>
                  </w:tcMar>
                  <w:vAlign w:val="center"/>
                </w:tcPr>
                <w:p w14:paraId="2CE75E2F">
                  <w:pPr>
                    <w:tabs>
                      <w:tab w:val="left" w:pos="945"/>
                    </w:tabs>
                    <w:adjustRightIn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排入化粪池进入市政污水管网</w:t>
                  </w:r>
                </w:p>
              </w:tc>
            </w:tr>
            <w:tr w14:paraId="527A9B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786" w:type="dxa"/>
                  <w:vMerge w:val="continue"/>
                  <w:tcMar>
                    <w:left w:w="28" w:type="dxa"/>
                    <w:right w:w="28" w:type="dxa"/>
                  </w:tcMar>
                  <w:vAlign w:val="center"/>
                </w:tcPr>
                <w:p w14:paraId="622F18BC">
                  <w:pPr>
                    <w:tabs>
                      <w:tab w:val="left" w:pos="945"/>
                    </w:tabs>
                    <w:spacing w:line="320" w:lineRule="exact"/>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30B61C0B">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w:t>
                  </w:r>
                  <w:r>
                    <w:rPr>
                      <w:rFonts w:hint="eastAsia" w:cs="Times New Roman"/>
                      <w:color w:val="auto"/>
                      <w:sz w:val="21"/>
                      <w:szCs w:val="21"/>
                      <w:lang w:val="en-US" w:eastAsia="zh-CN"/>
                    </w:rPr>
                    <w:t>3</w:t>
                  </w:r>
                </w:p>
              </w:tc>
              <w:tc>
                <w:tcPr>
                  <w:tcW w:w="1672" w:type="dxa"/>
                  <w:tcMar>
                    <w:left w:w="28" w:type="dxa"/>
                    <w:right w:w="28" w:type="dxa"/>
                  </w:tcMar>
                  <w:vAlign w:val="center"/>
                </w:tcPr>
                <w:p w14:paraId="6DF2C780">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头道清洗废水</w:t>
                  </w:r>
                </w:p>
              </w:tc>
              <w:tc>
                <w:tcPr>
                  <w:tcW w:w="1743" w:type="dxa"/>
                  <w:tcMar>
                    <w:left w:w="28" w:type="dxa"/>
                    <w:right w:w="28" w:type="dxa"/>
                  </w:tcMar>
                  <w:vAlign w:val="center"/>
                </w:tcPr>
                <w:p w14:paraId="2DD00DE8">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酸、碱、有机物</w:t>
                  </w:r>
                  <w:r>
                    <w:rPr>
                      <w:rFonts w:hint="eastAsia" w:cs="Times New Roman"/>
                      <w:color w:val="auto"/>
                      <w:kern w:val="2"/>
                      <w:sz w:val="21"/>
                      <w:szCs w:val="21"/>
                      <w:lang w:val="en-US" w:eastAsia="zh-CN" w:bidi="ar-SA"/>
                    </w:rPr>
                    <w:t>等</w:t>
                  </w:r>
                </w:p>
              </w:tc>
              <w:tc>
                <w:tcPr>
                  <w:tcW w:w="988" w:type="dxa"/>
                  <w:tcMar>
                    <w:left w:w="28" w:type="dxa"/>
                    <w:right w:w="28" w:type="dxa"/>
                  </w:tcMar>
                  <w:vAlign w:val="center"/>
                </w:tcPr>
                <w:p w14:paraId="31349A2F">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间断</w:t>
                  </w:r>
                </w:p>
              </w:tc>
              <w:tc>
                <w:tcPr>
                  <w:tcW w:w="2278" w:type="dxa"/>
                  <w:tcMar>
                    <w:left w:w="28" w:type="dxa"/>
                    <w:right w:w="28" w:type="dxa"/>
                  </w:tcMar>
                  <w:vAlign w:val="center"/>
                </w:tcPr>
                <w:p w14:paraId="7D35C33F">
                  <w:pPr>
                    <w:tabs>
                      <w:tab w:val="left" w:pos="945"/>
                    </w:tabs>
                    <w:adjustRightIn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作为危险废物处置</w:t>
                  </w:r>
                </w:p>
              </w:tc>
            </w:tr>
            <w:tr w14:paraId="30CE8B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tcMar>
                    <w:left w:w="28" w:type="dxa"/>
                    <w:right w:w="28" w:type="dxa"/>
                  </w:tcMar>
                  <w:vAlign w:val="center"/>
                </w:tcPr>
                <w:p w14:paraId="126EA0AE">
                  <w:pPr>
                    <w:tabs>
                      <w:tab w:val="left" w:pos="945"/>
                    </w:tabs>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742" w:type="dxa"/>
                  <w:tcMar>
                    <w:left w:w="28" w:type="dxa"/>
                    <w:right w:w="28" w:type="dxa"/>
                  </w:tcMar>
                  <w:vAlign w:val="center"/>
                </w:tcPr>
                <w:p w14:paraId="37BC77F5">
                  <w:pPr>
                    <w:tabs>
                      <w:tab w:val="left" w:pos="945"/>
                    </w:tabs>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w:t>
                  </w:r>
                </w:p>
              </w:tc>
              <w:tc>
                <w:tcPr>
                  <w:tcW w:w="1672" w:type="dxa"/>
                  <w:tcMar>
                    <w:left w:w="28" w:type="dxa"/>
                    <w:right w:w="28" w:type="dxa"/>
                  </w:tcMar>
                  <w:vAlign w:val="center"/>
                </w:tcPr>
                <w:p w14:paraId="3BDD6C32">
                  <w:pPr>
                    <w:tabs>
                      <w:tab w:val="left" w:pos="945"/>
                    </w:tabs>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设备运行</w:t>
                  </w:r>
                </w:p>
              </w:tc>
              <w:tc>
                <w:tcPr>
                  <w:tcW w:w="1743" w:type="dxa"/>
                  <w:tcMar>
                    <w:left w:w="28" w:type="dxa"/>
                    <w:right w:w="28" w:type="dxa"/>
                  </w:tcMar>
                  <w:vAlign w:val="center"/>
                </w:tcPr>
                <w:p w14:paraId="74B60AA5">
                  <w:pPr>
                    <w:tabs>
                      <w:tab w:val="left" w:pos="94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r>
                    <w:rPr>
                      <w:rFonts w:hint="default" w:ascii="Times New Roman" w:hAnsi="Times New Roman" w:cs="Times New Roman"/>
                      <w:color w:val="auto"/>
                      <w:sz w:val="21"/>
                      <w:szCs w:val="21"/>
                      <w:lang w:val="en-US" w:eastAsia="zh-CN"/>
                    </w:rPr>
                    <w:t>90</w:t>
                  </w:r>
                  <w:r>
                    <w:rPr>
                      <w:rFonts w:hint="default" w:ascii="Times New Roman" w:hAnsi="Times New Roman" w:cs="Times New Roman"/>
                      <w:color w:val="auto"/>
                      <w:sz w:val="21"/>
                      <w:szCs w:val="21"/>
                    </w:rPr>
                    <w:t>dB(A)</w:t>
                  </w:r>
                </w:p>
              </w:tc>
              <w:tc>
                <w:tcPr>
                  <w:tcW w:w="988" w:type="dxa"/>
                  <w:tcMar>
                    <w:left w:w="28" w:type="dxa"/>
                    <w:right w:w="28" w:type="dxa"/>
                  </w:tcMar>
                  <w:vAlign w:val="center"/>
                </w:tcPr>
                <w:p w14:paraId="1EA230E7">
                  <w:pPr>
                    <w:tabs>
                      <w:tab w:val="left" w:pos="94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连续</w:t>
                  </w:r>
                </w:p>
              </w:tc>
              <w:tc>
                <w:tcPr>
                  <w:tcW w:w="2278" w:type="dxa"/>
                  <w:tcMar>
                    <w:left w:w="28" w:type="dxa"/>
                    <w:right w:w="28" w:type="dxa"/>
                  </w:tcMar>
                  <w:vAlign w:val="center"/>
                </w:tcPr>
                <w:p w14:paraId="34F1E1F6">
                  <w:pPr>
                    <w:tabs>
                      <w:tab w:val="left" w:pos="945"/>
                    </w:tabs>
                    <w:adjustRightInd w:val="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排向外环境</w:t>
                  </w:r>
                </w:p>
              </w:tc>
            </w:tr>
            <w:tr w14:paraId="1A052A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restart"/>
                  <w:tcMar>
                    <w:left w:w="28" w:type="dxa"/>
                    <w:right w:w="28" w:type="dxa"/>
                  </w:tcMar>
                  <w:vAlign w:val="center"/>
                </w:tcPr>
                <w:p w14:paraId="5961112C">
                  <w:pPr>
                    <w:tabs>
                      <w:tab w:val="left" w:pos="945"/>
                    </w:tabs>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w:t>
                  </w:r>
                </w:p>
                <w:p w14:paraId="1F5E1B6C">
                  <w:pPr>
                    <w:tabs>
                      <w:tab w:val="left" w:pos="945"/>
                    </w:tabs>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废物</w:t>
                  </w:r>
                </w:p>
              </w:tc>
              <w:tc>
                <w:tcPr>
                  <w:tcW w:w="742" w:type="dxa"/>
                  <w:tcMar>
                    <w:left w:w="28" w:type="dxa"/>
                    <w:right w:w="28" w:type="dxa"/>
                  </w:tcMar>
                  <w:vAlign w:val="center"/>
                </w:tcPr>
                <w:p w14:paraId="7115B18B">
                  <w:pPr>
                    <w:tabs>
                      <w:tab w:val="left" w:pos="945"/>
                    </w:tabs>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S1</w:t>
                  </w:r>
                </w:p>
              </w:tc>
              <w:tc>
                <w:tcPr>
                  <w:tcW w:w="1672" w:type="dxa"/>
                  <w:tcMar>
                    <w:left w:w="28" w:type="dxa"/>
                    <w:right w:w="28" w:type="dxa"/>
                  </w:tcMar>
                  <w:vAlign w:val="center"/>
                </w:tcPr>
                <w:p w14:paraId="2475CE0B">
                  <w:pPr>
                    <w:tabs>
                      <w:tab w:val="left" w:pos="945"/>
                    </w:tabs>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蒸煮、过滤</w:t>
                  </w:r>
                </w:p>
              </w:tc>
              <w:tc>
                <w:tcPr>
                  <w:tcW w:w="1743" w:type="dxa"/>
                  <w:tcMar>
                    <w:left w:w="28" w:type="dxa"/>
                    <w:right w:w="28" w:type="dxa"/>
                  </w:tcMar>
                  <w:vAlign w:val="center"/>
                </w:tcPr>
                <w:p w14:paraId="182DD495">
                  <w:pPr>
                    <w:tabs>
                      <w:tab w:val="left" w:pos="945"/>
                    </w:tabs>
                    <w:jc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药渣</w:t>
                  </w:r>
                </w:p>
              </w:tc>
              <w:tc>
                <w:tcPr>
                  <w:tcW w:w="988" w:type="dxa"/>
                  <w:tcMar>
                    <w:left w:w="28" w:type="dxa"/>
                    <w:right w:w="28" w:type="dxa"/>
                  </w:tcMar>
                  <w:vAlign w:val="center"/>
                </w:tcPr>
                <w:p w14:paraId="2B97F4B6">
                  <w:pPr>
                    <w:tabs>
                      <w:tab w:val="left" w:pos="94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c>
                <w:tcPr>
                  <w:tcW w:w="2278" w:type="dxa"/>
                  <w:tcMar>
                    <w:left w:w="28" w:type="dxa"/>
                    <w:right w:w="28" w:type="dxa"/>
                  </w:tcMar>
                  <w:vAlign w:val="center"/>
                </w:tcPr>
                <w:p w14:paraId="5AFA9D47">
                  <w:pPr>
                    <w:tabs>
                      <w:tab w:val="left" w:pos="945"/>
                    </w:tabs>
                    <w:adjustRightIn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交由环卫部门统一清运</w:t>
                  </w:r>
                </w:p>
              </w:tc>
            </w:tr>
            <w:tr w14:paraId="2694B0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continue"/>
                  <w:tcMar>
                    <w:left w:w="28" w:type="dxa"/>
                    <w:right w:w="28" w:type="dxa"/>
                  </w:tcMar>
                  <w:vAlign w:val="center"/>
                </w:tcPr>
                <w:p w14:paraId="20442917">
                  <w:pPr>
                    <w:widowControl/>
                    <w:spacing w:line="320" w:lineRule="exact"/>
                    <w:ind w:firstLine="420" w:firstLineChars="200"/>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4A624A4C">
                  <w:pPr>
                    <w:tabs>
                      <w:tab w:val="left" w:pos="945"/>
                    </w:tabs>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S2</w:t>
                  </w:r>
                </w:p>
              </w:tc>
              <w:tc>
                <w:tcPr>
                  <w:tcW w:w="1672" w:type="dxa"/>
                  <w:vMerge w:val="restart"/>
                  <w:tcMar>
                    <w:left w:w="28" w:type="dxa"/>
                    <w:right w:w="28" w:type="dxa"/>
                  </w:tcMar>
                  <w:vAlign w:val="center"/>
                </w:tcPr>
                <w:p w14:paraId="2BFAF443">
                  <w:pPr>
                    <w:tabs>
                      <w:tab w:val="left" w:pos="945"/>
                    </w:tabs>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kern w:val="2"/>
                      <w:sz w:val="21"/>
                      <w:szCs w:val="21"/>
                      <w:lang w:val="en-US" w:eastAsia="zh-CN" w:bidi="ar-SA"/>
                    </w:rPr>
                    <w:t>化学</w:t>
                  </w:r>
                  <w:r>
                    <w:rPr>
                      <w:rFonts w:hint="default" w:ascii="Times New Roman" w:hAnsi="Times New Roman" w:cs="Times New Roman"/>
                      <w:color w:val="auto"/>
                      <w:kern w:val="2"/>
                      <w:sz w:val="21"/>
                      <w:szCs w:val="21"/>
                      <w:lang w:val="en-US" w:eastAsia="zh-CN" w:bidi="ar-SA"/>
                    </w:rPr>
                    <w:t>室</w:t>
                  </w:r>
                </w:p>
              </w:tc>
              <w:tc>
                <w:tcPr>
                  <w:tcW w:w="1743" w:type="dxa"/>
                  <w:tcMar>
                    <w:left w:w="28" w:type="dxa"/>
                    <w:right w:w="28" w:type="dxa"/>
                  </w:tcMar>
                  <w:vAlign w:val="center"/>
                </w:tcPr>
                <w:p w14:paraId="31C2598D">
                  <w:pPr>
                    <w:tabs>
                      <w:tab w:val="left" w:pos="945"/>
                    </w:tabs>
                    <w:snapToGrid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废试剂瓶</w:t>
                  </w:r>
                </w:p>
              </w:tc>
              <w:tc>
                <w:tcPr>
                  <w:tcW w:w="988" w:type="dxa"/>
                  <w:tcMar>
                    <w:left w:w="28" w:type="dxa"/>
                    <w:right w:w="28" w:type="dxa"/>
                  </w:tcMar>
                  <w:vAlign w:val="center"/>
                </w:tcPr>
                <w:p w14:paraId="2D1C155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c>
                <w:tcPr>
                  <w:tcW w:w="2278" w:type="dxa"/>
                  <w:vMerge w:val="restart"/>
                  <w:tcMar>
                    <w:left w:w="28" w:type="dxa"/>
                    <w:right w:w="28" w:type="dxa"/>
                  </w:tcMar>
                  <w:vAlign w:val="center"/>
                </w:tcPr>
                <w:p w14:paraId="053E16F8">
                  <w:pPr>
                    <w:tabs>
                      <w:tab w:val="left" w:pos="945"/>
                    </w:tabs>
                    <w:adjustRightIn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收集桶分类收集，暂存于危废暂存库，</w:t>
                  </w:r>
                  <w:r>
                    <w:rPr>
                      <w:rFonts w:hint="eastAsia" w:cs="Times New Roman"/>
                      <w:color w:val="auto"/>
                      <w:sz w:val="21"/>
                      <w:szCs w:val="21"/>
                      <w:lang w:val="en-US" w:eastAsia="zh-CN"/>
                    </w:rPr>
                    <w:t>定期</w:t>
                  </w:r>
                  <w:r>
                    <w:rPr>
                      <w:rFonts w:hint="default" w:ascii="Times New Roman" w:hAnsi="Times New Roman" w:cs="Times New Roman"/>
                      <w:color w:val="auto"/>
                      <w:sz w:val="21"/>
                      <w:szCs w:val="21"/>
                    </w:rPr>
                    <w:t>交</w:t>
                  </w:r>
                  <w:r>
                    <w:rPr>
                      <w:rFonts w:hint="eastAsia" w:cs="Times New Roman"/>
                      <w:color w:val="auto"/>
                      <w:sz w:val="21"/>
                      <w:szCs w:val="21"/>
                      <w:lang w:val="en-US" w:eastAsia="zh-CN"/>
                    </w:rPr>
                    <w:t>有</w:t>
                  </w:r>
                  <w:r>
                    <w:rPr>
                      <w:rFonts w:hint="default" w:ascii="Times New Roman" w:hAnsi="Times New Roman" w:cs="Times New Roman"/>
                      <w:color w:val="auto"/>
                      <w:sz w:val="21"/>
                      <w:szCs w:val="21"/>
                    </w:rPr>
                    <w:t>资质单位处置</w:t>
                  </w:r>
                </w:p>
              </w:tc>
            </w:tr>
            <w:tr w14:paraId="0FE8CB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continue"/>
                  <w:tcMar>
                    <w:left w:w="28" w:type="dxa"/>
                    <w:right w:w="28" w:type="dxa"/>
                  </w:tcMar>
                  <w:vAlign w:val="center"/>
                </w:tcPr>
                <w:p w14:paraId="76DDF14C">
                  <w:pPr>
                    <w:widowControl/>
                    <w:spacing w:line="320" w:lineRule="exact"/>
                    <w:ind w:firstLine="420" w:firstLineChars="200"/>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5543E32F">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S3</w:t>
                  </w:r>
                </w:p>
              </w:tc>
              <w:tc>
                <w:tcPr>
                  <w:tcW w:w="1672" w:type="dxa"/>
                  <w:vMerge w:val="continue"/>
                  <w:tcMar>
                    <w:left w:w="28" w:type="dxa"/>
                    <w:right w:w="28" w:type="dxa"/>
                  </w:tcMar>
                  <w:vAlign w:val="center"/>
                </w:tcPr>
                <w:p w14:paraId="6B9ED85F">
                  <w:pPr>
                    <w:tabs>
                      <w:tab w:val="left" w:pos="945"/>
                    </w:tabs>
                    <w:snapToGrid w:val="0"/>
                    <w:jc w:val="center"/>
                    <w:rPr>
                      <w:rFonts w:hint="default" w:ascii="Times New Roman" w:hAnsi="Times New Roman" w:cs="Times New Roman"/>
                      <w:color w:val="auto"/>
                      <w:sz w:val="21"/>
                      <w:szCs w:val="21"/>
                    </w:rPr>
                  </w:pPr>
                </w:p>
              </w:tc>
              <w:tc>
                <w:tcPr>
                  <w:tcW w:w="1743" w:type="dxa"/>
                  <w:tcMar>
                    <w:left w:w="28" w:type="dxa"/>
                    <w:right w:w="28" w:type="dxa"/>
                  </w:tcMar>
                  <w:vAlign w:val="center"/>
                </w:tcPr>
                <w:p w14:paraId="1DA9E015">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lang w:val="en-US" w:eastAsia="zh-CN" w:bidi="ar"/>
                    </w:rPr>
                    <w:t>化学</w:t>
                  </w:r>
                  <w:r>
                    <w:rPr>
                      <w:rFonts w:hint="default" w:ascii="Times New Roman" w:hAnsi="Times New Roman" w:eastAsia="宋体" w:cs="Times New Roman"/>
                      <w:color w:val="auto"/>
                      <w:kern w:val="0"/>
                      <w:sz w:val="21"/>
                      <w:szCs w:val="21"/>
                      <w:lang w:val="en-US" w:eastAsia="zh-CN" w:bidi="ar"/>
                    </w:rPr>
                    <w:t>实验废液</w:t>
                  </w:r>
                </w:p>
              </w:tc>
              <w:tc>
                <w:tcPr>
                  <w:tcW w:w="988" w:type="dxa"/>
                  <w:tcMar>
                    <w:left w:w="28" w:type="dxa"/>
                    <w:right w:w="28" w:type="dxa"/>
                  </w:tcMar>
                  <w:vAlign w:val="center"/>
                </w:tcPr>
                <w:p w14:paraId="0707D22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c>
                <w:tcPr>
                  <w:tcW w:w="2278" w:type="dxa"/>
                  <w:vMerge w:val="continue"/>
                  <w:tcMar>
                    <w:left w:w="28" w:type="dxa"/>
                    <w:right w:w="28" w:type="dxa"/>
                  </w:tcMar>
                  <w:vAlign w:val="center"/>
                </w:tcPr>
                <w:p w14:paraId="6EC68F3B">
                  <w:pPr>
                    <w:tabs>
                      <w:tab w:val="left" w:pos="945"/>
                    </w:tabs>
                    <w:adjustRightInd w:val="0"/>
                    <w:jc w:val="center"/>
                    <w:rPr>
                      <w:rFonts w:hint="default" w:ascii="Times New Roman" w:hAnsi="Times New Roman" w:cs="Times New Roman"/>
                      <w:color w:val="auto"/>
                      <w:sz w:val="21"/>
                      <w:szCs w:val="21"/>
                      <w:lang w:val="en-US" w:eastAsia="zh-CN"/>
                    </w:rPr>
                  </w:pPr>
                </w:p>
              </w:tc>
            </w:tr>
            <w:tr w14:paraId="2638E9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continue"/>
                  <w:tcMar>
                    <w:left w:w="28" w:type="dxa"/>
                    <w:right w:w="28" w:type="dxa"/>
                  </w:tcMar>
                  <w:vAlign w:val="center"/>
                </w:tcPr>
                <w:p w14:paraId="6CB3FFC1">
                  <w:pPr>
                    <w:widowControl/>
                    <w:spacing w:line="320" w:lineRule="exact"/>
                    <w:ind w:firstLine="420" w:firstLineChars="200"/>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1FE2B87F">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S4</w:t>
                  </w:r>
                </w:p>
              </w:tc>
              <w:tc>
                <w:tcPr>
                  <w:tcW w:w="1672" w:type="dxa"/>
                  <w:vMerge w:val="continue"/>
                  <w:tcMar>
                    <w:left w:w="28" w:type="dxa"/>
                    <w:right w:w="28" w:type="dxa"/>
                  </w:tcMar>
                  <w:vAlign w:val="center"/>
                </w:tcPr>
                <w:p w14:paraId="0FE26072">
                  <w:pPr>
                    <w:tabs>
                      <w:tab w:val="left" w:pos="945"/>
                    </w:tabs>
                    <w:jc w:val="center"/>
                    <w:rPr>
                      <w:rFonts w:hint="default" w:ascii="Times New Roman" w:hAnsi="Times New Roman" w:eastAsia="宋体" w:cs="Times New Roman"/>
                      <w:color w:val="auto"/>
                      <w:kern w:val="2"/>
                      <w:sz w:val="21"/>
                      <w:szCs w:val="21"/>
                      <w:lang w:val="en-US" w:eastAsia="zh-CN" w:bidi="ar-SA"/>
                    </w:rPr>
                  </w:pPr>
                </w:p>
              </w:tc>
              <w:tc>
                <w:tcPr>
                  <w:tcW w:w="1743" w:type="dxa"/>
                  <w:tcMar>
                    <w:left w:w="28" w:type="dxa"/>
                    <w:right w:w="28" w:type="dxa"/>
                  </w:tcMar>
                  <w:vAlign w:val="center"/>
                </w:tcPr>
                <w:p w14:paraId="7102BA11">
                  <w:pPr>
                    <w:tabs>
                      <w:tab w:val="left" w:pos="945"/>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废试剂</w:t>
                  </w:r>
                </w:p>
              </w:tc>
              <w:tc>
                <w:tcPr>
                  <w:tcW w:w="988" w:type="dxa"/>
                  <w:tcMar>
                    <w:left w:w="28" w:type="dxa"/>
                    <w:right w:w="28" w:type="dxa"/>
                  </w:tcMar>
                  <w:vAlign w:val="center"/>
                </w:tcPr>
                <w:p w14:paraId="329BBF9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c>
                <w:tcPr>
                  <w:tcW w:w="2278" w:type="dxa"/>
                  <w:vMerge w:val="continue"/>
                  <w:tcMar>
                    <w:left w:w="28" w:type="dxa"/>
                    <w:right w:w="28" w:type="dxa"/>
                  </w:tcMar>
                  <w:vAlign w:val="center"/>
                </w:tcPr>
                <w:p w14:paraId="4549DD0D">
                  <w:pPr>
                    <w:tabs>
                      <w:tab w:val="left" w:pos="945"/>
                    </w:tabs>
                    <w:adjustRightInd w:val="0"/>
                    <w:jc w:val="center"/>
                    <w:rPr>
                      <w:rFonts w:hint="default" w:ascii="Times New Roman" w:hAnsi="Times New Roman" w:cs="Times New Roman"/>
                      <w:color w:val="auto"/>
                      <w:sz w:val="21"/>
                      <w:szCs w:val="21"/>
                    </w:rPr>
                  </w:pPr>
                </w:p>
              </w:tc>
            </w:tr>
            <w:tr w14:paraId="395246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continue"/>
                  <w:tcMar>
                    <w:left w:w="28" w:type="dxa"/>
                    <w:right w:w="28" w:type="dxa"/>
                  </w:tcMar>
                  <w:vAlign w:val="center"/>
                </w:tcPr>
                <w:p w14:paraId="321BB6A2">
                  <w:pPr>
                    <w:widowControl/>
                    <w:spacing w:line="320" w:lineRule="exact"/>
                    <w:ind w:firstLine="420" w:firstLineChars="200"/>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433080C9">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S5</w:t>
                  </w:r>
                </w:p>
              </w:tc>
              <w:tc>
                <w:tcPr>
                  <w:tcW w:w="1672" w:type="dxa"/>
                  <w:vMerge w:val="continue"/>
                  <w:tcMar>
                    <w:left w:w="28" w:type="dxa"/>
                    <w:right w:w="28" w:type="dxa"/>
                  </w:tcMar>
                  <w:vAlign w:val="center"/>
                </w:tcPr>
                <w:p w14:paraId="1C556A08">
                  <w:pPr>
                    <w:tabs>
                      <w:tab w:val="left" w:pos="945"/>
                    </w:tabs>
                    <w:jc w:val="center"/>
                    <w:rPr>
                      <w:rFonts w:hint="default" w:ascii="Times New Roman" w:hAnsi="Times New Roman" w:eastAsia="宋体" w:cs="Times New Roman"/>
                      <w:color w:val="auto"/>
                      <w:kern w:val="2"/>
                      <w:sz w:val="21"/>
                      <w:szCs w:val="21"/>
                      <w:lang w:val="en-US" w:eastAsia="zh-CN" w:bidi="ar-SA"/>
                    </w:rPr>
                  </w:pPr>
                </w:p>
              </w:tc>
              <w:tc>
                <w:tcPr>
                  <w:tcW w:w="1743" w:type="dxa"/>
                  <w:tcMar>
                    <w:left w:w="28" w:type="dxa"/>
                    <w:right w:w="28" w:type="dxa"/>
                  </w:tcMar>
                  <w:vAlign w:val="center"/>
                </w:tcPr>
                <w:p w14:paraId="2C2312F7">
                  <w:pPr>
                    <w:tabs>
                      <w:tab w:val="left" w:pos="945"/>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实验检测废弃物</w:t>
                  </w:r>
                </w:p>
              </w:tc>
              <w:tc>
                <w:tcPr>
                  <w:tcW w:w="988" w:type="dxa"/>
                  <w:tcMar>
                    <w:left w:w="28" w:type="dxa"/>
                    <w:right w:w="28" w:type="dxa"/>
                  </w:tcMar>
                  <w:vAlign w:val="center"/>
                </w:tcPr>
                <w:p w14:paraId="4563449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c>
                <w:tcPr>
                  <w:tcW w:w="2278" w:type="dxa"/>
                  <w:vMerge w:val="continue"/>
                  <w:tcMar>
                    <w:left w:w="28" w:type="dxa"/>
                    <w:right w:w="28" w:type="dxa"/>
                  </w:tcMar>
                  <w:vAlign w:val="center"/>
                </w:tcPr>
                <w:p w14:paraId="2D75CC27">
                  <w:pPr>
                    <w:tabs>
                      <w:tab w:val="left" w:pos="945"/>
                    </w:tabs>
                    <w:adjustRightInd w:val="0"/>
                    <w:jc w:val="center"/>
                    <w:rPr>
                      <w:rFonts w:hint="default" w:ascii="Times New Roman" w:hAnsi="Times New Roman" w:cs="Times New Roman"/>
                      <w:color w:val="auto"/>
                      <w:sz w:val="21"/>
                      <w:szCs w:val="21"/>
                    </w:rPr>
                  </w:pPr>
                </w:p>
              </w:tc>
            </w:tr>
            <w:tr w14:paraId="35CC35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continue"/>
                  <w:tcMar>
                    <w:left w:w="28" w:type="dxa"/>
                    <w:right w:w="28" w:type="dxa"/>
                  </w:tcMar>
                  <w:vAlign w:val="center"/>
                </w:tcPr>
                <w:p w14:paraId="73883B20">
                  <w:pPr>
                    <w:widowControl/>
                    <w:spacing w:line="320" w:lineRule="exact"/>
                    <w:ind w:firstLine="420" w:firstLineChars="200"/>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4ED9A336">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S7</w:t>
                  </w:r>
                </w:p>
              </w:tc>
              <w:tc>
                <w:tcPr>
                  <w:tcW w:w="1672" w:type="dxa"/>
                  <w:tcMar>
                    <w:left w:w="28" w:type="dxa"/>
                    <w:right w:w="28" w:type="dxa"/>
                  </w:tcMar>
                  <w:vAlign w:val="center"/>
                </w:tcPr>
                <w:p w14:paraId="377982D5">
                  <w:pPr>
                    <w:tabs>
                      <w:tab w:val="left" w:pos="945"/>
                    </w:tabs>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废气处理</w:t>
                  </w:r>
                </w:p>
              </w:tc>
              <w:tc>
                <w:tcPr>
                  <w:tcW w:w="1743" w:type="dxa"/>
                  <w:tcMar>
                    <w:left w:w="28" w:type="dxa"/>
                    <w:right w:w="28" w:type="dxa"/>
                  </w:tcMar>
                  <w:vAlign w:val="center"/>
                </w:tcPr>
                <w:p w14:paraId="055DF187">
                  <w:pPr>
                    <w:tabs>
                      <w:tab w:val="left" w:pos="945"/>
                    </w:tabs>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废活性炭</w:t>
                  </w:r>
                </w:p>
              </w:tc>
              <w:tc>
                <w:tcPr>
                  <w:tcW w:w="988" w:type="dxa"/>
                  <w:tcMar>
                    <w:left w:w="28" w:type="dxa"/>
                    <w:right w:w="28" w:type="dxa"/>
                  </w:tcMar>
                  <w:vAlign w:val="center"/>
                </w:tcPr>
                <w:p w14:paraId="437A19C0">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间断</w:t>
                  </w:r>
                </w:p>
              </w:tc>
              <w:tc>
                <w:tcPr>
                  <w:tcW w:w="2278" w:type="dxa"/>
                  <w:tcMar>
                    <w:left w:w="28" w:type="dxa"/>
                    <w:right w:w="28" w:type="dxa"/>
                  </w:tcMar>
                  <w:vAlign w:val="center"/>
                </w:tcPr>
                <w:p w14:paraId="79C747E1">
                  <w:pPr>
                    <w:tabs>
                      <w:tab w:val="left" w:pos="945"/>
                    </w:tabs>
                    <w:adjustRightIn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暂存于危废暂存库，</w:t>
                  </w:r>
                  <w:r>
                    <w:rPr>
                      <w:rFonts w:hint="eastAsia" w:cs="Times New Roman"/>
                      <w:color w:val="auto"/>
                      <w:sz w:val="21"/>
                      <w:szCs w:val="21"/>
                      <w:lang w:val="en-US" w:eastAsia="zh-CN"/>
                    </w:rPr>
                    <w:t>定期</w:t>
                  </w:r>
                  <w:r>
                    <w:rPr>
                      <w:rFonts w:hint="default" w:ascii="Times New Roman" w:hAnsi="Times New Roman" w:cs="Times New Roman"/>
                      <w:color w:val="auto"/>
                      <w:sz w:val="21"/>
                      <w:szCs w:val="21"/>
                    </w:rPr>
                    <w:t>交</w:t>
                  </w:r>
                  <w:r>
                    <w:rPr>
                      <w:rFonts w:hint="eastAsia" w:cs="Times New Roman"/>
                      <w:color w:val="auto"/>
                      <w:sz w:val="21"/>
                      <w:szCs w:val="21"/>
                      <w:lang w:val="en-US" w:eastAsia="zh-CN"/>
                    </w:rPr>
                    <w:t>有</w:t>
                  </w:r>
                  <w:r>
                    <w:rPr>
                      <w:rFonts w:hint="default" w:ascii="Times New Roman" w:hAnsi="Times New Roman" w:cs="Times New Roman"/>
                      <w:color w:val="auto"/>
                      <w:sz w:val="21"/>
                      <w:szCs w:val="21"/>
                    </w:rPr>
                    <w:t>资质单位处置</w:t>
                  </w:r>
                </w:p>
              </w:tc>
            </w:tr>
            <w:tr w14:paraId="1E9C85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dxa"/>
                  <w:vMerge w:val="continue"/>
                  <w:tcMar>
                    <w:left w:w="28" w:type="dxa"/>
                    <w:right w:w="28" w:type="dxa"/>
                  </w:tcMar>
                  <w:vAlign w:val="center"/>
                </w:tcPr>
                <w:p w14:paraId="47776F8E">
                  <w:pPr>
                    <w:widowControl/>
                    <w:spacing w:line="320" w:lineRule="exact"/>
                    <w:ind w:firstLine="420" w:firstLineChars="200"/>
                    <w:jc w:val="center"/>
                    <w:rPr>
                      <w:rFonts w:hint="default" w:ascii="Times New Roman" w:hAnsi="Times New Roman" w:cs="Times New Roman"/>
                      <w:color w:val="auto"/>
                      <w:sz w:val="21"/>
                      <w:szCs w:val="21"/>
                    </w:rPr>
                  </w:pPr>
                </w:p>
              </w:tc>
              <w:tc>
                <w:tcPr>
                  <w:tcW w:w="742" w:type="dxa"/>
                  <w:tcMar>
                    <w:left w:w="28" w:type="dxa"/>
                    <w:right w:w="28" w:type="dxa"/>
                  </w:tcMar>
                  <w:vAlign w:val="center"/>
                </w:tcPr>
                <w:p w14:paraId="21CFBC7D">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S8</w:t>
                  </w:r>
                </w:p>
              </w:tc>
              <w:tc>
                <w:tcPr>
                  <w:tcW w:w="1672" w:type="dxa"/>
                  <w:tcMar>
                    <w:left w:w="28" w:type="dxa"/>
                    <w:right w:w="28" w:type="dxa"/>
                  </w:tcMar>
                  <w:vAlign w:val="center"/>
                </w:tcPr>
                <w:p w14:paraId="50163F96">
                  <w:pPr>
                    <w:tabs>
                      <w:tab w:val="left" w:pos="94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工作人员</w:t>
                  </w:r>
                </w:p>
              </w:tc>
              <w:tc>
                <w:tcPr>
                  <w:tcW w:w="1743" w:type="dxa"/>
                  <w:tcMar>
                    <w:left w:w="28" w:type="dxa"/>
                    <w:right w:w="28" w:type="dxa"/>
                  </w:tcMar>
                  <w:vAlign w:val="center"/>
                </w:tcPr>
                <w:p w14:paraId="39657B76">
                  <w:pPr>
                    <w:tabs>
                      <w:tab w:val="left" w:pos="945"/>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生活垃圾</w:t>
                  </w:r>
                </w:p>
              </w:tc>
              <w:tc>
                <w:tcPr>
                  <w:tcW w:w="988" w:type="dxa"/>
                  <w:tcMar>
                    <w:left w:w="28" w:type="dxa"/>
                    <w:right w:w="28" w:type="dxa"/>
                  </w:tcMar>
                  <w:vAlign w:val="center"/>
                </w:tcPr>
                <w:p w14:paraId="1B494A0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间断</w:t>
                  </w:r>
                </w:p>
              </w:tc>
              <w:tc>
                <w:tcPr>
                  <w:tcW w:w="2278" w:type="dxa"/>
                  <w:tcMar>
                    <w:left w:w="28" w:type="dxa"/>
                    <w:right w:w="28" w:type="dxa"/>
                  </w:tcMar>
                  <w:vAlign w:val="center"/>
                </w:tcPr>
                <w:p w14:paraId="1BFB853D">
                  <w:pPr>
                    <w:tabs>
                      <w:tab w:val="left" w:pos="945"/>
                    </w:tabs>
                    <w:adjustRightIn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交由环卫部门统一清运</w:t>
                  </w:r>
                </w:p>
              </w:tc>
            </w:tr>
          </w:tbl>
          <w:p w14:paraId="1952CF8C">
            <w:pPr>
              <w:adjustRightInd w:val="0"/>
              <w:snapToGrid w:val="0"/>
              <w:rPr>
                <w:rFonts w:hint="default" w:ascii="Times New Roman" w:hAnsi="Times New Roman" w:cs="Times New Roman"/>
                <w:bCs/>
                <w:color w:val="auto"/>
                <w:szCs w:val="21"/>
              </w:rPr>
            </w:pPr>
          </w:p>
        </w:tc>
      </w:tr>
      <w:tr w14:paraId="2D3C8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7" w:hRule="atLeast"/>
          <w:jc w:val="center"/>
        </w:trPr>
        <w:tc>
          <w:tcPr>
            <w:tcW w:w="604" w:type="dxa"/>
            <w:vAlign w:val="center"/>
          </w:tcPr>
          <w:p w14:paraId="38A2CD23">
            <w:pPr>
              <w:pStyle w:val="24"/>
              <w:adjustRightInd w:val="0"/>
              <w:snapToGrid w:val="0"/>
              <w:spacing w:before="0" w:beforeAutospacing="0" w:after="0" w:afterAutospacing="0"/>
              <w:jc w:val="center"/>
              <w:rPr>
                <w:rFonts w:hint="default" w:ascii="Times New Roman" w:hAnsi="Times New Roman" w:cs="Times New Roman"/>
                <w:b/>
                <w:color w:val="auto"/>
                <w:szCs w:val="24"/>
              </w:rPr>
            </w:pPr>
            <w:r>
              <w:rPr>
                <w:rFonts w:hint="default" w:ascii="Times New Roman" w:hAnsi="Times New Roman" w:cs="Times New Roman"/>
                <w:b/>
                <w:bCs/>
                <w:color w:val="auto"/>
                <w:kern w:val="2"/>
                <w:szCs w:val="24"/>
              </w:rPr>
              <w:t>与项目有关的原有环境污染问题</w:t>
            </w:r>
          </w:p>
        </w:tc>
        <w:tc>
          <w:tcPr>
            <w:tcW w:w="8317" w:type="dxa"/>
            <w:vAlign w:val="center"/>
          </w:tcPr>
          <w:p w14:paraId="4F314301">
            <w:pPr>
              <w:spacing w:line="360" w:lineRule="auto"/>
              <w:ind w:firstLine="480" w:firstLineChars="200"/>
              <w:jc w:val="both"/>
              <w:rPr>
                <w:rFonts w:hint="default" w:ascii="Times New Roman" w:hAnsi="Times New Roman" w:cs="Times New Roman"/>
                <w:bCs/>
                <w:color w:val="auto"/>
                <w:szCs w:val="21"/>
              </w:rPr>
            </w:pPr>
            <w:r>
              <w:rPr>
                <w:rFonts w:hint="default" w:ascii="Times New Roman" w:hAnsi="Times New Roman" w:eastAsia="宋体" w:cs="Times New Roman"/>
                <w:color w:val="auto"/>
                <w:kern w:val="0"/>
                <w:sz w:val="24"/>
                <w:szCs w:val="24"/>
                <w:lang w:val="en-US" w:eastAsia="zh-CN"/>
              </w:rPr>
              <w:t>本项目</w:t>
            </w:r>
            <w:r>
              <w:rPr>
                <w:rFonts w:hint="eastAsia" w:cs="Times New Roman"/>
                <w:color w:val="auto"/>
                <w:kern w:val="0"/>
                <w:sz w:val="24"/>
                <w:szCs w:val="24"/>
                <w:lang w:val="en-US" w:eastAsia="zh-CN"/>
              </w:rPr>
              <w:t>为新建项目，</w:t>
            </w:r>
            <w:r>
              <w:rPr>
                <w:rFonts w:hint="default" w:ascii="Times New Roman" w:hAnsi="Times New Roman" w:eastAsia="宋体" w:cs="Times New Roman"/>
                <w:color w:val="auto"/>
                <w:kern w:val="0"/>
                <w:sz w:val="24"/>
                <w:szCs w:val="24"/>
                <w:lang w:val="en-US" w:eastAsia="zh-CN"/>
              </w:rPr>
              <w:t>租赁陕西凯怡东方置业有限公司</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12号楼</w:t>
            </w:r>
            <w:r>
              <w:rPr>
                <w:rFonts w:hint="eastAsia" w:cs="Times New Roman"/>
                <w:color w:val="auto"/>
                <w:kern w:val="0"/>
                <w:sz w:val="24"/>
                <w:szCs w:val="24"/>
                <w:lang w:val="en-US" w:eastAsia="zh-CN"/>
              </w:rPr>
              <w:t>商业</w:t>
            </w:r>
            <w:r>
              <w:rPr>
                <w:rFonts w:hint="eastAsia" w:ascii="Times New Roman" w:hAnsi="Times New Roman" w:eastAsia="宋体" w:cs="Times New Roman"/>
                <w:color w:val="auto"/>
                <w:sz w:val="24"/>
                <w:szCs w:val="24"/>
                <w:highlight w:val="none"/>
                <w:lang w:val="en-US" w:eastAsia="zh-CN"/>
              </w:rPr>
              <w:t>三层</w:t>
            </w:r>
            <w:r>
              <w:rPr>
                <w:rFonts w:hint="eastAsia" w:cs="Times New Roman"/>
                <w:color w:val="auto"/>
                <w:sz w:val="24"/>
                <w:szCs w:val="24"/>
                <w:highlight w:val="none"/>
                <w:lang w:val="en-US" w:eastAsia="zh-CN"/>
              </w:rPr>
              <w:t>北侧区域进行中药试验</w:t>
            </w:r>
            <w:r>
              <w:rPr>
                <w:rFonts w:hint="default" w:ascii="Times New Roman" w:hAnsi="Times New Roman" w:eastAsia="宋体" w:cs="Times New Roman"/>
                <w:color w:val="auto"/>
                <w:kern w:val="0"/>
                <w:sz w:val="24"/>
                <w:szCs w:val="24"/>
                <w:lang w:val="en-US" w:eastAsia="zh-CN"/>
              </w:rPr>
              <w:t>，根据现场踏勘</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楼内</w:t>
            </w:r>
            <w:r>
              <w:rPr>
                <w:rFonts w:hint="eastAsia" w:cs="Times New Roman"/>
                <w:color w:val="auto"/>
                <w:kern w:val="0"/>
                <w:sz w:val="24"/>
                <w:szCs w:val="24"/>
                <w:lang w:val="en-US" w:eastAsia="zh-CN"/>
              </w:rPr>
              <w:t>已装修完成，给水、排水、供电等公用设施完善，</w:t>
            </w:r>
            <w:r>
              <w:rPr>
                <w:rFonts w:hint="default" w:ascii="Times New Roman" w:hAnsi="Times New Roman" w:eastAsia="宋体" w:cs="Times New Roman"/>
                <w:color w:val="auto"/>
                <w:kern w:val="0"/>
                <w:sz w:val="24"/>
                <w:szCs w:val="24"/>
                <w:lang w:val="en-US" w:eastAsia="zh-CN"/>
              </w:rPr>
              <w:t>不存在原有环境污染问题。</w:t>
            </w:r>
          </w:p>
        </w:tc>
      </w:tr>
    </w:tbl>
    <w:p w14:paraId="364FDA70">
      <w:pPr>
        <w:pStyle w:val="24"/>
        <w:jc w:val="center"/>
        <w:rPr>
          <w:rFonts w:hint="default" w:ascii="Times New Roman" w:hAnsi="Times New Roman" w:eastAsia="黑体"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E5B9608">
      <w:pPr>
        <w:pStyle w:val="24"/>
        <w:adjustRightInd w:val="0"/>
        <w:snapToGrid w:val="0"/>
        <w:spacing w:before="0" w:beforeAutospacing="0" w:after="0" w:afterAutospacing="0" w:line="14" w:lineRule="auto"/>
        <w:jc w:val="center"/>
        <w:outlineLvl w:val="9"/>
        <w:rPr>
          <w:rFonts w:hint="default" w:ascii="Times New Roman" w:hAnsi="Times New Roman" w:eastAsia="黑体" w:cs="Times New Roman"/>
          <w:snapToGrid w:val="0"/>
          <w:color w:val="auto"/>
          <w:sz w:val="30"/>
          <w:szCs w:val="30"/>
        </w:rPr>
      </w:pPr>
    </w:p>
    <w:p w14:paraId="579749B8">
      <w:pPr>
        <w:pStyle w:val="24"/>
        <w:numPr>
          <w:ilvl w:val="0"/>
          <w:numId w:val="8"/>
        </w:numPr>
        <w:ind w:right="-613" w:rightChars="-292"/>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区域环境质量现状、环境保护目标及评价标准</w:t>
      </w:r>
    </w:p>
    <w:tbl>
      <w:tblPr>
        <w:tblStyle w:val="28"/>
        <w:tblW w:w="90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16"/>
      </w:tblGrid>
      <w:tr w14:paraId="6305E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00" w:type="dxa"/>
            <w:noWrap w:val="0"/>
            <w:vAlign w:val="center"/>
          </w:tcPr>
          <w:p w14:paraId="34DAA0F3">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区域</w:t>
            </w:r>
          </w:p>
          <w:p w14:paraId="7C88B2EB">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环境</w:t>
            </w:r>
          </w:p>
          <w:p w14:paraId="16946E51">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质量</w:t>
            </w:r>
          </w:p>
          <w:p w14:paraId="7235A329">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现状</w:t>
            </w:r>
          </w:p>
        </w:tc>
        <w:tc>
          <w:tcPr>
            <w:tcW w:w="8216" w:type="dxa"/>
            <w:noWrap w:val="0"/>
            <w:vAlign w:val="center"/>
          </w:tcPr>
          <w:p w14:paraId="01D9B9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w:t>
            </w:r>
            <w:r>
              <w:rPr>
                <w:rFonts w:hint="default" w:ascii="Times New Roman" w:hAnsi="Times New Roman" w:cs="Times New Roman"/>
                <w:b/>
                <w:bCs/>
                <w:color w:val="auto"/>
                <w:sz w:val="24"/>
                <w:szCs w:val="24"/>
              </w:rPr>
              <w:t>大气环境</w:t>
            </w:r>
            <w:r>
              <w:rPr>
                <w:rFonts w:hint="default" w:ascii="Times New Roman" w:hAnsi="Times New Roman" w:cs="Times New Roman"/>
                <w:b/>
                <w:color w:val="auto"/>
                <w:kern w:val="0"/>
                <w:sz w:val="24"/>
                <w:szCs w:val="24"/>
              </w:rPr>
              <w:t>质量现状</w:t>
            </w:r>
          </w:p>
          <w:p w14:paraId="1E2E70B8">
            <w:pPr>
              <w:spacing w:line="360" w:lineRule="auto"/>
              <w:ind w:firstLine="470" w:firstLineChars="196"/>
              <w:rPr>
                <w:color w:val="auto"/>
                <w:kern w:val="0"/>
                <w:sz w:val="24"/>
                <w:lang w:val="zh-CN"/>
              </w:rPr>
            </w:pPr>
            <w:r>
              <w:rPr>
                <w:color w:val="auto"/>
                <w:kern w:val="0"/>
                <w:sz w:val="24"/>
                <w:lang w:val="zh-CN"/>
              </w:rPr>
              <w:t>⑴常规污染物现状</w:t>
            </w:r>
          </w:p>
          <w:p w14:paraId="2C15C198">
            <w:pPr>
              <w:widowControl/>
              <w:spacing w:line="360" w:lineRule="auto"/>
              <w:ind w:firstLine="480" w:firstLineChars="200"/>
              <w:rPr>
                <w:color w:val="auto"/>
                <w:kern w:val="0"/>
                <w:sz w:val="24"/>
              </w:rPr>
            </w:pPr>
            <w:r>
              <w:rPr>
                <w:color w:val="auto"/>
                <w:kern w:val="0"/>
                <w:sz w:val="24"/>
              </w:rPr>
              <w:t>本项目评价区域内环境空气质量执行《环境空气质量标准》（GB3095-2012）中二级标准。本次区域环境空气质量现状调查引用</w:t>
            </w:r>
            <w:r>
              <w:rPr>
                <w:rFonts w:hint="eastAsia"/>
                <w:color w:val="auto"/>
                <w:sz w:val="24"/>
                <w:szCs w:val="22"/>
              </w:rPr>
              <w:t>陕西省生态环境厅办公室</w:t>
            </w:r>
            <w:r>
              <w:rPr>
                <w:rFonts w:hint="eastAsia"/>
                <w:color w:val="auto"/>
                <w:kern w:val="0"/>
                <w:sz w:val="24"/>
              </w:rPr>
              <w:t>202</w:t>
            </w:r>
            <w:r>
              <w:rPr>
                <w:rFonts w:hint="eastAsia"/>
                <w:color w:val="auto"/>
                <w:kern w:val="0"/>
                <w:sz w:val="24"/>
                <w:lang w:val="en-US" w:eastAsia="zh-CN"/>
              </w:rPr>
              <w:t>5</w:t>
            </w:r>
            <w:r>
              <w:rPr>
                <w:rFonts w:hint="eastAsia"/>
                <w:color w:val="auto"/>
                <w:kern w:val="0"/>
                <w:sz w:val="24"/>
              </w:rPr>
              <w:t>年1月</w:t>
            </w:r>
            <w:r>
              <w:rPr>
                <w:rFonts w:hint="eastAsia"/>
                <w:color w:val="auto"/>
                <w:kern w:val="0"/>
                <w:sz w:val="24"/>
                <w:lang w:val="en-US" w:eastAsia="zh-CN"/>
              </w:rPr>
              <w:t>21</w:t>
            </w:r>
            <w:r>
              <w:rPr>
                <w:rFonts w:hint="eastAsia"/>
                <w:color w:val="auto"/>
                <w:kern w:val="0"/>
                <w:sz w:val="24"/>
              </w:rPr>
              <w:t>日</w:t>
            </w:r>
            <w:r>
              <w:rPr>
                <w:rFonts w:hint="eastAsia"/>
                <w:color w:val="auto"/>
                <w:sz w:val="24"/>
                <w:szCs w:val="22"/>
              </w:rPr>
              <w:t>发布的《202</w:t>
            </w:r>
            <w:r>
              <w:rPr>
                <w:rFonts w:hint="eastAsia"/>
                <w:color w:val="auto"/>
                <w:sz w:val="24"/>
                <w:szCs w:val="22"/>
                <w:lang w:val="en-US" w:eastAsia="zh-CN"/>
              </w:rPr>
              <w:t>4</w:t>
            </w:r>
            <w:r>
              <w:rPr>
                <w:rFonts w:hint="eastAsia"/>
                <w:color w:val="auto"/>
                <w:sz w:val="24"/>
                <w:szCs w:val="22"/>
              </w:rPr>
              <w:t>年12月及1~12月全省环境空气质量状况》中</w:t>
            </w:r>
            <w:r>
              <w:rPr>
                <w:color w:val="auto"/>
                <w:kern w:val="0"/>
                <w:sz w:val="24"/>
              </w:rPr>
              <w:t>西咸新区环境空气质量数据进行评价，评价因子主要有</w:t>
            </w:r>
            <w:r>
              <w:rPr>
                <w:color w:val="auto"/>
                <w:sz w:val="24"/>
              </w:rPr>
              <w:t>SO</w:t>
            </w:r>
            <w:r>
              <w:rPr>
                <w:color w:val="auto"/>
                <w:sz w:val="24"/>
                <w:vertAlign w:val="subscript"/>
              </w:rPr>
              <w:t>2</w:t>
            </w:r>
            <w:r>
              <w:rPr>
                <w:color w:val="auto"/>
                <w:sz w:val="24"/>
              </w:rPr>
              <w:t>、NO</w:t>
            </w:r>
            <w:r>
              <w:rPr>
                <w:color w:val="auto"/>
                <w:sz w:val="24"/>
                <w:vertAlign w:val="subscript"/>
              </w:rPr>
              <w:t>2</w:t>
            </w:r>
            <w:r>
              <w:rPr>
                <w:color w:val="auto"/>
                <w:sz w:val="24"/>
              </w:rPr>
              <w:t>、PM</w:t>
            </w:r>
            <w:r>
              <w:rPr>
                <w:color w:val="auto"/>
                <w:sz w:val="24"/>
                <w:vertAlign w:val="subscript"/>
              </w:rPr>
              <w:t>10</w:t>
            </w:r>
            <w:r>
              <w:rPr>
                <w:color w:val="auto"/>
                <w:sz w:val="24"/>
              </w:rPr>
              <w:t>、PM</w:t>
            </w:r>
            <w:r>
              <w:rPr>
                <w:color w:val="auto"/>
                <w:sz w:val="24"/>
                <w:vertAlign w:val="subscript"/>
              </w:rPr>
              <w:t>2.5</w:t>
            </w:r>
            <w:r>
              <w:rPr>
                <w:color w:val="auto"/>
                <w:sz w:val="24"/>
              </w:rPr>
              <w:t>、CO、O</w:t>
            </w:r>
            <w:r>
              <w:rPr>
                <w:color w:val="auto"/>
                <w:sz w:val="24"/>
                <w:vertAlign w:val="subscript"/>
              </w:rPr>
              <w:t>3</w:t>
            </w:r>
            <w:r>
              <w:rPr>
                <w:color w:val="auto"/>
                <w:sz w:val="24"/>
              </w:rPr>
              <w:t>六项指标</w:t>
            </w:r>
            <w:r>
              <w:rPr>
                <w:color w:val="auto"/>
                <w:kern w:val="0"/>
                <w:sz w:val="24"/>
              </w:rPr>
              <w:t>，项目所在区域西咸新区环境质量现状见表3-1。</w:t>
            </w:r>
          </w:p>
          <w:p w14:paraId="2343DB08">
            <w:pPr>
              <w:widowControl/>
              <w:jc w:val="center"/>
              <w:rPr>
                <w:b/>
                <w:bCs/>
                <w:color w:val="auto"/>
                <w:szCs w:val="21"/>
              </w:rPr>
            </w:pPr>
            <w:r>
              <w:rPr>
                <w:b/>
                <w:bCs/>
                <w:color w:val="auto"/>
                <w:szCs w:val="21"/>
              </w:rPr>
              <w:t>表3-1</w:t>
            </w:r>
            <w:r>
              <w:rPr>
                <w:rFonts w:hint="eastAsia"/>
                <w:b/>
                <w:bCs/>
                <w:color w:val="auto"/>
                <w:szCs w:val="21"/>
                <w:lang w:val="en-US" w:eastAsia="zh-CN"/>
              </w:rPr>
              <w:t xml:space="preserve">  </w:t>
            </w:r>
            <w:r>
              <w:rPr>
                <w:b/>
                <w:bCs/>
                <w:color w:val="auto"/>
                <w:szCs w:val="21"/>
              </w:rPr>
              <w:t>基本污染物环境质量现状</w:t>
            </w:r>
          </w:p>
          <w:tbl>
            <w:tblPr>
              <w:tblStyle w:val="28"/>
              <w:tblW w:w="800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90"/>
              <w:gridCol w:w="733"/>
              <w:gridCol w:w="1838"/>
              <w:gridCol w:w="1152"/>
              <w:gridCol w:w="1152"/>
              <w:gridCol w:w="1095"/>
              <w:gridCol w:w="646"/>
              <w:gridCol w:w="694"/>
            </w:tblGrid>
            <w:tr w14:paraId="2BBE76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90" w:type="dxa"/>
                  <w:vMerge w:val="restart"/>
                  <w:vAlign w:val="center"/>
                </w:tcPr>
                <w:p w14:paraId="54BFE12B">
                  <w:pPr>
                    <w:pStyle w:val="81"/>
                    <w:spacing w:before="0" w:after="0"/>
                    <w:ind w:firstLine="0" w:firstLineChars="0"/>
                    <w:rPr>
                      <w:color w:val="auto"/>
                      <w:szCs w:val="21"/>
                    </w:rPr>
                  </w:pPr>
                  <w:r>
                    <w:rPr>
                      <w:color w:val="auto"/>
                      <w:szCs w:val="21"/>
                      <w:lang w:eastAsia="zh-CN"/>
                    </w:rPr>
                    <w:t>监测</w:t>
                  </w:r>
                </w:p>
                <w:p w14:paraId="13514B7F">
                  <w:pPr>
                    <w:pStyle w:val="81"/>
                    <w:spacing w:before="0" w:after="0"/>
                    <w:ind w:firstLine="0" w:firstLineChars="0"/>
                    <w:rPr>
                      <w:color w:val="auto"/>
                      <w:szCs w:val="21"/>
                    </w:rPr>
                  </w:pPr>
                  <w:r>
                    <w:rPr>
                      <w:color w:val="auto"/>
                      <w:szCs w:val="21"/>
                      <w:lang w:eastAsia="zh-CN"/>
                    </w:rPr>
                    <w:t>点位</w:t>
                  </w:r>
                </w:p>
              </w:tc>
              <w:tc>
                <w:tcPr>
                  <w:tcW w:w="733" w:type="dxa"/>
                  <w:vMerge w:val="restart"/>
                  <w:vAlign w:val="center"/>
                </w:tcPr>
                <w:p w14:paraId="36B123F1">
                  <w:pPr>
                    <w:pStyle w:val="81"/>
                    <w:spacing w:before="0" w:after="0"/>
                    <w:ind w:firstLine="0" w:firstLineChars="0"/>
                    <w:rPr>
                      <w:color w:val="auto"/>
                      <w:szCs w:val="21"/>
                    </w:rPr>
                  </w:pPr>
                  <w:r>
                    <w:rPr>
                      <w:color w:val="auto"/>
                      <w:szCs w:val="21"/>
                      <w:lang w:eastAsia="zh-CN"/>
                    </w:rPr>
                    <w:t>污染物</w:t>
                  </w:r>
                </w:p>
              </w:tc>
              <w:tc>
                <w:tcPr>
                  <w:tcW w:w="1838" w:type="dxa"/>
                  <w:vMerge w:val="restart"/>
                  <w:vAlign w:val="center"/>
                </w:tcPr>
                <w:p w14:paraId="083FB956">
                  <w:pPr>
                    <w:pStyle w:val="81"/>
                    <w:spacing w:before="0" w:after="0"/>
                    <w:ind w:firstLine="0" w:firstLineChars="0"/>
                    <w:rPr>
                      <w:color w:val="auto"/>
                      <w:szCs w:val="21"/>
                    </w:rPr>
                  </w:pPr>
                  <w:r>
                    <w:rPr>
                      <w:color w:val="auto"/>
                      <w:szCs w:val="21"/>
                      <w:lang w:eastAsia="zh-CN"/>
                    </w:rPr>
                    <w:t>年评价指标</w:t>
                  </w:r>
                </w:p>
              </w:tc>
              <w:tc>
                <w:tcPr>
                  <w:tcW w:w="1152" w:type="dxa"/>
                  <w:vMerge w:val="restart"/>
                  <w:vAlign w:val="center"/>
                </w:tcPr>
                <w:p w14:paraId="72349A6A">
                  <w:pPr>
                    <w:pStyle w:val="81"/>
                    <w:spacing w:before="0" w:after="0"/>
                    <w:ind w:firstLine="0" w:firstLineChars="0"/>
                    <w:rPr>
                      <w:color w:val="auto"/>
                      <w:szCs w:val="21"/>
                    </w:rPr>
                  </w:pPr>
                  <w:r>
                    <w:rPr>
                      <w:color w:val="auto"/>
                      <w:szCs w:val="21"/>
                      <w:lang w:eastAsia="zh-CN"/>
                    </w:rPr>
                    <w:t>评价标准（µg/m</w:t>
                  </w:r>
                  <w:r>
                    <w:rPr>
                      <w:color w:val="auto"/>
                      <w:szCs w:val="21"/>
                      <w:vertAlign w:val="superscript"/>
                      <w:lang w:eastAsia="zh-CN"/>
                    </w:rPr>
                    <w:t>3</w:t>
                  </w:r>
                  <w:r>
                    <w:rPr>
                      <w:color w:val="auto"/>
                      <w:szCs w:val="21"/>
                      <w:lang w:eastAsia="zh-CN"/>
                    </w:rPr>
                    <w:t>）</w:t>
                  </w:r>
                </w:p>
              </w:tc>
              <w:tc>
                <w:tcPr>
                  <w:tcW w:w="1152" w:type="dxa"/>
                  <w:vMerge w:val="restart"/>
                  <w:vAlign w:val="center"/>
                </w:tcPr>
                <w:p w14:paraId="4C04A5DA">
                  <w:pPr>
                    <w:pStyle w:val="81"/>
                    <w:spacing w:before="0" w:after="0"/>
                    <w:ind w:firstLine="0" w:firstLineChars="0"/>
                    <w:rPr>
                      <w:color w:val="auto"/>
                      <w:szCs w:val="21"/>
                    </w:rPr>
                  </w:pPr>
                  <w:r>
                    <w:rPr>
                      <w:color w:val="auto"/>
                      <w:szCs w:val="21"/>
                      <w:lang w:eastAsia="zh-CN"/>
                    </w:rPr>
                    <w:t>现状浓度（µg/m</w:t>
                  </w:r>
                  <w:r>
                    <w:rPr>
                      <w:color w:val="auto"/>
                      <w:szCs w:val="21"/>
                      <w:vertAlign w:val="superscript"/>
                      <w:lang w:eastAsia="zh-CN"/>
                    </w:rPr>
                    <w:t>3</w:t>
                  </w:r>
                  <w:r>
                    <w:rPr>
                      <w:color w:val="auto"/>
                      <w:szCs w:val="21"/>
                      <w:lang w:eastAsia="zh-CN"/>
                    </w:rPr>
                    <w:t>）</w:t>
                  </w:r>
                </w:p>
              </w:tc>
              <w:tc>
                <w:tcPr>
                  <w:tcW w:w="1095" w:type="dxa"/>
                  <w:vMerge w:val="restart"/>
                  <w:vAlign w:val="center"/>
                </w:tcPr>
                <w:p w14:paraId="5769A29E">
                  <w:pPr>
                    <w:pStyle w:val="81"/>
                    <w:spacing w:before="0" w:after="0"/>
                    <w:ind w:firstLine="0" w:firstLineChars="0"/>
                    <w:rPr>
                      <w:color w:val="auto"/>
                      <w:szCs w:val="21"/>
                    </w:rPr>
                  </w:pPr>
                  <w:r>
                    <w:rPr>
                      <w:color w:val="auto"/>
                      <w:szCs w:val="21"/>
                      <w:lang w:eastAsia="zh-CN"/>
                    </w:rPr>
                    <w:t>最大浓度占标率/%</w:t>
                  </w:r>
                </w:p>
              </w:tc>
              <w:tc>
                <w:tcPr>
                  <w:tcW w:w="646" w:type="dxa"/>
                  <w:vMerge w:val="restart"/>
                  <w:vAlign w:val="center"/>
                </w:tcPr>
                <w:p w14:paraId="2D0586E0">
                  <w:pPr>
                    <w:pStyle w:val="81"/>
                    <w:spacing w:before="0" w:after="0"/>
                    <w:ind w:firstLine="0" w:firstLineChars="0"/>
                    <w:rPr>
                      <w:color w:val="auto"/>
                      <w:szCs w:val="21"/>
                    </w:rPr>
                  </w:pPr>
                  <w:r>
                    <w:rPr>
                      <w:color w:val="auto"/>
                      <w:szCs w:val="21"/>
                      <w:lang w:eastAsia="zh-CN"/>
                    </w:rPr>
                    <w:t>超标率%</w:t>
                  </w:r>
                </w:p>
              </w:tc>
              <w:tc>
                <w:tcPr>
                  <w:tcW w:w="694" w:type="dxa"/>
                  <w:vMerge w:val="restart"/>
                  <w:vAlign w:val="center"/>
                </w:tcPr>
                <w:p w14:paraId="20292581">
                  <w:pPr>
                    <w:pStyle w:val="81"/>
                    <w:spacing w:before="0" w:after="0"/>
                    <w:ind w:firstLine="0" w:firstLineChars="0"/>
                    <w:rPr>
                      <w:color w:val="auto"/>
                      <w:szCs w:val="21"/>
                    </w:rPr>
                  </w:pPr>
                  <w:r>
                    <w:rPr>
                      <w:color w:val="auto"/>
                      <w:szCs w:val="21"/>
                      <w:lang w:eastAsia="zh-CN"/>
                    </w:rPr>
                    <w:t>达标情况</w:t>
                  </w:r>
                </w:p>
              </w:tc>
            </w:tr>
            <w:tr w14:paraId="3C1785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690" w:type="dxa"/>
                  <w:vMerge w:val="continue"/>
                  <w:vAlign w:val="center"/>
                </w:tcPr>
                <w:p w14:paraId="227EF0B3">
                  <w:pPr>
                    <w:pStyle w:val="81"/>
                    <w:spacing w:before="0" w:after="0"/>
                    <w:ind w:firstLine="0" w:firstLineChars="0"/>
                    <w:rPr>
                      <w:color w:val="auto"/>
                      <w:szCs w:val="21"/>
                    </w:rPr>
                  </w:pPr>
                </w:p>
              </w:tc>
              <w:tc>
                <w:tcPr>
                  <w:tcW w:w="733" w:type="dxa"/>
                  <w:vMerge w:val="continue"/>
                  <w:vAlign w:val="center"/>
                </w:tcPr>
                <w:p w14:paraId="5C074809">
                  <w:pPr>
                    <w:pStyle w:val="81"/>
                    <w:spacing w:before="0" w:after="0"/>
                    <w:ind w:firstLine="0" w:firstLineChars="0"/>
                    <w:rPr>
                      <w:color w:val="auto"/>
                      <w:szCs w:val="21"/>
                    </w:rPr>
                  </w:pPr>
                </w:p>
              </w:tc>
              <w:tc>
                <w:tcPr>
                  <w:tcW w:w="1838" w:type="dxa"/>
                  <w:vMerge w:val="continue"/>
                  <w:vAlign w:val="center"/>
                </w:tcPr>
                <w:p w14:paraId="675643BA">
                  <w:pPr>
                    <w:pStyle w:val="81"/>
                    <w:spacing w:before="0" w:after="0"/>
                    <w:ind w:firstLine="0" w:firstLineChars="0"/>
                    <w:rPr>
                      <w:color w:val="auto"/>
                      <w:szCs w:val="21"/>
                    </w:rPr>
                  </w:pPr>
                </w:p>
              </w:tc>
              <w:tc>
                <w:tcPr>
                  <w:tcW w:w="1152" w:type="dxa"/>
                  <w:vMerge w:val="continue"/>
                  <w:vAlign w:val="center"/>
                </w:tcPr>
                <w:p w14:paraId="119EF533">
                  <w:pPr>
                    <w:pStyle w:val="81"/>
                    <w:spacing w:before="0" w:after="0"/>
                    <w:ind w:firstLine="0" w:firstLineChars="0"/>
                    <w:rPr>
                      <w:color w:val="auto"/>
                      <w:szCs w:val="21"/>
                    </w:rPr>
                  </w:pPr>
                </w:p>
              </w:tc>
              <w:tc>
                <w:tcPr>
                  <w:tcW w:w="1152" w:type="dxa"/>
                  <w:vMerge w:val="continue"/>
                  <w:vAlign w:val="center"/>
                </w:tcPr>
                <w:p w14:paraId="16353246">
                  <w:pPr>
                    <w:pStyle w:val="81"/>
                    <w:spacing w:before="0" w:after="0"/>
                    <w:ind w:firstLine="0" w:firstLineChars="0"/>
                    <w:rPr>
                      <w:color w:val="auto"/>
                      <w:szCs w:val="21"/>
                    </w:rPr>
                  </w:pPr>
                </w:p>
              </w:tc>
              <w:tc>
                <w:tcPr>
                  <w:tcW w:w="1095" w:type="dxa"/>
                  <w:vMerge w:val="continue"/>
                  <w:vAlign w:val="center"/>
                </w:tcPr>
                <w:p w14:paraId="69CD1203">
                  <w:pPr>
                    <w:pStyle w:val="81"/>
                    <w:spacing w:before="0" w:after="0"/>
                    <w:ind w:firstLine="0" w:firstLineChars="0"/>
                    <w:rPr>
                      <w:color w:val="auto"/>
                      <w:szCs w:val="21"/>
                    </w:rPr>
                  </w:pPr>
                </w:p>
              </w:tc>
              <w:tc>
                <w:tcPr>
                  <w:tcW w:w="646" w:type="dxa"/>
                  <w:vMerge w:val="continue"/>
                  <w:vAlign w:val="center"/>
                </w:tcPr>
                <w:p w14:paraId="60609B9D">
                  <w:pPr>
                    <w:pStyle w:val="81"/>
                    <w:spacing w:before="0" w:after="0"/>
                    <w:ind w:firstLine="0" w:firstLineChars="0"/>
                    <w:rPr>
                      <w:color w:val="auto"/>
                      <w:szCs w:val="21"/>
                    </w:rPr>
                  </w:pPr>
                </w:p>
              </w:tc>
              <w:tc>
                <w:tcPr>
                  <w:tcW w:w="694" w:type="dxa"/>
                  <w:vMerge w:val="continue"/>
                  <w:vAlign w:val="center"/>
                </w:tcPr>
                <w:p w14:paraId="547EC6D8">
                  <w:pPr>
                    <w:pStyle w:val="81"/>
                    <w:spacing w:before="0" w:after="0"/>
                    <w:ind w:firstLine="0" w:firstLineChars="0"/>
                    <w:rPr>
                      <w:color w:val="auto"/>
                      <w:szCs w:val="21"/>
                    </w:rPr>
                  </w:pPr>
                </w:p>
              </w:tc>
            </w:tr>
            <w:tr w14:paraId="163FC6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0" w:type="dxa"/>
                  <w:vMerge w:val="restart"/>
                  <w:vAlign w:val="center"/>
                </w:tcPr>
                <w:p w14:paraId="5BA53F05">
                  <w:pPr>
                    <w:pStyle w:val="81"/>
                    <w:spacing w:before="0" w:after="0"/>
                    <w:ind w:firstLine="0" w:firstLineChars="0"/>
                    <w:rPr>
                      <w:color w:val="auto"/>
                      <w:szCs w:val="21"/>
                      <w:lang w:val="en-US" w:eastAsia="zh-CN"/>
                    </w:rPr>
                  </w:pPr>
                  <w:r>
                    <w:rPr>
                      <w:color w:val="auto"/>
                      <w:szCs w:val="21"/>
                      <w:lang w:val="en-US" w:eastAsia="zh-CN"/>
                    </w:rPr>
                    <w:t>西咸新区</w:t>
                  </w:r>
                </w:p>
              </w:tc>
              <w:tc>
                <w:tcPr>
                  <w:tcW w:w="733" w:type="dxa"/>
                  <w:vAlign w:val="center"/>
                </w:tcPr>
                <w:p w14:paraId="3B741CBC">
                  <w:pPr>
                    <w:pStyle w:val="81"/>
                    <w:spacing w:before="0" w:after="0"/>
                    <w:ind w:firstLine="0" w:firstLineChars="0"/>
                    <w:rPr>
                      <w:color w:val="auto"/>
                      <w:szCs w:val="21"/>
                    </w:rPr>
                  </w:pPr>
                  <w:r>
                    <w:rPr>
                      <w:color w:val="auto"/>
                      <w:szCs w:val="21"/>
                      <w:lang w:eastAsia="zh-CN"/>
                    </w:rPr>
                    <w:t>SO</w:t>
                  </w:r>
                  <w:r>
                    <w:rPr>
                      <w:color w:val="auto"/>
                      <w:szCs w:val="21"/>
                      <w:vertAlign w:val="subscript"/>
                      <w:lang w:eastAsia="zh-CN"/>
                    </w:rPr>
                    <w:t>2</w:t>
                  </w:r>
                </w:p>
              </w:tc>
              <w:tc>
                <w:tcPr>
                  <w:tcW w:w="1838" w:type="dxa"/>
                  <w:vAlign w:val="center"/>
                </w:tcPr>
                <w:p w14:paraId="1C13928D">
                  <w:pPr>
                    <w:pStyle w:val="81"/>
                    <w:spacing w:before="0" w:after="0"/>
                    <w:ind w:firstLine="0" w:firstLineChars="0"/>
                    <w:rPr>
                      <w:color w:val="auto"/>
                      <w:szCs w:val="21"/>
                      <w:lang w:eastAsia="zh-CN"/>
                    </w:rPr>
                  </w:pPr>
                  <w:r>
                    <w:rPr>
                      <w:color w:val="auto"/>
                      <w:szCs w:val="21"/>
                      <w:lang w:eastAsia="zh-CN"/>
                    </w:rPr>
                    <w:t>年平均质量浓度</w:t>
                  </w:r>
                </w:p>
              </w:tc>
              <w:tc>
                <w:tcPr>
                  <w:tcW w:w="1152" w:type="dxa"/>
                  <w:vAlign w:val="center"/>
                </w:tcPr>
                <w:p w14:paraId="281BD9D7">
                  <w:pPr>
                    <w:pStyle w:val="81"/>
                    <w:spacing w:before="0" w:after="0"/>
                    <w:ind w:firstLine="0" w:firstLineChars="0"/>
                    <w:rPr>
                      <w:color w:val="auto"/>
                      <w:szCs w:val="21"/>
                    </w:rPr>
                  </w:pPr>
                  <w:r>
                    <w:rPr>
                      <w:color w:val="auto"/>
                      <w:szCs w:val="21"/>
                      <w:lang w:eastAsia="zh-CN"/>
                    </w:rPr>
                    <w:t>60</w:t>
                  </w:r>
                </w:p>
              </w:tc>
              <w:tc>
                <w:tcPr>
                  <w:tcW w:w="1152" w:type="dxa"/>
                  <w:vAlign w:val="center"/>
                </w:tcPr>
                <w:p w14:paraId="2BF0593A">
                  <w:pPr>
                    <w:adjustRightInd w:val="0"/>
                    <w:snapToGrid w:val="0"/>
                    <w:jc w:val="center"/>
                    <w:rPr>
                      <w:color w:val="auto"/>
                      <w:szCs w:val="21"/>
                    </w:rPr>
                  </w:pPr>
                  <w:r>
                    <w:rPr>
                      <w:bCs/>
                      <w:color w:val="auto"/>
                      <w:szCs w:val="21"/>
                    </w:rPr>
                    <w:t>7</w:t>
                  </w:r>
                </w:p>
              </w:tc>
              <w:tc>
                <w:tcPr>
                  <w:tcW w:w="1095" w:type="dxa"/>
                  <w:vAlign w:val="center"/>
                </w:tcPr>
                <w:p w14:paraId="659A45B0">
                  <w:pPr>
                    <w:widowControl/>
                    <w:jc w:val="center"/>
                    <w:textAlignment w:val="center"/>
                    <w:rPr>
                      <w:color w:val="auto"/>
                      <w:szCs w:val="21"/>
                    </w:rPr>
                  </w:pPr>
                  <w:r>
                    <w:rPr>
                      <w:rFonts w:hint="eastAsia"/>
                      <w:color w:val="auto"/>
                    </w:rPr>
                    <w:t>11.7</w:t>
                  </w:r>
                </w:p>
              </w:tc>
              <w:tc>
                <w:tcPr>
                  <w:tcW w:w="646" w:type="dxa"/>
                  <w:vAlign w:val="center"/>
                </w:tcPr>
                <w:p w14:paraId="28E8B326">
                  <w:pPr>
                    <w:pStyle w:val="81"/>
                    <w:spacing w:before="0" w:after="0"/>
                    <w:ind w:firstLine="0" w:firstLineChars="0"/>
                    <w:rPr>
                      <w:color w:val="auto"/>
                      <w:szCs w:val="21"/>
                      <w:lang w:eastAsia="zh-CN"/>
                    </w:rPr>
                  </w:pPr>
                  <w:r>
                    <w:rPr>
                      <w:color w:val="auto"/>
                      <w:szCs w:val="21"/>
                      <w:lang w:eastAsia="zh-CN"/>
                    </w:rPr>
                    <w:t>/</w:t>
                  </w:r>
                </w:p>
              </w:tc>
              <w:tc>
                <w:tcPr>
                  <w:tcW w:w="694" w:type="dxa"/>
                  <w:vAlign w:val="center"/>
                </w:tcPr>
                <w:p w14:paraId="5F4E99DB">
                  <w:pPr>
                    <w:pStyle w:val="81"/>
                    <w:spacing w:before="0" w:after="0"/>
                    <w:ind w:firstLine="0" w:firstLineChars="0"/>
                    <w:rPr>
                      <w:color w:val="auto"/>
                      <w:szCs w:val="21"/>
                    </w:rPr>
                  </w:pPr>
                  <w:r>
                    <w:rPr>
                      <w:color w:val="auto"/>
                      <w:szCs w:val="21"/>
                      <w:lang w:eastAsia="zh-CN"/>
                    </w:rPr>
                    <w:t>达标</w:t>
                  </w:r>
                </w:p>
              </w:tc>
            </w:tr>
            <w:tr w14:paraId="2A4FAC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0" w:type="dxa"/>
                  <w:vMerge w:val="continue"/>
                  <w:vAlign w:val="center"/>
                </w:tcPr>
                <w:p w14:paraId="14E3D9C1">
                  <w:pPr>
                    <w:pStyle w:val="81"/>
                    <w:spacing w:before="0" w:after="0"/>
                    <w:ind w:firstLine="0" w:firstLineChars="0"/>
                    <w:rPr>
                      <w:color w:val="auto"/>
                      <w:szCs w:val="21"/>
                    </w:rPr>
                  </w:pPr>
                </w:p>
              </w:tc>
              <w:tc>
                <w:tcPr>
                  <w:tcW w:w="733" w:type="dxa"/>
                  <w:vAlign w:val="center"/>
                </w:tcPr>
                <w:p w14:paraId="3E7A2398">
                  <w:pPr>
                    <w:pStyle w:val="81"/>
                    <w:spacing w:before="0" w:after="0"/>
                    <w:ind w:firstLine="0" w:firstLineChars="0"/>
                    <w:rPr>
                      <w:color w:val="auto"/>
                      <w:szCs w:val="21"/>
                    </w:rPr>
                  </w:pPr>
                  <w:r>
                    <w:rPr>
                      <w:color w:val="auto"/>
                      <w:szCs w:val="21"/>
                      <w:lang w:eastAsia="zh-CN"/>
                    </w:rPr>
                    <w:t>NO</w:t>
                  </w:r>
                  <w:r>
                    <w:rPr>
                      <w:color w:val="auto"/>
                      <w:szCs w:val="21"/>
                      <w:vertAlign w:val="subscript"/>
                      <w:lang w:eastAsia="zh-CN"/>
                    </w:rPr>
                    <w:t>2</w:t>
                  </w:r>
                </w:p>
              </w:tc>
              <w:tc>
                <w:tcPr>
                  <w:tcW w:w="1838" w:type="dxa"/>
                  <w:vAlign w:val="center"/>
                </w:tcPr>
                <w:p w14:paraId="3242A156">
                  <w:pPr>
                    <w:pStyle w:val="81"/>
                    <w:spacing w:before="0" w:after="0"/>
                    <w:ind w:firstLine="0" w:firstLineChars="0"/>
                    <w:rPr>
                      <w:color w:val="auto"/>
                      <w:szCs w:val="21"/>
                    </w:rPr>
                  </w:pPr>
                  <w:r>
                    <w:rPr>
                      <w:color w:val="auto"/>
                      <w:szCs w:val="21"/>
                      <w:lang w:eastAsia="zh-CN"/>
                    </w:rPr>
                    <w:t>年平均质量浓度</w:t>
                  </w:r>
                </w:p>
              </w:tc>
              <w:tc>
                <w:tcPr>
                  <w:tcW w:w="1152" w:type="dxa"/>
                  <w:vAlign w:val="center"/>
                </w:tcPr>
                <w:p w14:paraId="3261BDC0">
                  <w:pPr>
                    <w:pStyle w:val="81"/>
                    <w:spacing w:before="0" w:after="0"/>
                    <w:ind w:firstLine="0" w:firstLineChars="0"/>
                    <w:rPr>
                      <w:color w:val="auto"/>
                      <w:szCs w:val="21"/>
                    </w:rPr>
                  </w:pPr>
                  <w:r>
                    <w:rPr>
                      <w:color w:val="auto"/>
                      <w:szCs w:val="21"/>
                      <w:lang w:eastAsia="zh-CN"/>
                    </w:rPr>
                    <w:t>40</w:t>
                  </w:r>
                </w:p>
              </w:tc>
              <w:tc>
                <w:tcPr>
                  <w:tcW w:w="1152" w:type="dxa"/>
                  <w:vAlign w:val="center"/>
                </w:tcPr>
                <w:p w14:paraId="2A8185C9">
                  <w:pPr>
                    <w:adjustRightInd w:val="0"/>
                    <w:snapToGrid w:val="0"/>
                    <w:jc w:val="center"/>
                    <w:rPr>
                      <w:color w:val="auto"/>
                      <w:szCs w:val="21"/>
                    </w:rPr>
                  </w:pPr>
                  <w:r>
                    <w:rPr>
                      <w:bCs/>
                      <w:color w:val="auto"/>
                      <w:szCs w:val="21"/>
                    </w:rPr>
                    <w:t>37</w:t>
                  </w:r>
                </w:p>
              </w:tc>
              <w:tc>
                <w:tcPr>
                  <w:tcW w:w="1095" w:type="dxa"/>
                  <w:vAlign w:val="center"/>
                </w:tcPr>
                <w:p w14:paraId="0AF0DCDD">
                  <w:pPr>
                    <w:widowControl/>
                    <w:jc w:val="center"/>
                    <w:textAlignment w:val="center"/>
                    <w:rPr>
                      <w:color w:val="auto"/>
                      <w:szCs w:val="21"/>
                    </w:rPr>
                  </w:pPr>
                  <w:r>
                    <w:rPr>
                      <w:rFonts w:hint="eastAsia"/>
                      <w:color w:val="auto"/>
                    </w:rPr>
                    <w:t>92.5</w:t>
                  </w:r>
                </w:p>
              </w:tc>
              <w:tc>
                <w:tcPr>
                  <w:tcW w:w="646" w:type="dxa"/>
                  <w:vAlign w:val="center"/>
                </w:tcPr>
                <w:p w14:paraId="4441CCCE">
                  <w:pPr>
                    <w:pStyle w:val="81"/>
                    <w:spacing w:before="0" w:after="0"/>
                    <w:ind w:firstLine="0" w:firstLineChars="0"/>
                    <w:rPr>
                      <w:color w:val="auto"/>
                      <w:szCs w:val="21"/>
                      <w:lang w:eastAsia="zh-CN"/>
                    </w:rPr>
                  </w:pPr>
                  <w:r>
                    <w:rPr>
                      <w:color w:val="auto"/>
                      <w:szCs w:val="21"/>
                      <w:lang w:eastAsia="zh-CN"/>
                    </w:rPr>
                    <w:t>/</w:t>
                  </w:r>
                </w:p>
              </w:tc>
              <w:tc>
                <w:tcPr>
                  <w:tcW w:w="694" w:type="dxa"/>
                  <w:vAlign w:val="center"/>
                </w:tcPr>
                <w:p w14:paraId="038F2327">
                  <w:pPr>
                    <w:pStyle w:val="81"/>
                    <w:spacing w:before="0" w:after="0"/>
                    <w:ind w:firstLine="0" w:firstLineChars="0"/>
                    <w:rPr>
                      <w:color w:val="auto"/>
                      <w:szCs w:val="21"/>
                    </w:rPr>
                  </w:pPr>
                  <w:r>
                    <w:rPr>
                      <w:color w:val="auto"/>
                      <w:szCs w:val="21"/>
                      <w:lang w:eastAsia="zh-CN"/>
                    </w:rPr>
                    <w:t>达标</w:t>
                  </w:r>
                </w:p>
              </w:tc>
            </w:tr>
            <w:tr w14:paraId="35DBD6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0" w:type="dxa"/>
                  <w:vMerge w:val="continue"/>
                  <w:vAlign w:val="center"/>
                </w:tcPr>
                <w:p w14:paraId="5511631E">
                  <w:pPr>
                    <w:pStyle w:val="81"/>
                    <w:spacing w:before="0" w:after="0"/>
                    <w:ind w:firstLine="0" w:firstLineChars="0"/>
                    <w:rPr>
                      <w:color w:val="auto"/>
                      <w:szCs w:val="21"/>
                    </w:rPr>
                  </w:pPr>
                </w:p>
              </w:tc>
              <w:tc>
                <w:tcPr>
                  <w:tcW w:w="733" w:type="dxa"/>
                  <w:vAlign w:val="center"/>
                </w:tcPr>
                <w:p w14:paraId="36237BFB">
                  <w:pPr>
                    <w:pStyle w:val="81"/>
                    <w:spacing w:before="0" w:after="0"/>
                    <w:ind w:firstLine="0" w:firstLineChars="0"/>
                    <w:rPr>
                      <w:color w:val="auto"/>
                      <w:szCs w:val="21"/>
                    </w:rPr>
                  </w:pPr>
                  <w:r>
                    <w:rPr>
                      <w:color w:val="auto"/>
                      <w:szCs w:val="21"/>
                      <w:lang w:eastAsia="zh-CN"/>
                    </w:rPr>
                    <w:t>PM</w:t>
                  </w:r>
                  <w:r>
                    <w:rPr>
                      <w:color w:val="auto"/>
                      <w:szCs w:val="21"/>
                      <w:vertAlign w:val="subscript"/>
                      <w:lang w:eastAsia="zh-CN"/>
                    </w:rPr>
                    <w:t>10</w:t>
                  </w:r>
                </w:p>
              </w:tc>
              <w:tc>
                <w:tcPr>
                  <w:tcW w:w="1838" w:type="dxa"/>
                  <w:vAlign w:val="center"/>
                </w:tcPr>
                <w:p w14:paraId="1C342EEF">
                  <w:pPr>
                    <w:pStyle w:val="81"/>
                    <w:spacing w:before="0" w:after="0"/>
                    <w:ind w:firstLine="0" w:firstLineChars="0"/>
                    <w:rPr>
                      <w:color w:val="auto"/>
                      <w:szCs w:val="21"/>
                    </w:rPr>
                  </w:pPr>
                  <w:r>
                    <w:rPr>
                      <w:color w:val="auto"/>
                      <w:szCs w:val="21"/>
                      <w:lang w:eastAsia="zh-CN"/>
                    </w:rPr>
                    <w:t>年平均质量浓度</w:t>
                  </w:r>
                </w:p>
              </w:tc>
              <w:tc>
                <w:tcPr>
                  <w:tcW w:w="1152" w:type="dxa"/>
                  <w:vAlign w:val="center"/>
                </w:tcPr>
                <w:p w14:paraId="46AF8850">
                  <w:pPr>
                    <w:pStyle w:val="81"/>
                    <w:spacing w:before="0" w:after="0"/>
                    <w:ind w:firstLine="0" w:firstLineChars="0"/>
                    <w:rPr>
                      <w:color w:val="auto"/>
                      <w:szCs w:val="21"/>
                    </w:rPr>
                  </w:pPr>
                  <w:r>
                    <w:rPr>
                      <w:color w:val="auto"/>
                      <w:szCs w:val="21"/>
                      <w:lang w:eastAsia="zh-CN"/>
                    </w:rPr>
                    <w:t>70</w:t>
                  </w:r>
                </w:p>
              </w:tc>
              <w:tc>
                <w:tcPr>
                  <w:tcW w:w="1152" w:type="dxa"/>
                  <w:vAlign w:val="center"/>
                </w:tcPr>
                <w:p w14:paraId="25D8A7C2">
                  <w:pPr>
                    <w:adjustRightInd w:val="0"/>
                    <w:snapToGrid w:val="0"/>
                    <w:jc w:val="center"/>
                    <w:rPr>
                      <w:color w:val="auto"/>
                      <w:szCs w:val="21"/>
                    </w:rPr>
                  </w:pPr>
                  <w:r>
                    <w:rPr>
                      <w:bCs/>
                      <w:color w:val="auto"/>
                      <w:szCs w:val="21"/>
                    </w:rPr>
                    <w:t>82</w:t>
                  </w:r>
                </w:p>
              </w:tc>
              <w:tc>
                <w:tcPr>
                  <w:tcW w:w="1095" w:type="dxa"/>
                  <w:vAlign w:val="center"/>
                </w:tcPr>
                <w:p w14:paraId="104174BC">
                  <w:pPr>
                    <w:widowControl/>
                    <w:jc w:val="center"/>
                    <w:textAlignment w:val="center"/>
                    <w:rPr>
                      <w:color w:val="auto"/>
                      <w:szCs w:val="21"/>
                    </w:rPr>
                  </w:pPr>
                  <w:r>
                    <w:rPr>
                      <w:color w:val="auto"/>
                    </w:rPr>
                    <w:t>11</w:t>
                  </w:r>
                  <w:r>
                    <w:rPr>
                      <w:rFonts w:hint="eastAsia"/>
                      <w:color w:val="auto"/>
                    </w:rPr>
                    <w:t>7.1</w:t>
                  </w:r>
                </w:p>
              </w:tc>
              <w:tc>
                <w:tcPr>
                  <w:tcW w:w="646" w:type="dxa"/>
                  <w:vAlign w:val="center"/>
                </w:tcPr>
                <w:p w14:paraId="152E146D">
                  <w:pPr>
                    <w:pStyle w:val="81"/>
                    <w:spacing w:before="0" w:after="0"/>
                    <w:ind w:firstLine="0" w:firstLineChars="0"/>
                    <w:rPr>
                      <w:color w:val="auto"/>
                      <w:szCs w:val="21"/>
                      <w:lang w:eastAsia="zh-CN"/>
                    </w:rPr>
                  </w:pPr>
                  <w:r>
                    <w:rPr>
                      <w:color w:val="auto"/>
                      <w:szCs w:val="21"/>
                      <w:lang w:eastAsia="zh-CN"/>
                    </w:rPr>
                    <w:t>/</w:t>
                  </w:r>
                </w:p>
              </w:tc>
              <w:tc>
                <w:tcPr>
                  <w:tcW w:w="694" w:type="dxa"/>
                  <w:vAlign w:val="center"/>
                </w:tcPr>
                <w:p w14:paraId="1678D96C">
                  <w:pPr>
                    <w:pStyle w:val="81"/>
                    <w:spacing w:before="0" w:after="0"/>
                    <w:ind w:firstLine="0" w:firstLineChars="0"/>
                    <w:rPr>
                      <w:color w:val="auto"/>
                      <w:szCs w:val="21"/>
                    </w:rPr>
                  </w:pPr>
                  <w:r>
                    <w:rPr>
                      <w:color w:val="auto"/>
                      <w:szCs w:val="21"/>
                      <w:lang w:val="en-US" w:eastAsia="zh-CN"/>
                    </w:rPr>
                    <w:t>超</w:t>
                  </w:r>
                  <w:r>
                    <w:rPr>
                      <w:color w:val="auto"/>
                      <w:szCs w:val="21"/>
                      <w:lang w:eastAsia="zh-CN"/>
                    </w:rPr>
                    <w:t>标</w:t>
                  </w:r>
                </w:p>
              </w:tc>
            </w:tr>
            <w:tr w14:paraId="06292C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0" w:type="dxa"/>
                  <w:vMerge w:val="continue"/>
                  <w:vAlign w:val="center"/>
                </w:tcPr>
                <w:p w14:paraId="38863546">
                  <w:pPr>
                    <w:pStyle w:val="81"/>
                    <w:spacing w:before="0" w:after="0"/>
                    <w:ind w:firstLine="0" w:firstLineChars="0"/>
                    <w:rPr>
                      <w:color w:val="auto"/>
                      <w:szCs w:val="21"/>
                    </w:rPr>
                  </w:pPr>
                </w:p>
              </w:tc>
              <w:tc>
                <w:tcPr>
                  <w:tcW w:w="733" w:type="dxa"/>
                  <w:vAlign w:val="center"/>
                </w:tcPr>
                <w:p w14:paraId="7E628330">
                  <w:pPr>
                    <w:pStyle w:val="81"/>
                    <w:spacing w:before="0" w:after="0"/>
                    <w:ind w:firstLine="0" w:firstLineChars="0"/>
                    <w:rPr>
                      <w:color w:val="auto"/>
                      <w:szCs w:val="21"/>
                    </w:rPr>
                  </w:pPr>
                  <w:r>
                    <w:rPr>
                      <w:color w:val="auto"/>
                      <w:szCs w:val="21"/>
                      <w:lang w:eastAsia="zh-CN"/>
                    </w:rPr>
                    <w:t>PM</w:t>
                  </w:r>
                  <w:r>
                    <w:rPr>
                      <w:color w:val="auto"/>
                      <w:szCs w:val="21"/>
                      <w:vertAlign w:val="subscript"/>
                      <w:lang w:eastAsia="zh-CN"/>
                    </w:rPr>
                    <w:t>2.5</w:t>
                  </w:r>
                </w:p>
              </w:tc>
              <w:tc>
                <w:tcPr>
                  <w:tcW w:w="1838" w:type="dxa"/>
                  <w:vAlign w:val="center"/>
                </w:tcPr>
                <w:p w14:paraId="2D1B6A22">
                  <w:pPr>
                    <w:pStyle w:val="81"/>
                    <w:spacing w:before="0" w:after="0"/>
                    <w:ind w:firstLine="0" w:firstLineChars="0"/>
                    <w:rPr>
                      <w:color w:val="auto"/>
                      <w:szCs w:val="21"/>
                    </w:rPr>
                  </w:pPr>
                  <w:r>
                    <w:rPr>
                      <w:color w:val="auto"/>
                      <w:szCs w:val="21"/>
                      <w:lang w:eastAsia="zh-CN"/>
                    </w:rPr>
                    <w:t>年平均质量浓度</w:t>
                  </w:r>
                </w:p>
              </w:tc>
              <w:tc>
                <w:tcPr>
                  <w:tcW w:w="1152" w:type="dxa"/>
                  <w:vAlign w:val="center"/>
                </w:tcPr>
                <w:p w14:paraId="173BEF7A">
                  <w:pPr>
                    <w:pStyle w:val="81"/>
                    <w:spacing w:before="0" w:after="0"/>
                    <w:ind w:firstLine="0" w:firstLineChars="0"/>
                    <w:rPr>
                      <w:color w:val="auto"/>
                      <w:szCs w:val="21"/>
                    </w:rPr>
                  </w:pPr>
                  <w:r>
                    <w:rPr>
                      <w:color w:val="auto"/>
                      <w:szCs w:val="21"/>
                      <w:lang w:eastAsia="zh-CN"/>
                    </w:rPr>
                    <w:t>35</w:t>
                  </w:r>
                </w:p>
              </w:tc>
              <w:tc>
                <w:tcPr>
                  <w:tcW w:w="1152" w:type="dxa"/>
                  <w:vAlign w:val="center"/>
                </w:tcPr>
                <w:p w14:paraId="5371F56F">
                  <w:pPr>
                    <w:adjustRightInd w:val="0"/>
                    <w:snapToGrid w:val="0"/>
                    <w:jc w:val="center"/>
                    <w:rPr>
                      <w:color w:val="auto"/>
                      <w:szCs w:val="21"/>
                    </w:rPr>
                  </w:pPr>
                  <w:r>
                    <w:rPr>
                      <w:bCs/>
                      <w:color w:val="auto"/>
                      <w:szCs w:val="21"/>
                    </w:rPr>
                    <w:t>48</w:t>
                  </w:r>
                </w:p>
              </w:tc>
              <w:tc>
                <w:tcPr>
                  <w:tcW w:w="1095" w:type="dxa"/>
                  <w:vAlign w:val="center"/>
                </w:tcPr>
                <w:p w14:paraId="501681BF">
                  <w:pPr>
                    <w:widowControl/>
                    <w:jc w:val="center"/>
                    <w:textAlignment w:val="center"/>
                    <w:rPr>
                      <w:color w:val="auto"/>
                      <w:szCs w:val="21"/>
                    </w:rPr>
                  </w:pPr>
                  <w:r>
                    <w:rPr>
                      <w:rFonts w:hint="eastAsia"/>
                      <w:color w:val="auto"/>
                    </w:rPr>
                    <w:t>1</w:t>
                  </w:r>
                  <w:r>
                    <w:rPr>
                      <w:color w:val="auto"/>
                    </w:rPr>
                    <w:t>37.1</w:t>
                  </w:r>
                </w:p>
              </w:tc>
              <w:tc>
                <w:tcPr>
                  <w:tcW w:w="646" w:type="dxa"/>
                  <w:vAlign w:val="center"/>
                </w:tcPr>
                <w:p w14:paraId="1142C1E3">
                  <w:pPr>
                    <w:pStyle w:val="81"/>
                    <w:spacing w:before="0" w:after="0"/>
                    <w:ind w:firstLine="0" w:firstLineChars="0"/>
                    <w:rPr>
                      <w:color w:val="auto"/>
                      <w:szCs w:val="21"/>
                      <w:lang w:eastAsia="zh-CN"/>
                    </w:rPr>
                  </w:pPr>
                  <w:r>
                    <w:rPr>
                      <w:color w:val="auto"/>
                      <w:szCs w:val="21"/>
                      <w:lang w:eastAsia="zh-CN"/>
                    </w:rPr>
                    <w:t>/</w:t>
                  </w:r>
                </w:p>
              </w:tc>
              <w:tc>
                <w:tcPr>
                  <w:tcW w:w="694" w:type="dxa"/>
                  <w:vAlign w:val="center"/>
                </w:tcPr>
                <w:p w14:paraId="69401553">
                  <w:pPr>
                    <w:pStyle w:val="81"/>
                    <w:spacing w:before="0" w:after="0"/>
                    <w:ind w:firstLine="0" w:firstLineChars="0"/>
                    <w:rPr>
                      <w:color w:val="auto"/>
                      <w:szCs w:val="21"/>
                    </w:rPr>
                  </w:pPr>
                  <w:r>
                    <w:rPr>
                      <w:color w:val="auto"/>
                      <w:szCs w:val="21"/>
                      <w:lang w:val="en-US" w:eastAsia="zh-CN"/>
                    </w:rPr>
                    <w:t>超</w:t>
                  </w:r>
                  <w:r>
                    <w:rPr>
                      <w:color w:val="auto"/>
                      <w:szCs w:val="21"/>
                      <w:lang w:eastAsia="zh-CN"/>
                    </w:rPr>
                    <w:t>标</w:t>
                  </w:r>
                </w:p>
              </w:tc>
            </w:tr>
            <w:tr w14:paraId="7F002C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0" w:type="dxa"/>
                  <w:vMerge w:val="continue"/>
                  <w:vAlign w:val="center"/>
                </w:tcPr>
                <w:p w14:paraId="451A7C03">
                  <w:pPr>
                    <w:pStyle w:val="81"/>
                    <w:spacing w:before="0" w:after="0"/>
                    <w:ind w:firstLine="0" w:firstLineChars="0"/>
                    <w:rPr>
                      <w:color w:val="auto"/>
                      <w:szCs w:val="21"/>
                    </w:rPr>
                  </w:pPr>
                </w:p>
              </w:tc>
              <w:tc>
                <w:tcPr>
                  <w:tcW w:w="733" w:type="dxa"/>
                  <w:vAlign w:val="center"/>
                </w:tcPr>
                <w:p w14:paraId="71D8A9E3">
                  <w:pPr>
                    <w:pStyle w:val="81"/>
                    <w:spacing w:before="0" w:after="0"/>
                    <w:ind w:firstLine="0" w:firstLineChars="0"/>
                    <w:rPr>
                      <w:color w:val="auto"/>
                      <w:szCs w:val="21"/>
                    </w:rPr>
                  </w:pPr>
                  <w:r>
                    <w:rPr>
                      <w:color w:val="auto"/>
                      <w:szCs w:val="21"/>
                      <w:lang w:eastAsia="zh-CN"/>
                    </w:rPr>
                    <w:t>CO</w:t>
                  </w:r>
                </w:p>
              </w:tc>
              <w:tc>
                <w:tcPr>
                  <w:tcW w:w="1838" w:type="dxa"/>
                  <w:vAlign w:val="center"/>
                </w:tcPr>
                <w:p w14:paraId="045AE447">
                  <w:pPr>
                    <w:pStyle w:val="81"/>
                    <w:spacing w:before="0" w:after="0"/>
                    <w:ind w:firstLine="0" w:firstLineChars="0"/>
                    <w:rPr>
                      <w:color w:val="auto"/>
                      <w:szCs w:val="21"/>
                    </w:rPr>
                  </w:pPr>
                  <w:r>
                    <w:rPr>
                      <w:color w:val="auto"/>
                      <w:szCs w:val="21"/>
                      <w:lang w:eastAsia="zh-CN"/>
                    </w:rPr>
                    <w:t>第95百分位数日平均质量浓度</w:t>
                  </w:r>
                </w:p>
              </w:tc>
              <w:tc>
                <w:tcPr>
                  <w:tcW w:w="1152" w:type="dxa"/>
                  <w:vAlign w:val="center"/>
                </w:tcPr>
                <w:p w14:paraId="3CA46DF8">
                  <w:pPr>
                    <w:pStyle w:val="81"/>
                    <w:spacing w:before="0" w:after="0"/>
                    <w:ind w:firstLine="0" w:firstLineChars="0"/>
                    <w:rPr>
                      <w:color w:val="auto"/>
                      <w:szCs w:val="21"/>
                    </w:rPr>
                  </w:pPr>
                  <w:r>
                    <w:rPr>
                      <w:color w:val="auto"/>
                      <w:szCs w:val="21"/>
                      <w:lang w:eastAsia="zh-CN"/>
                    </w:rPr>
                    <w:t>4000</w:t>
                  </w:r>
                </w:p>
              </w:tc>
              <w:tc>
                <w:tcPr>
                  <w:tcW w:w="1152" w:type="dxa"/>
                  <w:vAlign w:val="center"/>
                </w:tcPr>
                <w:p w14:paraId="66F8C350">
                  <w:pPr>
                    <w:adjustRightInd w:val="0"/>
                    <w:snapToGrid w:val="0"/>
                    <w:jc w:val="center"/>
                    <w:rPr>
                      <w:color w:val="auto"/>
                      <w:szCs w:val="21"/>
                    </w:rPr>
                  </w:pPr>
                  <w:r>
                    <w:rPr>
                      <w:bCs/>
                      <w:color w:val="auto"/>
                      <w:szCs w:val="21"/>
                    </w:rPr>
                    <w:t>1300</w:t>
                  </w:r>
                </w:p>
              </w:tc>
              <w:tc>
                <w:tcPr>
                  <w:tcW w:w="1095" w:type="dxa"/>
                  <w:vAlign w:val="center"/>
                </w:tcPr>
                <w:p w14:paraId="209C39C6">
                  <w:pPr>
                    <w:widowControl/>
                    <w:jc w:val="center"/>
                    <w:textAlignment w:val="center"/>
                    <w:rPr>
                      <w:color w:val="auto"/>
                      <w:szCs w:val="21"/>
                    </w:rPr>
                  </w:pPr>
                  <w:r>
                    <w:rPr>
                      <w:color w:val="auto"/>
                    </w:rPr>
                    <w:t>3</w:t>
                  </w:r>
                  <w:r>
                    <w:rPr>
                      <w:rFonts w:hint="eastAsia"/>
                      <w:color w:val="auto"/>
                    </w:rPr>
                    <w:t>2.</w:t>
                  </w:r>
                  <w:r>
                    <w:rPr>
                      <w:color w:val="auto"/>
                    </w:rPr>
                    <w:t>5</w:t>
                  </w:r>
                </w:p>
              </w:tc>
              <w:tc>
                <w:tcPr>
                  <w:tcW w:w="646" w:type="dxa"/>
                  <w:vAlign w:val="center"/>
                </w:tcPr>
                <w:p w14:paraId="3F4BB1D1">
                  <w:pPr>
                    <w:pStyle w:val="81"/>
                    <w:spacing w:before="0" w:after="0"/>
                    <w:ind w:firstLine="0" w:firstLineChars="0"/>
                    <w:rPr>
                      <w:color w:val="auto"/>
                      <w:szCs w:val="21"/>
                      <w:lang w:eastAsia="zh-CN"/>
                    </w:rPr>
                  </w:pPr>
                  <w:r>
                    <w:rPr>
                      <w:color w:val="auto"/>
                      <w:szCs w:val="21"/>
                      <w:lang w:eastAsia="zh-CN"/>
                    </w:rPr>
                    <w:t>/</w:t>
                  </w:r>
                </w:p>
              </w:tc>
              <w:tc>
                <w:tcPr>
                  <w:tcW w:w="694" w:type="dxa"/>
                  <w:vAlign w:val="center"/>
                </w:tcPr>
                <w:p w14:paraId="5EF7E750">
                  <w:pPr>
                    <w:pStyle w:val="81"/>
                    <w:spacing w:before="0" w:after="0"/>
                    <w:ind w:firstLine="0" w:firstLineChars="0"/>
                    <w:rPr>
                      <w:color w:val="auto"/>
                      <w:szCs w:val="21"/>
                    </w:rPr>
                  </w:pPr>
                  <w:r>
                    <w:rPr>
                      <w:color w:val="auto"/>
                      <w:szCs w:val="21"/>
                      <w:lang w:eastAsia="zh-CN"/>
                    </w:rPr>
                    <w:t>达标</w:t>
                  </w:r>
                </w:p>
              </w:tc>
            </w:tr>
            <w:tr w14:paraId="64EEF7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0" w:type="dxa"/>
                  <w:vMerge w:val="continue"/>
                  <w:vAlign w:val="center"/>
                </w:tcPr>
                <w:p w14:paraId="588D108A">
                  <w:pPr>
                    <w:pStyle w:val="81"/>
                    <w:spacing w:before="0" w:after="0"/>
                    <w:ind w:firstLine="0" w:firstLineChars="0"/>
                    <w:rPr>
                      <w:color w:val="auto"/>
                      <w:szCs w:val="21"/>
                    </w:rPr>
                  </w:pPr>
                </w:p>
              </w:tc>
              <w:tc>
                <w:tcPr>
                  <w:tcW w:w="733" w:type="dxa"/>
                  <w:vAlign w:val="center"/>
                </w:tcPr>
                <w:p w14:paraId="54610AF8">
                  <w:pPr>
                    <w:pStyle w:val="81"/>
                    <w:spacing w:before="0" w:after="0"/>
                    <w:ind w:firstLine="0" w:firstLineChars="0"/>
                    <w:rPr>
                      <w:color w:val="auto"/>
                      <w:szCs w:val="21"/>
                    </w:rPr>
                  </w:pPr>
                  <w:r>
                    <w:rPr>
                      <w:color w:val="auto"/>
                      <w:szCs w:val="21"/>
                      <w:lang w:eastAsia="zh-CN"/>
                    </w:rPr>
                    <w:t>O</w:t>
                  </w:r>
                  <w:r>
                    <w:rPr>
                      <w:color w:val="auto"/>
                      <w:szCs w:val="21"/>
                      <w:vertAlign w:val="subscript"/>
                      <w:lang w:eastAsia="zh-CN"/>
                    </w:rPr>
                    <w:t>3</w:t>
                  </w:r>
                </w:p>
              </w:tc>
              <w:tc>
                <w:tcPr>
                  <w:tcW w:w="1838" w:type="dxa"/>
                  <w:vAlign w:val="center"/>
                </w:tcPr>
                <w:p w14:paraId="3D8D7142">
                  <w:pPr>
                    <w:pStyle w:val="81"/>
                    <w:spacing w:before="0" w:after="0"/>
                    <w:ind w:firstLine="0" w:firstLineChars="0"/>
                    <w:rPr>
                      <w:color w:val="auto"/>
                      <w:szCs w:val="21"/>
                    </w:rPr>
                  </w:pPr>
                  <w:r>
                    <w:rPr>
                      <w:color w:val="auto"/>
                      <w:szCs w:val="21"/>
                      <w:lang w:eastAsia="zh-CN"/>
                    </w:rPr>
                    <w:t>第90百分位数8h平均质量浓度</w:t>
                  </w:r>
                </w:p>
              </w:tc>
              <w:tc>
                <w:tcPr>
                  <w:tcW w:w="1152" w:type="dxa"/>
                  <w:vAlign w:val="center"/>
                </w:tcPr>
                <w:p w14:paraId="26117D92">
                  <w:pPr>
                    <w:pStyle w:val="81"/>
                    <w:spacing w:before="0" w:after="0"/>
                    <w:ind w:firstLine="0" w:firstLineChars="0"/>
                    <w:rPr>
                      <w:color w:val="auto"/>
                      <w:szCs w:val="21"/>
                    </w:rPr>
                  </w:pPr>
                  <w:r>
                    <w:rPr>
                      <w:color w:val="auto"/>
                      <w:szCs w:val="21"/>
                      <w:lang w:eastAsia="zh-CN"/>
                    </w:rPr>
                    <w:t>160</w:t>
                  </w:r>
                </w:p>
              </w:tc>
              <w:tc>
                <w:tcPr>
                  <w:tcW w:w="1152" w:type="dxa"/>
                  <w:vAlign w:val="center"/>
                </w:tcPr>
                <w:p w14:paraId="787460DF">
                  <w:pPr>
                    <w:adjustRightInd w:val="0"/>
                    <w:snapToGrid w:val="0"/>
                    <w:jc w:val="center"/>
                    <w:rPr>
                      <w:color w:val="auto"/>
                      <w:szCs w:val="21"/>
                    </w:rPr>
                  </w:pPr>
                  <w:r>
                    <w:rPr>
                      <w:bCs/>
                      <w:color w:val="auto"/>
                      <w:szCs w:val="21"/>
                    </w:rPr>
                    <w:t>163</w:t>
                  </w:r>
                </w:p>
              </w:tc>
              <w:tc>
                <w:tcPr>
                  <w:tcW w:w="1095" w:type="dxa"/>
                  <w:vAlign w:val="center"/>
                </w:tcPr>
                <w:p w14:paraId="731D4CAE">
                  <w:pPr>
                    <w:widowControl/>
                    <w:jc w:val="center"/>
                    <w:textAlignment w:val="center"/>
                    <w:rPr>
                      <w:color w:val="auto"/>
                      <w:szCs w:val="21"/>
                    </w:rPr>
                  </w:pPr>
                  <w:r>
                    <w:rPr>
                      <w:color w:val="auto"/>
                    </w:rPr>
                    <w:t>1</w:t>
                  </w:r>
                  <w:r>
                    <w:rPr>
                      <w:rFonts w:hint="eastAsia"/>
                      <w:color w:val="auto"/>
                    </w:rPr>
                    <w:t>01.9</w:t>
                  </w:r>
                </w:p>
              </w:tc>
              <w:tc>
                <w:tcPr>
                  <w:tcW w:w="646" w:type="dxa"/>
                  <w:vAlign w:val="center"/>
                </w:tcPr>
                <w:p w14:paraId="31134D42">
                  <w:pPr>
                    <w:pStyle w:val="81"/>
                    <w:spacing w:before="0" w:after="0"/>
                    <w:ind w:firstLine="0" w:firstLineChars="0"/>
                    <w:rPr>
                      <w:color w:val="auto"/>
                      <w:szCs w:val="21"/>
                      <w:lang w:eastAsia="zh-CN"/>
                    </w:rPr>
                  </w:pPr>
                  <w:r>
                    <w:rPr>
                      <w:color w:val="auto"/>
                      <w:szCs w:val="21"/>
                      <w:lang w:eastAsia="zh-CN"/>
                    </w:rPr>
                    <w:t>/</w:t>
                  </w:r>
                </w:p>
              </w:tc>
              <w:tc>
                <w:tcPr>
                  <w:tcW w:w="694" w:type="dxa"/>
                  <w:vAlign w:val="center"/>
                </w:tcPr>
                <w:p w14:paraId="53F835E7">
                  <w:pPr>
                    <w:pStyle w:val="81"/>
                    <w:spacing w:before="0" w:after="0"/>
                    <w:ind w:firstLine="0" w:firstLineChars="0"/>
                    <w:rPr>
                      <w:color w:val="auto"/>
                      <w:szCs w:val="21"/>
                    </w:rPr>
                  </w:pPr>
                  <w:r>
                    <w:rPr>
                      <w:color w:val="auto"/>
                      <w:szCs w:val="21"/>
                      <w:lang w:val="en-US" w:eastAsia="zh-CN"/>
                    </w:rPr>
                    <w:t>超</w:t>
                  </w:r>
                  <w:r>
                    <w:rPr>
                      <w:color w:val="auto"/>
                      <w:szCs w:val="21"/>
                      <w:lang w:eastAsia="zh-CN"/>
                    </w:rPr>
                    <w:t>标</w:t>
                  </w:r>
                </w:p>
              </w:tc>
            </w:tr>
          </w:tbl>
          <w:p w14:paraId="742DE52A">
            <w:pPr>
              <w:adjustRightInd w:val="0"/>
              <w:snapToGrid w:val="0"/>
              <w:spacing w:before="120" w:beforeLines="50" w:line="360" w:lineRule="auto"/>
              <w:ind w:firstLine="480" w:firstLineChars="200"/>
              <w:rPr>
                <w:color w:val="auto"/>
                <w:sz w:val="24"/>
              </w:rPr>
            </w:pPr>
            <w:r>
              <w:rPr>
                <w:color w:val="auto"/>
                <w:sz w:val="24"/>
              </w:rPr>
              <w:t>根据表3-1可知，项目所在区域NO</w:t>
            </w:r>
            <w:r>
              <w:rPr>
                <w:color w:val="auto"/>
                <w:sz w:val="24"/>
                <w:vertAlign w:val="subscript"/>
              </w:rPr>
              <w:t>2</w:t>
            </w:r>
            <w:r>
              <w:rPr>
                <w:color w:val="auto"/>
                <w:sz w:val="24"/>
              </w:rPr>
              <w:t>、SO</w:t>
            </w:r>
            <w:r>
              <w:rPr>
                <w:color w:val="auto"/>
                <w:sz w:val="24"/>
                <w:vertAlign w:val="subscript"/>
              </w:rPr>
              <w:t>2</w:t>
            </w:r>
            <w:r>
              <w:rPr>
                <w:color w:val="auto"/>
                <w:sz w:val="24"/>
              </w:rPr>
              <w:t>年平均质量浓度和CO第95百分位数日平均浓度满足《环境空气质量标准》（GB3095-2012）二级标准，PM</w:t>
            </w:r>
            <w:r>
              <w:rPr>
                <w:color w:val="auto"/>
                <w:sz w:val="24"/>
                <w:vertAlign w:val="subscript"/>
              </w:rPr>
              <w:t>10</w:t>
            </w:r>
            <w:r>
              <w:rPr>
                <w:color w:val="auto"/>
                <w:sz w:val="24"/>
              </w:rPr>
              <w:t>和PM</w:t>
            </w:r>
            <w:r>
              <w:rPr>
                <w:color w:val="auto"/>
                <w:sz w:val="24"/>
                <w:vertAlign w:val="subscript"/>
              </w:rPr>
              <w:t>2.5</w:t>
            </w:r>
            <w:r>
              <w:rPr>
                <w:color w:val="auto"/>
                <w:sz w:val="24"/>
              </w:rPr>
              <w:t>的年平均值、O</w:t>
            </w:r>
            <w:r>
              <w:rPr>
                <w:color w:val="auto"/>
                <w:sz w:val="24"/>
                <w:vertAlign w:val="subscript"/>
              </w:rPr>
              <w:t>3</w:t>
            </w:r>
            <w:r>
              <w:rPr>
                <w:rFonts w:ascii="Times New Roman" w:hAnsi="Times New Roman" w:eastAsia="宋体" w:cs="Times New Roman"/>
                <w:color w:val="auto"/>
                <w:sz w:val="24"/>
              </w:rPr>
              <w:t>日</w:t>
            </w:r>
            <w:r>
              <w:rPr>
                <w:rFonts w:ascii="Times New Roman" w:hAnsi="Times New Roman" w:eastAsia="宋体" w:cs="Times New Roman"/>
                <w:color w:val="auto"/>
                <w:sz w:val="24"/>
                <w:lang w:eastAsia="zh-CN"/>
              </w:rPr>
              <w:t>第90百分位数8h平均质量浓度</w:t>
            </w:r>
            <w:r>
              <w:rPr>
                <w:rFonts w:ascii="Times New Roman" w:hAnsi="Times New Roman" w:eastAsia="宋体" w:cs="Times New Roman"/>
                <w:color w:val="auto"/>
                <w:sz w:val="24"/>
              </w:rPr>
              <w:t>均超过</w:t>
            </w:r>
            <w:r>
              <w:rPr>
                <w:color w:val="auto"/>
                <w:sz w:val="24"/>
              </w:rPr>
              <w:t>《环境空气质量标准》（GB3095-2012）中二级标准。</w:t>
            </w:r>
          </w:p>
          <w:p w14:paraId="701A9983">
            <w:pPr>
              <w:spacing w:line="360" w:lineRule="auto"/>
              <w:ind w:firstLine="480" w:firstLineChars="200"/>
              <w:rPr>
                <w:color w:val="auto"/>
                <w:sz w:val="24"/>
              </w:rPr>
            </w:pPr>
            <w:r>
              <w:rPr>
                <w:color w:val="auto"/>
                <w:sz w:val="24"/>
              </w:rPr>
              <w:t>（2）特征污染物环境质量现状</w:t>
            </w:r>
          </w:p>
          <w:p w14:paraId="63B08E91">
            <w:pPr>
              <w:widowControl/>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lang w:val="en-US" w:eastAsia="zh-CN"/>
              </w:rPr>
              <w:t>本项目特征污染物TSP</w:t>
            </w:r>
            <w:r>
              <w:rPr>
                <w:rFonts w:hint="default" w:ascii="Times New Roman" w:hAnsi="Times New Roman" w:eastAsia="宋体" w:cs="Times New Roman"/>
                <w:color w:val="auto"/>
                <w:sz w:val="24"/>
              </w:rPr>
              <w:t>引用</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西安天交华羿光电有限公司钙钛矿光伏电池研发中心与中试基地环境空气质量监测报告</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该项目位于陕西省西咸新区沣西新城沣景路以北兴园路以东十字东北角西高智能孵化基地2号楼，位于本项目西北侧约</w:t>
            </w:r>
            <w:r>
              <w:rPr>
                <w:rFonts w:hint="eastAsia" w:ascii="Times New Roman" w:hAnsi="Times New Roman" w:eastAsia="宋体" w:cs="Times New Roman"/>
                <w:color w:val="auto"/>
                <w:sz w:val="24"/>
                <w:lang w:val="en-US" w:eastAsia="zh-CN"/>
              </w:rPr>
              <w:t>3.91</w:t>
            </w:r>
            <w:r>
              <w:rPr>
                <w:rFonts w:hint="default" w:ascii="Times New Roman" w:hAnsi="Times New Roman" w:eastAsia="宋体" w:cs="Times New Roman"/>
                <w:color w:val="auto"/>
                <w:sz w:val="24"/>
                <w:lang w:val="en-US" w:eastAsia="zh-CN"/>
              </w:rPr>
              <w:t>km，监测时间为2024年4月6日～4月8日</w:t>
            </w:r>
            <w:r>
              <w:rPr>
                <w:rFonts w:hint="default" w:ascii="Times New Roman" w:hAnsi="Times New Roman" w:eastAsia="宋体" w:cs="Times New Roman"/>
                <w:color w:val="auto"/>
                <w:sz w:val="24"/>
              </w:rPr>
              <w:t>），该监测数据满足</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建设项目周边5千米范围内近3年的现有监测数据</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的要求，监测结果见下表</w:t>
            </w:r>
            <w:r>
              <w:rPr>
                <w:rFonts w:hint="default" w:ascii="Times New Roman" w:hAnsi="Times New Roman" w:cs="Times New Roman"/>
                <w:color w:val="auto"/>
                <w:lang w:eastAsia="zh-CN"/>
              </w:rPr>
              <w:t>。</w:t>
            </w:r>
          </w:p>
          <w:p w14:paraId="04BEED8B">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表</w:t>
            </w:r>
            <w:r>
              <w:rPr>
                <w:rFonts w:hint="default" w:ascii="Times New Roman" w:hAnsi="Times New Roman" w:cs="Times New Roman"/>
                <w:b/>
                <w:color w:val="auto"/>
                <w:szCs w:val="21"/>
                <w:highlight w:val="none"/>
                <w:lang w:val="en-US" w:eastAsia="zh-CN"/>
              </w:rPr>
              <w:t>3-2</w:t>
            </w:r>
            <w:r>
              <w:rPr>
                <w:rFonts w:hint="eastAsia"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其他污染物补充监测点位基本信息</w:t>
            </w:r>
          </w:p>
          <w:tbl>
            <w:tblPr>
              <w:tblStyle w:val="28"/>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2168"/>
              <w:gridCol w:w="1354"/>
              <w:gridCol w:w="1498"/>
              <w:gridCol w:w="1407"/>
              <w:gridCol w:w="1570"/>
            </w:tblGrid>
            <w:tr w14:paraId="0823C5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355" w:type="pct"/>
                  <w:tcBorders>
                    <w:tl2br w:val="nil"/>
                    <w:tr2bl w:val="nil"/>
                  </w:tcBorders>
                  <w:noWrap w:val="0"/>
                  <w:vAlign w:val="center"/>
                </w:tcPr>
                <w:p w14:paraId="48C84B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监测点</w:t>
                  </w:r>
                  <w:r>
                    <w:rPr>
                      <w:rFonts w:hint="default" w:ascii="Times New Roman" w:hAnsi="Times New Roman" w:cs="Times New Roman"/>
                      <w:b/>
                      <w:bCs/>
                      <w:color w:val="auto"/>
                      <w:sz w:val="21"/>
                      <w:szCs w:val="21"/>
                      <w:highlight w:val="none"/>
                      <w:lang w:val="en-US" w:eastAsia="zh-CN"/>
                    </w:rPr>
                    <w:t>名称</w:t>
                  </w:r>
                </w:p>
              </w:tc>
              <w:tc>
                <w:tcPr>
                  <w:tcW w:w="846" w:type="pct"/>
                  <w:tcBorders>
                    <w:tl2br w:val="nil"/>
                    <w:tr2bl w:val="nil"/>
                  </w:tcBorders>
                  <w:noWrap w:val="0"/>
                  <w:vAlign w:val="center"/>
                </w:tcPr>
                <w:p w14:paraId="7C01F8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监测因子</w:t>
                  </w:r>
                </w:p>
              </w:tc>
              <w:tc>
                <w:tcPr>
                  <w:tcW w:w="936" w:type="pct"/>
                  <w:tcBorders>
                    <w:tl2br w:val="nil"/>
                    <w:tr2bl w:val="nil"/>
                  </w:tcBorders>
                  <w:noWrap w:val="0"/>
                  <w:vAlign w:val="center"/>
                </w:tcPr>
                <w:p w14:paraId="12E3C2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监测时段</w:t>
                  </w:r>
                </w:p>
              </w:tc>
              <w:tc>
                <w:tcPr>
                  <w:tcW w:w="879" w:type="pct"/>
                  <w:tcBorders>
                    <w:tl2br w:val="nil"/>
                    <w:tr2bl w:val="nil"/>
                  </w:tcBorders>
                  <w:noWrap w:val="0"/>
                  <w:vAlign w:val="center"/>
                </w:tcPr>
                <w:p w14:paraId="3F4CCF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相对厂址方位</w:t>
                  </w:r>
                </w:p>
              </w:tc>
              <w:tc>
                <w:tcPr>
                  <w:tcW w:w="981" w:type="pct"/>
                  <w:tcBorders>
                    <w:tl2br w:val="nil"/>
                    <w:tr2bl w:val="nil"/>
                  </w:tcBorders>
                  <w:noWrap w:val="0"/>
                  <w:vAlign w:val="center"/>
                </w:tcPr>
                <w:p w14:paraId="7ED96B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相对厂界距离/m</w:t>
                  </w:r>
                </w:p>
              </w:tc>
            </w:tr>
            <w:tr w14:paraId="17694F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355" w:type="pct"/>
                  <w:tcBorders>
                    <w:tl2br w:val="nil"/>
                    <w:tr2bl w:val="nil"/>
                  </w:tcBorders>
                  <w:noWrap w:val="0"/>
                  <w:vAlign w:val="center"/>
                </w:tcPr>
                <w:p w14:paraId="428117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G1（西安天交华羿光电有限公司）</w:t>
                  </w:r>
                </w:p>
              </w:tc>
              <w:tc>
                <w:tcPr>
                  <w:tcW w:w="846" w:type="pct"/>
                  <w:tcBorders>
                    <w:tl2br w:val="nil"/>
                    <w:tr2bl w:val="nil"/>
                  </w:tcBorders>
                  <w:noWrap w:val="0"/>
                  <w:vAlign w:val="center"/>
                </w:tcPr>
                <w:p w14:paraId="59A7A2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TSP</w:t>
                  </w:r>
                </w:p>
              </w:tc>
              <w:tc>
                <w:tcPr>
                  <w:tcW w:w="936" w:type="pct"/>
                  <w:tcBorders>
                    <w:tl2br w:val="nil"/>
                    <w:tr2bl w:val="nil"/>
                  </w:tcBorders>
                  <w:noWrap w:val="0"/>
                  <w:vAlign w:val="center"/>
                </w:tcPr>
                <w:p w14:paraId="6E7889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2024年4月6日～4月8日</w:t>
                  </w:r>
                </w:p>
              </w:tc>
              <w:tc>
                <w:tcPr>
                  <w:tcW w:w="879" w:type="pct"/>
                  <w:tcBorders>
                    <w:tl2br w:val="nil"/>
                    <w:tr2bl w:val="nil"/>
                  </w:tcBorders>
                  <w:noWrap w:val="0"/>
                  <w:vAlign w:val="center"/>
                </w:tcPr>
                <w:p w14:paraId="1B9EBD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w:t>
                  </w:r>
                </w:p>
              </w:tc>
              <w:tc>
                <w:tcPr>
                  <w:tcW w:w="981" w:type="pct"/>
                  <w:tcBorders>
                    <w:tl2br w:val="nil"/>
                    <w:tr2bl w:val="nil"/>
                  </w:tcBorders>
                  <w:noWrap w:val="0"/>
                  <w:vAlign w:val="center"/>
                </w:tcPr>
                <w:p w14:paraId="5B9DDA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3912</w:t>
                  </w:r>
                </w:p>
              </w:tc>
            </w:tr>
          </w:tbl>
          <w:p w14:paraId="7EA43A65">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表</w:t>
            </w:r>
            <w:r>
              <w:rPr>
                <w:rFonts w:hint="default" w:ascii="Times New Roman" w:hAnsi="Times New Roman" w:cs="Times New Roman"/>
                <w:b/>
                <w:color w:val="auto"/>
                <w:szCs w:val="21"/>
                <w:highlight w:val="none"/>
                <w:lang w:val="en-US" w:eastAsia="zh-CN"/>
              </w:rPr>
              <w:t>3-3</w:t>
            </w:r>
            <w:r>
              <w:rPr>
                <w:rFonts w:hint="eastAsia"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其他污染物环境质量现状表</w:t>
            </w:r>
          </w:p>
          <w:tbl>
            <w:tblPr>
              <w:tblStyle w:val="28"/>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08"/>
              <w:gridCol w:w="882"/>
              <w:gridCol w:w="988"/>
              <w:gridCol w:w="1201"/>
              <w:gridCol w:w="1401"/>
              <w:gridCol w:w="1441"/>
              <w:gridCol w:w="738"/>
              <w:gridCol w:w="741"/>
            </w:tblGrid>
            <w:tr w14:paraId="280A99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60" w:hRule="atLeast"/>
              </w:trPr>
              <w:tc>
                <w:tcPr>
                  <w:tcW w:w="380" w:type="pct"/>
                  <w:vMerge w:val="restart"/>
                  <w:tcBorders>
                    <w:tl2br w:val="nil"/>
                    <w:tr2bl w:val="nil"/>
                  </w:tcBorders>
                  <w:noWrap w:val="0"/>
                  <w:vAlign w:val="center"/>
                </w:tcPr>
                <w:p w14:paraId="19043BC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序号</w:t>
                  </w:r>
                </w:p>
              </w:tc>
              <w:tc>
                <w:tcPr>
                  <w:tcW w:w="551" w:type="pct"/>
                  <w:vMerge w:val="restart"/>
                  <w:tcBorders>
                    <w:tl2br w:val="nil"/>
                    <w:tr2bl w:val="nil"/>
                  </w:tcBorders>
                  <w:noWrap w:val="0"/>
                  <w:vAlign w:val="center"/>
                </w:tcPr>
                <w:p w14:paraId="71B811D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617" w:type="pct"/>
                  <w:vMerge w:val="restart"/>
                  <w:tcBorders>
                    <w:tl2br w:val="nil"/>
                    <w:tr2bl w:val="nil"/>
                  </w:tcBorders>
                  <w:noWrap w:val="0"/>
                  <w:vAlign w:val="center"/>
                </w:tcPr>
                <w:p w14:paraId="5D6528B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平均时间</w:t>
                  </w:r>
                </w:p>
              </w:tc>
              <w:tc>
                <w:tcPr>
                  <w:tcW w:w="750" w:type="pct"/>
                  <w:vMerge w:val="restart"/>
                  <w:tcBorders>
                    <w:tl2br w:val="nil"/>
                    <w:tr2bl w:val="nil"/>
                  </w:tcBorders>
                  <w:noWrap w:val="0"/>
                  <w:vAlign w:val="center"/>
                </w:tcPr>
                <w:p w14:paraId="0DD592E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评价标准µg</w:t>
                  </w:r>
                  <w:r>
                    <w:rPr>
                      <w:rFonts w:hint="default" w:ascii="Times New Roman" w:hAnsi="Times New Roman" w:cs="Times New Roman"/>
                      <w:b/>
                      <w:bCs/>
                      <w:color w:val="auto"/>
                      <w:kern w:val="0"/>
                      <w:sz w:val="21"/>
                      <w:szCs w:val="21"/>
                      <w:highlight w:val="none"/>
                      <w:lang w:val="zh-CN"/>
                    </w:rPr>
                    <w:t>/m</w:t>
                  </w:r>
                  <w:r>
                    <w:rPr>
                      <w:rFonts w:hint="default" w:ascii="Times New Roman" w:hAnsi="Times New Roman" w:cs="Times New Roman"/>
                      <w:b/>
                      <w:bCs/>
                      <w:color w:val="auto"/>
                      <w:sz w:val="21"/>
                      <w:szCs w:val="21"/>
                      <w:highlight w:val="none"/>
                      <w:vertAlign w:val="superscript"/>
                    </w:rPr>
                    <w:t>3</w:t>
                  </w:r>
                </w:p>
              </w:tc>
              <w:tc>
                <w:tcPr>
                  <w:tcW w:w="875" w:type="pct"/>
                  <w:vMerge w:val="restart"/>
                  <w:tcBorders>
                    <w:tl2br w:val="nil"/>
                    <w:tr2bl w:val="nil"/>
                  </w:tcBorders>
                  <w:noWrap w:val="0"/>
                  <w:vAlign w:val="center"/>
                </w:tcPr>
                <w:p w14:paraId="3E95F13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监测浓度范围µg</w:t>
                  </w:r>
                  <w:r>
                    <w:rPr>
                      <w:rFonts w:hint="default" w:ascii="Times New Roman" w:hAnsi="Times New Roman" w:cs="Times New Roman"/>
                      <w:b/>
                      <w:bCs/>
                      <w:color w:val="auto"/>
                      <w:kern w:val="0"/>
                      <w:sz w:val="21"/>
                      <w:szCs w:val="21"/>
                      <w:highlight w:val="none"/>
                      <w:lang w:val="zh-CN"/>
                    </w:rPr>
                    <w:t>/m</w:t>
                  </w:r>
                  <w:r>
                    <w:rPr>
                      <w:rFonts w:hint="default" w:ascii="Times New Roman" w:hAnsi="Times New Roman" w:cs="Times New Roman"/>
                      <w:b/>
                      <w:bCs/>
                      <w:color w:val="auto"/>
                      <w:sz w:val="21"/>
                      <w:szCs w:val="21"/>
                      <w:highlight w:val="none"/>
                      <w:vertAlign w:val="superscript"/>
                    </w:rPr>
                    <w:t>3</w:t>
                  </w:r>
                </w:p>
              </w:tc>
              <w:tc>
                <w:tcPr>
                  <w:tcW w:w="900" w:type="pct"/>
                  <w:vMerge w:val="restart"/>
                  <w:tcBorders>
                    <w:tl2br w:val="nil"/>
                    <w:tr2bl w:val="nil"/>
                  </w:tcBorders>
                  <w:noWrap w:val="0"/>
                  <w:vAlign w:val="center"/>
                </w:tcPr>
                <w:p w14:paraId="30749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最大浓度占标率/%</w:t>
                  </w:r>
                </w:p>
              </w:tc>
              <w:tc>
                <w:tcPr>
                  <w:tcW w:w="461" w:type="pct"/>
                  <w:vMerge w:val="restart"/>
                  <w:tcBorders>
                    <w:tl2br w:val="nil"/>
                    <w:tr2bl w:val="nil"/>
                  </w:tcBorders>
                  <w:noWrap w:val="0"/>
                  <w:vAlign w:val="center"/>
                </w:tcPr>
                <w:p w14:paraId="030474C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超标率/%</w:t>
                  </w:r>
                </w:p>
              </w:tc>
              <w:tc>
                <w:tcPr>
                  <w:tcW w:w="462" w:type="pct"/>
                  <w:vMerge w:val="restart"/>
                  <w:tcBorders>
                    <w:tl2br w:val="nil"/>
                    <w:tr2bl w:val="nil"/>
                  </w:tcBorders>
                  <w:noWrap w:val="0"/>
                  <w:vAlign w:val="center"/>
                </w:tcPr>
                <w:p w14:paraId="3C2F3D7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达标情况</w:t>
                  </w:r>
                </w:p>
              </w:tc>
            </w:tr>
            <w:tr w14:paraId="1AE8D8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60" w:hRule="atLeast"/>
              </w:trPr>
              <w:tc>
                <w:tcPr>
                  <w:tcW w:w="380" w:type="pct"/>
                  <w:vMerge w:val="continue"/>
                  <w:tcBorders>
                    <w:tl2br w:val="nil"/>
                    <w:tr2bl w:val="nil"/>
                  </w:tcBorders>
                  <w:noWrap w:val="0"/>
                  <w:vAlign w:val="center"/>
                </w:tcPr>
                <w:p w14:paraId="5B7DEA2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c>
                <w:tcPr>
                  <w:tcW w:w="551" w:type="pct"/>
                  <w:vMerge w:val="continue"/>
                  <w:tcBorders>
                    <w:tl2br w:val="nil"/>
                    <w:tr2bl w:val="nil"/>
                  </w:tcBorders>
                  <w:noWrap w:val="0"/>
                  <w:vAlign w:val="center"/>
                </w:tcPr>
                <w:p w14:paraId="33EED4E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c>
                <w:tcPr>
                  <w:tcW w:w="617" w:type="pct"/>
                  <w:vMerge w:val="continue"/>
                  <w:tcBorders>
                    <w:tl2br w:val="nil"/>
                    <w:tr2bl w:val="nil"/>
                  </w:tcBorders>
                  <w:noWrap w:val="0"/>
                  <w:vAlign w:val="center"/>
                </w:tcPr>
                <w:p w14:paraId="7FF998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c>
                <w:tcPr>
                  <w:tcW w:w="750" w:type="pct"/>
                  <w:vMerge w:val="continue"/>
                  <w:tcBorders>
                    <w:tl2br w:val="nil"/>
                    <w:tr2bl w:val="nil"/>
                  </w:tcBorders>
                  <w:noWrap w:val="0"/>
                  <w:vAlign w:val="center"/>
                </w:tcPr>
                <w:p w14:paraId="6F259D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c>
                <w:tcPr>
                  <w:tcW w:w="875" w:type="pct"/>
                  <w:vMerge w:val="continue"/>
                  <w:tcBorders>
                    <w:tl2br w:val="nil"/>
                    <w:tr2bl w:val="nil"/>
                  </w:tcBorders>
                  <w:noWrap w:val="0"/>
                  <w:vAlign w:val="center"/>
                </w:tcPr>
                <w:p w14:paraId="44D000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c>
                <w:tcPr>
                  <w:tcW w:w="900" w:type="pct"/>
                  <w:vMerge w:val="continue"/>
                  <w:tcBorders>
                    <w:tl2br w:val="nil"/>
                    <w:tr2bl w:val="nil"/>
                  </w:tcBorders>
                  <w:noWrap w:val="0"/>
                  <w:vAlign w:val="center"/>
                </w:tcPr>
                <w:p w14:paraId="71B2D0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c>
                <w:tcPr>
                  <w:tcW w:w="461" w:type="pct"/>
                  <w:vMerge w:val="continue"/>
                  <w:tcBorders>
                    <w:tl2br w:val="nil"/>
                    <w:tr2bl w:val="nil"/>
                  </w:tcBorders>
                  <w:noWrap w:val="0"/>
                  <w:vAlign w:val="center"/>
                </w:tcPr>
                <w:p w14:paraId="484220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c>
                <w:tcPr>
                  <w:tcW w:w="462" w:type="pct"/>
                  <w:vMerge w:val="continue"/>
                  <w:tcBorders>
                    <w:tl2br w:val="nil"/>
                    <w:tr2bl w:val="nil"/>
                  </w:tcBorders>
                  <w:noWrap w:val="0"/>
                  <w:vAlign w:val="center"/>
                </w:tcPr>
                <w:p w14:paraId="5784C0B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p>
              </w:tc>
            </w:tr>
            <w:tr w14:paraId="0FC30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5" w:hRule="atLeast"/>
              </w:trPr>
              <w:tc>
                <w:tcPr>
                  <w:tcW w:w="380" w:type="pct"/>
                  <w:tcBorders>
                    <w:tl2br w:val="nil"/>
                    <w:tr2bl w:val="nil"/>
                  </w:tcBorders>
                  <w:noWrap w:val="0"/>
                  <w:vAlign w:val="center"/>
                </w:tcPr>
                <w:p w14:paraId="1D5857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cr/>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rPr>
                    <w:cr/>
                  </w:r>
                </w:p>
              </w:tc>
              <w:tc>
                <w:tcPr>
                  <w:tcW w:w="551" w:type="pct"/>
                  <w:tcBorders>
                    <w:tl2br w:val="nil"/>
                    <w:tr2bl w:val="nil"/>
                  </w:tcBorders>
                  <w:noWrap w:val="0"/>
                  <w:vAlign w:val="center"/>
                </w:tcPr>
                <w:p w14:paraId="62EA83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TSP</w:t>
                  </w:r>
                </w:p>
              </w:tc>
              <w:tc>
                <w:tcPr>
                  <w:tcW w:w="617" w:type="pct"/>
                  <w:tcBorders>
                    <w:tl2br w:val="nil"/>
                    <w:tr2bl w:val="nil"/>
                  </w:tcBorders>
                  <w:noWrap w:val="0"/>
                  <w:vAlign w:val="center"/>
                </w:tcPr>
                <w:p w14:paraId="780091B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24h</w:t>
                  </w:r>
                </w:p>
              </w:tc>
              <w:tc>
                <w:tcPr>
                  <w:tcW w:w="750" w:type="pct"/>
                  <w:tcBorders>
                    <w:tl2br w:val="nil"/>
                    <w:tr2bl w:val="nil"/>
                  </w:tcBorders>
                  <w:noWrap w:val="0"/>
                  <w:vAlign w:val="center"/>
                </w:tcPr>
                <w:p w14:paraId="1450D0B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w:t>
                  </w:r>
                </w:p>
              </w:tc>
              <w:tc>
                <w:tcPr>
                  <w:tcW w:w="875" w:type="pct"/>
                  <w:tcBorders>
                    <w:tl2br w:val="nil"/>
                    <w:tr2bl w:val="nil"/>
                  </w:tcBorders>
                  <w:noWrap w:val="0"/>
                  <w:vAlign w:val="center"/>
                </w:tcPr>
                <w:p w14:paraId="3FEBE6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cs="Times New Roman"/>
                      <w:color w:val="auto"/>
                      <w:sz w:val="21"/>
                      <w:szCs w:val="21"/>
                      <w:highlight w:val="none"/>
                      <w:lang w:val="en-US" w:eastAsia="zh-CN"/>
                    </w:rPr>
                    <w:t>117~129</w:t>
                  </w:r>
                </w:p>
              </w:tc>
              <w:tc>
                <w:tcPr>
                  <w:tcW w:w="900" w:type="pct"/>
                  <w:tcBorders>
                    <w:tl2br w:val="nil"/>
                    <w:tr2bl w:val="nil"/>
                  </w:tcBorders>
                  <w:noWrap w:val="0"/>
                  <w:vAlign w:val="center"/>
                </w:tcPr>
                <w:p w14:paraId="0D66B4F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firstLine="0" w:firstLineChars="0"/>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43</w:t>
                  </w:r>
                </w:p>
              </w:tc>
              <w:tc>
                <w:tcPr>
                  <w:tcW w:w="461" w:type="pct"/>
                  <w:tcBorders>
                    <w:tl2br w:val="nil"/>
                    <w:tr2bl w:val="nil"/>
                  </w:tcBorders>
                  <w:noWrap w:val="0"/>
                  <w:vAlign w:val="center"/>
                </w:tcPr>
                <w:p w14:paraId="4780DF0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62" w:type="pct"/>
                  <w:tcBorders>
                    <w:tl2br w:val="nil"/>
                    <w:tr2bl w:val="nil"/>
                  </w:tcBorders>
                  <w:noWrap w:val="0"/>
                  <w:vAlign w:val="center"/>
                </w:tcPr>
                <w:p w14:paraId="7EE1C80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tLeas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bl>
          <w:p w14:paraId="3E40A8B9">
            <w:pPr>
              <w:adjustRightInd w:val="0"/>
              <w:snapToGrid w:val="0"/>
              <w:spacing w:before="120" w:beforeLines="50"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szCs w:val="32"/>
              </w:rPr>
              <w:t>从监测结果可以看出，项目所在区域特征因子TSP</w:t>
            </w:r>
            <w:r>
              <w:rPr>
                <w:rFonts w:hint="eastAsia" w:cs="Times New Roman"/>
                <w:color w:val="auto"/>
                <w:sz w:val="24"/>
                <w:szCs w:val="32"/>
                <w:lang w:val="en-US" w:eastAsia="zh-CN"/>
              </w:rPr>
              <w:t xml:space="preserve"> </w:t>
            </w:r>
            <w:r>
              <w:rPr>
                <w:rFonts w:hint="default" w:ascii="Times New Roman" w:hAnsi="Times New Roman" w:cs="Times New Roman"/>
                <w:color w:val="auto"/>
                <w:sz w:val="24"/>
                <w:szCs w:val="32"/>
              </w:rPr>
              <w:t>24h平均浓度满足《环境空气质量标准》（GB3095-2012）</w:t>
            </w:r>
            <w:r>
              <w:rPr>
                <w:rFonts w:hint="eastAsia" w:cs="Times New Roman"/>
                <w:color w:val="auto"/>
                <w:sz w:val="24"/>
                <w:szCs w:val="32"/>
                <w:lang w:val="en-US" w:eastAsia="zh-CN"/>
              </w:rPr>
              <w:t>中</w:t>
            </w:r>
            <w:r>
              <w:rPr>
                <w:rFonts w:hint="default" w:ascii="Times New Roman" w:hAnsi="Times New Roman" w:cs="Times New Roman"/>
                <w:color w:val="auto"/>
                <w:sz w:val="24"/>
                <w:szCs w:val="32"/>
              </w:rPr>
              <w:t>二级标准限值要求</w:t>
            </w:r>
            <w:r>
              <w:rPr>
                <w:rFonts w:hint="default" w:ascii="Times New Roman" w:hAnsi="Times New Roman" w:cs="Times New Roman"/>
                <w:color w:val="auto"/>
              </w:rPr>
              <w:t>。</w:t>
            </w:r>
          </w:p>
          <w:p w14:paraId="736FCDEA">
            <w:pPr>
              <w:adjustRightInd w:val="0"/>
              <w:snapToGrid w:val="0"/>
              <w:spacing w:line="360" w:lineRule="auto"/>
              <w:ind w:firstLine="482" w:firstLineChars="200"/>
              <w:jc w:val="left"/>
              <w:rPr>
                <w:rFonts w:hint="default" w:ascii="Times New Roman" w:hAnsi="Times New Roman" w:eastAsia="宋体" w:cs="Times New Roman"/>
                <w:b/>
                <w:bCs w:val="0"/>
                <w:color w:val="auto"/>
                <w:kern w:val="28"/>
                <w:sz w:val="24"/>
                <w:szCs w:val="24"/>
              </w:rPr>
            </w:pPr>
            <w:r>
              <w:rPr>
                <w:rFonts w:hint="default" w:ascii="Times New Roman" w:hAnsi="Times New Roman" w:eastAsia="宋体" w:cs="Times New Roman"/>
                <w:b/>
                <w:bCs w:val="0"/>
                <w:color w:val="auto"/>
                <w:kern w:val="28"/>
                <w:sz w:val="24"/>
                <w:szCs w:val="24"/>
                <w:lang w:val="en-US" w:eastAsia="zh-CN"/>
              </w:rPr>
              <w:t>2</w:t>
            </w:r>
            <w:r>
              <w:rPr>
                <w:rFonts w:hint="default" w:ascii="Times New Roman" w:hAnsi="Times New Roman" w:eastAsia="宋体" w:cs="Times New Roman"/>
                <w:b/>
                <w:bCs w:val="0"/>
                <w:color w:val="auto"/>
                <w:kern w:val="28"/>
                <w:sz w:val="24"/>
                <w:szCs w:val="24"/>
              </w:rPr>
              <w:t>、声环境质量现状</w:t>
            </w:r>
          </w:p>
          <w:p w14:paraId="7E07CEDC">
            <w:p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bCs/>
                <w:color w:val="auto"/>
                <w:kern w:val="28"/>
                <w:sz w:val="24"/>
                <w:szCs w:val="24"/>
              </w:rPr>
              <w:t>根据《建设项目环境影响报告表编制技术指南污染影响类》（2021年版）所述：“厂界外周边50m范围内存在声环境保护目标的建设项目，应监测保护目标声环境质量现状并评价达标情况”。</w:t>
            </w:r>
            <w:r>
              <w:rPr>
                <w:rFonts w:hint="default" w:ascii="Times New Roman" w:hAnsi="Times New Roman" w:eastAsia="宋体" w:cs="Times New Roman"/>
                <w:bCs/>
                <w:color w:val="auto"/>
                <w:kern w:val="28"/>
                <w:sz w:val="24"/>
                <w:szCs w:val="24"/>
                <w:lang w:val="en-US" w:eastAsia="zh-CN"/>
              </w:rPr>
              <w:t>根据现场调查，</w:t>
            </w:r>
            <w:r>
              <w:rPr>
                <w:rFonts w:hint="default" w:ascii="Times New Roman" w:hAnsi="Times New Roman" w:cs="Times New Roman"/>
                <w:bCs/>
                <w:color w:val="auto"/>
                <w:kern w:val="28"/>
                <w:sz w:val="24"/>
                <w:szCs w:val="24"/>
                <w:lang w:val="en-US" w:eastAsia="zh-CN"/>
              </w:rPr>
              <w:t>本项目</w:t>
            </w:r>
            <w:r>
              <w:rPr>
                <w:rFonts w:hint="eastAsia" w:cs="Times New Roman"/>
                <w:bCs/>
                <w:color w:val="auto"/>
                <w:kern w:val="28"/>
                <w:sz w:val="24"/>
                <w:szCs w:val="24"/>
                <w:lang w:val="en-US" w:eastAsia="zh-CN"/>
              </w:rPr>
              <w:t>西</w:t>
            </w:r>
            <w:r>
              <w:rPr>
                <w:rFonts w:hint="default" w:ascii="Times New Roman" w:hAnsi="Times New Roman" w:cs="Times New Roman"/>
                <w:bCs/>
                <w:color w:val="auto"/>
                <w:kern w:val="28"/>
                <w:sz w:val="24"/>
                <w:szCs w:val="24"/>
                <w:lang w:val="en-US" w:eastAsia="zh-CN"/>
              </w:rPr>
              <w:t>侧</w:t>
            </w:r>
            <w:r>
              <w:rPr>
                <w:rFonts w:hint="eastAsia" w:cs="Times New Roman"/>
                <w:bCs/>
                <w:color w:val="auto"/>
                <w:kern w:val="28"/>
                <w:sz w:val="24"/>
                <w:szCs w:val="24"/>
                <w:lang w:val="en-US" w:eastAsia="zh-CN"/>
              </w:rPr>
              <w:t>紧邻</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小区</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本</w:t>
            </w:r>
            <w:r>
              <w:rPr>
                <w:rFonts w:hint="default" w:ascii="Times New Roman" w:hAnsi="Times New Roman" w:cs="Times New Roman"/>
                <w:color w:val="auto"/>
                <w:sz w:val="24"/>
                <w:lang w:val="en-US" w:eastAsia="zh-CN"/>
              </w:rPr>
              <w:t>次</w:t>
            </w:r>
            <w:r>
              <w:rPr>
                <w:rFonts w:hint="default" w:ascii="Times New Roman" w:hAnsi="Times New Roman" w:cs="Times New Roman"/>
                <w:color w:val="auto"/>
                <w:sz w:val="24"/>
              </w:rPr>
              <w:t>评价</w:t>
            </w:r>
            <w:r>
              <w:rPr>
                <w:rFonts w:hint="default" w:ascii="Times New Roman" w:hAnsi="Times New Roman" w:eastAsia="宋体" w:cs="Times New Roman"/>
                <w:color w:val="auto"/>
                <w:sz w:val="24"/>
                <w:lang w:val="en-US" w:eastAsia="zh-CN"/>
              </w:rPr>
              <w:t>委托中环标检科技有限公司于</w:t>
            </w:r>
            <w:r>
              <w:rPr>
                <w:rFonts w:hint="default" w:ascii="Times New Roman" w:hAnsi="Times New Roman" w:cs="Times New Roman"/>
                <w:color w:val="auto"/>
                <w:sz w:val="24"/>
                <w:lang w:val="en-US" w:eastAsia="zh-CN"/>
              </w:rPr>
              <w:t>202</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2</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26</w:t>
            </w:r>
            <w:r>
              <w:rPr>
                <w:rFonts w:hint="default" w:ascii="Times New Roman" w:hAnsi="Times New Roman" w:cs="Times New Roman"/>
                <w:color w:val="auto"/>
                <w:sz w:val="24"/>
                <w:lang w:val="en-US" w:eastAsia="zh-CN"/>
              </w:rPr>
              <w:t>日</w:t>
            </w:r>
            <w:r>
              <w:rPr>
                <w:rFonts w:hint="default" w:ascii="Times New Roman" w:hAnsi="Times New Roman" w:cs="Times New Roman"/>
                <w:color w:val="auto"/>
                <w:sz w:val="24"/>
              </w:rPr>
              <w:t>对本项目</w:t>
            </w:r>
            <w:r>
              <w:rPr>
                <w:rFonts w:hint="eastAsia" w:cs="Times New Roman"/>
                <w:bCs/>
                <w:color w:val="auto"/>
                <w:kern w:val="28"/>
                <w:sz w:val="24"/>
                <w:szCs w:val="24"/>
                <w:lang w:val="en-US" w:eastAsia="zh-CN"/>
              </w:rPr>
              <w:t>西</w:t>
            </w:r>
            <w:r>
              <w:rPr>
                <w:rFonts w:hint="default" w:ascii="Times New Roman" w:hAnsi="Times New Roman" w:cs="Times New Roman"/>
                <w:bCs/>
                <w:color w:val="auto"/>
                <w:kern w:val="28"/>
                <w:sz w:val="24"/>
                <w:szCs w:val="24"/>
                <w:lang w:val="en-US" w:eastAsia="zh-CN"/>
              </w:rPr>
              <w:t>侧</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小区</w:t>
            </w:r>
            <w:r>
              <w:rPr>
                <w:rFonts w:hint="default" w:ascii="Times New Roman" w:hAnsi="Times New Roman" w:cs="Times New Roman"/>
                <w:color w:val="auto"/>
                <w:sz w:val="24"/>
              </w:rPr>
              <w:t>噪声进行监测</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监测点位置见附图</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w:t>
            </w:r>
          </w:p>
          <w:p w14:paraId="12998CE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（1）监测因子：等效连续A声级Leq（A）</w:t>
            </w:r>
          </w:p>
          <w:p w14:paraId="0DD0A23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（2）监测频次：监测</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天，昼</w:t>
            </w:r>
            <w:r>
              <w:rPr>
                <w:rFonts w:hint="eastAsia" w:cs="Times New Roman"/>
                <w:color w:val="auto"/>
                <w:sz w:val="24"/>
                <w:lang w:val="en-US" w:eastAsia="zh-CN"/>
              </w:rPr>
              <w:t>间</w:t>
            </w:r>
          </w:p>
          <w:p w14:paraId="2D22A9FD">
            <w:pPr>
              <w:spacing w:line="360" w:lineRule="auto"/>
              <w:ind w:firstLine="480" w:firstLineChars="200"/>
              <w:rPr>
                <w:rFonts w:hint="default" w:ascii="Times New Roman" w:hAnsi="Times New Roman" w:cs="Times New Roman"/>
                <w:color w:val="auto"/>
                <w:sz w:val="24"/>
                <w:lang w:val="en-US"/>
              </w:rPr>
            </w:pPr>
            <w:r>
              <w:rPr>
                <w:rFonts w:hint="default" w:ascii="Times New Roman" w:hAnsi="Times New Roman" w:cs="Times New Roman"/>
                <w:color w:val="auto"/>
                <w:sz w:val="24"/>
              </w:rPr>
              <w:t>（3）监测点位置：</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小区</w:t>
            </w:r>
          </w:p>
          <w:p w14:paraId="1B5806A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（4）声环境现状监测结果</w:t>
            </w:r>
          </w:p>
          <w:p w14:paraId="26E1E21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监测结果见下表。</w:t>
            </w:r>
          </w:p>
          <w:p w14:paraId="263F5954">
            <w:pPr>
              <w:snapToGrid w:val="0"/>
              <w:jc w:val="center"/>
              <w:rPr>
                <w:rFonts w:hint="default" w:ascii="Times New Roman" w:hAnsi="Times New Roman" w:eastAsia="Times New Roman" w:cs="Times New Roman"/>
                <w:b/>
                <w:color w:val="auto"/>
                <w:szCs w:val="21"/>
              </w:rPr>
            </w:pPr>
            <w:r>
              <w:rPr>
                <w:rFonts w:hint="default" w:ascii="Times New Roman" w:hAnsi="Times New Roman" w:eastAsia="Times New Roman" w:cs="Times New Roman"/>
                <w:b/>
                <w:color w:val="auto"/>
                <w:szCs w:val="21"/>
              </w:rPr>
              <w:t>3-</w:t>
            </w:r>
            <w:r>
              <w:rPr>
                <w:rFonts w:hint="eastAsia" w:cs="Times New Roman"/>
                <w:b/>
                <w:color w:val="auto"/>
                <w:szCs w:val="21"/>
                <w:lang w:val="en-US" w:eastAsia="zh-CN"/>
              </w:rPr>
              <w:t xml:space="preserve">4  </w:t>
            </w:r>
            <w:r>
              <w:rPr>
                <w:rFonts w:hint="default" w:ascii="Times New Roman" w:hAnsi="Times New Roman" w:eastAsia="Times New Roman" w:cs="Times New Roman"/>
                <w:b/>
                <w:color w:val="auto"/>
                <w:szCs w:val="21"/>
              </w:rPr>
              <w:t>噪声监测结果统计单位：dB（A）</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611"/>
              <w:gridCol w:w="2784"/>
              <w:gridCol w:w="2602"/>
            </w:tblGrid>
            <w:tr w14:paraId="1F5FEF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1632" w:type="pct"/>
                  <w:vMerge w:val="restart"/>
                  <w:noWrap w:val="0"/>
                  <w:vAlign w:val="center"/>
                </w:tcPr>
                <w:p w14:paraId="341476F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监测点位</w:t>
                  </w:r>
                </w:p>
              </w:tc>
              <w:tc>
                <w:tcPr>
                  <w:tcW w:w="1740" w:type="pct"/>
                  <w:noWrap w:val="0"/>
                  <w:vAlign w:val="center"/>
                </w:tcPr>
                <w:p w14:paraId="2D1390DB">
                  <w:pPr>
                    <w:widowControl/>
                    <w:jc w:val="center"/>
                    <w:rPr>
                      <w:rFonts w:hint="default" w:ascii="Times New Roman" w:hAnsi="Times New Roman" w:cs="Times New Roman"/>
                      <w:color w:val="auto"/>
                      <w:szCs w:val="21"/>
                    </w:rPr>
                  </w:pPr>
                  <w:r>
                    <w:rPr>
                      <w:rFonts w:hint="eastAsia" w:cs="Times New Roman"/>
                      <w:color w:val="auto"/>
                      <w:szCs w:val="21"/>
                      <w:lang w:val="en-US" w:eastAsia="zh-CN"/>
                    </w:rPr>
                    <w:t>2</w:t>
                  </w:r>
                  <w:r>
                    <w:rPr>
                      <w:rFonts w:hint="default" w:ascii="Times New Roman" w:hAnsi="Times New Roman" w:cs="Times New Roman"/>
                      <w:color w:val="auto"/>
                      <w:szCs w:val="21"/>
                    </w:rPr>
                    <w:t>月</w:t>
                  </w:r>
                  <w:r>
                    <w:rPr>
                      <w:rFonts w:hint="eastAsia" w:cs="Times New Roman"/>
                      <w:color w:val="auto"/>
                      <w:szCs w:val="21"/>
                      <w:lang w:val="en-US" w:eastAsia="zh-CN"/>
                    </w:rPr>
                    <w:t>26</w:t>
                  </w:r>
                  <w:r>
                    <w:rPr>
                      <w:rFonts w:hint="default" w:ascii="Times New Roman" w:hAnsi="Times New Roman" w:cs="Times New Roman"/>
                      <w:color w:val="auto"/>
                      <w:szCs w:val="21"/>
                    </w:rPr>
                    <w:t>日</w:t>
                  </w:r>
                </w:p>
              </w:tc>
              <w:tc>
                <w:tcPr>
                  <w:tcW w:w="1626" w:type="pct"/>
                  <w:noWrap w:val="0"/>
                  <w:vAlign w:val="center"/>
                </w:tcPr>
                <w:p w14:paraId="54D48C3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标准值</w:t>
                  </w:r>
                </w:p>
              </w:tc>
            </w:tr>
            <w:tr w14:paraId="5FEDDC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1632" w:type="pct"/>
                  <w:vMerge w:val="continue"/>
                  <w:noWrap w:val="0"/>
                  <w:vAlign w:val="center"/>
                </w:tcPr>
                <w:p w14:paraId="557C8B07">
                  <w:pPr>
                    <w:widowControl/>
                    <w:jc w:val="center"/>
                    <w:rPr>
                      <w:rFonts w:hint="default" w:ascii="Times New Roman" w:hAnsi="Times New Roman" w:cs="Times New Roman"/>
                      <w:color w:val="auto"/>
                      <w:szCs w:val="21"/>
                    </w:rPr>
                  </w:pPr>
                </w:p>
              </w:tc>
              <w:tc>
                <w:tcPr>
                  <w:tcW w:w="1740" w:type="pct"/>
                  <w:noWrap w:val="0"/>
                  <w:vAlign w:val="center"/>
                </w:tcPr>
                <w:p w14:paraId="6D65760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1626" w:type="pct"/>
                  <w:noWrap w:val="0"/>
                  <w:vAlign w:val="center"/>
                </w:tcPr>
                <w:p w14:paraId="48371B7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r>
            <w:tr w14:paraId="7BC620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1632" w:type="pct"/>
                  <w:noWrap w:val="0"/>
                  <w:vAlign w:val="center"/>
                </w:tcPr>
                <w:p w14:paraId="151A8E2C">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highlight w:val="none"/>
                      <w:lang w:val="en-US" w:eastAsia="zh-CN"/>
                    </w:rPr>
                    <w:t>隆桥瑞苑</w:t>
                  </w:r>
                  <w:r>
                    <w:rPr>
                      <w:rFonts w:hint="default" w:ascii="Times New Roman" w:hAnsi="Times New Roman" w:eastAsia="宋体" w:cs="Times New Roman"/>
                      <w:color w:val="auto"/>
                      <w:szCs w:val="21"/>
                      <w:lang w:val="en-US" w:eastAsia="zh-CN"/>
                    </w:rPr>
                    <w:t>N</w:t>
                  </w:r>
                  <w:r>
                    <w:rPr>
                      <w:rFonts w:hint="eastAsia" w:cs="Times New Roman"/>
                      <w:color w:val="auto"/>
                      <w:szCs w:val="21"/>
                      <w:lang w:val="en-US" w:eastAsia="zh-CN"/>
                    </w:rPr>
                    <w:t>1</w:t>
                  </w:r>
                </w:p>
              </w:tc>
              <w:tc>
                <w:tcPr>
                  <w:tcW w:w="1740" w:type="pct"/>
                  <w:noWrap w:val="0"/>
                  <w:vAlign w:val="center"/>
                </w:tcPr>
                <w:p w14:paraId="062688FC">
                  <w:pPr>
                    <w:widowControl/>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48</w:t>
                  </w:r>
                </w:p>
              </w:tc>
              <w:tc>
                <w:tcPr>
                  <w:tcW w:w="1626" w:type="pct"/>
                  <w:noWrap w:val="0"/>
                  <w:vAlign w:val="center"/>
                </w:tcPr>
                <w:p w14:paraId="273B48B3">
                  <w:pPr>
                    <w:widowControl/>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60</w:t>
                  </w:r>
                </w:p>
              </w:tc>
            </w:tr>
          </w:tbl>
          <w:p w14:paraId="41DE95A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监测结果表明，项目</w:t>
            </w:r>
            <w:r>
              <w:rPr>
                <w:rFonts w:hint="eastAsia" w:cs="Times New Roman"/>
                <w:bCs/>
                <w:color w:val="auto"/>
                <w:kern w:val="28"/>
                <w:sz w:val="24"/>
                <w:szCs w:val="24"/>
                <w:lang w:val="en-US" w:eastAsia="zh-CN"/>
              </w:rPr>
              <w:t>西</w:t>
            </w:r>
            <w:r>
              <w:rPr>
                <w:rFonts w:hint="default" w:ascii="Times New Roman" w:hAnsi="Times New Roman" w:cs="Times New Roman"/>
                <w:bCs/>
                <w:color w:val="auto"/>
                <w:kern w:val="28"/>
                <w:sz w:val="24"/>
                <w:szCs w:val="24"/>
                <w:lang w:val="en-US" w:eastAsia="zh-CN"/>
              </w:rPr>
              <w:t>侧</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小区</w:t>
            </w:r>
            <w:r>
              <w:rPr>
                <w:rFonts w:hint="default" w:ascii="Times New Roman" w:hAnsi="Times New Roman" w:eastAsia="宋体" w:cs="Times New Roman"/>
                <w:color w:val="auto"/>
                <w:sz w:val="24"/>
              </w:rPr>
              <w:t>噪声监测值满足《声环境质量标准》（GB3096-2008）中2类标准要求</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表明项目所在区现状声环境质量良好。</w:t>
            </w:r>
          </w:p>
          <w:p w14:paraId="618722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kern w:val="0"/>
                <w:sz w:val="24"/>
                <w:szCs w:val="24"/>
                <w:lang w:val="en-US" w:eastAsia="zh-CN"/>
              </w:rPr>
            </w:pPr>
            <w:r>
              <w:rPr>
                <w:rFonts w:hint="default" w:ascii="Times New Roman" w:hAnsi="Times New Roman" w:eastAsia="宋体" w:cs="Times New Roman"/>
                <w:b/>
                <w:color w:val="auto"/>
                <w:kern w:val="0"/>
                <w:sz w:val="24"/>
                <w:szCs w:val="24"/>
                <w:lang w:val="en-US" w:eastAsia="zh-CN"/>
              </w:rPr>
              <w:t>3、生态环境质量现状</w:t>
            </w:r>
          </w:p>
          <w:p w14:paraId="00E422EB">
            <w:pPr>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bCs/>
                <w:color w:val="auto"/>
                <w:kern w:val="28"/>
                <w:sz w:val="24"/>
                <w:szCs w:val="24"/>
              </w:rPr>
              <w:t>根据《建设项目环境影响报告表编制技术指南污染影响类》（2021年版）所述，“产业园区外建设项目新增用地且用地范围内含有生态环境保护目标时，应进行生态现状调查”。本项目</w:t>
            </w:r>
            <w:r>
              <w:rPr>
                <w:rFonts w:hint="default" w:ascii="Times New Roman" w:hAnsi="Times New Roman" w:cs="Times New Roman"/>
                <w:bCs/>
                <w:color w:val="auto"/>
                <w:kern w:val="28"/>
                <w:sz w:val="24"/>
                <w:szCs w:val="24"/>
                <w:lang w:val="en-US" w:eastAsia="zh-CN"/>
              </w:rPr>
              <w:t>租用</w:t>
            </w:r>
            <w:r>
              <w:rPr>
                <w:rFonts w:hint="eastAsia" w:ascii="Times New Roman" w:hAnsi="Times New Roman" w:eastAsia="宋体" w:cs="Times New Roman"/>
                <w:color w:val="auto"/>
                <w:sz w:val="24"/>
                <w:szCs w:val="24"/>
                <w:highlight w:val="none"/>
                <w:lang w:val="en-US" w:eastAsia="zh-CN"/>
              </w:rPr>
              <w:t>隆桥瑞苑小区</w:t>
            </w:r>
            <w:r>
              <w:rPr>
                <w:rFonts w:hint="eastAsia" w:cs="Times New Roman"/>
                <w:color w:val="auto"/>
                <w:sz w:val="24"/>
                <w:szCs w:val="24"/>
                <w:highlight w:val="none"/>
                <w:lang w:val="en-US" w:eastAsia="zh-CN"/>
              </w:rPr>
              <w:t>12号楼</w:t>
            </w:r>
            <w:r>
              <w:rPr>
                <w:rFonts w:hint="eastAsia" w:ascii="Times New Roman" w:hAnsi="Times New Roman" w:eastAsia="宋体" w:cs="Times New Roman"/>
                <w:color w:val="auto"/>
                <w:sz w:val="24"/>
                <w:szCs w:val="24"/>
                <w:highlight w:val="none"/>
                <w:lang w:val="en-US" w:eastAsia="zh-CN"/>
              </w:rPr>
              <w:t>商业三层</w:t>
            </w:r>
            <w:r>
              <w:rPr>
                <w:rFonts w:hint="eastAsia" w:cs="Times New Roman"/>
                <w:color w:val="auto"/>
                <w:sz w:val="24"/>
                <w:szCs w:val="24"/>
                <w:highlight w:val="none"/>
                <w:lang w:val="en-US" w:eastAsia="zh-CN"/>
              </w:rPr>
              <w:t>北侧区域</w:t>
            </w:r>
            <w:r>
              <w:rPr>
                <w:rFonts w:hint="default" w:ascii="Times New Roman" w:hAnsi="Times New Roman" w:cs="Times New Roman"/>
                <w:bCs/>
                <w:color w:val="auto"/>
                <w:kern w:val="28"/>
                <w:sz w:val="24"/>
                <w:szCs w:val="24"/>
                <w:lang w:val="en-US" w:eastAsia="zh-CN"/>
              </w:rPr>
              <w:t>，</w:t>
            </w:r>
            <w:r>
              <w:rPr>
                <w:rFonts w:hint="eastAsia" w:cs="Times New Roman"/>
                <w:bCs/>
                <w:color w:val="auto"/>
                <w:kern w:val="28"/>
                <w:sz w:val="24"/>
                <w:szCs w:val="24"/>
                <w:lang w:val="en-US" w:eastAsia="zh-CN"/>
              </w:rPr>
              <w:t>目前该商业楼已建设完成，</w:t>
            </w:r>
            <w:r>
              <w:rPr>
                <w:rFonts w:hint="default" w:ascii="Times New Roman" w:hAnsi="Times New Roman" w:cs="Times New Roman"/>
                <w:bCs/>
                <w:color w:val="auto"/>
                <w:kern w:val="28"/>
                <w:sz w:val="24"/>
                <w:szCs w:val="24"/>
              </w:rPr>
              <w:t>占地范围内无自然保护区、风景名胜区、文化和自然遗产地等生态环境保护目标，无需进行生态现状调查。</w:t>
            </w:r>
          </w:p>
          <w:p w14:paraId="5FD146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kern w:val="0"/>
                <w:sz w:val="24"/>
                <w:szCs w:val="24"/>
                <w:lang w:val="en-US" w:eastAsia="zh-CN"/>
              </w:rPr>
            </w:pPr>
            <w:r>
              <w:rPr>
                <w:rFonts w:hint="default" w:ascii="Times New Roman" w:hAnsi="Times New Roman" w:eastAsia="宋体" w:cs="Times New Roman"/>
                <w:b/>
                <w:color w:val="auto"/>
                <w:kern w:val="0"/>
                <w:sz w:val="24"/>
                <w:szCs w:val="24"/>
                <w:lang w:val="en-US" w:eastAsia="zh-CN"/>
              </w:rPr>
              <w:t>4、</w:t>
            </w:r>
            <w:r>
              <w:rPr>
                <w:rFonts w:hint="default" w:ascii="Times New Roman" w:hAnsi="Times New Roman" w:eastAsia="宋体" w:cs="Times New Roman"/>
                <w:b/>
                <w:color w:val="auto"/>
                <w:kern w:val="0"/>
                <w:sz w:val="24"/>
                <w:szCs w:val="24"/>
                <w:lang w:val="en-GB" w:eastAsia="zh-CN"/>
              </w:rPr>
              <w:t>地下水、土壤环境</w:t>
            </w:r>
            <w:r>
              <w:rPr>
                <w:rFonts w:hint="default" w:ascii="Times New Roman" w:hAnsi="Times New Roman" w:eastAsia="宋体" w:cs="Times New Roman"/>
                <w:b/>
                <w:color w:val="auto"/>
                <w:kern w:val="0"/>
                <w:sz w:val="24"/>
                <w:szCs w:val="24"/>
                <w:lang w:val="en-US" w:eastAsia="zh-CN"/>
              </w:rPr>
              <w:t>质量现状</w:t>
            </w:r>
          </w:p>
          <w:p w14:paraId="2D324FBD">
            <w:pPr>
              <w:adjustRightInd w:val="0"/>
              <w:snapToGrid w:val="0"/>
              <w:spacing w:line="360" w:lineRule="auto"/>
              <w:ind w:firstLine="480" w:firstLineChars="200"/>
              <w:jc w:val="left"/>
              <w:rPr>
                <w:rFonts w:hint="default" w:ascii="Times New Roman" w:hAnsi="Times New Roman" w:cs="Times New Roman"/>
                <w:b/>
                <w:color w:val="auto"/>
                <w:kern w:val="0"/>
                <w:sz w:val="24"/>
                <w:szCs w:val="24"/>
              </w:rPr>
            </w:pPr>
            <w:r>
              <w:rPr>
                <w:rFonts w:hint="default" w:ascii="Times New Roman" w:hAnsi="Times New Roman" w:eastAsia="宋体" w:cs="Times New Roman"/>
                <w:bCs/>
                <w:color w:val="auto"/>
                <w:kern w:val="28"/>
                <w:sz w:val="24"/>
                <w:szCs w:val="24"/>
              </w:rPr>
              <w:t>本项目生产过程不涉及地下水、土壤污染途径。因此本次评价不对地下水、土壤环境进行现状调查。</w:t>
            </w:r>
          </w:p>
        </w:tc>
      </w:tr>
      <w:tr w14:paraId="08CF9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00" w:type="dxa"/>
            <w:noWrap w:val="0"/>
            <w:vAlign w:val="center"/>
          </w:tcPr>
          <w:p w14:paraId="75CA94A9">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环境</w:t>
            </w:r>
          </w:p>
          <w:p w14:paraId="0943E87C">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保护</w:t>
            </w:r>
          </w:p>
          <w:p w14:paraId="52B43231">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目标</w:t>
            </w:r>
          </w:p>
        </w:tc>
        <w:tc>
          <w:tcPr>
            <w:tcW w:w="8216" w:type="dxa"/>
            <w:noWrap w:val="0"/>
            <w:vAlign w:val="center"/>
          </w:tcPr>
          <w:p w14:paraId="40FE5F68">
            <w:pPr>
              <w:adjustRightInd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根据工程特点、项目所在地区环境状况及项目营运期对环境的影响，确定本次评价主要环境保护目标见表</w:t>
            </w:r>
            <w:r>
              <w:rPr>
                <w:rFonts w:hint="default" w:ascii="Times New Roman" w:hAnsi="Times New Roman" w:eastAsia="宋体" w:cs="Times New Roman"/>
                <w:color w:val="auto"/>
                <w:sz w:val="24"/>
                <w:szCs w:val="24"/>
                <w:lang w:val="en-US" w:eastAsia="zh-CN"/>
              </w:rPr>
              <w:t>3-</w:t>
            </w:r>
            <w:r>
              <w:rPr>
                <w:rFonts w:hint="eastAsia" w:cs="Times New Roman"/>
                <w:color w:val="auto"/>
                <w:sz w:val="24"/>
                <w:szCs w:val="24"/>
                <w:lang w:val="en-US" w:eastAsia="zh-CN"/>
              </w:rPr>
              <w:t>5、3-6</w:t>
            </w:r>
            <w:r>
              <w:rPr>
                <w:rFonts w:hint="default" w:ascii="Times New Roman" w:hAnsi="Times New Roman" w:eastAsia="宋体" w:cs="Times New Roman"/>
                <w:color w:val="auto"/>
                <w:sz w:val="24"/>
                <w:szCs w:val="24"/>
                <w:lang w:val="en-US" w:eastAsia="zh-CN"/>
              </w:rPr>
              <w:t>，项目环保目标见附图</w:t>
            </w:r>
            <w:r>
              <w:rPr>
                <w:rFonts w:hint="default"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rPr>
              <w:t>。</w:t>
            </w:r>
          </w:p>
          <w:p w14:paraId="11BC1B2F">
            <w:pPr>
              <w:adjustRightInd w:val="0"/>
              <w:snapToGrid w:val="0"/>
              <w:spacing w:line="360" w:lineRule="auto"/>
              <w:ind w:firstLine="482" w:firstLineChars="200"/>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1、大气环境</w:t>
            </w:r>
          </w:p>
          <w:p w14:paraId="729C5C9F">
            <w:p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lang w:val="en-US" w:eastAsia="zh-CN"/>
              </w:rPr>
              <w:t>本项目</w:t>
            </w:r>
            <w:r>
              <w:rPr>
                <w:rFonts w:hint="eastAsia" w:ascii="Times New Roman" w:hAnsi="Times New Roman" w:eastAsia="宋体" w:cs="Times New Roman"/>
                <w:color w:val="auto"/>
                <w:sz w:val="24"/>
                <w:szCs w:val="24"/>
                <w:lang w:val="en-US" w:eastAsia="zh-CN"/>
              </w:rPr>
              <w:t>厂界外</w:t>
            </w:r>
            <w:r>
              <w:rPr>
                <w:rFonts w:hint="default" w:ascii="Times New Roman" w:hAnsi="Times New Roman" w:eastAsia="宋体" w:cs="Times New Roman"/>
                <w:color w:val="auto"/>
                <w:sz w:val="24"/>
                <w:szCs w:val="24"/>
                <w:lang w:val="en-US" w:eastAsia="zh-CN"/>
              </w:rPr>
              <w:t>500m范围内无自然保护区、风景名胜区</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lang w:val="en-US" w:eastAsia="zh-CN"/>
              </w:rPr>
              <w:t>项目厂界500m范围内环境空气保护目标见表3-</w:t>
            </w:r>
            <w:r>
              <w:rPr>
                <w:rFonts w:hint="eastAsia" w:cs="Times New Roman"/>
                <w:color w:val="auto"/>
                <w:sz w:val="24"/>
                <w:lang w:val="en-US" w:eastAsia="zh-CN"/>
              </w:rPr>
              <w:t>5</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项目</w:t>
            </w:r>
            <w:r>
              <w:rPr>
                <w:rFonts w:hint="default" w:ascii="Times New Roman" w:hAnsi="Times New Roman" w:cs="Times New Roman"/>
                <w:color w:val="auto"/>
                <w:sz w:val="24"/>
                <w:szCs w:val="24"/>
                <w:lang w:val="en-US" w:eastAsia="zh-CN"/>
              </w:rPr>
              <w:t>环境保护目标见附图6</w:t>
            </w:r>
            <w:r>
              <w:rPr>
                <w:rFonts w:hint="default" w:ascii="Times New Roman" w:hAnsi="Times New Roman" w:eastAsia="宋体" w:cs="Times New Roman"/>
                <w:color w:val="auto"/>
                <w:sz w:val="24"/>
                <w:lang w:val="en-US" w:eastAsia="zh-CN"/>
              </w:rPr>
              <w:t>。</w:t>
            </w:r>
          </w:p>
          <w:p w14:paraId="4F2568DD">
            <w:pPr>
              <w:adjustRightInd w:val="0"/>
              <w:snapToGrid w:val="0"/>
              <w:spacing w:line="240" w:lineRule="auto"/>
              <w:ind w:firstLine="0" w:firstLineChars="0"/>
              <w:jc w:val="center"/>
              <w:rPr>
                <w:rFonts w:hint="eastAsia"/>
                <w:b/>
                <w:color w:val="auto"/>
                <w:sz w:val="21"/>
                <w:szCs w:val="21"/>
                <w:highlight w:val="none"/>
              </w:rPr>
            </w:pPr>
            <w:r>
              <w:rPr>
                <w:rFonts w:hint="eastAsia"/>
                <w:b/>
                <w:color w:val="auto"/>
                <w:sz w:val="21"/>
                <w:szCs w:val="21"/>
                <w:highlight w:val="none"/>
              </w:rPr>
              <w:t>表</w:t>
            </w:r>
            <w:r>
              <w:rPr>
                <w:rFonts w:hint="eastAsia"/>
                <w:b/>
                <w:color w:val="auto"/>
                <w:sz w:val="21"/>
                <w:szCs w:val="21"/>
                <w:highlight w:val="none"/>
                <w:lang w:val="en-US" w:eastAsia="zh-CN"/>
              </w:rPr>
              <w:t xml:space="preserve">3-5  </w:t>
            </w:r>
            <w:r>
              <w:rPr>
                <w:rFonts w:hint="eastAsia"/>
                <w:b/>
                <w:color w:val="auto"/>
                <w:sz w:val="21"/>
                <w:szCs w:val="21"/>
                <w:highlight w:val="none"/>
              </w:rPr>
              <w:t>环境</w:t>
            </w:r>
            <w:r>
              <w:rPr>
                <w:rFonts w:hint="eastAsia"/>
                <w:b/>
                <w:color w:val="auto"/>
                <w:sz w:val="21"/>
                <w:szCs w:val="21"/>
                <w:highlight w:val="none"/>
                <w:lang w:val="en-US" w:eastAsia="zh-CN"/>
              </w:rPr>
              <w:t>空气</w:t>
            </w:r>
            <w:r>
              <w:rPr>
                <w:rFonts w:hint="eastAsia"/>
                <w:b/>
                <w:color w:val="auto"/>
                <w:sz w:val="21"/>
                <w:szCs w:val="21"/>
                <w:highlight w:val="none"/>
              </w:rPr>
              <w:t>主要</w:t>
            </w:r>
            <w:r>
              <w:rPr>
                <w:b/>
                <w:color w:val="auto"/>
                <w:sz w:val="21"/>
                <w:szCs w:val="21"/>
                <w:highlight w:val="none"/>
              </w:rPr>
              <w:t>保护目标</w:t>
            </w:r>
            <w:r>
              <w:rPr>
                <w:rFonts w:hint="eastAsia"/>
                <w:b/>
                <w:color w:val="auto"/>
                <w:sz w:val="21"/>
                <w:szCs w:val="21"/>
                <w:highlight w:val="none"/>
              </w:rPr>
              <w:t>表</w:t>
            </w:r>
          </w:p>
          <w:tbl>
            <w:tblPr>
              <w:tblStyle w:val="28"/>
              <w:tblW w:w="7981"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43"/>
              <w:gridCol w:w="1226"/>
              <w:gridCol w:w="1949"/>
              <w:gridCol w:w="980"/>
              <w:gridCol w:w="885"/>
              <w:gridCol w:w="951"/>
            </w:tblGrid>
            <w:tr w14:paraId="31327F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Merge w:val="restart"/>
                  <w:noWrap w:val="0"/>
                  <w:vAlign w:val="center"/>
                </w:tcPr>
                <w:p w14:paraId="0B72F2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环境要素</w:t>
                  </w:r>
                </w:p>
              </w:tc>
              <w:tc>
                <w:tcPr>
                  <w:tcW w:w="2369" w:type="dxa"/>
                  <w:gridSpan w:val="2"/>
                  <w:noWrap w:val="0"/>
                  <w:vAlign w:val="center"/>
                </w:tcPr>
                <w:p w14:paraId="2021B0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坐标/°</w:t>
                  </w:r>
                </w:p>
              </w:tc>
              <w:tc>
                <w:tcPr>
                  <w:tcW w:w="1949" w:type="dxa"/>
                  <w:vMerge w:val="restart"/>
                  <w:noWrap w:val="0"/>
                  <w:vAlign w:val="center"/>
                </w:tcPr>
                <w:p w14:paraId="71ED1F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保护对象</w:t>
                  </w:r>
                </w:p>
              </w:tc>
              <w:tc>
                <w:tcPr>
                  <w:tcW w:w="980" w:type="dxa"/>
                  <w:vMerge w:val="restart"/>
                  <w:noWrap w:val="0"/>
                  <w:vAlign w:val="center"/>
                </w:tcPr>
                <w:p w14:paraId="60614A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环境功能区</w:t>
                  </w:r>
                </w:p>
              </w:tc>
              <w:tc>
                <w:tcPr>
                  <w:tcW w:w="885" w:type="dxa"/>
                  <w:vMerge w:val="restart"/>
                  <w:noWrap w:val="0"/>
                  <w:vAlign w:val="center"/>
                </w:tcPr>
                <w:p w14:paraId="74F823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相对厂址方位</w:t>
                  </w:r>
                </w:p>
              </w:tc>
              <w:tc>
                <w:tcPr>
                  <w:tcW w:w="951" w:type="dxa"/>
                  <w:vMerge w:val="restart"/>
                  <w:noWrap w:val="0"/>
                  <w:vAlign w:val="center"/>
                </w:tcPr>
                <w:p w14:paraId="0529F1BD">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相对厂界距离/m</w:t>
                  </w:r>
                </w:p>
              </w:tc>
            </w:tr>
            <w:tr w14:paraId="70E2AE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Merge w:val="continue"/>
                  <w:noWrap w:val="0"/>
                  <w:vAlign w:val="center"/>
                </w:tcPr>
                <w:p w14:paraId="1D315FC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olor w:val="auto"/>
                      <w:kern w:val="0"/>
                      <w:sz w:val="21"/>
                      <w:szCs w:val="21"/>
                    </w:rPr>
                  </w:pPr>
                </w:p>
              </w:tc>
              <w:tc>
                <w:tcPr>
                  <w:tcW w:w="1143" w:type="dxa"/>
                  <w:noWrap w:val="0"/>
                  <w:vAlign w:val="center"/>
                </w:tcPr>
                <w:p w14:paraId="19D2A6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经度</w:t>
                  </w:r>
                </w:p>
              </w:tc>
              <w:tc>
                <w:tcPr>
                  <w:tcW w:w="1226" w:type="dxa"/>
                  <w:noWrap w:val="0"/>
                  <w:vAlign w:val="center"/>
                </w:tcPr>
                <w:p w14:paraId="0C785F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color w:val="auto"/>
                      <w:kern w:val="0"/>
                      <w:sz w:val="21"/>
                      <w:szCs w:val="21"/>
                    </w:rPr>
                  </w:pPr>
                  <w:r>
                    <w:rPr>
                      <w:rFonts w:ascii="Times New Roman" w:hAnsi="Times New Roman"/>
                      <w:b/>
                      <w:color w:val="auto"/>
                      <w:kern w:val="0"/>
                      <w:sz w:val="21"/>
                      <w:szCs w:val="21"/>
                    </w:rPr>
                    <w:t>纬度</w:t>
                  </w:r>
                </w:p>
              </w:tc>
              <w:tc>
                <w:tcPr>
                  <w:tcW w:w="1949" w:type="dxa"/>
                  <w:vMerge w:val="continue"/>
                  <w:noWrap w:val="0"/>
                  <w:vAlign w:val="center"/>
                </w:tcPr>
                <w:p w14:paraId="140E7F9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olor w:val="auto"/>
                      <w:kern w:val="0"/>
                      <w:sz w:val="21"/>
                      <w:szCs w:val="21"/>
                    </w:rPr>
                  </w:pPr>
                </w:p>
              </w:tc>
              <w:tc>
                <w:tcPr>
                  <w:tcW w:w="980" w:type="dxa"/>
                  <w:vMerge w:val="continue"/>
                  <w:noWrap w:val="0"/>
                  <w:vAlign w:val="center"/>
                </w:tcPr>
                <w:p w14:paraId="77F16AD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olor w:val="auto"/>
                      <w:kern w:val="0"/>
                      <w:sz w:val="21"/>
                      <w:szCs w:val="21"/>
                    </w:rPr>
                  </w:pPr>
                </w:p>
              </w:tc>
              <w:tc>
                <w:tcPr>
                  <w:tcW w:w="885" w:type="dxa"/>
                  <w:vMerge w:val="continue"/>
                  <w:noWrap w:val="0"/>
                  <w:vAlign w:val="center"/>
                </w:tcPr>
                <w:p w14:paraId="0B252DA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olor w:val="auto"/>
                      <w:kern w:val="0"/>
                      <w:sz w:val="21"/>
                      <w:szCs w:val="21"/>
                    </w:rPr>
                  </w:pPr>
                </w:p>
              </w:tc>
              <w:tc>
                <w:tcPr>
                  <w:tcW w:w="951" w:type="dxa"/>
                  <w:vMerge w:val="continue"/>
                  <w:noWrap w:val="0"/>
                  <w:vAlign w:val="center"/>
                </w:tcPr>
                <w:p w14:paraId="7D1CB3A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olor w:val="auto"/>
                      <w:kern w:val="0"/>
                      <w:sz w:val="21"/>
                      <w:szCs w:val="21"/>
                    </w:rPr>
                  </w:pPr>
                </w:p>
              </w:tc>
            </w:tr>
            <w:tr w14:paraId="2E75D0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47" w:type="dxa"/>
                  <w:vMerge w:val="restart"/>
                  <w:noWrap w:val="0"/>
                  <w:vAlign w:val="center"/>
                </w:tcPr>
                <w:p w14:paraId="6B2113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r>
                    <w:rPr>
                      <w:rFonts w:ascii="Times New Roman" w:hAnsi="Times New Roman"/>
                      <w:color w:val="auto"/>
                      <w:kern w:val="0"/>
                      <w:sz w:val="21"/>
                      <w:szCs w:val="21"/>
                    </w:rPr>
                    <w:t>环境空气</w:t>
                  </w:r>
                </w:p>
              </w:tc>
              <w:tc>
                <w:tcPr>
                  <w:tcW w:w="1143" w:type="dxa"/>
                  <w:noWrap w:val="0"/>
                  <w:vAlign w:val="center"/>
                </w:tcPr>
                <w:p w14:paraId="7EB80A24">
                  <w:pPr>
                    <w:ind w:left="-105" w:leftChars="-50" w:right="-105" w:rightChars="-50"/>
                    <w:jc w:val="center"/>
                    <w:rPr>
                      <w:rFonts w:ascii="Times New Roman" w:hAnsi="Times New Roman"/>
                      <w:bCs/>
                      <w:color w:val="auto"/>
                      <w:spacing w:val="6"/>
                      <w:sz w:val="21"/>
                      <w:szCs w:val="21"/>
                    </w:rPr>
                  </w:pPr>
                  <w:r>
                    <w:rPr>
                      <w:rFonts w:hint="default" w:ascii="Times New Roman" w:hAnsi="Times New Roman" w:cs="Times New Roman"/>
                      <w:bCs/>
                      <w:color w:val="auto"/>
                      <w:spacing w:val="6"/>
                      <w:sz w:val="21"/>
                      <w:szCs w:val="21"/>
                    </w:rPr>
                    <w:t>108.7336</w:t>
                  </w:r>
                </w:p>
              </w:tc>
              <w:tc>
                <w:tcPr>
                  <w:tcW w:w="1226" w:type="dxa"/>
                  <w:noWrap w:val="0"/>
                  <w:vAlign w:val="center"/>
                </w:tcPr>
                <w:p w14:paraId="18CDD649">
                  <w:pPr>
                    <w:ind w:left="-105" w:leftChars="-50" w:right="-105" w:rightChars="-50"/>
                    <w:jc w:val="center"/>
                    <w:rPr>
                      <w:rFonts w:hint="eastAsia" w:ascii="Times New Roman" w:hAnsi="Times New Roman" w:eastAsia="宋体"/>
                      <w:bCs/>
                      <w:color w:val="auto"/>
                      <w:spacing w:val="6"/>
                      <w:sz w:val="21"/>
                      <w:szCs w:val="21"/>
                      <w:lang w:eastAsia="zh-CN"/>
                    </w:rPr>
                  </w:pPr>
                  <w:r>
                    <w:rPr>
                      <w:rFonts w:hint="default" w:ascii="Times New Roman" w:hAnsi="Times New Roman" w:cs="Times New Roman"/>
                      <w:bCs/>
                      <w:color w:val="auto"/>
                      <w:spacing w:val="6"/>
                      <w:sz w:val="21"/>
                      <w:szCs w:val="21"/>
                    </w:rPr>
                    <w:t>34.2921</w:t>
                  </w:r>
                </w:p>
              </w:tc>
              <w:tc>
                <w:tcPr>
                  <w:tcW w:w="1949" w:type="dxa"/>
                  <w:noWrap w:val="0"/>
                  <w:vAlign w:val="center"/>
                </w:tcPr>
                <w:p w14:paraId="5FC6D6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r>
                    <w:rPr>
                      <w:rFonts w:hint="eastAsia" w:ascii="Times New Roman" w:hAnsi="Times New Roman"/>
                      <w:color w:val="auto"/>
                      <w:kern w:val="0"/>
                      <w:sz w:val="21"/>
                      <w:szCs w:val="21"/>
                      <w:lang w:val="en-US" w:eastAsia="zh-CN"/>
                    </w:rPr>
                    <w:t>隆桥瑞苑</w:t>
                  </w:r>
                </w:p>
              </w:tc>
              <w:tc>
                <w:tcPr>
                  <w:tcW w:w="980" w:type="dxa"/>
                  <w:vMerge w:val="restart"/>
                  <w:noWrap w:val="0"/>
                  <w:vAlign w:val="center"/>
                </w:tcPr>
                <w:p w14:paraId="4DC5E3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r>
                    <w:rPr>
                      <w:rFonts w:ascii="Times New Roman" w:hAnsi="Times New Roman"/>
                      <w:color w:val="auto"/>
                      <w:kern w:val="0"/>
                      <w:sz w:val="21"/>
                      <w:szCs w:val="21"/>
                    </w:rPr>
                    <w:t>二类区</w:t>
                  </w:r>
                </w:p>
              </w:tc>
              <w:tc>
                <w:tcPr>
                  <w:tcW w:w="885" w:type="dxa"/>
                  <w:noWrap w:val="0"/>
                  <w:vAlign w:val="center"/>
                </w:tcPr>
                <w:p w14:paraId="0C262F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kern w:val="0"/>
                      <w:sz w:val="21"/>
                      <w:szCs w:val="21"/>
                      <w:lang w:eastAsia="zh-CN"/>
                    </w:rPr>
                  </w:pPr>
                  <w:r>
                    <w:rPr>
                      <w:rFonts w:hint="eastAsia"/>
                      <w:color w:val="auto"/>
                      <w:kern w:val="0"/>
                      <w:sz w:val="21"/>
                      <w:szCs w:val="21"/>
                      <w:lang w:val="en-US" w:eastAsia="zh-CN"/>
                    </w:rPr>
                    <w:t>W</w:t>
                  </w:r>
                </w:p>
              </w:tc>
              <w:tc>
                <w:tcPr>
                  <w:tcW w:w="951" w:type="dxa"/>
                  <w:noWrap w:val="0"/>
                  <w:vAlign w:val="center"/>
                </w:tcPr>
                <w:p w14:paraId="5F834E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紧邻</w:t>
                  </w:r>
                </w:p>
              </w:tc>
            </w:tr>
            <w:tr w14:paraId="29FDF8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47" w:type="dxa"/>
                  <w:vMerge w:val="continue"/>
                  <w:noWrap w:val="0"/>
                  <w:vAlign w:val="center"/>
                </w:tcPr>
                <w:p w14:paraId="770849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p>
              </w:tc>
              <w:tc>
                <w:tcPr>
                  <w:tcW w:w="1143" w:type="dxa"/>
                  <w:noWrap w:val="0"/>
                  <w:vAlign w:val="center"/>
                </w:tcPr>
                <w:p w14:paraId="084F43BA">
                  <w:pPr>
                    <w:ind w:left="-105" w:leftChars="-50" w:right="-105" w:rightChars="-50"/>
                    <w:jc w:val="center"/>
                    <w:rPr>
                      <w:rFonts w:hint="eastAsia" w:ascii="Times New Roman" w:hAnsi="Times New Roman" w:cs="Times New Roman"/>
                      <w:bCs/>
                      <w:color w:val="auto"/>
                      <w:spacing w:val="6"/>
                      <w:sz w:val="21"/>
                      <w:szCs w:val="21"/>
                    </w:rPr>
                  </w:pPr>
                  <w:r>
                    <w:rPr>
                      <w:rFonts w:hint="eastAsia" w:ascii="Times New Roman" w:hAnsi="Times New Roman" w:cs="Times New Roman"/>
                      <w:bCs/>
                      <w:color w:val="auto"/>
                      <w:spacing w:val="6"/>
                      <w:sz w:val="21"/>
                      <w:szCs w:val="21"/>
                    </w:rPr>
                    <w:t>108.7325</w:t>
                  </w:r>
                </w:p>
              </w:tc>
              <w:tc>
                <w:tcPr>
                  <w:tcW w:w="1226" w:type="dxa"/>
                  <w:noWrap w:val="0"/>
                  <w:vAlign w:val="center"/>
                </w:tcPr>
                <w:p w14:paraId="06C7407F">
                  <w:pPr>
                    <w:ind w:left="-105" w:leftChars="-50" w:right="-105" w:rightChars="-50"/>
                    <w:jc w:val="center"/>
                    <w:rPr>
                      <w:rFonts w:hint="eastAsia" w:ascii="Times New Roman" w:hAnsi="Times New Roman" w:cs="Times New Roman"/>
                      <w:bCs/>
                      <w:color w:val="auto"/>
                      <w:spacing w:val="6"/>
                      <w:sz w:val="21"/>
                      <w:szCs w:val="21"/>
                      <w:lang w:val="en-US" w:eastAsia="zh-CN"/>
                    </w:rPr>
                  </w:pPr>
                  <w:r>
                    <w:rPr>
                      <w:rFonts w:hint="eastAsia" w:ascii="Times New Roman" w:hAnsi="Times New Roman" w:cs="Times New Roman"/>
                      <w:bCs/>
                      <w:color w:val="auto"/>
                      <w:spacing w:val="6"/>
                      <w:sz w:val="21"/>
                      <w:szCs w:val="21"/>
                      <w:lang w:val="en-US" w:eastAsia="zh-CN"/>
                    </w:rPr>
                    <w:t>34.2923</w:t>
                  </w:r>
                </w:p>
              </w:tc>
              <w:tc>
                <w:tcPr>
                  <w:tcW w:w="1949" w:type="dxa"/>
                  <w:noWrap w:val="0"/>
                  <w:vAlign w:val="center"/>
                </w:tcPr>
                <w:p w14:paraId="207B4B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沣西新城第三小学</w:t>
                  </w:r>
                </w:p>
              </w:tc>
              <w:tc>
                <w:tcPr>
                  <w:tcW w:w="980" w:type="dxa"/>
                  <w:vMerge w:val="continue"/>
                  <w:noWrap w:val="0"/>
                  <w:vAlign w:val="center"/>
                </w:tcPr>
                <w:p w14:paraId="4547B6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p>
              </w:tc>
              <w:tc>
                <w:tcPr>
                  <w:tcW w:w="885" w:type="dxa"/>
                  <w:noWrap w:val="0"/>
                  <w:vAlign w:val="center"/>
                </w:tcPr>
                <w:p w14:paraId="58B106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W</w:t>
                  </w:r>
                </w:p>
              </w:tc>
              <w:tc>
                <w:tcPr>
                  <w:tcW w:w="951" w:type="dxa"/>
                  <w:noWrap w:val="0"/>
                  <w:vAlign w:val="center"/>
                </w:tcPr>
                <w:p w14:paraId="00704C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100</w:t>
                  </w:r>
                </w:p>
              </w:tc>
            </w:tr>
            <w:tr w14:paraId="3F00C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47" w:type="dxa"/>
                  <w:vMerge w:val="continue"/>
                  <w:noWrap w:val="0"/>
                  <w:vAlign w:val="center"/>
                </w:tcPr>
                <w:p w14:paraId="6D09B3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p>
              </w:tc>
              <w:tc>
                <w:tcPr>
                  <w:tcW w:w="1143" w:type="dxa"/>
                  <w:noWrap w:val="0"/>
                  <w:vAlign w:val="center"/>
                </w:tcPr>
                <w:p w14:paraId="1B88E754">
                  <w:pPr>
                    <w:ind w:left="-105" w:leftChars="-50" w:right="-105" w:rightChars="-50"/>
                    <w:jc w:val="center"/>
                    <w:rPr>
                      <w:rFonts w:hint="eastAsia" w:ascii="Times New Roman" w:hAnsi="Times New Roman" w:cs="Times New Roman"/>
                      <w:bCs/>
                      <w:color w:val="auto"/>
                      <w:spacing w:val="6"/>
                      <w:sz w:val="21"/>
                      <w:szCs w:val="21"/>
                      <w:lang w:val="en-US" w:eastAsia="zh-CN"/>
                    </w:rPr>
                  </w:pPr>
                  <w:r>
                    <w:rPr>
                      <w:rFonts w:hint="eastAsia" w:ascii="Times New Roman" w:hAnsi="Times New Roman" w:cs="Times New Roman"/>
                      <w:bCs/>
                      <w:color w:val="auto"/>
                      <w:spacing w:val="6"/>
                      <w:sz w:val="21"/>
                      <w:szCs w:val="21"/>
                      <w:lang w:val="en-US" w:eastAsia="zh-CN"/>
                    </w:rPr>
                    <w:t>108.7331</w:t>
                  </w:r>
                </w:p>
              </w:tc>
              <w:tc>
                <w:tcPr>
                  <w:tcW w:w="1226" w:type="dxa"/>
                  <w:noWrap w:val="0"/>
                  <w:vAlign w:val="center"/>
                </w:tcPr>
                <w:p w14:paraId="435A3D69">
                  <w:pPr>
                    <w:ind w:left="-105" w:leftChars="-50" w:right="-105" w:rightChars="-50"/>
                    <w:jc w:val="center"/>
                    <w:rPr>
                      <w:rFonts w:hint="eastAsia" w:ascii="Times New Roman" w:hAnsi="Times New Roman" w:cs="Times New Roman"/>
                      <w:bCs/>
                      <w:color w:val="auto"/>
                      <w:spacing w:val="6"/>
                      <w:sz w:val="21"/>
                      <w:szCs w:val="21"/>
                      <w:lang w:val="en-US" w:eastAsia="zh-CN"/>
                    </w:rPr>
                  </w:pPr>
                  <w:r>
                    <w:rPr>
                      <w:rFonts w:hint="eastAsia" w:ascii="Times New Roman" w:hAnsi="Times New Roman" w:cs="Times New Roman"/>
                      <w:bCs/>
                      <w:color w:val="auto"/>
                      <w:spacing w:val="6"/>
                      <w:sz w:val="21"/>
                      <w:szCs w:val="21"/>
                      <w:lang w:val="en-US" w:eastAsia="zh-CN"/>
                    </w:rPr>
                    <w:t>34.2941</w:t>
                  </w:r>
                </w:p>
              </w:tc>
              <w:tc>
                <w:tcPr>
                  <w:tcW w:w="1949" w:type="dxa"/>
                  <w:noWrap w:val="0"/>
                  <w:vAlign w:val="center"/>
                </w:tcPr>
                <w:p w14:paraId="4FB4A9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康定和园</w:t>
                  </w:r>
                </w:p>
              </w:tc>
              <w:tc>
                <w:tcPr>
                  <w:tcW w:w="980" w:type="dxa"/>
                  <w:vMerge w:val="continue"/>
                  <w:noWrap w:val="0"/>
                  <w:vAlign w:val="center"/>
                </w:tcPr>
                <w:p w14:paraId="3CB16D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p>
              </w:tc>
              <w:tc>
                <w:tcPr>
                  <w:tcW w:w="885" w:type="dxa"/>
                  <w:noWrap w:val="0"/>
                  <w:vAlign w:val="center"/>
                </w:tcPr>
                <w:p w14:paraId="47B7C6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N</w:t>
                  </w:r>
                </w:p>
              </w:tc>
              <w:tc>
                <w:tcPr>
                  <w:tcW w:w="951" w:type="dxa"/>
                  <w:noWrap w:val="0"/>
                  <w:vAlign w:val="center"/>
                </w:tcPr>
                <w:p w14:paraId="4AF3B6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201</w:t>
                  </w:r>
                </w:p>
              </w:tc>
            </w:tr>
            <w:tr w14:paraId="345913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47" w:type="dxa"/>
                  <w:vMerge w:val="continue"/>
                  <w:noWrap w:val="0"/>
                  <w:vAlign w:val="center"/>
                </w:tcPr>
                <w:p w14:paraId="17F11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p>
              </w:tc>
              <w:tc>
                <w:tcPr>
                  <w:tcW w:w="1143" w:type="dxa"/>
                  <w:noWrap w:val="0"/>
                  <w:vAlign w:val="center"/>
                </w:tcPr>
                <w:p w14:paraId="4288E284">
                  <w:pPr>
                    <w:ind w:left="-105" w:leftChars="-50" w:right="-105" w:rightChars="-50"/>
                    <w:jc w:val="center"/>
                    <w:rPr>
                      <w:rFonts w:hint="eastAsia" w:ascii="Times New Roman" w:hAnsi="Times New Roman" w:cs="Times New Roman"/>
                      <w:bCs/>
                      <w:color w:val="auto"/>
                      <w:spacing w:val="6"/>
                      <w:sz w:val="21"/>
                      <w:szCs w:val="21"/>
                      <w:lang w:val="en-US" w:eastAsia="zh-CN"/>
                    </w:rPr>
                  </w:pPr>
                  <w:r>
                    <w:rPr>
                      <w:rFonts w:hint="eastAsia" w:ascii="Times New Roman" w:hAnsi="Times New Roman" w:cs="Times New Roman"/>
                      <w:bCs/>
                      <w:color w:val="auto"/>
                      <w:spacing w:val="6"/>
                      <w:sz w:val="21"/>
                      <w:szCs w:val="21"/>
                      <w:lang w:val="en-US" w:eastAsia="zh-CN"/>
                    </w:rPr>
                    <w:t>108.7351</w:t>
                  </w:r>
                </w:p>
              </w:tc>
              <w:tc>
                <w:tcPr>
                  <w:tcW w:w="1226" w:type="dxa"/>
                  <w:noWrap w:val="0"/>
                  <w:vAlign w:val="center"/>
                </w:tcPr>
                <w:p w14:paraId="0CD535C3">
                  <w:pPr>
                    <w:ind w:left="-105" w:leftChars="-50" w:right="-105" w:rightChars="-50"/>
                    <w:jc w:val="center"/>
                    <w:rPr>
                      <w:rFonts w:hint="eastAsia" w:ascii="Times New Roman" w:hAnsi="Times New Roman" w:cs="Times New Roman"/>
                      <w:bCs/>
                      <w:color w:val="auto"/>
                      <w:spacing w:val="6"/>
                      <w:sz w:val="21"/>
                      <w:szCs w:val="21"/>
                      <w:lang w:val="en-US" w:eastAsia="zh-CN"/>
                    </w:rPr>
                  </w:pPr>
                  <w:r>
                    <w:rPr>
                      <w:rFonts w:hint="eastAsia" w:ascii="Times New Roman" w:hAnsi="Times New Roman" w:cs="Times New Roman"/>
                      <w:bCs/>
                      <w:color w:val="auto"/>
                      <w:spacing w:val="6"/>
                      <w:sz w:val="21"/>
                      <w:szCs w:val="21"/>
                      <w:lang w:val="en-US" w:eastAsia="zh-CN"/>
                    </w:rPr>
                    <w:t>34.2923</w:t>
                  </w:r>
                </w:p>
              </w:tc>
              <w:tc>
                <w:tcPr>
                  <w:tcW w:w="1949" w:type="dxa"/>
                  <w:noWrap w:val="0"/>
                  <w:vAlign w:val="center"/>
                </w:tcPr>
                <w:p w14:paraId="3D38C2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b/>
                      <w:bCs/>
                      <w:color w:val="auto"/>
                      <w:kern w:val="0"/>
                      <w:sz w:val="21"/>
                      <w:szCs w:val="21"/>
                      <w:lang w:val="en-US" w:eastAsia="zh-CN"/>
                    </w:rPr>
                  </w:pPr>
                  <w:r>
                    <w:rPr>
                      <w:rFonts w:hint="eastAsia"/>
                      <w:color w:val="auto"/>
                      <w:kern w:val="0"/>
                      <w:sz w:val="21"/>
                      <w:szCs w:val="21"/>
                      <w:lang w:val="en-US" w:eastAsia="zh-CN"/>
                    </w:rPr>
                    <w:t>咸阳职业技术学院</w:t>
                  </w:r>
                </w:p>
              </w:tc>
              <w:tc>
                <w:tcPr>
                  <w:tcW w:w="980" w:type="dxa"/>
                  <w:vMerge w:val="continue"/>
                  <w:noWrap w:val="0"/>
                  <w:vAlign w:val="center"/>
                </w:tcPr>
                <w:p w14:paraId="352897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auto"/>
                      <w:kern w:val="0"/>
                      <w:sz w:val="21"/>
                      <w:szCs w:val="21"/>
                    </w:rPr>
                  </w:pPr>
                </w:p>
              </w:tc>
              <w:tc>
                <w:tcPr>
                  <w:tcW w:w="885" w:type="dxa"/>
                  <w:noWrap w:val="0"/>
                  <w:vAlign w:val="center"/>
                </w:tcPr>
                <w:p w14:paraId="7C4246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E</w:t>
                  </w:r>
                </w:p>
              </w:tc>
              <w:tc>
                <w:tcPr>
                  <w:tcW w:w="951" w:type="dxa"/>
                  <w:noWrap w:val="0"/>
                  <w:vAlign w:val="center"/>
                </w:tcPr>
                <w:p w14:paraId="498A1D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115</w:t>
                  </w:r>
                </w:p>
              </w:tc>
            </w:tr>
          </w:tbl>
          <w:p w14:paraId="7D72682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2、声环境</w:t>
            </w:r>
          </w:p>
          <w:p w14:paraId="09AAB2A4">
            <w:p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本项目50m范围内声环境环保目标见表3-</w:t>
            </w:r>
            <w:r>
              <w:rPr>
                <w:rFonts w:hint="eastAsia" w:cs="Times New Roman"/>
                <w:color w:val="auto"/>
                <w:sz w:val="24"/>
                <w:lang w:val="en-US" w:eastAsia="zh-CN"/>
              </w:rPr>
              <w:t>6</w:t>
            </w:r>
            <w:r>
              <w:rPr>
                <w:rFonts w:hint="default" w:ascii="Times New Roman" w:hAnsi="Times New Roman" w:cs="Times New Roman"/>
                <w:color w:val="auto"/>
                <w:sz w:val="24"/>
                <w:lang w:val="en-US" w:eastAsia="zh-CN"/>
              </w:rPr>
              <w:t>，项目</w:t>
            </w:r>
            <w:r>
              <w:rPr>
                <w:rFonts w:hint="default" w:ascii="Times New Roman" w:hAnsi="Times New Roman" w:cs="Times New Roman"/>
                <w:color w:val="auto"/>
                <w:sz w:val="24"/>
                <w:szCs w:val="24"/>
                <w:lang w:val="en-US" w:eastAsia="zh-CN"/>
              </w:rPr>
              <w:t>环境保护目标见附图6</w:t>
            </w:r>
            <w:r>
              <w:rPr>
                <w:rFonts w:hint="default" w:ascii="Times New Roman" w:hAnsi="Times New Roman" w:eastAsia="宋体" w:cs="Times New Roman"/>
                <w:color w:val="auto"/>
                <w:sz w:val="24"/>
                <w:lang w:val="en-US" w:eastAsia="zh-CN"/>
              </w:rPr>
              <w:t>。</w:t>
            </w:r>
          </w:p>
          <w:p w14:paraId="43110DD4">
            <w:pPr>
              <w:pStyle w:val="6"/>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表3-</w:t>
            </w:r>
            <w:r>
              <w:rPr>
                <w:rFonts w:hint="eastAsia" w:ascii="Times New Roman" w:hAnsi="Times New Roman" w:eastAsia="宋体" w:cs="Times New Roman"/>
                <w:b/>
                <w:color w:val="auto"/>
                <w:sz w:val="21"/>
                <w:szCs w:val="21"/>
                <w:lang w:val="en-US" w:eastAsia="zh-CN"/>
              </w:rPr>
              <w:t xml:space="preserve">6  </w:t>
            </w:r>
            <w:r>
              <w:rPr>
                <w:rFonts w:hint="default" w:ascii="Times New Roman" w:hAnsi="Times New Roman" w:eastAsia="宋体" w:cs="Times New Roman"/>
                <w:b/>
                <w:color w:val="auto"/>
                <w:sz w:val="21"/>
                <w:szCs w:val="21"/>
              </w:rPr>
              <w:t>主要环境保护目标一览表</w:t>
            </w:r>
          </w:p>
          <w:tbl>
            <w:tblPr>
              <w:tblStyle w:val="28"/>
              <w:tblW w:w="7981"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354"/>
              <w:gridCol w:w="1170"/>
              <w:gridCol w:w="1850"/>
              <w:gridCol w:w="987"/>
              <w:gridCol w:w="885"/>
              <w:gridCol w:w="909"/>
            </w:tblGrid>
            <w:tr w14:paraId="4709FA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vMerge w:val="restart"/>
                  <w:noWrap w:val="0"/>
                  <w:vAlign w:val="center"/>
                </w:tcPr>
                <w:p w14:paraId="13E2F66C">
                  <w:pPr>
                    <w:widowControl/>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环境要素</w:t>
                  </w:r>
                </w:p>
              </w:tc>
              <w:tc>
                <w:tcPr>
                  <w:tcW w:w="2524" w:type="dxa"/>
                  <w:gridSpan w:val="2"/>
                  <w:noWrap w:val="0"/>
                  <w:vAlign w:val="center"/>
                </w:tcPr>
                <w:p w14:paraId="43ECB633">
                  <w:pPr>
                    <w:widowControl/>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坐标/°</w:t>
                  </w:r>
                </w:p>
              </w:tc>
              <w:tc>
                <w:tcPr>
                  <w:tcW w:w="1850" w:type="dxa"/>
                  <w:vMerge w:val="restart"/>
                  <w:noWrap w:val="0"/>
                  <w:vAlign w:val="center"/>
                </w:tcPr>
                <w:p w14:paraId="77553038">
                  <w:pPr>
                    <w:widowControl/>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保护对象</w:t>
                  </w:r>
                </w:p>
              </w:tc>
              <w:tc>
                <w:tcPr>
                  <w:tcW w:w="987" w:type="dxa"/>
                  <w:vMerge w:val="restart"/>
                  <w:noWrap w:val="0"/>
                  <w:vAlign w:val="center"/>
                </w:tcPr>
                <w:p w14:paraId="4490209A">
                  <w:pPr>
                    <w:widowControl/>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环境功能区</w:t>
                  </w:r>
                </w:p>
              </w:tc>
              <w:tc>
                <w:tcPr>
                  <w:tcW w:w="885" w:type="dxa"/>
                  <w:vMerge w:val="restart"/>
                  <w:noWrap w:val="0"/>
                  <w:vAlign w:val="center"/>
                </w:tcPr>
                <w:p w14:paraId="75170A50">
                  <w:pPr>
                    <w:widowControl/>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相对厂址方位</w:t>
                  </w:r>
                </w:p>
              </w:tc>
              <w:tc>
                <w:tcPr>
                  <w:tcW w:w="909" w:type="dxa"/>
                  <w:vMerge w:val="restart"/>
                  <w:noWrap w:val="0"/>
                  <w:vAlign w:val="center"/>
                </w:tcPr>
                <w:p w14:paraId="3E139D41">
                  <w:pPr>
                    <w:widowControl/>
                    <w:ind w:left="-105" w:leftChars="-50" w:right="-105" w:rightChars="-50"/>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相对厂界距离/m</w:t>
                  </w:r>
                </w:p>
              </w:tc>
            </w:tr>
            <w:tr w14:paraId="5E7B77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vMerge w:val="continue"/>
                  <w:noWrap w:val="0"/>
                  <w:vAlign w:val="center"/>
                </w:tcPr>
                <w:p w14:paraId="03E51C44">
                  <w:pPr>
                    <w:widowControl/>
                    <w:jc w:val="left"/>
                    <w:rPr>
                      <w:rFonts w:hint="default" w:ascii="Times New Roman" w:hAnsi="Times New Roman" w:cs="Times New Roman"/>
                      <w:color w:val="auto"/>
                      <w:kern w:val="0"/>
                      <w:sz w:val="21"/>
                      <w:szCs w:val="21"/>
                    </w:rPr>
                  </w:pPr>
                </w:p>
              </w:tc>
              <w:tc>
                <w:tcPr>
                  <w:tcW w:w="1354" w:type="dxa"/>
                  <w:noWrap w:val="0"/>
                  <w:vAlign w:val="center"/>
                </w:tcPr>
                <w:p w14:paraId="72404D4B">
                  <w:pPr>
                    <w:widowControl/>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经度</w:t>
                  </w:r>
                </w:p>
              </w:tc>
              <w:tc>
                <w:tcPr>
                  <w:tcW w:w="1170" w:type="dxa"/>
                  <w:noWrap w:val="0"/>
                  <w:vAlign w:val="center"/>
                </w:tcPr>
                <w:p w14:paraId="03DD2AFC">
                  <w:pPr>
                    <w:widowControl/>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纬度</w:t>
                  </w:r>
                </w:p>
              </w:tc>
              <w:tc>
                <w:tcPr>
                  <w:tcW w:w="1850" w:type="dxa"/>
                  <w:vMerge w:val="continue"/>
                  <w:noWrap w:val="0"/>
                  <w:vAlign w:val="center"/>
                </w:tcPr>
                <w:p w14:paraId="3DB8206F">
                  <w:pPr>
                    <w:widowControl/>
                    <w:jc w:val="left"/>
                    <w:rPr>
                      <w:rFonts w:hint="default" w:ascii="Times New Roman" w:hAnsi="Times New Roman" w:cs="Times New Roman"/>
                      <w:color w:val="auto"/>
                      <w:kern w:val="0"/>
                      <w:sz w:val="21"/>
                      <w:szCs w:val="21"/>
                    </w:rPr>
                  </w:pPr>
                </w:p>
              </w:tc>
              <w:tc>
                <w:tcPr>
                  <w:tcW w:w="987" w:type="dxa"/>
                  <w:vMerge w:val="continue"/>
                  <w:noWrap w:val="0"/>
                  <w:vAlign w:val="center"/>
                </w:tcPr>
                <w:p w14:paraId="25F235EB">
                  <w:pPr>
                    <w:widowControl/>
                    <w:jc w:val="left"/>
                    <w:rPr>
                      <w:rFonts w:hint="default" w:ascii="Times New Roman" w:hAnsi="Times New Roman" w:cs="Times New Roman"/>
                      <w:color w:val="auto"/>
                      <w:kern w:val="0"/>
                      <w:sz w:val="21"/>
                      <w:szCs w:val="21"/>
                    </w:rPr>
                  </w:pPr>
                </w:p>
              </w:tc>
              <w:tc>
                <w:tcPr>
                  <w:tcW w:w="885" w:type="dxa"/>
                  <w:vMerge w:val="continue"/>
                  <w:noWrap w:val="0"/>
                  <w:vAlign w:val="center"/>
                </w:tcPr>
                <w:p w14:paraId="6F88FB7B">
                  <w:pPr>
                    <w:widowControl/>
                    <w:jc w:val="left"/>
                    <w:rPr>
                      <w:rFonts w:hint="default" w:ascii="Times New Roman" w:hAnsi="Times New Roman" w:cs="Times New Roman"/>
                      <w:color w:val="auto"/>
                      <w:kern w:val="0"/>
                      <w:sz w:val="21"/>
                      <w:szCs w:val="21"/>
                    </w:rPr>
                  </w:pPr>
                </w:p>
              </w:tc>
              <w:tc>
                <w:tcPr>
                  <w:tcW w:w="909" w:type="dxa"/>
                  <w:vMerge w:val="continue"/>
                  <w:noWrap w:val="0"/>
                  <w:vAlign w:val="center"/>
                </w:tcPr>
                <w:p w14:paraId="410CF0EB">
                  <w:pPr>
                    <w:widowControl/>
                    <w:jc w:val="left"/>
                    <w:rPr>
                      <w:rFonts w:hint="default" w:ascii="Times New Roman" w:hAnsi="Times New Roman" w:cs="Times New Roman"/>
                      <w:color w:val="auto"/>
                      <w:kern w:val="0"/>
                      <w:sz w:val="21"/>
                      <w:szCs w:val="21"/>
                    </w:rPr>
                  </w:pPr>
                </w:p>
              </w:tc>
            </w:tr>
            <w:tr w14:paraId="2D46A1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6" w:type="dxa"/>
                  <w:noWrap w:val="0"/>
                  <w:vAlign w:val="center"/>
                </w:tcPr>
                <w:p w14:paraId="6EA5B466">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声环境</w:t>
                  </w:r>
                </w:p>
              </w:tc>
              <w:tc>
                <w:tcPr>
                  <w:tcW w:w="1354" w:type="dxa"/>
                  <w:noWrap w:val="0"/>
                  <w:vAlign w:val="center"/>
                </w:tcPr>
                <w:p w14:paraId="70604D2A">
                  <w:pPr>
                    <w:ind w:left="-105" w:leftChars="-50" w:right="-105" w:rightChars="-50"/>
                    <w:jc w:val="center"/>
                    <w:rPr>
                      <w:rFonts w:hint="default" w:ascii="Times New Roman" w:hAnsi="Times New Roman" w:cs="Times New Roman"/>
                      <w:bCs/>
                      <w:color w:val="auto"/>
                      <w:spacing w:val="6"/>
                      <w:sz w:val="21"/>
                      <w:szCs w:val="21"/>
                    </w:rPr>
                  </w:pPr>
                  <w:r>
                    <w:rPr>
                      <w:rFonts w:hint="default" w:ascii="Times New Roman" w:hAnsi="Times New Roman" w:cs="Times New Roman"/>
                      <w:bCs/>
                      <w:color w:val="auto"/>
                      <w:spacing w:val="6"/>
                      <w:sz w:val="21"/>
                      <w:szCs w:val="21"/>
                    </w:rPr>
                    <w:t>108.7336</w:t>
                  </w:r>
                </w:p>
              </w:tc>
              <w:tc>
                <w:tcPr>
                  <w:tcW w:w="1170" w:type="dxa"/>
                  <w:noWrap w:val="0"/>
                  <w:vAlign w:val="center"/>
                </w:tcPr>
                <w:p w14:paraId="69B1A19D">
                  <w:pPr>
                    <w:ind w:left="-105" w:leftChars="-50" w:right="-105" w:rightChars="-50"/>
                    <w:jc w:val="center"/>
                    <w:rPr>
                      <w:rFonts w:hint="default" w:ascii="Times New Roman" w:hAnsi="Times New Roman" w:cs="Times New Roman"/>
                      <w:bCs/>
                      <w:color w:val="auto"/>
                      <w:spacing w:val="6"/>
                      <w:sz w:val="21"/>
                      <w:szCs w:val="21"/>
                    </w:rPr>
                  </w:pPr>
                  <w:r>
                    <w:rPr>
                      <w:rFonts w:hint="default" w:ascii="Times New Roman" w:hAnsi="Times New Roman" w:cs="Times New Roman"/>
                      <w:bCs/>
                      <w:color w:val="auto"/>
                      <w:spacing w:val="6"/>
                      <w:sz w:val="21"/>
                      <w:szCs w:val="21"/>
                    </w:rPr>
                    <w:t>34.2921</w:t>
                  </w:r>
                </w:p>
              </w:tc>
              <w:tc>
                <w:tcPr>
                  <w:tcW w:w="1850" w:type="dxa"/>
                  <w:noWrap w:val="0"/>
                  <w:vAlign w:val="center"/>
                </w:tcPr>
                <w:p w14:paraId="3CE9F52C">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eastAsia="宋体" w:cs="Times New Roman"/>
                      <w:color w:val="auto"/>
                      <w:sz w:val="21"/>
                      <w:szCs w:val="21"/>
                      <w:highlight w:val="none"/>
                      <w:lang w:val="en-US" w:eastAsia="zh-CN"/>
                    </w:rPr>
                    <w:t>隆桥瑞苑</w:t>
                  </w:r>
                </w:p>
              </w:tc>
              <w:tc>
                <w:tcPr>
                  <w:tcW w:w="987" w:type="dxa"/>
                  <w:noWrap w:val="0"/>
                  <w:vAlign w:val="center"/>
                </w:tcPr>
                <w:p w14:paraId="27BF0DCB">
                  <w:pPr>
                    <w:widowControl/>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2</w:t>
                  </w:r>
                  <w:r>
                    <w:rPr>
                      <w:rFonts w:hint="default" w:ascii="Times New Roman" w:hAnsi="Times New Roman" w:cs="Times New Roman"/>
                      <w:color w:val="auto"/>
                      <w:kern w:val="0"/>
                      <w:sz w:val="21"/>
                      <w:szCs w:val="21"/>
                    </w:rPr>
                    <w:t>类区</w:t>
                  </w:r>
                </w:p>
              </w:tc>
              <w:tc>
                <w:tcPr>
                  <w:tcW w:w="885" w:type="dxa"/>
                  <w:noWrap w:val="0"/>
                  <w:vAlign w:val="center"/>
                </w:tcPr>
                <w:p w14:paraId="0648A4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color w:val="auto"/>
                      <w:kern w:val="0"/>
                      <w:sz w:val="21"/>
                      <w:szCs w:val="21"/>
                      <w:lang w:val="en-US" w:eastAsia="zh-CN"/>
                    </w:rPr>
                    <w:t>W</w:t>
                  </w:r>
                </w:p>
              </w:tc>
              <w:tc>
                <w:tcPr>
                  <w:tcW w:w="909" w:type="dxa"/>
                  <w:noWrap w:val="0"/>
                  <w:vAlign w:val="center"/>
                </w:tcPr>
                <w:p w14:paraId="57242D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color w:val="auto"/>
                      <w:kern w:val="0"/>
                      <w:sz w:val="21"/>
                      <w:szCs w:val="21"/>
                      <w:lang w:val="en-US" w:eastAsia="zh-CN"/>
                    </w:rPr>
                    <w:t>紧邻</w:t>
                  </w:r>
                </w:p>
              </w:tc>
            </w:tr>
          </w:tbl>
          <w:p w14:paraId="08A8B70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3、地下水环境</w:t>
            </w:r>
          </w:p>
          <w:p w14:paraId="44CB8684">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本项目500m范围内无地下水集中式饮用水水源和热水、矿泉水、温泉等特殊地下水资源。</w:t>
            </w:r>
          </w:p>
          <w:p w14:paraId="5D56E2CE">
            <w:pPr>
              <w:adjustRightInd w:val="0"/>
              <w:snapToGrid w:val="0"/>
              <w:spacing w:line="360" w:lineRule="auto"/>
              <w:ind w:firstLine="482" w:firstLineChars="200"/>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4、生态环境</w:t>
            </w:r>
          </w:p>
          <w:p w14:paraId="56AF5BE7">
            <w:pPr>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lang w:val="en-US" w:eastAsia="zh-CN"/>
              </w:rPr>
              <w:t>本项目租</w:t>
            </w:r>
            <w:r>
              <w:rPr>
                <w:rFonts w:hint="eastAsia" w:cs="Times New Roman"/>
                <w:color w:val="auto"/>
                <w:sz w:val="24"/>
                <w:szCs w:val="24"/>
                <w:lang w:val="en-US" w:eastAsia="zh-CN"/>
              </w:rPr>
              <w:t>用</w:t>
            </w:r>
            <w:r>
              <w:rPr>
                <w:rFonts w:hint="eastAsia" w:ascii="Times New Roman" w:hAnsi="Times New Roman" w:eastAsia="宋体" w:cs="Times New Roman"/>
                <w:color w:val="auto"/>
                <w:sz w:val="24"/>
                <w:szCs w:val="24"/>
                <w:highlight w:val="none"/>
                <w:lang w:val="en-US" w:eastAsia="zh-CN"/>
              </w:rPr>
              <w:t>隆桥瑞苑小区</w:t>
            </w:r>
            <w:r>
              <w:rPr>
                <w:rFonts w:hint="eastAsia" w:cs="Times New Roman"/>
                <w:color w:val="auto"/>
                <w:sz w:val="24"/>
                <w:szCs w:val="24"/>
                <w:highlight w:val="none"/>
                <w:lang w:val="en-US" w:eastAsia="zh-CN"/>
              </w:rPr>
              <w:t>12号楼</w:t>
            </w:r>
            <w:r>
              <w:rPr>
                <w:rFonts w:hint="eastAsia" w:ascii="Times New Roman" w:hAnsi="Times New Roman" w:eastAsia="宋体" w:cs="Times New Roman"/>
                <w:color w:val="auto"/>
                <w:sz w:val="24"/>
                <w:szCs w:val="24"/>
                <w:highlight w:val="none"/>
                <w:lang w:val="en-US" w:eastAsia="zh-CN"/>
              </w:rPr>
              <w:t>商业三层</w:t>
            </w:r>
            <w:r>
              <w:rPr>
                <w:rFonts w:hint="eastAsia" w:cs="Times New Roman"/>
                <w:color w:val="auto"/>
                <w:sz w:val="24"/>
                <w:szCs w:val="24"/>
                <w:highlight w:val="none"/>
                <w:lang w:val="en-US" w:eastAsia="zh-CN"/>
              </w:rPr>
              <w:t>北侧区域</w:t>
            </w:r>
            <w:r>
              <w:rPr>
                <w:rFonts w:hint="default" w:ascii="Times New Roman" w:hAnsi="Times New Roman" w:cs="Times New Roman"/>
                <w:color w:val="auto"/>
                <w:sz w:val="24"/>
                <w:szCs w:val="24"/>
              </w:rPr>
              <w:t>，</w:t>
            </w:r>
            <w:r>
              <w:rPr>
                <w:rFonts w:hint="default" w:ascii="Times New Roman" w:hAnsi="Times New Roman" w:eastAsia="宋体" w:cs="Times New Roman"/>
                <w:color w:val="auto"/>
                <w:sz w:val="24"/>
                <w:szCs w:val="24"/>
                <w:lang w:val="en-US" w:eastAsia="zh-CN"/>
              </w:rPr>
              <w:t>用地范围内无生态环境保护目标。</w:t>
            </w:r>
          </w:p>
        </w:tc>
      </w:tr>
      <w:tr w14:paraId="0AAD2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9" w:hRule="atLeast"/>
          <w:jc w:val="center"/>
        </w:trPr>
        <w:tc>
          <w:tcPr>
            <w:tcW w:w="800" w:type="dxa"/>
            <w:noWrap w:val="0"/>
            <w:tcMar>
              <w:left w:w="28" w:type="dxa"/>
              <w:right w:w="28" w:type="dxa"/>
            </w:tcMar>
            <w:vAlign w:val="center"/>
          </w:tcPr>
          <w:p w14:paraId="62BB3BE4">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污染</w:t>
            </w:r>
          </w:p>
          <w:p w14:paraId="464D5933">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物排</w:t>
            </w:r>
          </w:p>
          <w:p w14:paraId="3329AE1C">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放控</w:t>
            </w:r>
          </w:p>
          <w:p w14:paraId="018E180D">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制标</w:t>
            </w:r>
          </w:p>
          <w:p w14:paraId="622DD950">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准</w:t>
            </w:r>
          </w:p>
        </w:tc>
        <w:tc>
          <w:tcPr>
            <w:tcW w:w="8216" w:type="dxa"/>
            <w:noWrap w:val="0"/>
            <w:vAlign w:val="center"/>
          </w:tcPr>
          <w:p w14:paraId="4D548BA4">
            <w:pPr>
              <w:spacing w:line="360" w:lineRule="auto"/>
              <w:ind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val="en-US" w:eastAsia="zh-CN"/>
              </w:rPr>
              <w:t>废气</w:t>
            </w:r>
          </w:p>
          <w:p w14:paraId="7A938DD1">
            <w:p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rPr>
              <w:t>本项目营运期实验过程中排放的</w:t>
            </w:r>
            <w:r>
              <w:rPr>
                <w:rFonts w:hint="eastAsia" w:eastAsia="宋体" w:cs="Times New Roman"/>
                <w:color w:val="auto"/>
                <w:sz w:val="24"/>
                <w:lang w:val="en-US" w:eastAsia="zh-CN"/>
              </w:rPr>
              <w:t>非甲烷总烃</w:t>
            </w:r>
            <w:r>
              <w:rPr>
                <w:rFonts w:hint="default" w:ascii="Times New Roman" w:hAnsi="Times New Roman" w:eastAsia="宋体" w:cs="Times New Roman"/>
                <w:color w:val="auto"/>
                <w:sz w:val="24"/>
                <w:lang w:val="en-US" w:eastAsia="zh-CN"/>
              </w:rPr>
              <w:t>、颗粒物排放执行《大气污染物综合排放标准》（GB16297-1996）表2中二级排放标准要求及无组织排放限值要求，</w:t>
            </w:r>
            <w:r>
              <w:rPr>
                <w:rFonts w:hint="eastAsia" w:ascii="Times New Roman" w:hAnsi="Times New Roman" w:eastAsia="宋体" w:cs="Times New Roman"/>
                <w:color w:val="auto"/>
                <w:sz w:val="24"/>
                <w:lang w:val="en-US" w:eastAsia="zh-CN"/>
              </w:rPr>
              <w:t>氨、臭气浓度执行《恶臭污染物排放标准》（</w:t>
            </w:r>
            <w:r>
              <w:rPr>
                <w:rFonts w:hint="default" w:ascii="Times New Roman" w:hAnsi="Times New Roman" w:eastAsia="宋体" w:cs="Times New Roman"/>
                <w:color w:val="auto"/>
                <w:sz w:val="24"/>
                <w:lang w:val="en-US" w:eastAsia="zh-CN"/>
              </w:rPr>
              <w:t>GB14554-93</w:t>
            </w:r>
            <w:r>
              <w:rPr>
                <w:rFonts w:hint="eastAsia" w:ascii="Times New Roman" w:hAnsi="Times New Roman" w:eastAsia="宋体" w:cs="Times New Roman"/>
                <w:color w:val="auto"/>
                <w:sz w:val="24"/>
                <w:lang w:val="en-US" w:eastAsia="zh-CN"/>
              </w:rPr>
              <w:t>）表</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标准限值；</w:t>
            </w:r>
            <w:r>
              <w:rPr>
                <w:rFonts w:hint="default" w:ascii="Times New Roman" w:hAnsi="Times New Roman" w:eastAsia="宋体" w:cs="Times New Roman"/>
                <w:color w:val="auto"/>
                <w:sz w:val="24"/>
                <w:lang w:val="en-US" w:eastAsia="zh-CN"/>
              </w:rPr>
              <w:t>无组织VOCs排放执行《挥发性有机物无组织排放控制标准》(GB37822-2019)中表A.1排放限值要求。</w:t>
            </w:r>
            <w:r>
              <w:rPr>
                <w:rFonts w:hint="default" w:ascii="Times New Roman" w:hAnsi="Times New Roman" w:cs="Times New Roman"/>
                <w:color w:val="auto"/>
                <w:sz w:val="24"/>
                <w:lang w:val="en-US" w:eastAsia="zh-CN"/>
              </w:rPr>
              <w:t>具体标准值</w:t>
            </w:r>
            <w:r>
              <w:rPr>
                <w:rFonts w:hint="default" w:ascii="Times New Roman" w:hAnsi="Times New Roman" w:cs="Times New Roman"/>
                <w:color w:val="auto"/>
                <w:sz w:val="24"/>
              </w:rPr>
              <w:t>见表3-</w:t>
            </w:r>
            <w:r>
              <w:rPr>
                <w:rFonts w:hint="eastAsia" w:cs="Times New Roman"/>
                <w:color w:val="auto"/>
                <w:sz w:val="24"/>
                <w:lang w:val="en-US" w:eastAsia="zh-CN"/>
              </w:rPr>
              <w:t>7</w:t>
            </w:r>
            <w:r>
              <w:rPr>
                <w:rFonts w:hint="default" w:ascii="Times New Roman" w:hAnsi="Times New Roman" w:cs="Times New Roman"/>
                <w:color w:val="auto"/>
                <w:sz w:val="24"/>
              </w:rPr>
              <w:t>。</w:t>
            </w:r>
          </w:p>
          <w:p w14:paraId="1A0D08FE">
            <w:pPr>
              <w:pStyle w:val="84"/>
              <w:rPr>
                <w:rFonts w:hint="default" w:ascii="Times New Roman" w:hAnsi="Times New Roman" w:cs="Times New Roman"/>
                <w:color w:val="auto"/>
                <w:vertAlign w:val="superscript"/>
              </w:rPr>
            </w:pPr>
            <w:r>
              <w:rPr>
                <w:rFonts w:hint="default" w:ascii="Times New Roman" w:hAnsi="Times New Roman" w:cs="Times New Roman"/>
                <w:color w:val="auto"/>
              </w:rPr>
              <w:t>表3-</w:t>
            </w:r>
            <w:r>
              <w:rPr>
                <w:rFonts w:hint="eastAsia" w:cs="Times New Roman"/>
                <w:color w:val="auto"/>
                <w:lang w:val="en-US" w:eastAsia="zh-CN"/>
              </w:rPr>
              <w:t xml:space="preserve">7  </w:t>
            </w:r>
            <w:r>
              <w:rPr>
                <w:rFonts w:hint="default" w:ascii="Times New Roman" w:hAnsi="Times New Roman" w:cs="Times New Roman"/>
                <w:color w:val="auto"/>
              </w:rPr>
              <w:t>废气排放标准</w:t>
            </w:r>
            <w:r>
              <w:rPr>
                <w:rFonts w:hint="default" w:ascii="Times New Roman" w:hAnsi="Times New Roman" w:cs="Times New Roman"/>
                <w:color w:val="auto"/>
                <w:lang w:val="en-US" w:eastAsia="zh-CN"/>
              </w:rPr>
              <w:t>一览表</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856"/>
              <w:gridCol w:w="1920"/>
              <w:gridCol w:w="2314"/>
            </w:tblGrid>
            <w:tr w14:paraId="61587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tcBorders>
                    <w:tl2br w:val="nil"/>
                    <w:tr2bl w:val="nil"/>
                  </w:tcBorders>
                  <w:noWrap w:val="0"/>
                  <w:vAlign w:val="center"/>
                </w:tcPr>
                <w:p w14:paraId="2A3924BD">
                  <w:pPr>
                    <w:pStyle w:val="85"/>
                    <w:rPr>
                      <w:rFonts w:hint="default" w:ascii="Times New Roman" w:hAnsi="Times New Roman" w:cs="Times New Roman"/>
                      <w:color w:val="auto"/>
                    </w:rPr>
                  </w:pPr>
                  <w:r>
                    <w:rPr>
                      <w:rFonts w:hint="default" w:ascii="Times New Roman" w:hAnsi="Times New Roman" w:cs="Times New Roman"/>
                      <w:color w:val="auto"/>
                    </w:rPr>
                    <w:t>污染物</w:t>
                  </w:r>
                </w:p>
              </w:tc>
              <w:tc>
                <w:tcPr>
                  <w:tcW w:w="1785" w:type="pct"/>
                  <w:tcBorders>
                    <w:tl2br w:val="nil"/>
                    <w:tr2bl w:val="nil"/>
                  </w:tcBorders>
                  <w:noWrap w:val="0"/>
                  <w:vAlign w:val="center"/>
                </w:tcPr>
                <w:p w14:paraId="72A823FF">
                  <w:pPr>
                    <w:pStyle w:val="85"/>
                    <w:rPr>
                      <w:rFonts w:hint="default" w:ascii="Times New Roman" w:hAnsi="Times New Roman" w:cs="Times New Roman"/>
                      <w:color w:val="auto"/>
                    </w:rPr>
                  </w:pPr>
                  <w:r>
                    <w:rPr>
                      <w:rFonts w:hint="default" w:ascii="Times New Roman" w:hAnsi="Times New Roman" w:cs="Times New Roman"/>
                      <w:color w:val="auto"/>
                    </w:rPr>
                    <w:t>监控点</w:t>
                  </w:r>
                </w:p>
              </w:tc>
              <w:tc>
                <w:tcPr>
                  <w:tcW w:w="1200" w:type="pct"/>
                  <w:tcBorders>
                    <w:tl2br w:val="nil"/>
                    <w:tr2bl w:val="nil"/>
                  </w:tcBorders>
                  <w:noWrap w:val="0"/>
                  <w:vAlign w:val="center"/>
                </w:tcPr>
                <w:p w14:paraId="1D751751">
                  <w:pPr>
                    <w:pStyle w:val="85"/>
                    <w:rPr>
                      <w:rFonts w:hint="default" w:ascii="Times New Roman" w:hAnsi="Times New Roman" w:cs="Times New Roman"/>
                      <w:color w:val="auto"/>
                    </w:rPr>
                  </w:pPr>
                  <w:r>
                    <w:rPr>
                      <w:rFonts w:hint="default" w:ascii="Times New Roman" w:hAnsi="Times New Roman" w:cs="Times New Roman"/>
                      <w:color w:val="auto"/>
                    </w:rPr>
                    <w:t>限值</w:t>
                  </w:r>
                </w:p>
              </w:tc>
              <w:tc>
                <w:tcPr>
                  <w:tcW w:w="1446" w:type="pct"/>
                  <w:tcBorders>
                    <w:tl2br w:val="nil"/>
                    <w:tr2bl w:val="nil"/>
                  </w:tcBorders>
                  <w:noWrap w:val="0"/>
                  <w:vAlign w:val="center"/>
                </w:tcPr>
                <w:p w14:paraId="50E3E37D">
                  <w:pPr>
                    <w:pStyle w:val="85"/>
                    <w:rPr>
                      <w:rFonts w:hint="default" w:ascii="Times New Roman" w:hAnsi="Times New Roman" w:cs="Times New Roman"/>
                      <w:color w:val="auto"/>
                    </w:rPr>
                  </w:pPr>
                  <w:r>
                    <w:rPr>
                      <w:rFonts w:hint="default" w:ascii="Times New Roman" w:hAnsi="Times New Roman" w:cs="Times New Roman"/>
                      <w:color w:val="auto"/>
                    </w:rPr>
                    <w:t>排放标准</w:t>
                  </w:r>
                </w:p>
              </w:tc>
            </w:tr>
            <w:tr w14:paraId="164D8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tcBorders>
                    <w:tl2br w:val="nil"/>
                    <w:tr2bl w:val="nil"/>
                  </w:tcBorders>
                  <w:noWrap w:val="0"/>
                  <w:vAlign w:val="center"/>
                </w:tcPr>
                <w:p w14:paraId="02CBC378">
                  <w:pPr>
                    <w:pStyle w:val="8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颗粒物</w:t>
                  </w:r>
                </w:p>
              </w:tc>
              <w:tc>
                <w:tcPr>
                  <w:tcW w:w="1785" w:type="pct"/>
                  <w:tcBorders>
                    <w:tl2br w:val="nil"/>
                    <w:tr2bl w:val="nil"/>
                  </w:tcBorders>
                  <w:noWrap w:val="0"/>
                  <w:vAlign w:val="center"/>
                </w:tcPr>
                <w:p w14:paraId="7841D71E">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color w:val="auto"/>
                    </w:rPr>
                    <w:t>周界外浓度最高点(mg/m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1200" w:type="pct"/>
                  <w:tcBorders>
                    <w:tl2br w:val="nil"/>
                    <w:tr2bl w:val="nil"/>
                  </w:tcBorders>
                  <w:noWrap w:val="0"/>
                  <w:vAlign w:val="center"/>
                </w:tcPr>
                <w:p w14:paraId="4B4006B6">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1.</w:t>
                  </w:r>
                  <w:r>
                    <w:rPr>
                      <w:rFonts w:hint="default" w:ascii="Times New Roman" w:hAnsi="Times New Roman" w:cs="Times New Roman"/>
                      <w:color w:val="auto"/>
                      <w:lang w:val="en-US" w:eastAsia="zh-CN"/>
                    </w:rPr>
                    <w:t>0</w:t>
                  </w:r>
                </w:p>
              </w:tc>
              <w:tc>
                <w:tcPr>
                  <w:tcW w:w="1446" w:type="pct"/>
                  <w:vMerge w:val="restart"/>
                  <w:tcBorders>
                    <w:tl2br w:val="nil"/>
                    <w:tr2bl w:val="nil"/>
                  </w:tcBorders>
                  <w:noWrap w:val="0"/>
                  <w:vAlign w:val="center"/>
                </w:tcPr>
                <w:p w14:paraId="7D6C70A1">
                  <w:pPr>
                    <w:pStyle w:val="85"/>
                    <w:rPr>
                      <w:rFonts w:hint="default" w:ascii="Times New Roman" w:hAnsi="Times New Roman" w:cs="Times New Roman"/>
                      <w:color w:val="auto"/>
                    </w:rPr>
                  </w:pPr>
                  <w:r>
                    <w:rPr>
                      <w:rFonts w:hint="default" w:ascii="Times New Roman" w:hAnsi="Times New Roman" w:cs="Times New Roman"/>
                      <w:color w:val="auto"/>
                    </w:rPr>
                    <w:t>《大气污染物综合排放标准》(GB16297-1996)</w:t>
                  </w:r>
                </w:p>
              </w:tc>
            </w:tr>
            <w:tr w14:paraId="69728F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trPr>
              <w:tc>
                <w:tcPr>
                  <w:tcW w:w="567" w:type="pct"/>
                  <w:vMerge w:val="restart"/>
                  <w:tcBorders>
                    <w:tl2br w:val="nil"/>
                    <w:tr2bl w:val="nil"/>
                  </w:tcBorders>
                  <w:noWrap w:val="0"/>
                  <w:vAlign w:val="center"/>
                </w:tcPr>
                <w:p w14:paraId="7E54AFB0">
                  <w:pPr>
                    <w:pStyle w:val="85"/>
                    <w:rPr>
                      <w:rFonts w:hint="default" w:ascii="Times New Roman" w:hAnsi="Times New Roman" w:cs="Times New Roman"/>
                      <w:color w:val="auto"/>
                    </w:rPr>
                  </w:pPr>
                  <w:r>
                    <w:rPr>
                      <w:rFonts w:hint="default" w:ascii="Times New Roman" w:hAnsi="Times New Roman" w:cs="Times New Roman"/>
                      <w:color w:val="auto"/>
                    </w:rPr>
                    <w:t>非甲烷总烃</w:t>
                  </w:r>
                </w:p>
              </w:tc>
              <w:tc>
                <w:tcPr>
                  <w:tcW w:w="1785" w:type="pct"/>
                  <w:tcBorders>
                    <w:tl2br w:val="nil"/>
                    <w:tr2bl w:val="nil"/>
                  </w:tcBorders>
                  <w:noWrap w:val="0"/>
                  <w:vAlign w:val="center"/>
                </w:tcPr>
                <w:p w14:paraId="7AB308F5">
                  <w:pPr>
                    <w:pStyle w:val="85"/>
                    <w:rPr>
                      <w:rFonts w:hint="default" w:ascii="Times New Roman" w:hAnsi="Times New Roman" w:cs="Times New Roman"/>
                      <w:color w:val="auto"/>
                      <w:highlight w:val="yellow"/>
                    </w:rPr>
                  </w:pPr>
                  <w:r>
                    <w:rPr>
                      <w:rFonts w:hint="default" w:ascii="Times New Roman" w:hAnsi="Times New Roman" w:cs="Times New Roman"/>
                      <w:color w:val="auto"/>
                      <w:highlight w:val="none"/>
                    </w:rPr>
                    <w:t>最高允许排放速率（kg/h）</w:t>
                  </w:r>
                </w:p>
              </w:tc>
              <w:tc>
                <w:tcPr>
                  <w:tcW w:w="1200" w:type="pct"/>
                  <w:tcBorders>
                    <w:tl2br w:val="nil"/>
                    <w:tr2bl w:val="nil"/>
                  </w:tcBorders>
                  <w:noWrap w:val="0"/>
                  <w:vAlign w:val="center"/>
                </w:tcPr>
                <w:p w14:paraId="41E5408D">
                  <w:pPr>
                    <w:pStyle w:val="85"/>
                    <w:rPr>
                      <w:rFonts w:hint="default" w:ascii="Times New Roman" w:hAnsi="Times New Roman" w:eastAsia="宋体" w:cs="Times New Roman"/>
                      <w:color w:val="auto"/>
                      <w:highlight w:val="yellow"/>
                      <w:lang w:val="en-US" w:eastAsia="zh-CN"/>
                    </w:rPr>
                  </w:pPr>
                  <w:r>
                    <w:rPr>
                      <w:rFonts w:hint="eastAsia" w:cs="Times New Roman"/>
                      <w:color w:val="auto"/>
                      <w:highlight w:val="none"/>
                      <w:lang w:val="en-US" w:eastAsia="zh-CN"/>
                    </w:rPr>
                    <w:t>5</w:t>
                  </w:r>
                  <w:r>
                    <w:rPr>
                      <w:rFonts w:hint="eastAsia" w:cs="Times New Roman"/>
                      <w:b w:val="0"/>
                      <w:bCs w:val="0"/>
                      <w:color w:val="auto"/>
                      <w:highlight w:val="none"/>
                      <w:lang w:val="en-US" w:eastAsia="zh-CN"/>
                    </w:rPr>
                    <w:t>（15m高排气筒）</w:t>
                  </w:r>
                </w:p>
              </w:tc>
              <w:tc>
                <w:tcPr>
                  <w:tcW w:w="1446" w:type="pct"/>
                  <w:vMerge w:val="continue"/>
                  <w:tcBorders>
                    <w:tl2br w:val="nil"/>
                    <w:tr2bl w:val="nil"/>
                  </w:tcBorders>
                  <w:noWrap w:val="0"/>
                  <w:vAlign w:val="center"/>
                </w:tcPr>
                <w:p w14:paraId="098D3273">
                  <w:pPr>
                    <w:pStyle w:val="85"/>
                    <w:rPr>
                      <w:rFonts w:hint="default" w:ascii="Times New Roman" w:hAnsi="Times New Roman" w:cs="Times New Roman"/>
                      <w:color w:val="auto"/>
                    </w:rPr>
                  </w:pPr>
                </w:p>
              </w:tc>
            </w:tr>
            <w:tr w14:paraId="5F5F15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vMerge w:val="continue"/>
                  <w:tcBorders>
                    <w:tl2br w:val="nil"/>
                    <w:tr2bl w:val="nil"/>
                  </w:tcBorders>
                  <w:noWrap w:val="0"/>
                  <w:vAlign w:val="center"/>
                </w:tcPr>
                <w:p w14:paraId="4A84C397">
                  <w:pPr>
                    <w:pStyle w:val="85"/>
                    <w:rPr>
                      <w:rFonts w:hint="default" w:ascii="Times New Roman" w:hAnsi="Times New Roman" w:cs="Times New Roman"/>
                      <w:color w:val="auto"/>
                    </w:rPr>
                  </w:pPr>
                </w:p>
              </w:tc>
              <w:tc>
                <w:tcPr>
                  <w:tcW w:w="1785" w:type="pct"/>
                  <w:tcBorders>
                    <w:tl2br w:val="nil"/>
                    <w:tr2bl w:val="nil"/>
                  </w:tcBorders>
                  <w:noWrap w:val="0"/>
                  <w:vAlign w:val="center"/>
                </w:tcPr>
                <w:p w14:paraId="0FEA5D45">
                  <w:pPr>
                    <w:pStyle w:val="85"/>
                    <w:rPr>
                      <w:rFonts w:hint="default" w:ascii="Times New Roman" w:hAnsi="Times New Roman" w:cs="Times New Roman"/>
                      <w:color w:val="auto"/>
                    </w:rPr>
                  </w:pPr>
                  <w:r>
                    <w:rPr>
                      <w:rFonts w:hint="default" w:ascii="Times New Roman" w:hAnsi="Times New Roman" w:cs="Times New Roman"/>
                      <w:color w:val="auto"/>
                    </w:rPr>
                    <w:t>最高允许排放浓度(mg/m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1200" w:type="pct"/>
                  <w:tcBorders>
                    <w:tl2br w:val="nil"/>
                    <w:tr2bl w:val="nil"/>
                  </w:tcBorders>
                  <w:noWrap w:val="0"/>
                  <w:vAlign w:val="center"/>
                </w:tcPr>
                <w:p w14:paraId="7683A2F0">
                  <w:pPr>
                    <w:pStyle w:val="85"/>
                    <w:rPr>
                      <w:rFonts w:hint="default" w:ascii="Times New Roman" w:hAnsi="Times New Roman" w:cs="Times New Roman"/>
                      <w:color w:val="auto"/>
                    </w:rPr>
                  </w:pPr>
                  <w:r>
                    <w:rPr>
                      <w:rFonts w:hint="default" w:ascii="Times New Roman" w:hAnsi="Times New Roman" w:cs="Times New Roman"/>
                      <w:color w:val="auto"/>
                    </w:rPr>
                    <w:t>120</w:t>
                  </w:r>
                </w:p>
              </w:tc>
              <w:tc>
                <w:tcPr>
                  <w:tcW w:w="1446" w:type="pct"/>
                  <w:vMerge w:val="continue"/>
                  <w:tcBorders>
                    <w:tl2br w:val="nil"/>
                    <w:tr2bl w:val="nil"/>
                  </w:tcBorders>
                  <w:noWrap w:val="0"/>
                  <w:vAlign w:val="center"/>
                </w:tcPr>
                <w:p w14:paraId="5D91045D">
                  <w:pPr>
                    <w:pStyle w:val="85"/>
                    <w:rPr>
                      <w:rFonts w:hint="default" w:ascii="Times New Roman" w:hAnsi="Times New Roman" w:cs="Times New Roman"/>
                      <w:color w:val="auto"/>
                    </w:rPr>
                  </w:pPr>
                </w:p>
              </w:tc>
            </w:tr>
            <w:tr w14:paraId="5D809B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vMerge w:val="continue"/>
                  <w:tcBorders>
                    <w:tl2br w:val="nil"/>
                    <w:tr2bl w:val="nil"/>
                  </w:tcBorders>
                  <w:noWrap w:val="0"/>
                  <w:vAlign w:val="center"/>
                </w:tcPr>
                <w:p w14:paraId="200531B9">
                  <w:pPr>
                    <w:pStyle w:val="85"/>
                    <w:rPr>
                      <w:rFonts w:hint="default" w:ascii="Times New Roman" w:hAnsi="Times New Roman" w:cs="Times New Roman"/>
                      <w:color w:val="auto"/>
                    </w:rPr>
                  </w:pPr>
                </w:p>
              </w:tc>
              <w:tc>
                <w:tcPr>
                  <w:tcW w:w="1785" w:type="pct"/>
                  <w:tcBorders>
                    <w:tl2br w:val="nil"/>
                    <w:tr2bl w:val="nil"/>
                  </w:tcBorders>
                  <w:noWrap w:val="0"/>
                  <w:vAlign w:val="center"/>
                </w:tcPr>
                <w:p w14:paraId="298A8C82">
                  <w:pPr>
                    <w:pStyle w:val="85"/>
                    <w:rPr>
                      <w:rFonts w:hint="default" w:ascii="Times New Roman" w:hAnsi="Times New Roman" w:cs="Times New Roman"/>
                      <w:color w:val="auto"/>
                    </w:rPr>
                  </w:pPr>
                  <w:r>
                    <w:rPr>
                      <w:rFonts w:hint="default" w:ascii="Times New Roman" w:hAnsi="Times New Roman" w:cs="Times New Roman"/>
                      <w:color w:val="auto"/>
                    </w:rPr>
                    <w:t>周界外浓度最高点(mg/m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1200" w:type="pct"/>
                  <w:tcBorders>
                    <w:tl2br w:val="nil"/>
                    <w:tr2bl w:val="nil"/>
                  </w:tcBorders>
                  <w:noWrap w:val="0"/>
                  <w:vAlign w:val="center"/>
                </w:tcPr>
                <w:p w14:paraId="5D16BA78">
                  <w:pPr>
                    <w:pStyle w:val="85"/>
                    <w:rPr>
                      <w:rFonts w:hint="default" w:ascii="Times New Roman" w:hAnsi="Times New Roman" w:cs="Times New Roman"/>
                      <w:color w:val="auto"/>
                    </w:rPr>
                  </w:pPr>
                  <w:r>
                    <w:rPr>
                      <w:rFonts w:hint="default" w:ascii="Times New Roman" w:hAnsi="Times New Roman" w:cs="Times New Roman"/>
                      <w:color w:val="auto"/>
                    </w:rPr>
                    <w:t>4.0</w:t>
                  </w:r>
                </w:p>
              </w:tc>
              <w:tc>
                <w:tcPr>
                  <w:tcW w:w="1446" w:type="pct"/>
                  <w:vMerge w:val="continue"/>
                  <w:tcBorders>
                    <w:tl2br w:val="nil"/>
                    <w:tr2bl w:val="nil"/>
                  </w:tcBorders>
                  <w:noWrap w:val="0"/>
                  <w:vAlign w:val="center"/>
                </w:tcPr>
                <w:p w14:paraId="7057128D">
                  <w:pPr>
                    <w:pStyle w:val="85"/>
                    <w:rPr>
                      <w:rFonts w:hint="default" w:ascii="Times New Roman" w:hAnsi="Times New Roman" w:cs="Times New Roman"/>
                      <w:color w:val="auto"/>
                    </w:rPr>
                  </w:pPr>
                </w:p>
              </w:tc>
            </w:tr>
            <w:tr w14:paraId="31EAA5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vMerge w:val="restart"/>
                  <w:tcBorders>
                    <w:tl2br w:val="nil"/>
                    <w:tr2bl w:val="nil"/>
                  </w:tcBorders>
                  <w:noWrap w:val="0"/>
                  <w:vAlign w:val="center"/>
                </w:tcPr>
                <w:p w14:paraId="72C633FF">
                  <w:pPr>
                    <w:pStyle w:val="85"/>
                    <w:rPr>
                      <w:rFonts w:hint="default" w:ascii="Times New Roman" w:hAnsi="Times New Roman" w:eastAsia="宋体" w:cs="Times New Roman"/>
                      <w:color w:val="auto"/>
                      <w:lang w:val="en-US" w:eastAsia="zh-CN"/>
                    </w:rPr>
                  </w:pPr>
                  <w:r>
                    <w:rPr>
                      <w:rFonts w:hint="eastAsia" w:cs="Times New Roman"/>
                      <w:color w:val="auto"/>
                      <w:lang w:val="en-US" w:eastAsia="zh-CN"/>
                    </w:rPr>
                    <w:t>臭气浓度</w:t>
                  </w:r>
                </w:p>
              </w:tc>
              <w:tc>
                <w:tcPr>
                  <w:tcW w:w="1785" w:type="pct"/>
                  <w:tcBorders>
                    <w:tl2br w:val="nil"/>
                    <w:tr2bl w:val="nil"/>
                  </w:tcBorders>
                  <w:noWrap w:val="0"/>
                  <w:vAlign w:val="center"/>
                </w:tcPr>
                <w:p w14:paraId="3BA6FB2B">
                  <w:pPr>
                    <w:pStyle w:val="85"/>
                    <w:rPr>
                      <w:rFonts w:hint="default" w:ascii="Times New Roman" w:hAnsi="Times New Roman" w:cs="Times New Roman"/>
                      <w:color w:val="auto"/>
                    </w:rPr>
                  </w:pPr>
                  <w:r>
                    <w:rPr>
                      <w:rFonts w:hint="default" w:ascii="Times New Roman" w:hAnsi="Times New Roman" w:cs="Times New Roman"/>
                      <w:color w:val="auto"/>
                      <w:highlight w:val="none"/>
                    </w:rPr>
                    <w:t>最高允许排放速率（</w:t>
                  </w:r>
                  <w:r>
                    <w:rPr>
                      <w:rFonts w:hint="eastAsia" w:cs="Times New Roman"/>
                      <w:color w:val="auto"/>
                      <w:highlight w:val="none"/>
                      <w:lang w:val="en-US" w:eastAsia="zh-CN"/>
                    </w:rPr>
                    <w:t>无量纲</w:t>
                  </w:r>
                  <w:r>
                    <w:rPr>
                      <w:rFonts w:hint="default" w:ascii="Times New Roman" w:hAnsi="Times New Roman" w:cs="Times New Roman"/>
                      <w:color w:val="auto"/>
                      <w:highlight w:val="none"/>
                    </w:rPr>
                    <w:t>）</w:t>
                  </w:r>
                </w:p>
              </w:tc>
              <w:tc>
                <w:tcPr>
                  <w:tcW w:w="1200" w:type="pct"/>
                  <w:tcBorders>
                    <w:tl2br w:val="nil"/>
                    <w:tr2bl w:val="nil"/>
                  </w:tcBorders>
                  <w:noWrap w:val="0"/>
                  <w:vAlign w:val="center"/>
                </w:tcPr>
                <w:p w14:paraId="5ABA36C6">
                  <w:pPr>
                    <w:pStyle w:val="85"/>
                    <w:rPr>
                      <w:rFonts w:hint="default" w:ascii="Times New Roman" w:hAnsi="Times New Roman" w:eastAsia="宋体" w:cs="Times New Roman"/>
                      <w:color w:val="auto"/>
                      <w:lang w:val="en-US" w:eastAsia="zh-CN"/>
                    </w:rPr>
                  </w:pPr>
                  <w:r>
                    <w:rPr>
                      <w:rFonts w:hint="eastAsia" w:cs="Times New Roman"/>
                      <w:color w:val="auto"/>
                      <w:lang w:val="en-US" w:eastAsia="zh-CN"/>
                    </w:rPr>
                    <w:t>2000</w:t>
                  </w:r>
                </w:p>
              </w:tc>
              <w:tc>
                <w:tcPr>
                  <w:tcW w:w="1446" w:type="pct"/>
                  <w:vMerge w:val="restart"/>
                  <w:tcBorders>
                    <w:tl2br w:val="nil"/>
                    <w:tr2bl w:val="nil"/>
                  </w:tcBorders>
                  <w:noWrap w:val="0"/>
                  <w:vAlign w:val="center"/>
                </w:tcPr>
                <w:p w14:paraId="651FED06">
                  <w:pPr>
                    <w:pStyle w:val="85"/>
                    <w:rPr>
                      <w:rFonts w:hint="default" w:ascii="Times New Roman" w:hAnsi="Times New Roman" w:cs="Times New Roman"/>
                      <w:color w:val="auto"/>
                    </w:rPr>
                  </w:pPr>
                  <w:r>
                    <w:rPr>
                      <w:rFonts w:hint="eastAsia" w:ascii="Times New Roman" w:hAnsi="Times New Roman" w:eastAsia="宋体" w:cs="Times New Roman"/>
                      <w:color w:val="auto"/>
                      <w:lang w:val="en-US" w:eastAsia="zh-CN"/>
                    </w:rPr>
                    <w:t>《恶臭污染物排放标准》（</w:t>
                  </w:r>
                  <w:r>
                    <w:rPr>
                      <w:rFonts w:hint="default" w:ascii="Times New Roman" w:hAnsi="Times New Roman" w:eastAsia="宋体" w:cs="Times New Roman"/>
                      <w:color w:val="auto"/>
                      <w:lang w:val="en-US" w:eastAsia="zh-CN"/>
                    </w:rPr>
                    <w:t>GB14554-93</w:t>
                  </w:r>
                  <w:r>
                    <w:rPr>
                      <w:rFonts w:hint="eastAsia" w:ascii="Times New Roman" w:hAnsi="Times New Roman" w:eastAsia="宋体" w:cs="Times New Roman"/>
                      <w:color w:val="auto"/>
                      <w:lang w:val="en-US" w:eastAsia="zh-CN"/>
                    </w:rPr>
                    <w:t>）</w:t>
                  </w:r>
                </w:p>
              </w:tc>
            </w:tr>
            <w:tr w14:paraId="28CAB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vMerge w:val="continue"/>
                  <w:tcBorders>
                    <w:tl2br w:val="nil"/>
                    <w:tr2bl w:val="nil"/>
                  </w:tcBorders>
                  <w:noWrap w:val="0"/>
                  <w:vAlign w:val="center"/>
                </w:tcPr>
                <w:p w14:paraId="6597CAC7">
                  <w:pPr>
                    <w:pStyle w:val="85"/>
                    <w:rPr>
                      <w:rFonts w:hint="default" w:ascii="Times New Roman" w:hAnsi="Times New Roman" w:cs="Times New Roman"/>
                      <w:color w:val="auto"/>
                    </w:rPr>
                  </w:pPr>
                </w:p>
              </w:tc>
              <w:tc>
                <w:tcPr>
                  <w:tcW w:w="1785" w:type="pct"/>
                  <w:tcBorders>
                    <w:tl2br w:val="nil"/>
                    <w:tr2bl w:val="nil"/>
                  </w:tcBorders>
                  <w:noWrap w:val="0"/>
                  <w:vAlign w:val="center"/>
                </w:tcPr>
                <w:p w14:paraId="629DC428">
                  <w:pPr>
                    <w:pStyle w:val="85"/>
                    <w:rPr>
                      <w:rFonts w:hint="default" w:ascii="Times New Roman" w:hAnsi="Times New Roman" w:cs="Times New Roman"/>
                      <w:color w:val="auto"/>
                    </w:rPr>
                  </w:pPr>
                  <w:r>
                    <w:rPr>
                      <w:rFonts w:hint="default" w:ascii="Times New Roman" w:hAnsi="Times New Roman" w:cs="Times New Roman"/>
                      <w:color w:val="auto"/>
                    </w:rPr>
                    <w:t>周界外浓度最高点(</w:t>
                  </w:r>
                  <w:r>
                    <w:rPr>
                      <w:rFonts w:hint="eastAsia" w:cs="Times New Roman"/>
                      <w:color w:val="auto"/>
                      <w:highlight w:val="none"/>
                      <w:lang w:val="en-US" w:eastAsia="zh-CN"/>
                    </w:rPr>
                    <w:t>无量纲</w:t>
                  </w:r>
                  <w:r>
                    <w:rPr>
                      <w:rFonts w:hint="default" w:ascii="Times New Roman" w:hAnsi="Times New Roman" w:cs="Times New Roman"/>
                      <w:color w:val="auto"/>
                    </w:rPr>
                    <w:t>)</w:t>
                  </w:r>
                </w:p>
              </w:tc>
              <w:tc>
                <w:tcPr>
                  <w:tcW w:w="1200" w:type="pct"/>
                  <w:tcBorders>
                    <w:tl2br w:val="nil"/>
                    <w:tr2bl w:val="nil"/>
                  </w:tcBorders>
                  <w:noWrap w:val="0"/>
                  <w:vAlign w:val="center"/>
                </w:tcPr>
                <w:p w14:paraId="44C64ABC">
                  <w:pPr>
                    <w:pStyle w:val="85"/>
                    <w:rPr>
                      <w:rFonts w:hint="default" w:ascii="Times New Roman" w:hAnsi="Times New Roman" w:eastAsia="宋体" w:cs="Times New Roman"/>
                      <w:color w:val="auto"/>
                      <w:lang w:val="en-US" w:eastAsia="zh-CN"/>
                    </w:rPr>
                  </w:pPr>
                  <w:r>
                    <w:rPr>
                      <w:rFonts w:hint="eastAsia" w:cs="Times New Roman"/>
                      <w:color w:val="auto"/>
                      <w:lang w:val="en-US" w:eastAsia="zh-CN"/>
                    </w:rPr>
                    <w:t>20</w:t>
                  </w:r>
                </w:p>
              </w:tc>
              <w:tc>
                <w:tcPr>
                  <w:tcW w:w="1446" w:type="pct"/>
                  <w:vMerge w:val="continue"/>
                  <w:tcBorders>
                    <w:tl2br w:val="nil"/>
                    <w:tr2bl w:val="nil"/>
                  </w:tcBorders>
                  <w:noWrap w:val="0"/>
                  <w:vAlign w:val="center"/>
                </w:tcPr>
                <w:p w14:paraId="5D515ED3">
                  <w:pPr>
                    <w:pStyle w:val="85"/>
                    <w:rPr>
                      <w:rFonts w:hint="default" w:ascii="Times New Roman" w:hAnsi="Times New Roman" w:cs="Times New Roman"/>
                      <w:color w:val="auto"/>
                    </w:rPr>
                  </w:pPr>
                </w:p>
              </w:tc>
            </w:tr>
            <w:tr w14:paraId="78FA08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trPr>
              <w:tc>
                <w:tcPr>
                  <w:tcW w:w="567" w:type="pct"/>
                  <w:vMerge w:val="restart"/>
                  <w:tcBorders>
                    <w:tl2br w:val="nil"/>
                    <w:tr2bl w:val="nil"/>
                  </w:tcBorders>
                  <w:noWrap w:val="0"/>
                  <w:vAlign w:val="center"/>
                </w:tcPr>
                <w:p w14:paraId="2BC12FC0">
                  <w:pPr>
                    <w:pStyle w:val="85"/>
                    <w:rPr>
                      <w:rFonts w:hint="eastAsia" w:ascii="Times New Roman" w:hAnsi="Times New Roman" w:eastAsia="宋体" w:cs="Times New Roman"/>
                      <w:color w:val="auto"/>
                      <w:lang w:val="en-US" w:eastAsia="zh-CN"/>
                    </w:rPr>
                  </w:pPr>
                  <w:r>
                    <w:rPr>
                      <w:rFonts w:hint="eastAsia" w:cs="Times New Roman"/>
                      <w:color w:val="auto"/>
                      <w:lang w:val="en-US" w:eastAsia="zh-CN"/>
                    </w:rPr>
                    <w:t>氨</w:t>
                  </w:r>
                </w:p>
              </w:tc>
              <w:tc>
                <w:tcPr>
                  <w:tcW w:w="1785" w:type="pct"/>
                  <w:tcBorders>
                    <w:tl2br w:val="nil"/>
                    <w:tr2bl w:val="nil"/>
                  </w:tcBorders>
                  <w:shd w:val="clear" w:color="auto" w:fill="auto"/>
                  <w:noWrap w:val="0"/>
                  <w:vAlign w:val="center"/>
                </w:tcPr>
                <w:p w14:paraId="47C752E7">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highlight w:val="none"/>
                    </w:rPr>
                    <w:t>最高允许排放速率（kg/h）</w:t>
                  </w:r>
                </w:p>
              </w:tc>
              <w:tc>
                <w:tcPr>
                  <w:tcW w:w="1200" w:type="pct"/>
                  <w:tcBorders>
                    <w:tl2br w:val="nil"/>
                    <w:tr2bl w:val="nil"/>
                  </w:tcBorders>
                  <w:noWrap w:val="0"/>
                  <w:vAlign w:val="center"/>
                </w:tcPr>
                <w:p w14:paraId="7A748CE7">
                  <w:pPr>
                    <w:pStyle w:val="85"/>
                    <w:rPr>
                      <w:rFonts w:hint="default" w:cs="Times New Roman"/>
                      <w:color w:val="auto"/>
                      <w:lang w:val="en-US" w:eastAsia="zh-CN"/>
                    </w:rPr>
                  </w:pPr>
                  <w:r>
                    <w:rPr>
                      <w:rFonts w:hint="eastAsia" w:cs="Times New Roman"/>
                      <w:color w:val="auto"/>
                      <w:lang w:val="en-US" w:eastAsia="zh-CN"/>
                    </w:rPr>
                    <w:t>4.9</w:t>
                  </w:r>
                </w:p>
              </w:tc>
              <w:tc>
                <w:tcPr>
                  <w:tcW w:w="1446" w:type="pct"/>
                  <w:vMerge w:val="continue"/>
                  <w:tcBorders>
                    <w:tl2br w:val="nil"/>
                    <w:tr2bl w:val="nil"/>
                  </w:tcBorders>
                  <w:noWrap w:val="0"/>
                  <w:vAlign w:val="center"/>
                </w:tcPr>
                <w:p w14:paraId="285C2226">
                  <w:pPr>
                    <w:pStyle w:val="85"/>
                    <w:rPr>
                      <w:rFonts w:hint="default" w:ascii="Times New Roman" w:hAnsi="Times New Roman" w:cs="Times New Roman"/>
                      <w:color w:val="auto"/>
                    </w:rPr>
                  </w:pPr>
                </w:p>
              </w:tc>
            </w:tr>
            <w:tr w14:paraId="692BF2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vMerge w:val="continue"/>
                  <w:tcBorders>
                    <w:tl2br w:val="nil"/>
                    <w:tr2bl w:val="nil"/>
                  </w:tcBorders>
                  <w:noWrap w:val="0"/>
                  <w:vAlign w:val="center"/>
                </w:tcPr>
                <w:p w14:paraId="4633E984">
                  <w:pPr>
                    <w:pStyle w:val="85"/>
                    <w:rPr>
                      <w:rFonts w:hint="default" w:ascii="Times New Roman" w:hAnsi="Times New Roman" w:cs="Times New Roman"/>
                      <w:color w:val="auto"/>
                    </w:rPr>
                  </w:pPr>
                </w:p>
              </w:tc>
              <w:tc>
                <w:tcPr>
                  <w:tcW w:w="1785" w:type="pct"/>
                  <w:tcBorders>
                    <w:tl2br w:val="nil"/>
                    <w:tr2bl w:val="nil"/>
                  </w:tcBorders>
                  <w:shd w:val="clear" w:color="auto" w:fill="auto"/>
                  <w:noWrap w:val="0"/>
                  <w:vAlign w:val="center"/>
                </w:tcPr>
                <w:p w14:paraId="3663F85B">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周界外浓度最高点(mg/m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1200" w:type="pct"/>
                  <w:tcBorders>
                    <w:tl2br w:val="nil"/>
                    <w:tr2bl w:val="nil"/>
                  </w:tcBorders>
                  <w:noWrap w:val="0"/>
                  <w:vAlign w:val="center"/>
                </w:tcPr>
                <w:p w14:paraId="57F592A9">
                  <w:pPr>
                    <w:pStyle w:val="85"/>
                    <w:rPr>
                      <w:rFonts w:hint="default" w:cs="Times New Roman"/>
                      <w:color w:val="auto"/>
                      <w:lang w:val="en-US" w:eastAsia="zh-CN"/>
                    </w:rPr>
                  </w:pPr>
                  <w:r>
                    <w:rPr>
                      <w:rFonts w:hint="eastAsia" w:cs="Times New Roman"/>
                      <w:color w:val="auto"/>
                      <w:lang w:val="en-US" w:eastAsia="zh-CN"/>
                    </w:rPr>
                    <w:t>1.5</w:t>
                  </w:r>
                </w:p>
              </w:tc>
              <w:tc>
                <w:tcPr>
                  <w:tcW w:w="1446" w:type="pct"/>
                  <w:vMerge w:val="continue"/>
                  <w:tcBorders>
                    <w:tl2br w:val="nil"/>
                    <w:tr2bl w:val="nil"/>
                  </w:tcBorders>
                  <w:noWrap w:val="0"/>
                  <w:vAlign w:val="center"/>
                </w:tcPr>
                <w:p w14:paraId="143383D4">
                  <w:pPr>
                    <w:pStyle w:val="85"/>
                    <w:rPr>
                      <w:rFonts w:hint="default" w:ascii="Times New Roman" w:hAnsi="Times New Roman" w:cs="Times New Roman"/>
                      <w:color w:val="auto"/>
                    </w:rPr>
                  </w:pPr>
                </w:p>
              </w:tc>
            </w:tr>
            <w:tr w14:paraId="0DF12B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vMerge w:val="restart"/>
                  <w:tcBorders>
                    <w:tl2br w:val="nil"/>
                    <w:tr2bl w:val="nil"/>
                  </w:tcBorders>
                  <w:noWrap w:val="0"/>
                  <w:vAlign w:val="center"/>
                </w:tcPr>
                <w:p w14:paraId="397B7E35">
                  <w:pPr>
                    <w:pStyle w:val="85"/>
                    <w:rPr>
                      <w:rFonts w:hint="default" w:ascii="Times New Roman" w:hAnsi="Times New Roman" w:cs="Times New Roman"/>
                      <w:color w:val="auto"/>
                    </w:rPr>
                  </w:pPr>
                  <w:r>
                    <w:rPr>
                      <w:rFonts w:hint="default" w:ascii="Times New Roman" w:hAnsi="Times New Roman" w:cs="Times New Roman"/>
                      <w:color w:val="auto"/>
                    </w:rPr>
                    <w:t>非甲烷总烃</w:t>
                  </w:r>
                </w:p>
              </w:tc>
              <w:tc>
                <w:tcPr>
                  <w:tcW w:w="1785" w:type="pct"/>
                  <w:tcBorders>
                    <w:tl2br w:val="nil"/>
                    <w:tr2bl w:val="nil"/>
                  </w:tcBorders>
                  <w:noWrap w:val="0"/>
                  <w:vAlign w:val="center"/>
                </w:tcPr>
                <w:p w14:paraId="7ED8F1B5">
                  <w:pPr>
                    <w:pStyle w:val="85"/>
                    <w:rPr>
                      <w:rFonts w:hint="default" w:ascii="Times New Roman" w:hAnsi="Times New Roman" w:cs="Times New Roman"/>
                      <w:color w:val="auto"/>
                    </w:rPr>
                  </w:pPr>
                  <w:r>
                    <w:rPr>
                      <w:rFonts w:hint="default" w:ascii="Times New Roman" w:hAnsi="Times New Roman" w:cs="Times New Roman"/>
                      <w:color w:val="auto"/>
                    </w:rPr>
                    <w:t>监控点处1h平均浓度值</w:t>
                  </w:r>
                </w:p>
              </w:tc>
              <w:tc>
                <w:tcPr>
                  <w:tcW w:w="1200" w:type="pct"/>
                  <w:tcBorders>
                    <w:tl2br w:val="nil"/>
                    <w:tr2bl w:val="nil"/>
                  </w:tcBorders>
                  <w:noWrap w:val="0"/>
                  <w:vAlign w:val="center"/>
                </w:tcPr>
                <w:p w14:paraId="477C5079">
                  <w:pPr>
                    <w:pStyle w:val="85"/>
                    <w:rPr>
                      <w:rFonts w:hint="default" w:ascii="Times New Roman" w:hAnsi="Times New Roman" w:cs="Times New Roman"/>
                      <w:color w:val="auto"/>
                    </w:rPr>
                  </w:pPr>
                  <w:r>
                    <w:rPr>
                      <w:rFonts w:hint="default" w:ascii="Times New Roman" w:hAnsi="Times New Roman" w:cs="Times New Roman"/>
                      <w:color w:val="auto"/>
                    </w:rPr>
                    <w:t>6</w:t>
                  </w:r>
                </w:p>
              </w:tc>
              <w:tc>
                <w:tcPr>
                  <w:tcW w:w="1446" w:type="pct"/>
                  <w:vMerge w:val="restart"/>
                  <w:tcBorders>
                    <w:tl2br w:val="nil"/>
                    <w:tr2bl w:val="nil"/>
                  </w:tcBorders>
                  <w:noWrap w:val="0"/>
                  <w:vAlign w:val="center"/>
                </w:tcPr>
                <w:p w14:paraId="2492E943">
                  <w:pPr>
                    <w:pStyle w:val="85"/>
                    <w:rPr>
                      <w:rFonts w:hint="default" w:ascii="Times New Roman" w:hAnsi="Times New Roman" w:cs="Times New Roman"/>
                      <w:color w:val="auto"/>
                    </w:rPr>
                  </w:pPr>
                  <w:r>
                    <w:rPr>
                      <w:rFonts w:hint="default" w:ascii="Times New Roman" w:hAnsi="Times New Roman" w:cs="Times New Roman"/>
                      <w:color w:val="auto"/>
                    </w:rPr>
                    <w:t>《挥发性有机物无组织排放控制标准》(GB37822-2019)</w:t>
                  </w:r>
                </w:p>
              </w:tc>
            </w:tr>
            <w:tr w14:paraId="4717CA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pct"/>
                  <w:vMerge w:val="continue"/>
                  <w:tcBorders>
                    <w:tl2br w:val="nil"/>
                    <w:tr2bl w:val="nil"/>
                  </w:tcBorders>
                  <w:noWrap w:val="0"/>
                  <w:vAlign w:val="center"/>
                </w:tcPr>
                <w:p w14:paraId="4C0E7248">
                  <w:pPr>
                    <w:pStyle w:val="85"/>
                    <w:rPr>
                      <w:rFonts w:hint="default" w:ascii="Times New Roman" w:hAnsi="Times New Roman" w:cs="Times New Roman"/>
                      <w:color w:val="auto"/>
                    </w:rPr>
                  </w:pPr>
                </w:p>
              </w:tc>
              <w:tc>
                <w:tcPr>
                  <w:tcW w:w="1785" w:type="pct"/>
                  <w:tcBorders>
                    <w:tl2br w:val="nil"/>
                    <w:tr2bl w:val="nil"/>
                  </w:tcBorders>
                  <w:noWrap w:val="0"/>
                  <w:vAlign w:val="center"/>
                </w:tcPr>
                <w:p w14:paraId="6C6DBEF7">
                  <w:pPr>
                    <w:pStyle w:val="85"/>
                    <w:rPr>
                      <w:rFonts w:hint="default" w:ascii="Times New Roman" w:hAnsi="Times New Roman" w:cs="Times New Roman"/>
                      <w:color w:val="auto"/>
                    </w:rPr>
                  </w:pPr>
                  <w:r>
                    <w:rPr>
                      <w:rFonts w:hint="default" w:ascii="Times New Roman" w:hAnsi="Times New Roman" w:cs="Times New Roman"/>
                      <w:color w:val="auto"/>
                    </w:rPr>
                    <w:t>监控点处任意一次浓度值</w:t>
                  </w:r>
                </w:p>
              </w:tc>
              <w:tc>
                <w:tcPr>
                  <w:tcW w:w="1200" w:type="pct"/>
                  <w:tcBorders>
                    <w:tl2br w:val="nil"/>
                    <w:tr2bl w:val="nil"/>
                  </w:tcBorders>
                  <w:noWrap w:val="0"/>
                  <w:vAlign w:val="center"/>
                </w:tcPr>
                <w:p w14:paraId="3C45E521">
                  <w:pPr>
                    <w:pStyle w:val="85"/>
                    <w:rPr>
                      <w:rFonts w:hint="default" w:ascii="Times New Roman" w:hAnsi="Times New Roman" w:cs="Times New Roman"/>
                      <w:color w:val="auto"/>
                    </w:rPr>
                  </w:pPr>
                  <w:r>
                    <w:rPr>
                      <w:rFonts w:hint="default" w:ascii="Times New Roman" w:hAnsi="Times New Roman" w:cs="Times New Roman"/>
                      <w:color w:val="auto"/>
                    </w:rPr>
                    <w:t>20</w:t>
                  </w:r>
                </w:p>
              </w:tc>
              <w:tc>
                <w:tcPr>
                  <w:tcW w:w="1446" w:type="pct"/>
                  <w:vMerge w:val="continue"/>
                  <w:tcBorders>
                    <w:tl2br w:val="nil"/>
                    <w:tr2bl w:val="nil"/>
                  </w:tcBorders>
                  <w:noWrap w:val="0"/>
                  <w:vAlign w:val="center"/>
                </w:tcPr>
                <w:p w14:paraId="469A580D">
                  <w:pPr>
                    <w:pStyle w:val="85"/>
                    <w:rPr>
                      <w:rFonts w:hint="default" w:ascii="Times New Roman" w:hAnsi="Times New Roman" w:cs="Times New Roman"/>
                      <w:color w:val="auto"/>
                    </w:rPr>
                  </w:pPr>
                </w:p>
              </w:tc>
            </w:tr>
          </w:tbl>
          <w:p w14:paraId="32A9EC2A">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20" w:firstLineChars="200"/>
              <w:jc w:val="left"/>
              <w:textAlignment w:val="auto"/>
              <w:rPr>
                <w:rFonts w:hint="default" w:ascii="Times New Roman" w:hAnsi="Times New Roman" w:cs="Times New Roman"/>
                <w:b w:val="0"/>
                <w:bCs w:val="0"/>
                <w:color w:val="auto"/>
                <w:sz w:val="21"/>
                <w:szCs w:val="21"/>
              </w:rPr>
            </w:pPr>
            <w:r>
              <w:rPr>
                <w:rStyle w:val="31"/>
                <w:rFonts w:hint="default" w:ascii="Times New Roman" w:hAnsi="Times New Roman" w:cs="Times New Roman"/>
                <w:b w:val="0"/>
                <w:bCs w:val="0"/>
                <w:color w:val="auto"/>
                <w:sz w:val="21"/>
                <w:szCs w:val="21"/>
                <w:highlight w:val="none"/>
              </w:rPr>
              <w:t>备注</w:t>
            </w:r>
            <w:r>
              <w:rPr>
                <w:rStyle w:val="31"/>
                <w:rFonts w:hint="eastAsia" w:ascii="Times New Roman" w:hAnsi="Times New Roman" w:cs="Times New Roman"/>
                <w:b w:val="0"/>
                <w:bCs w:val="0"/>
                <w:color w:val="auto"/>
                <w:sz w:val="21"/>
                <w:szCs w:val="21"/>
                <w:highlight w:val="none"/>
                <w:lang w:val="en-US" w:eastAsia="zh-CN"/>
              </w:rPr>
              <w:t>1</w:t>
            </w:r>
            <w:r>
              <w:rPr>
                <w:rStyle w:val="31"/>
                <w:rFonts w:hint="default" w:ascii="Times New Roman" w:hAnsi="Times New Roman" w:cs="Times New Roman"/>
                <w:b w:val="0"/>
                <w:bCs w:val="0"/>
                <w:color w:val="auto"/>
                <w:sz w:val="21"/>
                <w:szCs w:val="21"/>
                <w:highlight w:val="none"/>
              </w:rPr>
              <w:t>：</w:t>
            </w:r>
            <w:r>
              <w:rPr>
                <w:rFonts w:hint="eastAsia"/>
                <w:b w:val="0"/>
                <w:bCs w:val="0"/>
                <w:color w:val="auto"/>
                <w:sz w:val="21"/>
                <w:szCs w:val="21"/>
                <w:lang w:val="en-US" w:eastAsia="zh-CN"/>
              </w:rPr>
              <w:t>根据</w:t>
            </w:r>
            <w:r>
              <w:rPr>
                <w:rFonts w:hAnsi="宋体"/>
                <w:b w:val="0"/>
                <w:bCs w:val="0"/>
                <w:color w:val="auto"/>
                <w:sz w:val="21"/>
                <w:szCs w:val="21"/>
                <w:lang w:val="zh-TW"/>
              </w:rPr>
              <w:t>《大气污染物综合排放标准》</w:t>
            </w:r>
            <w:r>
              <w:rPr>
                <w:rFonts w:hint="eastAsia" w:hAnsi="宋体"/>
                <w:b w:val="0"/>
                <w:bCs w:val="0"/>
                <w:color w:val="auto"/>
                <w:sz w:val="21"/>
                <w:szCs w:val="21"/>
                <w:lang w:val="zh-TW"/>
              </w:rPr>
              <w:t>（</w:t>
            </w:r>
            <w:r>
              <w:rPr>
                <w:rFonts w:hAnsi="宋体"/>
                <w:b w:val="0"/>
                <w:bCs w:val="0"/>
                <w:color w:val="auto"/>
                <w:sz w:val="21"/>
                <w:szCs w:val="21"/>
                <w:lang w:val="zh-TW"/>
              </w:rPr>
              <w:t>GB16297-1996</w:t>
            </w:r>
            <w:r>
              <w:rPr>
                <w:rFonts w:hint="eastAsia" w:hAnsi="宋体"/>
                <w:b w:val="0"/>
                <w:bCs w:val="0"/>
                <w:color w:val="auto"/>
                <w:sz w:val="21"/>
                <w:szCs w:val="21"/>
                <w:lang w:val="zh-TW"/>
              </w:rPr>
              <w:t>），</w:t>
            </w:r>
            <w:r>
              <w:rPr>
                <w:rFonts w:hint="eastAsia" w:hAnsi="宋体"/>
                <w:b w:val="0"/>
                <w:bCs w:val="0"/>
                <w:color w:val="auto"/>
                <w:sz w:val="21"/>
                <w:szCs w:val="21"/>
              </w:rPr>
              <w:t>排气筒高度应高出周围200m半径范围的建筑5m以上</w:t>
            </w:r>
            <w:r>
              <w:rPr>
                <w:rFonts w:hint="eastAsia" w:hAnsi="宋体"/>
                <w:b w:val="0"/>
                <w:bCs w:val="0"/>
                <w:color w:val="auto"/>
                <w:sz w:val="21"/>
                <w:szCs w:val="21"/>
                <w:lang w:eastAsia="zh-CN"/>
              </w:rPr>
              <w:t>；</w:t>
            </w:r>
            <w:r>
              <w:rPr>
                <w:rFonts w:hint="eastAsia" w:hAnsi="宋体"/>
                <w:b w:val="0"/>
                <w:bCs w:val="0"/>
                <w:color w:val="auto"/>
                <w:sz w:val="21"/>
                <w:szCs w:val="21"/>
                <w:lang w:val="en-US" w:eastAsia="zh-CN"/>
              </w:rPr>
              <w:t>本项目排气筒高度</w:t>
            </w:r>
            <w:r>
              <w:rPr>
                <w:rFonts w:hint="eastAsia" w:ascii="Times New Roman" w:hAnsi="Times New Roman" w:cs="Times New Roman"/>
                <w:b w:val="0"/>
                <w:bCs w:val="0"/>
                <w:color w:val="auto"/>
                <w:sz w:val="21"/>
                <w:szCs w:val="21"/>
                <w:vertAlign w:val="baseline"/>
                <w:lang w:val="en-US" w:eastAsia="zh-CN"/>
              </w:rPr>
              <w:t>1</w:t>
            </w:r>
            <w:r>
              <w:rPr>
                <w:rFonts w:hint="eastAsia"/>
                <w:b w:val="0"/>
                <w:bCs w:val="0"/>
                <w:color w:val="auto"/>
                <w:sz w:val="21"/>
                <w:szCs w:val="21"/>
                <w:lang w:val="en-US" w:eastAsia="zh-CN"/>
              </w:rPr>
              <w:t>5m，未高出周围</w:t>
            </w:r>
            <w:r>
              <w:rPr>
                <w:rFonts w:hint="eastAsia"/>
                <w:b w:val="0"/>
                <w:bCs w:val="0"/>
                <w:color w:val="auto"/>
                <w:kern w:val="0"/>
                <w:sz w:val="21"/>
                <w:szCs w:val="21"/>
                <w:lang w:bidi="ar"/>
              </w:rPr>
              <w:t>200m范围内最高建筑物</w:t>
            </w:r>
            <w:r>
              <w:rPr>
                <w:rFonts w:hint="eastAsia"/>
                <w:b w:val="0"/>
                <w:bCs w:val="0"/>
                <w:color w:val="auto"/>
                <w:kern w:val="0"/>
                <w:sz w:val="21"/>
                <w:szCs w:val="21"/>
                <w:lang w:eastAsia="zh-CN" w:bidi="ar"/>
              </w:rPr>
              <w:t>，</w:t>
            </w:r>
            <w:r>
              <w:rPr>
                <w:rFonts w:hint="eastAsia"/>
                <w:b w:val="0"/>
                <w:bCs w:val="0"/>
                <w:color w:val="auto"/>
                <w:kern w:val="0"/>
                <w:sz w:val="21"/>
                <w:szCs w:val="21"/>
                <w:lang w:val="en-US" w:eastAsia="zh-CN" w:bidi="ar"/>
              </w:rPr>
              <w:t>因此</w:t>
            </w:r>
            <w:r>
              <w:rPr>
                <w:rFonts w:hint="eastAsia" w:ascii="Times New Roman" w:hAnsi="Times New Roman" w:cs="Times New Roman"/>
                <w:b w:val="0"/>
                <w:bCs w:val="0"/>
                <w:color w:val="auto"/>
                <w:sz w:val="21"/>
                <w:szCs w:val="21"/>
                <w:vertAlign w:val="baseline"/>
                <w:lang w:val="en-US" w:eastAsia="zh-CN"/>
              </w:rPr>
              <w:t>本项目排气筒非甲烷总烃排放速率应严格50%。15m高排气筒</w:t>
            </w:r>
            <w:r>
              <w:rPr>
                <w:rFonts w:hint="eastAsia"/>
                <w:b w:val="0"/>
                <w:bCs w:val="0"/>
                <w:color w:val="auto"/>
                <w:sz w:val="21"/>
                <w:szCs w:val="21"/>
                <w:lang w:val="en-US" w:eastAsia="zh-CN"/>
              </w:rPr>
              <w:t>非甲烷总烃排放速率标准值为</w:t>
            </w:r>
            <w:r>
              <w:rPr>
                <w:rFonts w:hint="default" w:ascii="Times New Roman" w:hAnsi="Times New Roman" w:cs="Times New Roman"/>
                <w:b w:val="0"/>
                <w:bCs w:val="0"/>
                <w:color w:val="auto"/>
                <w:sz w:val="21"/>
                <w:szCs w:val="21"/>
              </w:rPr>
              <w:t>10</w:t>
            </w:r>
            <w:r>
              <w:rPr>
                <w:rFonts w:hint="eastAsia" w:ascii="Times New Roman" w:hAnsi="Times New Roman" w:cs="Times New Roman"/>
                <w:b w:val="0"/>
                <w:bCs w:val="0"/>
                <w:color w:val="auto"/>
                <w:sz w:val="21"/>
                <w:szCs w:val="21"/>
                <w:vertAlign w:val="baseline"/>
                <w:lang w:val="en-US" w:eastAsia="zh-CN"/>
              </w:rPr>
              <w:t>kg/h，严格50%后的排放速率为5kg/h，则本项目非甲烷总烃排放速率执行5kg/h标准值</w:t>
            </w:r>
            <w:r>
              <w:rPr>
                <w:rFonts w:hint="default" w:ascii="Times New Roman" w:hAnsi="Times New Roman" w:cs="Times New Roman"/>
                <w:b w:val="0"/>
                <w:bCs w:val="0"/>
                <w:color w:val="auto"/>
                <w:sz w:val="21"/>
                <w:szCs w:val="21"/>
                <w:vertAlign w:val="baseline"/>
                <w:lang w:eastAsia="zh-CN"/>
              </w:rPr>
              <w:t>。</w:t>
            </w:r>
          </w:p>
          <w:p w14:paraId="05A36ED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eastAsia="宋体" w:cs="Times New Roman"/>
                <w:b/>
                <w:bCs/>
                <w:color w:val="auto"/>
                <w:sz w:val="24"/>
                <w:lang w:val="en-US" w:eastAsia="zh-CN"/>
              </w:rPr>
              <w:t>废水</w:t>
            </w:r>
          </w:p>
          <w:p w14:paraId="776BCC41">
            <w:pPr>
              <w:widowControl/>
              <w:adjustRightInd w:val="0"/>
              <w:snapToGrid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本</w:t>
            </w:r>
            <w:r>
              <w:rPr>
                <w:rFonts w:hint="default" w:ascii="Times New Roman" w:hAnsi="Times New Roman" w:eastAsia="宋体" w:cs="Times New Roman"/>
                <w:color w:val="auto"/>
                <w:sz w:val="24"/>
                <w:szCs w:val="24"/>
              </w:rPr>
              <w:t>项目运营期</w:t>
            </w:r>
            <w:r>
              <w:rPr>
                <w:rFonts w:hint="default" w:ascii="Times New Roman" w:hAnsi="Times New Roman" w:cs="Times New Roman"/>
                <w:color w:val="auto"/>
                <w:sz w:val="24"/>
                <w:lang w:val="en-US" w:eastAsia="zh-CN"/>
              </w:rPr>
              <w:t>生产废水、</w:t>
            </w:r>
            <w:r>
              <w:rPr>
                <w:rFonts w:hint="default" w:ascii="Times New Roman" w:hAnsi="Times New Roman" w:eastAsia="宋体" w:cs="Times New Roman"/>
                <w:color w:val="auto"/>
                <w:sz w:val="24"/>
                <w:szCs w:val="24"/>
              </w:rPr>
              <w:t>生活污水经</w:t>
            </w:r>
            <w:r>
              <w:rPr>
                <w:rFonts w:hint="default" w:ascii="Times New Roman" w:hAnsi="Times New Roman" w:eastAsia="宋体" w:cs="Times New Roman"/>
                <w:color w:val="auto"/>
                <w:sz w:val="24"/>
                <w:szCs w:val="24"/>
                <w:lang w:val="en-US" w:eastAsia="zh-CN"/>
              </w:rPr>
              <w:t>市政管网排至</w:t>
            </w:r>
            <w:r>
              <w:rPr>
                <w:rFonts w:hint="eastAsia" w:cs="Times New Roman"/>
                <w:color w:val="auto"/>
                <w:sz w:val="24"/>
                <w:szCs w:val="24"/>
                <w:lang w:val="en-US" w:eastAsia="zh-CN"/>
              </w:rPr>
              <w:t>沣西新城沣河</w:t>
            </w:r>
            <w:r>
              <w:rPr>
                <w:rFonts w:hint="default" w:ascii="Times New Roman" w:hAnsi="Times New Roman" w:eastAsia="宋体" w:cs="Times New Roman"/>
                <w:color w:val="auto"/>
                <w:sz w:val="24"/>
                <w:szCs w:val="24"/>
                <w:lang w:val="en-US" w:eastAsia="zh-CN"/>
              </w:rPr>
              <w:t>污水处理厂进行处理</w:t>
            </w:r>
            <w:r>
              <w:rPr>
                <w:rFonts w:hint="default" w:ascii="Times New Roman" w:hAnsi="Times New Roman" w:cs="Times New Roman"/>
                <w:color w:val="auto"/>
                <w:sz w:val="24"/>
                <w:szCs w:val="24"/>
                <w:lang w:val="en-US" w:eastAsia="zh-CN"/>
              </w:rPr>
              <w:t>。废水</w:t>
            </w:r>
            <w:r>
              <w:rPr>
                <w:rFonts w:hint="default" w:ascii="Times New Roman" w:hAnsi="Times New Roman" w:eastAsia="宋体" w:cs="Times New Roman"/>
                <w:color w:val="auto"/>
                <w:sz w:val="24"/>
                <w:szCs w:val="24"/>
                <w:lang w:val="en-US" w:eastAsia="zh-CN"/>
              </w:rPr>
              <w:t>执行</w:t>
            </w:r>
            <w:r>
              <w:rPr>
                <w:rFonts w:hint="default" w:ascii="Times New Roman" w:hAnsi="Times New Roman" w:eastAsia="宋体" w:cs="Times New Roman"/>
                <w:color w:val="auto"/>
                <w:sz w:val="24"/>
                <w:szCs w:val="24"/>
              </w:rPr>
              <w:t>《污水综合排放标准》（GB8978-1996）表2三级标准，氨</w:t>
            </w:r>
            <w:r>
              <w:rPr>
                <w:rFonts w:hint="default" w:ascii="Times New Roman" w:hAnsi="Times New Roman" w:eastAsia="宋体" w:cs="Times New Roman"/>
                <w:color w:val="auto"/>
                <w:sz w:val="24"/>
                <w:szCs w:val="24"/>
                <w:lang w:val="en-US" w:eastAsia="zh-CN"/>
              </w:rPr>
              <w:t>氮</w:t>
            </w:r>
            <w:r>
              <w:rPr>
                <w:rFonts w:hint="default" w:ascii="Times New Roman" w:hAnsi="Times New Roman" w:eastAsia="宋体" w:cs="Times New Roman"/>
                <w:color w:val="auto"/>
                <w:sz w:val="24"/>
                <w:szCs w:val="24"/>
              </w:rPr>
              <w:t>参照执行《污水排入城镇下水道水质标准》（GB/T31962-2015）中</w:t>
            </w:r>
            <w:r>
              <w:rPr>
                <w:rFonts w:hint="default" w:ascii="Times New Roman" w:hAnsi="Times New Roman" w:eastAsia="宋体" w:cs="Times New Roman"/>
                <w:color w:val="auto"/>
                <w:sz w:val="24"/>
                <w:szCs w:val="24"/>
                <w:lang w:val="en-US" w:eastAsia="zh-CN"/>
              </w:rPr>
              <w:t>B</w:t>
            </w:r>
            <w:r>
              <w:rPr>
                <w:rFonts w:hint="default" w:ascii="Times New Roman" w:hAnsi="Times New Roman" w:eastAsia="宋体" w:cs="Times New Roman"/>
                <w:color w:val="auto"/>
                <w:sz w:val="24"/>
                <w:szCs w:val="24"/>
              </w:rPr>
              <w:t>级标准。</w:t>
            </w:r>
          </w:p>
          <w:p w14:paraId="3244DF11">
            <w:pPr>
              <w:pStyle w:val="24"/>
              <w:keepNext w:val="0"/>
              <w:keepLines w:val="0"/>
              <w:pageBreakBefore w:val="0"/>
              <w:widowControl/>
              <w:tabs>
                <w:tab w:val="left" w:pos="1000"/>
              </w:tabs>
              <w:kinsoku/>
              <w:wordWrap/>
              <w:overflowPunct/>
              <w:topLinePunct w:val="0"/>
              <w:autoSpaceDE/>
              <w:autoSpaceDN/>
              <w:bidi w:val="0"/>
              <w:adjustRightInd/>
              <w:snapToGrid/>
              <w:spacing w:before="0" w:beforeAutospacing="0" w:after="0" w:afterAutospacing="0"/>
              <w:ind w:firstLine="0" w:firstLineChars="0"/>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表3-</w:t>
            </w:r>
            <w:r>
              <w:rPr>
                <w:rFonts w:hint="eastAsia" w:ascii="Times New Roman" w:hAnsi="Times New Roman" w:cs="Times New Roman"/>
                <w:b/>
                <w:bCs/>
                <w:color w:val="auto"/>
                <w:kern w:val="2"/>
                <w:sz w:val="21"/>
                <w:szCs w:val="21"/>
                <w:lang w:val="en-US" w:eastAsia="zh-CN"/>
              </w:rPr>
              <w:t xml:space="preserve">8  </w:t>
            </w:r>
            <w:r>
              <w:rPr>
                <w:rFonts w:hint="default" w:ascii="Times New Roman" w:hAnsi="Times New Roman" w:eastAsia="宋体" w:cs="Times New Roman"/>
                <w:b/>
                <w:bCs/>
                <w:color w:val="auto"/>
                <w:kern w:val="2"/>
                <w:sz w:val="21"/>
                <w:szCs w:val="21"/>
                <w:lang w:val="en-US" w:eastAsia="zh-CN"/>
              </w:rPr>
              <w:t>污水排放标准限值</w:t>
            </w:r>
            <w:r>
              <w:rPr>
                <w:rFonts w:hint="eastAsia" w:ascii="Times New Roman" w:hAnsi="Times New Roman" w:cs="Times New Roman"/>
                <w:b/>
                <w:bCs/>
                <w:color w:val="auto"/>
                <w:kern w:val="2"/>
                <w:sz w:val="21"/>
                <w:szCs w:val="21"/>
                <w:lang w:val="en-US" w:eastAsia="zh-CN"/>
              </w:rPr>
              <w:t xml:space="preserve">   </w:t>
            </w:r>
            <w:r>
              <w:rPr>
                <w:rFonts w:hint="default" w:ascii="Times New Roman" w:hAnsi="Times New Roman" w:eastAsia="宋体" w:cs="Times New Roman"/>
                <w:b/>
                <w:bCs/>
                <w:color w:val="auto"/>
                <w:kern w:val="2"/>
                <w:sz w:val="21"/>
                <w:szCs w:val="21"/>
                <w:lang w:val="en-US" w:eastAsia="zh-CN"/>
              </w:rPr>
              <w:t>单位：mg/L</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763"/>
              <w:gridCol w:w="1458"/>
              <w:gridCol w:w="989"/>
              <w:gridCol w:w="928"/>
              <w:gridCol w:w="859"/>
            </w:tblGrid>
            <w:tr w14:paraId="72EA08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51" w:type="pct"/>
                  <w:tcBorders>
                    <w:tl2br w:val="nil"/>
                    <w:tr2bl w:val="nil"/>
                  </w:tcBorders>
                  <w:noWrap w:val="0"/>
                  <w:vAlign w:val="center"/>
                </w:tcPr>
                <w:p w14:paraId="405F5C6B">
                  <w:pPr>
                    <w:pStyle w:val="85"/>
                    <w:rPr>
                      <w:rFonts w:hint="default" w:ascii="Times New Roman" w:hAnsi="Times New Roman" w:cs="Times New Roman"/>
                      <w:color w:val="auto"/>
                    </w:rPr>
                  </w:pPr>
                  <w:r>
                    <w:rPr>
                      <w:rFonts w:hint="default" w:ascii="Times New Roman" w:hAnsi="Times New Roman" w:cs="Times New Roman"/>
                      <w:color w:val="auto"/>
                    </w:rPr>
                    <w:t>标准</w:t>
                  </w:r>
                </w:p>
              </w:tc>
              <w:tc>
                <w:tcPr>
                  <w:tcW w:w="911" w:type="pct"/>
                  <w:tcBorders>
                    <w:tl2br w:val="nil"/>
                    <w:tr2bl w:val="nil"/>
                  </w:tcBorders>
                  <w:noWrap w:val="0"/>
                  <w:vAlign w:val="center"/>
                </w:tcPr>
                <w:p w14:paraId="432DA348">
                  <w:pPr>
                    <w:pStyle w:val="85"/>
                    <w:rPr>
                      <w:rFonts w:hint="default" w:ascii="Times New Roman" w:hAnsi="Times New Roman" w:cs="Times New Roman"/>
                      <w:color w:val="auto"/>
                    </w:rPr>
                  </w:pPr>
                  <w:r>
                    <w:rPr>
                      <w:rFonts w:hint="default" w:ascii="Times New Roman" w:hAnsi="Times New Roman" w:cs="Times New Roman"/>
                      <w:color w:val="auto"/>
                    </w:rPr>
                    <w:t>COD</w:t>
                  </w:r>
                </w:p>
              </w:tc>
              <w:tc>
                <w:tcPr>
                  <w:tcW w:w="618" w:type="pct"/>
                  <w:tcBorders>
                    <w:tl2br w:val="nil"/>
                    <w:tr2bl w:val="nil"/>
                  </w:tcBorders>
                  <w:noWrap w:val="0"/>
                  <w:vAlign w:val="center"/>
                </w:tcPr>
                <w:p w14:paraId="4DE73507">
                  <w:pPr>
                    <w:pStyle w:val="85"/>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580" w:type="pct"/>
                  <w:tcBorders>
                    <w:tl2br w:val="nil"/>
                    <w:tr2bl w:val="nil"/>
                  </w:tcBorders>
                  <w:noWrap w:val="0"/>
                  <w:vAlign w:val="center"/>
                </w:tcPr>
                <w:p w14:paraId="693DC50F">
                  <w:pPr>
                    <w:pStyle w:val="85"/>
                    <w:rPr>
                      <w:rFonts w:hint="default" w:ascii="Times New Roman" w:hAnsi="Times New Roman" w:cs="Times New Roman"/>
                      <w:color w:val="auto"/>
                    </w:rPr>
                  </w:pPr>
                  <w:r>
                    <w:rPr>
                      <w:rFonts w:hint="default" w:ascii="Times New Roman" w:hAnsi="Times New Roman" w:cs="Times New Roman"/>
                      <w:color w:val="auto"/>
                    </w:rPr>
                    <w:t>SS</w:t>
                  </w:r>
                </w:p>
              </w:tc>
              <w:tc>
                <w:tcPr>
                  <w:tcW w:w="537" w:type="pct"/>
                  <w:tcBorders>
                    <w:tl2br w:val="nil"/>
                    <w:tr2bl w:val="nil"/>
                  </w:tcBorders>
                  <w:noWrap w:val="0"/>
                  <w:vAlign w:val="center"/>
                </w:tcPr>
                <w:p w14:paraId="6FC08473">
                  <w:pPr>
                    <w:pStyle w:val="85"/>
                    <w:rPr>
                      <w:rFonts w:hint="default" w:ascii="Times New Roman" w:hAnsi="Times New Roman" w:cs="Times New Roman"/>
                      <w:color w:val="auto"/>
                    </w:rPr>
                  </w:pPr>
                  <w:r>
                    <w:rPr>
                      <w:rFonts w:hint="default" w:ascii="Times New Roman" w:hAnsi="Times New Roman" w:cs="Times New Roman"/>
                      <w:color w:val="auto"/>
                    </w:rPr>
                    <w:t>氨氮</w:t>
                  </w:r>
                </w:p>
              </w:tc>
            </w:tr>
            <w:tr w14:paraId="01AD91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351" w:type="pct"/>
                  <w:tcBorders>
                    <w:tl2br w:val="nil"/>
                    <w:tr2bl w:val="nil"/>
                  </w:tcBorders>
                  <w:noWrap w:val="0"/>
                  <w:vAlign w:val="center"/>
                </w:tcPr>
                <w:p w14:paraId="52F2C222">
                  <w:pPr>
                    <w:pStyle w:val="85"/>
                    <w:rPr>
                      <w:rFonts w:hint="default" w:ascii="Times New Roman" w:hAnsi="Times New Roman" w:cs="Times New Roman"/>
                      <w:color w:val="auto"/>
                    </w:rPr>
                  </w:pPr>
                  <w:r>
                    <w:rPr>
                      <w:rFonts w:hint="default" w:ascii="Times New Roman" w:hAnsi="Times New Roman" w:cs="Times New Roman"/>
                      <w:color w:val="auto"/>
                    </w:rPr>
                    <w:t>《污水综合排放标准》（GB8978-1996）三级标准</w:t>
                  </w:r>
                </w:p>
              </w:tc>
              <w:tc>
                <w:tcPr>
                  <w:tcW w:w="911" w:type="pct"/>
                  <w:tcBorders>
                    <w:tl2br w:val="nil"/>
                    <w:tr2bl w:val="nil"/>
                  </w:tcBorders>
                  <w:noWrap w:val="0"/>
                  <w:vAlign w:val="center"/>
                </w:tcPr>
                <w:p w14:paraId="4E4A8F28">
                  <w:pPr>
                    <w:pStyle w:val="85"/>
                    <w:rPr>
                      <w:rFonts w:hint="default" w:ascii="Times New Roman" w:hAnsi="Times New Roman" w:cs="Times New Roman"/>
                      <w:color w:val="auto"/>
                    </w:rPr>
                  </w:pPr>
                  <w:r>
                    <w:rPr>
                      <w:rFonts w:hint="default" w:ascii="Times New Roman" w:hAnsi="Times New Roman" w:cs="Times New Roman"/>
                      <w:color w:val="auto"/>
                    </w:rPr>
                    <w:t>≤500</w:t>
                  </w:r>
                </w:p>
              </w:tc>
              <w:tc>
                <w:tcPr>
                  <w:tcW w:w="618" w:type="pct"/>
                  <w:tcBorders>
                    <w:tl2br w:val="nil"/>
                    <w:tr2bl w:val="nil"/>
                  </w:tcBorders>
                  <w:noWrap w:val="0"/>
                  <w:vAlign w:val="center"/>
                </w:tcPr>
                <w:p w14:paraId="60ECB83C">
                  <w:pPr>
                    <w:pStyle w:val="85"/>
                    <w:rPr>
                      <w:rFonts w:hint="default" w:ascii="Times New Roman" w:hAnsi="Times New Roman" w:cs="Times New Roman"/>
                      <w:color w:val="auto"/>
                    </w:rPr>
                  </w:pPr>
                  <w:r>
                    <w:rPr>
                      <w:rFonts w:hint="default" w:ascii="Times New Roman" w:hAnsi="Times New Roman" w:cs="Times New Roman"/>
                      <w:color w:val="auto"/>
                    </w:rPr>
                    <w:t>≤300</w:t>
                  </w:r>
                </w:p>
              </w:tc>
              <w:tc>
                <w:tcPr>
                  <w:tcW w:w="580" w:type="pct"/>
                  <w:tcBorders>
                    <w:tl2br w:val="nil"/>
                    <w:tr2bl w:val="nil"/>
                  </w:tcBorders>
                  <w:noWrap w:val="0"/>
                  <w:vAlign w:val="center"/>
                </w:tcPr>
                <w:p w14:paraId="752FC34F">
                  <w:pPr>
                    <w:pStyle w:val="85"/>
                    <w:rPr>
                      <w:rFonts w:hint="default" w:ascii="Times New Roman" w:hAnsi="Times New Roman" w:cs="Times New Roman"/>
                      <w:color w:val="auto"/>
                    </w:rPr>
                  </w:pPr>
                  <w:r>
                    <w:rPr>
                      <w:rFonts w:hint="default" w:ascii="Times New Roman" w:hAnsi="Times New Roman" w:cs="Times New Roman"/>
                      <w:color w:val="auto"/>
                    </w:rPr>
                    <w:t>≤400</w:t>
                  </w:r>
                </w:p>
              </w:tc>
              <w:tc>
                <w:tcPr>
                  <w:tcW w:w="537" w:type="pct"/>
                  <w:tcBorders>
                    <w:tl2br w:val="nil"/>
                    <w:tr2bl w:val="nil"/>
                  </w:tcBorders>
                  <w:noWrap w:val="0"/>
                  <w:vAlign w:val="center"/>
                </w:tcPr>
                <w:p w14:paraId="0CF01F6E">
                  <w:pPr>
                    <w:pStyle w:val="85"/>
                    <w:rPr>
                      <w:rFonts w:hint="default" w:ascii="Times New Roman" w:hAnsi="Times New Roman" w:cs="Times New Roman"/>
                      <w:color w:val="auto"/>
                    </w:rPr>
                  </w:pPr>
                  <w:r>
                    <w:rPr>
                      <w:rFonts w:hint="default" w:ascii="Times New Roman" w:hAnsi="Times New Roman" w:cs="Times New Roman"/>
                      <w:color w:val="auto"/>
                    </w:rPr>
                    <w:t>/</w:t>
                  </w:r>
                </w:p>
              </w:tc>
            </w:tr>
            <w:tr w14:paraId="44A027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51" w:type="pct"/>
                  <w:tcBorders>
                    <w:tl2br w:val="nil"/>
                    <w:tr2bl w:val="nil"/>
                  </w:tcBorders>
                  <w:noWrap w:val="0"/>
                  <w:vAlign w:val="center"/>
                </w:tcPr>
                <w:p w14:paraId="11CDFF35">
                  <w:pPr>
                    <w:pStyle w:val="85"/>
                    <w:rPr>
                      <w:rFonts w:hint="default" w:ascii="Times New Roman" w:hAnsi="Times New Roman" w:cs="Times New Roman"/>
                      <w:color w:val="auto"/>
                    </w:rPr>
                  </w:pPr>
                  <w:r>
                    <w:rPr>
                      <w:rFonts w:hint="default" w:ascii="Times New Roman" w:hAnsi="Times New Roman" w:cs="Times New Roman"/>
                      <w:color w:val="auto"/>
                    </w:rPr>
                    <w:t>《污水排入城镇下水道水质标准》（GB/T31962-2015）中的B级标准</w:t>
                  </w:r>
                </w:p>
              </w:tc>
              <w:tc>
                <w:tcPr>
                  <w:tcW w:w="911" w:type="pct"/>
                  <w:tcBorders>
                    <w:tl2br w:val="nil"/>
                    <w:tr2bl w:val="nil"/>
                  </w:tcBorders>
                  <w:noWrap w:val="0"/>
                  <w:vAlign w:val="center"/>
                </w:tcPr>
                <w:p w14:paraId="28E7905C">
                  <w:pPr>
                    <w:pStyle w:val="85"/>
                    <w:rPr>
                      <w:rFonts w:hint="default" w:ascii="Times New Roman" w:hAnsi="Times New Roman" w:cs="Times New Roman"/>
                      <w:color w:val="auto"/>
                    </w:rPr>
                  </w:pPr>
                  <w:r>
                    <w:rPr>
                      <w:rFonts w:hint="default" w:ascii="Times New Roman" w:hAnsi="Times New Roman" w:cs="Times New Roman"/>
                      <w:color w:val="auto"/>
                    </w:rPr>
                    <w:t>/</w:t>
                  </w:r>
                </w:p>
              </w:tc>
              <w:tc>
                <w:tcPr>
                  <w:tcW w:w="618" w:type="pct"/>
                  <w:tcBorders>
                    <w:tl2br w:val="nil"/>
                    <w:tr2bl w:val="nil"/>
                  </w:tcBorders>
                  <w:noWrap w:val="0"/>
                  <w:vAlign w:val="center"/>
                </w:tcPr>
                <w:p w14:paraId="4AEF9926">
                  <w:pPr>
                    <w:pStyle w:val="85"/>
                    <w:rPr>
                      <w:rFonts w:hint="default" w:ascii="Times New Roman" w:hAnsi="Times New Roman" w:cs="Times New Roman"/>
                      <w:color w:val="auto"/>
                    </w:rPr>
                  </w:pPr>
                  <w:r>
                    <w:rPr>
                      <w:rFonts w:hint="default" w:ascii="Times New Roman" w:hAnsi="Times New Roman" w:cs="Times New Roman"/>
                      <w:color w:val="auto"/>
                    </w:rPr>
                    <w:t>/</w:t>
                  </w:r>
                </w:p>
              </w:tc>
              <w:tc>
                <w:tcPr>
                  <w:tcW w:w="580" w:type="pct"/>
                  <w:tcBorders>
                    <w:tl2br w:val="nil"/>
                    <w:tr2bl w:val="nil"/>
                  </w:tcBorders>
                  <w:noWrap w:val="0"/>
                  <w:vAlign w:val="center"/>
                </w:tcPr>
                <w:p w14:paraId="148CE32E">
                  <w:pPr>
                    <w:pStyle w:val="85"/>
                    <w:rPr>
                      <w:rFonts w:hint="default" w:ascii="Times New Roman" w:hAnsi="Times New Roman" w:cs="Times New Roman"/>
                      <w:color w:val="auto"/>
                    </w:rPr>
                  </w:pPr>
                  <w:r>
                    <w:rPr>
                      <w:rFonts w:hint="default" w:ascii="Times New Roman" w:hAnsi="Times New Roman" w:cs="Times New Roman"/>
                      <w:color w:val="auto"/>
                    </w:rPr>
                    <w:t>/</w:t>
                  </w:r>
                </w:p>
              </w:tc>
              <w:tc>
                <w:tcPr>
                  <w:tcW w:w="537" w:type="pct"/>
                  <w:tcBorders>
                    <w:tl2br w:val="nil"/>
                    <w:tr2bl w:val="nil"/>
                  </w:tcBorders>
                  <w:noWrap w:val="0"/>
                  <w:vAlign w:val="center"/>
                </w:tcPr>
                <w:p w14:paraId="44A4257C">
                  <w:pPr>
                    <w:pStyle w:val="85"/>
                    <w:rPr>
                      <w:rFonts w:hint="default" w:ascii="Times New Roman" w:hAnsi="Times New Roman" w:cs="Times New Roman"/>
                      <w:color w:val="auto"/>
                    </w:rPr>
                  </w:pPr>
                  <w:r>
                    <w:rPr>
                      <w:rFonts w:hint="default" w:ascii="Times New Roman" w:hAnsi="Times New Roman" w:cs="Times New Roman"/>
                      <w:color w:val="auto"/>
                    </w:rPr>
                    <w:t>≤45</w:t>
                  </w:r>
                </w:p>
              </w:tc>
            </w:tr>
          </w:tbl>
          <w:p w14:paraId="109A1572">
            <w:pPr>
              <w:keepNext w:val="0"/>
              <w:keepLines w:val="0"/>
              <w:pageBreakBefore w:val="0"/>
              <w:widowControl/>
              <w:numPr>
                <w:ilvl w:val="0"/>
                <w:numId w:val="9"/>
              </w:numPr>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噪声</w:t>
            </w:r>
          </w:p>
          <w:p w14:paraId="5EA46A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施工期噪声执行《建筑施工场界环境噪声排放标准》（GB12523-2011）；根据《</w:t>
            </w:r>
            <w:bookmarkStart w:id="7" w:name="OLE_LINK2"/>
            <w:r>
              <w:rPr>
                <w:rFonts w:hint="default" w:ascii="Times New Roman" w:hAnsi="Times New Roman" w:cs="Times New Roman"/>
                <w:color w:val="auto"/>
                <w:sz w:val="24"/>
                <w:lang w:val="en-US" w:eastAsia="zh-CN"/>
              </w:rPr>
              <w:t>西咸新区声环境功能区划方案</w:t>
            </w:r>
            <w:bookmarkEnd w:id="7"/>
            <w:r>
              <w:rPr>
                <w:rFonts w:hint="default" w:ascii="Times New Roman" w:hAnsi="Times New Roman" w:cs="Times New Roman"/>
                <w:color w:val="auto"/>
                <w:sz w:val="24"/>
                <w:lang w:val="en-US" w:eastAsia="zh-CN"/>
              </w:rPr>
              <w:t>》，项目所在地属于</w:t>
            </w:r>
            <w:r>
              <w:rPr>
                <w:rFonts w:hint="default" w:ascii="Times New Roman" w:hAnsi="Times New Roman" w:eastAsia="宋体" w:cs="Times New Roman"/>
                <w:color w:val="auto"/>
                <w:sz w:val="24"/>
                <w:szCs w:val="24"/>
              </w:rPr>
              <w:t>沣西新城总部经济园片区</w:t>
            </w:r>
            <w:r>
              <w:rPr>
                <w:rFonts w:hint="default" w:ascii="Times New Roman" w:hAnsi="Times New Roman" w:cs="Times New Roman"/>
                <w:color w:val="auto"/>
                <w:sz w:val="24"/>
                <w:lang w:val="en-US" w:eastAsia="zh-CN"/>
              </w:rPr>
              <w:t>，位于2类声环境功能区，运营期噪声排放执行《工业企业厂界环境噪声排放标准》（GB12348-2008）2类标准。</w:t>
            </w:r>
          </w:p>
          <w:p w14:paraId="37FB3F43">
            <w:pPr>
              <w:pStyle w:val="24"/>
              <w:keepNext w:val="0"/>
              <w:keepLines w:val="0"/>
              <w:pageBreakBefore w:val="0"/>
              <w:widowControl/>
              <w:tabs>
                <w:tab w:val="left" w:pos="1000"/>
              </w:tabs>
              <w:kinsoku/>
              <w:wordWrap/>
              <w:overflowPunct/>
              <w:topLinePunct w:val="0"/>
              <w:autoSpaceDE/>
              <w:autoSpaceDN/>
              <w:bidi w:val="0"/>
              <w:adjustRightInd/>
              <w:snapToGrid/>
              <w:spacing w:before="0" w:beforeAutospacing="0" w:after="0" w:afterAutospacing="0"/>
              <w:ind w:firstLine="0" w:firstLineChars="0"/>
              <w:jc w:val="center"/>
              <w:textAlignment w:val="auto"/>
              <w:rPr>
                <w:rFonts w:hint="default" w:ascii="Times New Roman" w:hAnsi="Times New Roman" w:eastAsia="宋体" w:cs="Times New Roman"/>
                <w:b/>
                <w:bCs/>
                <w:color w:val="auto"/>
                <w:kern w:val="2"/>
                <w:sz w:val="21"/>
                <w:szCs w:val="21"/>
                <w:lang w:eastAsia="zh-CN"/>
              </w:rPr>
            </w:pPr>
            <w:r>
              <w:rPr>
                <w:rFonts w:hint="default" w:ascii="Times New Roman" w:hAnsi="Times New Roman" w:eastAsia="宋体" w:cs="Times New Roman"/>
                <w:b/>
                <w:bCs/>
                <w:color w:val="auto"/>
                <w:kern w:val="2"/>
                <w:sz w:val="21"/>
                <w:szCs w:val="21"/>
                <w:lang w:eastAsia="zh-CN"/>
              </w:rPr>
              <w:t>表3</w:t>
            </w:r>
            <w:r>
              <w:rPr>
                <w:rFonts w:hint="default" w:ascii="Times New Roman" w:hAnsi="Times New Roman" w:eastAsia="宋体" w:cs="Times New Roman"/>
                <w:b/>
                <w:bCs/>
                <w:color w:val="auto"/>
                <w:kern w:val="2"/>
                <w:sz w:val="21"/>
                <w:szCs w:val="21"/>
                <w:lang w:val="en-US" w:eastAsia="zh-CN"/>
              </w:rPr>
              <w:t>-</w:t>
            </w:r>
            <w:r>
              <w:rPr>
                <w:rFonts w:hint="eastAsia" w:ascii="Times New Roman" w:hAnsi="Times New Roman" w:cs="Times New Roman"/>
                <w:b/>
                <w:bCs/>
                <w:color w:val="auto"/>
                <w:kern w:val="2"/>
                <w:sz w:val="21"/>
                <w:szCs w:val="21"/>
                <w:lang w:val="en-US" w:eastAsia="zh-CN"/>
              </w:rPr>
              <w:t xml:space="preserve">9  </w:t>
            </w:r>
            <w:r>
              <w:rPr>
                <w:rFonts w:hint="default" w:ascii="Times New Roman" w:hAnsi="Times New Roman" w:eastAsia="宋体" w:cs="Times New Roman"/>
                <w:b/>
                <w:bCs/>
                <w:color w:val="auto"/>
                <w:kern w:val="2"/>
                <w:sz w:val="21"/>
                <w:szCs w:val="21"/>
                <w:lang w:eastAsia="zh-CN"/>
              </w:rPr>
              <w:t>噪声排放标准</w:t>
            </w:r>
            <w:r>
              <w:rPr>
                <w:rFonts w:hint="eastAsia" w:ascii="Times New Roman" w:hAnsi="Times New Roman" w:cs="Times New Roman"/>
                <w:b/>
                <w:bCs/>
                <w:color w:val="auto"/>
                <w:kern w:val="2"/>
                <w:sz w:val="21"/>
                <w:szCs w:val="21"/>
                <w:lang w:val="en-US" w:eastAsia="zh-CN"/>
              </w:rPr>
              <w:t xml:space="preserve">   </w:t>
            </w:r>
            <w:r>
              <w:rPr>
                <w:rFonts w:hint="default" w:ascii="Times New Roman" w:hAnsi="Times New Roman" w:eastAsia="宋体" w:cs="Times New Roman"/>
                <w:b/>
                <w:bCs/>
                <w:color w:val="auto"/>
                <w:kern w:val="2"/>
                <w:sz w:val="21"/>
                <w:szCs w:val="21"/>
                <w:lang w:eastAsia="zh-CN"/>
              </w:rPr>
              <w:t>单位：dB（A）</w:t>
            </w:r>
          </w:p>
          <w:tbl>
            <w:tblPr>
              <w:tblStyle w:val="28"/>
              <w:tblW w:w="795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387"/>
              <w:gridCol w:w="812"/>
              <w:gridCol w:w="757"/>
            </w:tblGrid>
            <w:tr w14:paraId="48C8C1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87" w:type="dxa"/>
                  <w:noWrap w:val="0"/>
                  <w:vAlign w:val="center"/>
                </w:tcPr>
                <w:p w14:paraId="158B2BAD">
                  <w:pPr>
                    <w:ind w:firstLine="42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执行标准</w:t>
                  </w:r>
                </w:p>
              </w:tc>
              <w:tc>
                <w:tcPr>
                  <w:tcW w:w="812" w:type="dxa"/>
                  <w:noWrap w:val="0"/>
                  <w:vAlign w:val="center"/>
                </w:tcPr>
                <w:p w14:paraId="1EBDD069">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昼间</w:t>
                  </w:r>
                </w:p>
              </w:tc>
              <w:tc>
                <w:tcPr>
                  <w:tcW w:w="757" w:type="dxa"/>
                  <w:noWrap w:val="0"/>
                  <w:vAlign w:val="center"/>
                </w:tcPr>
                <w:p w14:paraId="4A087B6C">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夜间</w:t>
                  </w:r>
                </w:p>
              </w:tc>
            </w:tr>
            <w:tr w14:paraId="18C1A7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87" w:type="dxa"/>
                  <w:noWrap w:val="0"/>
                  <w:vAlign w:val="center"/>
                </w:tcPr>
                <w:p w14:paraId="13D61078">
                  <w:pPr>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《建筑施工场界环境噪声排放标准》(GB12523-2011)</w:t>
                  </w:r>
                </w:p>
              </w:tc>
              <w:tc>
                <w:tcPr>
                  <w:tcW w:w="812" w:type="dxa"/>
                  <w:noWrap w:val="0"/>
                  <w:vAlign w:val="center"/>
                </w:tcPr>
                <w:p w14:paraId="04357E3C">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70</w:t>
                  </w:r>
                </w:p>
              </w:tc>
              <w:tc>
                <w:tcPr>
                  <w:tcW w:w="757" w:type="dxa"/>
                  <w:noWrap w:val="0"/>
                  <w:vAlign w:val="center"/>
                </w:tcPr>
                <w:p w14:paraId="4C64EDAD">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55</w:t>
                  </w:r>
                </w:p>
              </w:tc>
            </w:tr>
            <w:tr w14:paraId="258C24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87" w:type="dxa"/>
                  <w:noWrap w:val="0"/>
                  <w:vAlign w:val="center"/>
                </w:tcPr>
                <w:p w14:paraId="538FAAE3">
                  <w:pPr>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《工业企业厂界环境噪声排放标准》（GB12348-2008）</w:t>
                  </w:r>
                  <w:r>
                    <w:rPr>
                      <w:rFonts w:hint="default" w:ascii="Times New Roman" w:hAnsi="Times New Roman" w:cs="Times New Roman"/>
                      <w:bCs/>
                      <w:color w:val="auto"/>
                      <w:sz w:val="21"/>
                      <w:szCs w:val="21"/>
                      <w:lang w:val="en-US" w:eastAsia="zh-CN"/>
                    </w:rPr>
                    <w:t>2</w:t>
                  </w:r>
                  <w:r>
                    <w:rPr>
                      <w:rFonts w:hint="default" w:ascii="Times New Roman" w:hAnsi="Times New Roman" w:cs="Times New Roman"/>
                      <w:bCs/>
                      <w:color w:val="auto"/>
                      <w:sz w:val="21"/>
                      <w:szCs w:val="21"/>
                    </w:rPr>
                    <w:t>类</w:t>
                  </w:r>
                  <w:r>
                    <w:rPr>
                      <w:rFonts w:hint="default" w:ascii="Times New Roman" w:hAnsi="Times New Roman" w:cs="Times New Roman"/>
                      <w:color w:val="auto"/>
                      <w:sz w:val="21"/>
                      <w:szCs w:val="21"/>
                    </w:rPr>
                    <w:t>区</w:t>
                  </w:r>
                </w:p>
              </w:tc>
              <w:tc>
                <w:tcPr>
                  <w:tcW w:w="812" w:type="dxa"/>
                  <w:noWrap w:val="0"/>
                  <w:vAlign w:val="center"/>
                </w:tcPr>
                <w:p w14:paraId="7AA350E7">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60</w:t>
                  </w:r>
                </w:p>
              </w:tc>
              <w:tc>
                <w:tcPr>
                  <w:tcW w:w="757" w:type="dxa"/>
                  <w:noWrap w:val="0"/>
                  <w:vAlign w:val="center"/>
                </w:tcPr>
                <w:p w14:paraId="429E427E">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50</w:t>
                  </w:r>
                </w:p>
              </w:tc>
            </w:tr>
          </w:tbl>
          <w:p w14:paraId="143A297A">
            <w:pPr>
              <w:keepNext w:val="0"/>
              <w:keepLines w:val="0"/>
              <w:pageBreakBefore w:val="0"/>
              <w:widowControl/>
              <w:numPr>
                <w:ilvl w:val="0"/>
                <w:numId w:val="9"/>
              </w:numPr>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b/>
                <w:bCs/>
                <w:color w:val="auto"/>
                <w:sz w:val="24"/>
                <w:lang w:val="en-US" w:eastAsia="zh-CN"/>
              </w:rPr>
              <w:t>固体</w:t>
            </w:r>
            <w:r>
              <w:rPr>
                <w:rFonts w:hint="default" w:ascii="Times New Roman" w:hAnsi="Times New Roman" w:eastAsia="宋体" w:cs="Times New Roman"/>
                <w:b/>
                <w:bCs/>
                <w:color w:val="auto"/>
                <w:sz w:val="24"/>
                <w:szCs w:val="24"/>
                <w:lang w:val="en-US" w:eastAsia="zh-CN"/>
              </w:rPr>
              <w:t>废物</w:t>
            </w:r>
          </w:p>
          <w:p w14:paraId="6EA577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pacing w:val="6"/>
                <w:sz w:val="24"/>
                <w:szCs w:val="24"/>
              </w:rPr>
            </w:pPr>
            <w:r>
              <w:rPr>
                <w:rFonts w:hint="default" w:ascii="Times New Roman" w:hAnsi="Times New Roman" w:cs="Times New Roman"/>
                <w:color w:val="auto"/>
                <w:sz w:val="24"/>
              </w:rPr>
              <w:t>一般固体废物执行《一般工业固体废物贮存和填埋污染控制标准》（GB18599-2020）相关要求；危险废物执行《危险废物贮存污染控制标准》（GB18597-20</w:t>
            </w:r>
            <w:r>
              <w:rPr>
                <w:rFonts w:hint="default" w:ascii="Times New Roman" w:hAnsi="Times New Roman" w:cs="Times New Roman"/>
                <w:color w:val="auto"/>
                <w:sz w:val="24"/>
                <w:lang w:val="en-US" w:eastAsia="zh-CN"/>
              </w:rPr>
              <w:t>23</w:t>
            </w:r>
            <w:r>
              <w:rPr>
                <w:rFonts w:hint="default" w:ascii="Times New Roman" w:hAnsi="Times New Roman" w:cs="Times New Roman"/>
                <w:color w:val="auto"/>
                <w:sz w:val="24"/>
              </w:rPr>
              <w:t>）</w:t>
            </w:r>
            <w:r>
              <w:rPr>
                <w:rFonts w:hint="eastAsia" w:cs="Times New Roman"/>
                <w:color w:val="auto"/>
                <w:sz w:val="24"/>
                <w:lang w:eastAsia="zh-CN"/>
              </w:rPr>
              <w:t>、</w:t>
            </w:r>
            <w:r>
              <w:rPr>
                <w:rFonts w:hint="default" w:ascii="Times New Roman" w:hAnsi="Times New Roman" w:cs="Times New Roman"/>
                <w:color w:val="auto"/>
                <w:sz w:val="24"/>
              </w:rPr>
              <w:t>《实验室危险废物污染控制技术规范》</w:t>
            </w:r>
            <w:r>
              <w:rPr>
                <w:rFonts w:hint="eastAsia" w:cs="Times New Roman"/>
                <w:color w:val="auto"/>
                <w:sz w:val="24"/>
                <w:lang w:eastAsia="zh-CN"/>
              </w:rPr>
              <w:t>（</w:t>
            </w:r>
            <w:r>
              <w:rPr>
                <w:rFonts w:hint="default" w:ascii="Times New Roman" w:hAnsi="Times New Roman" w:cs="Times New Roman"/>
                <w:color w:val="auto"/>
                <w:sz w:val="24"/>
              </w:rPr>
              <w:t>DB61</w:t>
            </w:r>
            <w:r>
              <w:rPr>
                <w:rFonts w:hint="eastAsia" w:cs="Times New Roman"/>
                <w:color w:val="auto"/>
                <w:sz w:val="24"/>
                <w:lang w:val="en-US" w:eastAsia="zh-CN"/>
              </w:rPr>
              <w:t>/</w:t>
            </w:r>
            <w:r>
              <w:rPr>
                <w:rFonts w:hint="default" w:ascii="Times New Roman" w:hAnsi="Times New Roman" w:cs="Times New Roman"/>
                <w:color w:val="auto"/>
                <w:sz w:val="24"/>
              </w:rPr>
              <w:t>T1716-</w:t>
            </w:r>
            <w:r>
              <w:rPr>
                <w:rFonts w:hint="eastAsia" w:cs="Times New Roman"/>
                <w:color w:val="auto"/>
                <w:sz w:val="24"/>
                <w:lang w:eastAsia="zh-CN"/>
              </w:rPr>
              <w:t>2023）</w:t>
            </w:r>
            <w:r>
              <w:rPr>
                <w:rFonts w:hint="default" w:ascii="Times New Roman" w:hAnsi="Times New Roman" w:cs="Times New Roman"/>
                <w:color w:val="auto"/>
                <w:sz w:val="24"/>
              </w:rPr>
              <w:t>相关要求。</w:t>
            </w:r>
          </w:p>
        </w:tc>
      </w:tr>
      <w:tr w14:paraId="26478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800" w:type="dxa"/>
            <w:noWrap w:val="0"/>
            <w:vAlign w:val="center"/>
          </w:tcPr>
          <w:p w14:paraId="5FA9C2C0">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总量</w:t>
            </w:r>
          </w:p>
          <w:p w14:paraId="617C99C4">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控制</w:t>
            </w:r>
          </w:p>
          <w:p w14:paraId="4FABEC45">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指标</w:t>
            </w:r>
          </w:p>
        </w:tc>
        <w:tc>
          <w:tcPr>
            <w:tcW w:w="8216" w:type="dxa"/>
            <w:noWrap w:val="0"/>
            <w:vAlign w:val="center"/>
          </w:tcPr>
          <w:p w14:paraId="7AC750A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color w:val="auto"/>
                <w:sz w:val="24"/>
                <w:szCs w:val="24"/>
                <w:highlight w:val="none"/>
              </w:rPr>
            </w:pPr>
            <w:bookmarkStart w:id="8" w:name="OLE_LINK1"/>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val="en-US" w:eastAsia="zh-CN"/>
              </w:rPr>
              <w:t>污染物排放</w:t>
            </w:r>
            <w:r>
              <w:rPr>
                <w:rFonts w:hint="default" w:ascii="Times New Roman" w:hAnsi="Times New Roman" w:eastAsia="宋体" w:cs="Times New Roman"/>
                <w:color w:val="auto"/>
                <w:sz w:val="24"/>
                <w:szCs w:val="24"/>
                <w:highlight w:val="none"/>
              </w:rPr>
              <w:t>总量为：COD：0.</w:t>
            </w:r>
            <w:r>
              <w:rPr>
                <w:rFonts w:hint="eastAsia" w:cs="Times New Roman"/>
                <w:color w:val="auto"/>
                <w:sz w:val="24"/>
                <w:szCs w:val="24"/>
                <w:highlight w:val="none"/>
                <w:lang w:val="en-US" w:eastAsia="zh-CN"/>
              </w:rPr>
              <w:t>028</w:t>
            </w:r>
            <w:r>
              <w:rPr>
                <w:rFonts w:hint="default" w:ascii="Times New Roman" w:hAnsi="Times New Roman" w:eastAsia="宋体" w:cs="Times New Roman"/>
                <w:color w:val="auto"/>
                <w:sz w:val="24"/>
                <w:szCs w:val="24"/>
                <w:highlight w:val="none"/>
              </w:rPr>
              <w:t>t/a、氨氮：0.</w:t>
            </w:r>
            <w:r>
              <w:rPr>
                <w:rFonts w:hint="default"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03</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VOC</w:t>
            </w:r>
            <w:r>
              <w:rPr>
                <w:rFonts w:hint="default" w:ascii="Times New Roman" w:hAnsi="Times New Roman" w:eastAsia="宋体" w:cs="Times New Roman"/>
                <w:color w:val="auto"/>
                <w:sz w:val="24"/>
                <w:szCs w:val="24"/>
                <w:highlight w:val="none"/>
                <w:vertAlign w:val="subscript"/>
              </w:rPr>
              <w:t>S</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0.032t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项目废水排入</w:t>
            </w:r>
            <w:r>
              <w:rPr>
                <w:rFonts w:hint="eastAsia" w:cs="Times New Roman"/>
                <w:color w:val="auto"/>
                <w:sz w:val="24"/>
                <w:szCs w:val="24"/>
                <w:highlight w:val="none"/>
                <w:lang w:val="en-US" w:eastAsia="zh-CN"/>
              </w:rPr>
              <w:t>沣西新城沣河污水</w:t>
            </w:r>
            <w:r>
              <w:rPr>
                <w:rFonts w:hint="default" w:ascii="Times New Roman" w:hAnsi="Times New Roman" w:eastAsia="宋体" w:cs="Times New Roman"/>
                <w:color w:val="auto"/>
                <w:sz w:val="24"/>
                <w:szCs w:val="24"/>
                <w:highlight w:val="none"/>
                <w:lang w:val="en-US" w:eastAsia="zh-CN"/>
              </w:rPr>
              <w:t>处理厂</w:t>
            </w:r>
            <w:r>
              <w:rPr>
                <w:rFonts w:hint="eastAsia" w:ascii="Times New Roman" w:hAnsi="Times New Roman" w:eastAsia="宋体" w:cs="Times New Roman"/>
                <w:color w:val="auto"/>
                <w:sz w:val="24"/>
                <w:szCs w:val="24"/>
                <w:highlight w:val="none"/>
                <w:lang w:val="en-US" w:eastAsia="zh-CN"/>
              </w:rPr>
              <w:t>进行处理，水污染物排放总量在</w:t>
            </w:r>
            <w:r>
              <w:rPr>
                <w:rFonts w:hint="eastAsia" w:cs="Times New Roman"/>
                <w:color w:val="auto"/>
                <w:sz w:val="24"/>
                <w:szCs w:val="24"/>
                <w:highlight w:val="none"/>
                <w:lang w:val="en-US" w:eastAsia="zh-CN"/>
              </w:rPr>
              <w:t>沣西新城沣河污水</w:t>
            </w:r>
            <w:r>
              <w:rPr>
                <w:rFonts w:hint="default" w:ascii="Times New Roman" w:hAnsi="Times New Roman" w:eastAsia="宋体" w:cs="Times New Roman"/>
                <w:color w:val="auto"/>
                <w:sz w:val="24"/>
                <w:szCs w:val="24"/>
                <w:highlight w:val="none"/>
                <w:lang w:val="en-US" w:eastAsia="zh-CN"/>
              </w:rPr>
              <w:t>处理厂</w:t>
            </w:r>
            <w:r>
              <w:rPr>
                <w:rFonts w:hint="eastAsia" w:ascii="Times New Roman" w:hAnsi="Times New Roman" w:eastAsia="宋体" w:cs="Times New Roman"/>
                <w:color w:val="auto"/>
                <w:sz w:val="24"/>
                <w:szCs w:val="24"/>
                <w:highlight w:val="none"/>
                <w:lang w:val="en-US" w:eastAsia="zh-CN"/>
              </w:rPr>
              <w:t>中调剂，不须申购总量。</w:t>
            </w:r>
          </w:p>
          <w:bookmarkEnd w:id="8"/>
          <w:p w14:paraId="3CE01B1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本项目总量控制指标</w:t>
            </w:r>
            <w:r>
              <w:rPr>
                <w:rFonts w:hint="default" w:ascii="Times New Roman" w:hAnsi="Times New Roman" w:cs="Times New Roman"/>
                <w:color w:val="auto"/>
                <w:sz w:val="24"/>
                <w:szCs w:val="24"/>
                <w:highlight w:val="none"/>
                <w:lang w:val="en-US" w:eastAsia="zh-CN"/>
              </w:rPr>
              <w:t>建议</w:t>
            </w:r>
            <w:r>
              <w:rPr>
                <w:rFonts w:hint="default" w:ascii="Times New Roman" w:hAnsi="Times New Roman" w:cs="Times New Roman"/>
                <w:color w:val="auto"/>
                <w:sz w:val="24"/>
                <w:szCs w:val="24"/>
                <w:highlight w:val="none"/>
              </w:rPr>
              <w:t>为：VOC</w:t>
            </w:r>
            <w:r>
              <w:rPr>
                <w:rFonts w:hint="default" w:ascii="Times New Roman" w:hAnsi="Times New Roman" w:cs="Times New Roman"/>
                <w:color w:val="auto"/>
                <w:sz w:val="24"/>
                <w:szCs w:val="24"/>
                <w:highlight w:val="none"/>
                <w:vertAlign w:val="subscript"/>
              </w:rPr>
              <w:t>S</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0.032t</w:t>
            </w: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highlight w:val="none"/>
                <w:lang w:eastAsia="zh-CN"/>
              </w:rPr>
              <w:t>。</w:t>
            </w:r>
          </w:p>
          <w:p w14:paraId="639C4581">
            <w:pPr>
              <w:widowControl/>
              <w:spacing w:line="360" w:lineRule="auto"/>
              <w:ind w:firstLine="600" w:firstLineChars="250"/>
              <w:jc w:val="center"/>
              <w:rPr>
                <w:rFonts w:hint="default" w:ascii="Times New Roman" w:hAnsi="Times New Roman" w:cs="Times New Roman"/>
                <w:color w:val="auto"/>
                <w:sz w:val="24"/>
                <w:szCs w:val="24"/>
              </w:rPr>
            </w:pPr>
          </w:p>
        </w:tc>
      </w:tr>
    </w:tbl>
    <w:p w14:paraId="7F355D25">
      <w:pPr>
        <w:pStyle w:val="24"/>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Style w:val="28"/>
        <w:tblW w:w="8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2"/>
        <w:gridCol w:w="8501"/>
      </w:tblGrid>
      <w:tr w14:paraId="18DF6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8" w:hRule="atLeast"/>
          <w:jc w:val="center"/>
        </w:trPr>
        <w:tc>
          <w:tcPr>
            <w:tcW w:w="412" w:type="dxa"/>
            <w:tcMar>
              <w:left w:w="28" w:type="dxa"/>
              <w:right w:w="28" w:type="dxa"/>
            </w:tcMar>
            <w:vAlign w:val="center"/>
          </w:tcPr>
          <w:p w14:paraId="0DDA66CC">
            <w:pPr>
              <w:pStyle w:val="24"/>
              <w:adjustRightInd w:val="0"/>
              <w:snapToGrid w:val="0"/>
              <w:spacing w:before="0" w:beforeAutospacing="0" w:after="0" w:afterAutospacing="0"/>
              <w:jc w:val="center"/>
              <w:rPr>
                <w:rFonts w:hint="default" w:ascii="Times New Roman" w:hAnsi="Times New Roman" w:cs="Times New Roman"/>
                <w:b/>
                <w:color w:val="auto"/>
                <w:kern w:val="2"/>
                <w:szCs w:val="24"/>
              </w:rPr>
            </w:pPr>
            <w:r>
              <w:rPr>
                <w:rFonts w:hint="default" w:ascii="Times New Roman" w:hAnsi="Times New Roman" w:cs="Times New Roman"/>
                <w:b/>
                <w:color w:val="auto"/>
                <w:kern w:val="2"/>
                <w:szCs w:val="24"/>
              </w:rPr>
              <w:t>施工</w:t>
            </w:r>
          </w:p>
          <w:p w14:paraId="24152881">
            <w:pPr>
              <w:pStyle w:val="24"/>
              <w:adjustRightInd w:val="0"/>
              <w:snapToGrid w:val="0"/>
              <w:spacing w:before="0" w:beforeAutospacing="0" w:after="0" w:afterAutospacing="0"/>
              <w:jc w:val="center"/>
              <w:rPr>
                <w:rFonts w:hint="default" w:ascii="Times New Roman" w:hAnsi="Times New Roman" w:cs="Times New Roman"/>
                <w:b/>
                <w:color w:val="auto"/>
                <w:kern w:val="2"/>
                <w:szCs w:val="24"/>
              </w:rPr>
            </w:pPr>
            <w:r>
              <w:rPr>
                <w:rFonts w:hint="default" w:ascii="Times New Roman" w:hAnsi="Times New Roman" w:cs="Times New Roman"/>
                <w:b/>
                <w:color w:val="auto"/>
                <w:kern w:val="2"/>
                <w:szCs w:val="24"/>
              </w:rPr>
              <w:t>期环</w:t>
            </w:r>
          </w:p>
          <w:p w14:paraId="239E7496">
            <w:pPr>
              <w:pStyle w:val="24"/>
              <w:adjustRightInd w:val="0"/>
              <w:snapToGrid w:val="0"/>
              <w:spacing w:before="0" w:beforeAutospacing="0" w:after="0" w:afterAutospacing="0"/>
              <w:jc w:val="center"/>
              <w:rPr>
                <w:rFonts w:hint="default" w:ascii="Times New Roman" w:hAnsi="Times New Roman" w:cs="Times New Roman"/>
                <w:b/>
                <w:color w:val="auto"/>
                <w:kern w:val="2"/>
                <w:szCs w:val="24"/>
              </w:rPr>
            </w:pPr>
            <w:r>
              <w:rPr>
                <w:rFonts w:hint="default" w:ascii="Times New Roman" w:hAnsi="Times New Roman" w:cs="Times New Roman"/>
                <w:b/>
                <w:color w:val="auto"/>
                <w:kern w:val="2"/>
                <w:szCs w:val="24"/>
              </w:rPr>
              <w:t>境保</w:t>
            </w:r>
          </w:p>
          <w:p w14:paraId="1F4BA830">
            <w:pPr>
              <w:pStyle w:val="24"/>
              <w:adjustRightInd w:val="0"/>
              <w:snapToGrid w:val="0"/>
              <w:spacing w:before="0" w:beforeAutospacing="0" w:after="0" w:afterAutospacing="0"/>
              <w:jc w:val="center"/>
              <w:rPr>
                <w:rFonts w:hint="default" w:ascii="Times New Roman" w:hAnsi="Times New Roman" w:cs="Times New Roman"/>
                <w:b/>
                <w:color w:val="auto"/>
                <w:kern w:val="2"/>
                <w:szCs w:val="24"/>
              </w:rPr>
            </w:pPr>
            <w:r>
              <w:rPr>
                <w:rFonts w:hint="default" w:ascii="Times New Roman" w:hAnsi="Times New Roman" w:cs="Times New Roman"/>
                <w:b/>
                <w:color w:val="auto"/>
                <w:kern w:val="2"/>
                <w:szCs w:val="24"/>
              </w:rPr>
              <w:t>护措</w:t>
            </w:r>
          </w:p>
          <w:p w14:paraId="3A0F9812">
            <w:pPr>
              <w:pStyle w:val="24"/>
              <w:adjustRightInd w:val="0"/>
              <w:snapToGrid w:val="0"/>
              <w:spacing w:before="0" w:beforeAutospacing="0" w:after="0" w:afterAutospacing="0"/>
              <w:jc w:val="center"/>
              <w:rPr>
                <w:rFonts w:hint="default" w:ascii="Times New Roman" w:hAnsi="Times New Roman" w:cs="Times New Roman"/>
                <w:bCs/>
                <w:color w:val="auto"/>
                <w:kern w:val="2"/>
                <w:sz w:val="21"/>
                <w:szCs w:val="21"/>
              </w:rPr>
            </w:pPr>
            <w:r>
              <w:rPr>
                <w:rFonts w:hint="default" w:ascii="Times New Roman" w:hAnsi="Times New Roman" w:cs="Times New Roman"/>
                <w:b/>
                <w:color w:val="auto"/>
                <w:kern w:val="2"/>
                <w:szCs w:val="24"/>
              </w:rPr>
              <w:t>施</w:t>
            </w:r>
          </w:p>
        </w:tc>
        <w:tc>
          <w:tcPr>
            <w:tcW w:w="8501" w:type="dxa"/>
            <w:vAlign w:val="center"/>
          </w:tcPr>
          <w:p w14:paraId="61DBDBA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360" w:firstLineChars="15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w:t>
            </w:r>
            <w:r>
              <w:rPr>
                <w:rFonts w:hint="eastAsia" w:cs="Times New Roman"/>
                <w:bCs/>
                <w:color w:val="auto"/>
                <w:sz w:val="24"/>
                <w:szCs w:val="24"/>
                <w:lang w:eastAsia="zh-CN"/>
              </w:rPr>
              <w:t>租用</w:t>
            </w:r>
            <w:r>
              <w:rPr>
                <w:rFonts w:hint="default" w:ascii="Times New Roman" w:hAnsi="Times New Roman" w:eastAsia="宋体" w:cs="Times New Roman"/>
                <w:color w:val="auto"/>
                <w:kern w:val="0"/>
                <w:sz w:val="24"/>
                <w:szCs w:val="24"/>
                <w:lang w:val="en-US" w:eastAsia="zh-CN"/>
              </w:rPr>
              <w:t>陕西凯怡东方置业有限公司</w:t>
            </w:r>
            <w:r>
              <w:rPr>
                <w:rFonts w:hint="eastAsia" w:ascii="Times New Roman" w:hAnsi="Times New Roman" w:eastAsia="宋体" w:cs="Times New Roman"/>
                <w:color w:val="auto"/>
                <w:sz w:val="24"/>
                <w:szCs w:val="24"/>
                <w:highlight w:val="none"/>
                <w:lang w:val="en-US" w:eastAsia="zh-CN"/>
              </w:rPr>
              <w:t>隆桥瑞苑</w:t>
            </w:r>
            <w:r>
              <w:rPr>
                <w:rFonts w:hint="eastAsia" w:cs="Times New Roman"/>
                <w:color w:val="auto"/>
                <w:sz w:val="24"/>
                <w:szCs w:val="24"/>
                <w:highlight w:val="none"/>
                <w:lang w:val="en-US" w:eastAsia="zh-CN"/>
              </w:rPr>
              <w:t>12号楼</w:t>
            </w:r>
            <w:r>
              <w:rPr>
                <w:rFonts w:hint="eastAsia" w:cs="Times New Roman"/>
                <w:color w:val="auto"/>
                <w:kern w:val="0"/>
                <w:sz w:val="24"/>
                <w:szCs w:val="24"/>
                <w:lang w:val="en-US" w:eastAsia="zh-CN"/>
              </w:rPr>
              <w:t>商业</w:t>
            </w:r>
            <w:r>
              <w:rPr>
                <w:rFonts w:hint="eastAsia" w:ascii="Times New Roman" w:hAnsi="Times New Roman" w:eastAsia="宋体" w:cs="Times New Roman"/>
                <w:color w:val="auto"/>
                <w:sz w:val="24"/>
                <w:szCs w:val="24"/>
                <w:highlight w:val="none"/>
                <w:lang w:val="en-US" w:eastAsia="zh-CN"/>
              </w:rPr>
              <w:t>三层</w:t>
            </w:r>
            <w:r>
              <w:rPr>
                <w:rFonts w:hint="eastAsia" w:cs="Times New Roman"/>
                <w:color w:val="auto"/>
                <w:sz w:val="24"/>
                <w:szCs w:val="24"/>
                <w:highlight w:val="none"/>
                <w:lang w:val="en-US" w:eastAsia="zh-CN"/>
              </w:rPr>
              <w:t>北侧</w:t>
            </w:r>
            <w:r>
              <w:rPr>
                <w:rFonts w:hint="eastAsia" w:cs="Times New Roman"/>
                <w:color w:val="auto"/>
                <w:kern w:val="0"/>
                <w:sz w:val="24"/>
                <w:szCs w:val="24"/>
                <w:lang w:val="en-US" w:eastAsia="zh-CN"/>
              </w:rPr>
              <w:t>区域</w:t>
            </w:r>
            <w:r>
              <w:rPr>
                <w:rFonts w:hint="default" w:ascii="Times New Roman" w:hAnsi="Times New Roman" w:eastAsia="宋体" w:cs="Times New Roman"/>
                <w:bCs/>
                <w:color w:val="auto"/>
                <w:sz w:val="24"/>
                <w:szCs w:val="24"/>
                <w:lang w:val="en-US" w:eastAsia="zh-CN"/>
              </w:rPr>
              <w:t>，</w:t>
            </w:r>
            <w:r>
              <w:rPr>
                <w:rFonts w:hint="eastAsia" w:cs="Times New Roman"/>
                <w:bCs/>
                <w:color w:val="auto"/>
                <w:sz w:val="24"/>
                <w:szCs w:val="24"/>
                <w:lang w:val="en-US" w:eastAsia="zh-CN"/>
              </w:rPr>
              <w:t>目前商业楼已建成，</w:t>
            </w:r>
            <w:r>
              <w:rPr>
                <w:rFonts w:hint="default" w:ascii="Times New Roman" w:hAnsi="Times New Roman" w:eastAsia="宋体" w:cs="Times New Roman"/>
                <w:bCs/>
                <w:color w:val="auto"/>
                <w:sz w:val="24"/>
                <w:szCs w:val="24"/>
                <w:lang w:val="en-US" w:eastAsia="zh-CN"/>
              </w:rPr>
              <w:t>不需新建构筑物，</w:t>
            </w:r>
            <w:r>
              <w:rPr>
                <w:rFonts w:hint="eastAsia" w:cs="Times New Roman"/>
                <w:bCs/>
                <w:color w:val="auto"/>
                <w:sz w:val="24"/>
                <w:szCs w:val="24"/>
                <w:lang w:val="en-US" w:eastAsia="zh-CN"/>
              </w:rPr>
              <w:t>施工期仅</w:t>
            </w:r>
            <w:r>
              <w:rPr>
                <w:rFonts w:hint="default" w:ascii="Times New Roman" w:hAnsi="Times New Roman" w:eastAsia="宋体" w:cs="Times New Roman"/>
                <w:bCs/>
                <w:color w:val="auto"/>
                <w:sz w:val="24"/>
                <w:szCs w:val="24"/>
                <w:lang w:val="en-US" w:eastAsia="zh-CN"/>
              </w:rPr>
              <w:t>进行设备</w:t>
            </w:r>
            <w:r>
              <w:rPr>
                <w:rFonts w:hint="eastAsia" w:cs="Times New Roman"/>
                <w:bCs/>
                <w:color w:val="auto"/>
                <w:sz w:val="24"/>
                <w:szCs w:val="24"/>
                <w:lang w:val="en-US" w:eastAsia="zh-CN"/>
              </w:rPr>
              <w:t>、环保设备</w:t>
            </w:r>
            <w:r>
              <w:rPr>
                <w:rFonts w:hint="default" w:ascii="Times New Roman" w:hAnsi="Times New Roman" w:eastAsia="宋体" w:cs="Times New Roman"/>
                <w:bCs/>
                <w:color w:val="auto"/>
                <w:sz w:val="24"/>
                <w:szCs w:val="24"/>
                <w:lang w:val="en-US" w:eastAsia="zh-CN"/>
              </w:rPr>
              <w:t>安装。</w:t>
            </w:r>
            <w:r>
              <w:rPr>
                <w:rFonts w:hint="default" w:ascii="Times New Roman" w:hAnsi="Times New Roman" w:eastAsia="宋体" w:cs="Times New Roman"/>
                <w:bCs/>
                <w:color w:val="auto"/>
                <w:sz w:val="24"/>
                <w:szCs w:val="24"/>
              </w:rPr>
              <w:t>项目施工期主要污染物有：废气（扬尘、运输车辆机械尾气）、废水（施工人员生活污水）、噪声（机械噪声、车辆交通噪声）、固体废物（施工人员生活垃圾、废包装物）等。</w:t>
            </w:r>
          </w:p>
          <w:p w14:paraId="7F7D4B99">
            <w:pPr>
              <w:adjustRightInd w:val="0"/>
              <w:snapToGrid w:val="0"/>
              <w:spacing w:line="360" w:lineRule="auto"/>
              <w:ind w:firstLine="360" w:firstLineChars="15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1、施工期废气环境保护措施</w:t>
            </w:r>
          </w:p>
          <w:p w14:paraId="2A31F76E">
            <w:pPr>
              <w:adjustRightInd w:val="0"/>
              <w:snapToGrid w:val="0"/>
              <w:spacing w:line="360" w:lineRule="auto"/>
              <w:ind w:firstLine="360" w:firstLineChars="15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设备安装阶段废气主要为运输车辆、设备安装产生的少量粉尘及汽车尾气，设备安装阶段运输车辆较少，经大气扩散后对周围环境影响较小。这些施工过程中产生的大气污染均为暂时性污染，随着施工过程的结束，该污染环节也将随之消失。</w:t>
            </w:r>
          </w:p>
          <w:p w14:paraId="4B45E7A8">
            <w:pPr>
              <w:adjustRightInd w:val="0"/>
              <w:snapToGrid w:val="0"/>
              <w:spacing w:line="360" w:lineRule="auto"/>
              <w:ind w:firstLine="360" w:firstLineChars="15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2、施工期废水环境保护措施</w:t>
            </w:r>
          </w:p>
          <w:p w14:paraId="1EDD653F">
            <w:pPr>
              <w:adjustRightInd w:val="0"/>
              <w:snapToGrid w:val="0"/>
              <w:spacing w:line="360" w:lineRule="auto"/>
              <w:ind w:firstLine="360" w:firstLineChars="15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本项目在现有</w:t>
            </w:r>
            <w:r>
              <w:rPr>
                <w:rFonts w:hint="eastAsia" w:cs="Times New Roman"/>
                <w:bCs/>
                <w:color w:val="auto"/>
                <w:sz w:val="24"/>
                <w:szCs w:val="24"/>
                <w:lang w:val="en-US" w:eastAsia="zh-CN"/>
              </w:rPr>
              <w:t>商业楼</w:t>
            </w:r>
            <w:r>
              <w:rPr>
                <w:rFonts w:hint="default" w:ascii="Times New Roman" w:hAnsi="Times New Roman" w:eastAsia="宋体" w:cs="Times New Roman"/>
                <w:bCs/>
                <w:color w:val="auto"/>
                <w:sz w:val="24"/>
                <w:szCs w:val="24"/>
              </w:rPr>
              <w:t>内施工，施工人员生活污水依托现有</w:t>
            </w:r>
            <w:r>
              <w:rPr>
                <w:rFonts w:hint="default" w:ascii="Times New Roman" w:hAnsi="Times New Roman" w:cs="Times New Roman"/>
                <w:bCs/>
                <w:color w:val="auto"/>
                <w:sz w:val="24"/>
                <w:szCs w:val="24"/>
                <w:lang w:val="en-US" w:eastAsia="zh-CN"/>
              </w:rPr>
              <w:t>生活</w:t>
            </w:r>
            <w:r>
              <w:rPr>
                <w:rFonts w:hint="default" w:ascii="Times New Roman" w:hAnsi="Times New Roman" w:eastAsia="宋体" w:cs="Times New Roman"/>
                <w:bCs/>
                <w:color w:val="auto"/>
                <w:sz w:val="24"/>
                <w:szCs w:val="24"/>
              </w:rPr>
              <w:t>设施。</w:t>
            </w:r>
          </w:p>
          <w:p w14:paraId="32865804">
            <w:pPr>
              <w:adjustRightInd w:val="0"/>
              <w:snapToGrid w:val="0"/>
              <w:spacing w:line="360" w:lineRule="auto"/>
              <w:ind w:firstLine="360" w:firstLineChars="15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3、施工期噪声环境保护措施</w:t>
            </w:r>
          </w:p>
          <w:p w14:paraId="5252A203">
            <w:pPr>
              <w:adjustRightInd w:val="0"/>
              <w:snapToGrid w:val="0"/>
              <w:spacing w:line="360" w:lineRule="auto"/>
              <w:ind w:firstLine="360" w:firstLineChars="15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本项目在现有厂房内购置相关生产设备，施工期主要为设备安装调试过程产生的偶发性噪声，施工期间采用科学合理的措施对设备进行安装调控，可有效减少偶发性噪声。</w:t>
            </w:r>
          </w:p>
          <w:p w14:paraId="47BF2D45">
            <w:pPr>
              <w:adjustRightInd w:val="0"/>
              <w:snapToGrid w:val="0"/>
              <w:spacing w:line="360" w:lineRule="auto"/>
              <w:ind w:firstLine="360" w:firstLineChars="15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4、施工期固废环境保护措施</w:t>
            </w:r>
          </w:p>
          <w:p w14:paraId="7491CA03">
            <w:pPr>
              <w:pStyle w:val="93"/>
              <w:keepNext w:val="0"/>
              <w:keepLines w:val="0"/>
              <w:pageBreakBefore w:val="0"/>
              <w:widowControl w:val="0"/>
              <w:kinsoku/>
              <w:wordWrap/>
              <w:overflowPunct/>
              <w:topLinePunct w:val="0"/>
              <w:autoSpaceDE w:val="0"/>
              <w:autoSpaceDN w:val="0"/>
              <w:bidi w:val="0"/>
              <w:adjustRightInd w:val="0"/>
              <w:snapToGrid/>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本项目施工期固体废物主要为设备安装产生的废包装材料及施工人员生活垃圾。施工期设备安装产生的废包装材料外售综合利用，不随意丢弃。施工人员生活垃圾定点收集后，</w:t>
            </w:r>
            <w:r>
              <w:rPr>
                <w:rFonts w:hint="default" w:ascii="Times New Roman" w:hAnsi="Times New Roman" w:eastAsia="宋体" w:cs="Times New Roman"/>
                <w:bCs/>
                <w:color w:val="auto"/>
                <w:sz w:val="24"/>
                <w:szCs w:val="24"/>
                <w:lang w:val="en-US" w:eastAsia="zh-CN"/>
              </w:rPr>
              <w:t>定期交由当地环卫部门进行处置</w:t>
            </w:r>
            <w:r>
              <w:rPr>
                <w:rFonts w:hint="default" w:ascii="Times New Roman" w:hAnsi="Times New Roman" w:eastAsia="宋体" w:cs="Times New Roman"/>
                <w:bCs/>
                <w:color w:val="auto"/>
                <w:sz w:val="24"/>
                <w:szCs w:val="24"/>
              </w:rPr>
              <w:t>，对环境影响较小。由于项目施工周期较短，故在采取措施的情况下，项目施工期对周围环境影响较小。</w:t>
            </w:r>
          </w:p>
          <w:p w14:paraId="062C4529">
            <w:pPr>
              <w:pStyle w:val="93"/>
              <w:keepNext w:val="0"/>
              <w:keepLines w:val="0"/>
              <w:pageBreakBefore w:val="0"/>
              <w:widowControl w:val="0"/>
              <w:kinsoku/>
              <w:wordWrap/>
              <w:overflowPunct/>
              <w:topLinePunct w:val="0"/>
              <w:autoSpaceDE w:val="0"/>
              <w:autoSpaceDN w:val="0"/>
              <w:bidi w:val="0"/>
              <w:adjustRightInd w:val="0"/>
              <w:snapToGrid/>
              <w:textAlignment w:val="auto"/>
              <w:rPr>
                <w:rFonts w:hint="default" w:ascii="Times New Roman" w:hAnsi="Times New Roman" w:eastAsia="宋体" w:cs="Times New Roman"/>
                <w:bCs/>
                <w:color w:val="auto"/>
                <w:sz w:val="24"/>
                <w:szCs w:val="24"/>
              </w:rPr>
            </w:pPr>
          </w:p>
          <w:p w14:paraId="74190DA0">
            <w:pPr>
              <w:pStyle w:val="93"/>
              <w:keepNext w:val="0"/>
              <w:keepLines w:val="0"/>
              <w:pageBreakBefore w:val="0"/>
              <w:widowControl w:val="0"/>
              <w:kinsoku/>
              <w:wordWrap/>
              <w:overflowPunct/>
              <w:topLinePunct w:val="0"/>
              <w:autoSpaceDE w:val="0"/>
              <w:autoSpaceDN w:val="0"/>
              <w:bidi w:val="0"/>
              <w:adjustRightInd w:val="0"/>
              <w:snapToGrid/>
              <w:textAlignment w:val="auto"/>
              <w:rPr>
                <w:rFonts w:hint="default" w:ascii="Times New Roman" w:hAnsi="Times New Roman" w:eastAsia="宋体" w:cs="Times New Roman"/>
                <w:bCs/>
                <w:color w:val="auto"/>
                <w:sz w:val="24"/>
                <w:szCs w:val="24"/>
              </w:rPr>
            </w:pPr>
          </w:p>
          <w:p w14:paraId="27745F4F">
            <w:pPr>
              <w:pStyle w:val="93"/>
              <w:keepNext w:val="0"/>
              <w:keepLines w:val="0"/>
              <w:pageBreakBefore w:val="0"/>
              <w:widowControl w:val="0"/>
              <w:kinsoku/>
              <w:wordWrap/>
              <w:overflowPunct/>
              <w:topLinePunct w:val="0"/>
              <w:autoSpaceDE w:val="0"/>
              <w:autoSpaceDN w:val="0"/>
              <w:bidi w:val="0"/>
              <w:adjustRightInd w:val="0"/>
              <w:snapToGrid/>
              <w:textAlignment w:val="auto"/>
              <w:rPr>
                <w:rFonts w:hint="default" w:ascii="Times New Roman" w:hAnsi="Times New Roman" w:eastAsia="宋体" w:cs="Times New Roman"/>
                <w:bCs/>
                <w:color w:val="auto"/>
                <w:sz w:val="24"/>
                <w:szCs w:val="24"/>
              </w:rPr>
            </w:pPr>
          </w:p>
          <w:p w14:paraId="08AE4640">
            <w:pPr>
              <w:pStyle w:val="93"/>
              <w:keepNext w:val="0"/>
              <w:keepLines w:val="0"/>
              <w:pageBreakBefore w:val="0"/>
              <w:widowControl w:val="0"/>
              <w:kinsoku/>
              <w:wordWrap/>
              <w:overflowPunct/>
              <w:topLinePunct w:val="0"/>
              <w:autoSpaceDE w:val="0"/>
              <w:autoSpaceDN w:val="0"/>
              <w:bidi w:val="0"/>
              <w:adjustRightInd w:val="0"/>
              <w:snapToGrid/>
              <w:textAlignment w:val="auto"/>
              <w:rPr>
                <w:rFonts w:hint="default" w:ascii="Times New Roman" w:hAnsi="Times New Roman" w:eastAsia="宋体" w:cs="Times New Roman"/>
                <w:bCs/>
                <w:color w:val="auto"/>
                <w:sz w:val="24"/>
                <w:szCs w:val="24"/>
              </w:rPr>
            </w:pPr>
          </w:p>
          <w:p w14:paraId="1FC5326D">
            <w:pPr>
              <w:pStyle w:val="93"/>
              <w:keepNext w:val="0"/>
              <w:keepLines w:val="0"/>
              <w:pageBreakBefore w:val="0"/>
              <w:widowControl w:val="0"/>
              <w:kinsoku/>
              <w:wordWrap/>
              <w:overflowPunct/>
              <w:topLinePunct w:val="0"/>
              <w:autoSpaceDE w:val="0"/>
              <w:autoSpaceDN w:val="0"/>
              <w:bidi w:val="0"/>
              <w:adjustRightInd w:val="0"/>
              <w:snapToGrid/>
              <w:textAlignment w:val="auto"/>
              <w:rPr>
                <w:rFonts w:hint="default" w:ascii="Times New Roman" w:hAnsi="Times New Roman" w:eastAsia="宋体" w:cs="Times New Roman"/>
                <w:bCs/>
                <w:color w:val="auto"/>
                <w:sz w:val="24"/>
                <w:szCs w:val="24"/>
              </w:rPr>
            </w:pPr>
          </w:p>
        </w:tc>
      </w:tr>
      <w:tr w14:paraId="7D9AB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9" w:hRule="atLeast"/>
          <w:jc w:val="center"/>
        </w:trPr>
        <w:tc>
          <w:tcPr>
            <w:tcW w:w="412" w:type="dxa"/>
            <w:tcBorders>
              <w:left w:val="single" w:color="auto" w:sz="4" w:space="0"/>
            </w:tcBorders>
            <w:tcMar>
              <w:left w:w="28" w:type="dxa"/>
              <w:right w:w="28" w:type="dxa"/>
            </w:tcMar>
            <w:vAlign w:val="center"/>
          </w:tcPr>
          <w:p w14:paraId="5F7924E9">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运营</w:t>
            </w:r>
          </w:p>
          <w:p w14:paraId="12B16CC4">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期环</w:t>
            </w:r>
          </w:p>
          <w:p w14:paraId="4820ADBF">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境影</w:t>
            </w:r>
          </w:p>
          <w:p w14:paraId="07CD9A0A">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响和</w:t>
            </w:r>
          </w:p>
          <w:p w14:paraId="7C7E8611">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保护</w:t>
            </w:r>
          </w:p>
          <w:p w14:paraId="38CD2A4C">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
                <w:bCs/>
                <w:color w:val="auto"/>
                <w:sz w:val="24"/>
              </w:rPr>
              <w:t>措施</w:t>
            </w:r>
          </w:p>
        </w:tc>
        <w:tc>
          <w:tcPr>
            <w:tcW w:w="8501" w:type="dxa"/>
            <w:vAlign w:val="center"/>
          </w:tcPr>
          <w:p w14:paraId="5A4AFD47">
            <w:pPr>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项目营运期对环境的影响主要是废气、废水、噪声、固体废物等方面。</w:t>
            </w:r>
          </w:p>
          <w:p w14:paraId="0F8C9F46">
            <w:pPr>
              <w:adjustRightInd w:val="0"/>
              <w:snapToGrid w:val="0"/>
              <w:spacing w:line="360" w:lineRule="auto"/>
              <w:ind w:firstLine="482" w:firstLineChars="200"/>
              <w:jc w:val="left"/>
              <w:rPr>
                <w:b/>
                <w:bCs/>
                <w:color w:val="auto"/>
                <w:sz w:val="24"/>
              </w:rPr>
            </w:pPr>
            <w:r>
              <w:rPr>
                <w:b/>
                <w:bCs/>
                <w:color w:val="auto"/>
                <w:sz w:val="24"/>
              </w:rPr>
              <w:t>一、废气</w:t>
            </w:r>
          </w:p>
          <w:p w14:paraId="2D59612B">
            <w:pPr>
              <w:adjustRightInd w:val="0"/>
              <w:snapToGrid w:val="0"/>
              <w:spacing w:line="360" w:lineRule="auto"/>
              <w:ind w:firstLine="480"/>
              <w:rPr>
                <w:bCs/>
                <w:color w:val="auto"/>
                <w:sz w:val="24"/>
              </w:rPr>
            </w:pPr>
            <w:r>
              <w:rPr>
                <w:bCs/>
                <w:color w:val="auto"/>
                <w:sz w:val="24"/>
              </w:rPr>
              <w:t>项目运营期产生的废气主要包括</w:t>
            </w:r>
            <w:r>
              <w:rPr>
                <w:rFonts w:hint="eastAsia"/>
                <w:bCs/>
                <w:color w:val="auto"/>
                <w:sz w:val="24"/>
                <w:lang w:val="en-US" w:eastAsia="zh-CN"/>
              </w:rPr>
              <w:t>原料药材粉碎产生的粉尘、有机溶剂挥发产生的有机废气</w:t>
            </w:r>
            <w:r>
              <w:rPr>
                <w:bCs/>
                <w:color w:val="auto"/>
                <w:sz w:val="24"/>
              </w:rPr>
              <w:t>、</w:t>
            </w:r>
            <w:r>
              <w:rPr>
                <w:rFonts w:hint="eastAsia"/>
                <w:bCs/>
                <w:color w:val="auto"/>
                <w:sz w:val="24"/>
                <w:lang w:val="en-US" w:eastAsia="zh-CN"/>
              </w:rPr>
              <w:t>氨水挥发产生的少量氨气以及中药药材蒸煮、过滤产生的异味气体</w:t>
            </w:r>
            <w:r>
              <w:rPr>
                <w:bCs/>
                <w:color w:val="auto"/>
                <w:sz w:val="24"/>
              </w:rPr>
              <w:t>。</w:t>
            </w:r>
          </w:p>
          <w:p w14:paraId="4B584FB6">
            <w:pPr>
              <w:adjustRightInd w:val="0"/>
              <w:snapToGrid w:val="0"/>
              <w:spacing w:line="360" w:lineRule="auto"/>
              <w:ind w:firstLine="480"/>
              <w:rPr>
                <w:b/>
                <w:bCs/>
                <w:color w:val="auto"/>
                <w:sz w:val="24"/>
              </w:rPr>
            </w:pPr>
            <w:r>
              <w:rPr>
                <w:b/>
                <w:bCs/>
                <w:color w:val="auto"/>
                <w:sz w:val="24"/>
              </w:rPr>
              <w:t>1、废气污染源产排情况</w:t>
            </w:r>
          </w:p>
          <w:p w14:paraId="0A3EA00D">
            <w:pPr>
              <w:pStyle w:val="93"/>
              <w:snapToGrid/>
              <w:rPr>
                <w:color w:val="auto"/>
              </w:rPr>
            </w:pPr>
            <w:r>
              <w:rPr>
                <w:color w:val="auto"/>
              </w:rPr>
              <w:t>本项目废气产排信息见表4-1，废气排放口信息见表4-2。</w:t>
            </w:r>
          </w:p>
          <w:p w14:paraId="33DA4E95">
            <w:pPr>
              <w:pStyle w:val="27"/>
              <w:spacing w:after="0"/>
              <w:ind w:left="0" w:leftChars="0" w:firstLine="0" w:firstLineChars="0"/>
              <w:jc w:val="center"/>
              <w:rPr>
                <w:b/>
                <w:bCs/>
                <w:color w:val="auto"/>
              </w:rPr>
            </w:pPr>
            <w:r>
              <w:rPr>
                <w:b/>
                <w:bCs/>
                <w:color w:val="auto"/>
              </w:rPr>
              <w:t>表4-1</w:t>
            </w:r>
            <w:r>
              <w:rPr>
                <w:rFonts w:hint="eastAsia"/>
                <w:b/>
                <w:bCs/>
                <w:color w:val="auto"/>
                <w:lang w:val="en-US" w:eastAsia="zh-CN"/>
              </w:rPr>
              <w:t xml:space="preserve">  </w:t>
            </w:r>
            <w:r>
              <w:rPr>
                <w:b/>
                <w:bCs/>
                <w:color w:val="auto"/>
              </w:rPr>
              <w:t>项目废气产排情况一览表</w:t>
            </w:r>
          </w:p>
          <w:tbl>
            <w:tblPr>
              <w:tblStyle w:val="29"/>
              <w:tblW w:w="83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1"/>
              <w:gridCol w:w="689"/>
              <w:gridCol w:w="611"/>
              <w:gridCol w:w="735"/>
              <w:gridCol w:w="1129"/>
              <w:gridCol w:w="716"/>
              <w:gridCol w:w="727"/>
              <w:gridCol w:w="1696"/>
              <w:gridCol w:w="703"/>
              <w:gridCol w:w="712"/>
            </w:tblGrid>
            <w:tr w14:paraId="1FFD1B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601" w:type="dxa"/>
                  <w:vMerge w:val="restart"/>
                  <w:tcBorders>
                    <w:tl2br w:val="nil"/>
                    <w:tr2bl w:val="nil"/>
                  </w:tcBorders>
                  <w:noWrap w:val="0"/>
                  <w:vAlign w:val="center"/>
                </w:tcPr>
                <w:p w14:paraId="26875A8B">
                  <w:pPr>
                    <w:jc w:val="center"/>
                    <w:rPr>
                      <w:color w:val="auto"/>
                      <w:sz w:val="18"/>
                      <w:szCs w:val="18"/>
                    </w:rPr>
                  </w:pPr>
                  <w:r>
                    <w:rPr>
                      <w:color w:val="auto"/>
                      <w:sz w:val="18"/>
                      <w:szCs w:val="18"/>
                    </w:rPr>
                    <w:t>产污</w:t>
                  </w:r>
                </w:p>
                <w:p w14:paraId="4FA1FFAF">
                  <w:pPr>
                    <w:jc w:val="center"/>
                    <w:rPr>
                      <w:color w:val="auto"/>
                      <w:sz w:val="18"/>
                      <w:szCs w:val="18"/>
                    </w:rPr>
                  </w:pPr>
                  <w:r>
                    <w:rPr>
                      <w:color w:val="auto"/>
                      <w:sz w:val="18"/>
                      <w:szCs w:val="18"/>
                    </w:rPr>
                    <w:t>环节</w:t>
                  </w:r>
                </w:p>
              </w:tc>
              <w:tc>
                <w:tcPr>
                  <w:tcW w:w="689" w:type="dxa"/>
                  <w:vMerge w:val="restart"/>
                  <w:tcBorders>
                    <w:tl2br w:val="nil"/>
                    <w:tr2bl w:val="nil"/>
                  </w:tcBorders>
                  <w:noWrap w:val="0"/>
                  <w:vAlign w:val="center"/>
                </w:tcPr>
                <w:p w14:paraId="59690751">
                  <w:pPr>
                    <w:jc w:val="center"/>
                    <w:rPr>
                      <w:color w:val="auto"/>
                      <w:sz w:val="18"/>
                      <w:szCs w:val="18"/>
                    </w:rPr>
                  </w:pPr>
                  <w:r>
                    <w:rPr>
                      <w:color w:val="auto"/>
                      <w:sz w:val="18"/>
                      <w:szCs w:val="18"/>
                    </w:rPr>
                    <w:t>污染物</w:t>
                  </w:r>
                </w:p>
                <w:p w14:paraId="33E13FE8">
                  <w:pPr>
                    <w:jc w:val="center"/>
                    <w:rPr>
                      <w:color w:val="auto"/>
                      <w:sz w:val="18"/>
                      <w:szCs w:val="18"/>
                    </w:rPr>
                  </w:pPr>
                  <w:r>
                    <w:rPr>
                      <w:color w:val="auto"/>
                      <w:sz w:val="18"/>
                      <w:szCs w:val="18"/>
                    </w:rPr>
                    <w:t>种类</w:t>
                  </w:r>
                </w:p>
              </w:tc>
              <w:tc>
                <w:tcPr>
                  <w:tcW w:w="611" w:type="dxa"/>
                  <w:vMerge w:val="restart"/>
                  <w:tcBorders>
                    <w:tl2br w:val="nil"/>
                    <w:tr2bl w:val="nil"/>
                  </w:tcBorders>
                  <w:noWrap w:val="0"/>
                  <w:vAlign w:val="center"/>
                </w:tcPr>
                <w:p w14:paraId="53F8DB4D">
                  <w:pPr>
                    <w:jc w:val="center"/>
                    <w:rPr>
                      <w:color w:val="auto"/>
                      <w:sz w:val="18"/>
                      <w:szCs w:val="18"/>
                    </w:rPr>
                  </w:pPr>
                  <w:r>
                    <w:rPr>
                      <w:color w:val="auto"/>
                      <w:sz w:val="18"/>
                      <w:szCs w:val="18"/>
                    </w:rPr>
                    <w:t>排放</w:t>
                  </w:r>
                </w:p>
                <w:p w14:paraId="0BDFBBAF">
                  <w:pPr>
                    <w:jc w:val="center"/>
                    <w:rPr>
                      <w:color w:val="auto"/>
                      <w:sz w:val="18"/>
                      <w:szCs w:val="18"/>
                    </w:rPr>
                  </w:pPr>
                  <w:r>
                    <w:rPr>
                      <w:color w:val="auto"/>
                      <w:sz w:val="18"/>
                      <w:szCs w:val="18"/>
                    </w:rPr>
                    <w:t>形式</w:t>
                  </w:r>
                </w:p>
              </w:tc>
              <w:tc>
                <w:tcPr>
                  <w:tcW w:w="735" w:type="dxa"/>
                  <w:vMerge w:val="restart"/>
                  <w:tcBorders>
                    <w:tl2br w:val="nil"/>
                    <w:tr2bl w:val="nil"/>
                  </w:tcBorders>
                  <w:noWrap w:val="0"/>
                  <w:vAlign w:val="center"/>
                </w:tcPr>
                <w:p w14:paraId="2B977200">
                  <w:pPr>
                    <w:jc w:val="center"/>
                    <w:rPr>
                      <w:color w:val="auto"/>
                      <w:sz w:val="18"/>
                      <w:szCs w:val="18"/>
                    </w:rPr>
                  </w:pPr>
                  <w:r>
                    <w:rPr>
                      <w:color w:val="auto"/>
                      <w:sz w:val="18"/>
                      <w:szCs w:val="18"/>
                    </w:rPr>
                    <w:t>产生量</w:t>
                  </w:r>
                </w:p>
                <w:p w14:paraId="30A3AA05">
                  <w:pPr>
                    <w:pStyle w:val="36"/>
                    <w:jc w:val="center"/>
                    <w:rPr>
                      <w:rFonts w:ascii="Times New Roman" w:cs="Times New Roman"/>
                      <w:color w:val="auto"/>
                      <w:sz w:val="18"/>
                      <w:szCs w:val="18"/>
                    </w:rPr>
                  </w:pPr>
                  <w:r>
                    <w:rPr>
                      <w:rFonts w:ascii="Times New Roman" w:cs="Times New Roman"/>
                      <w:color w:val="auto"/>
                      <w:sz w:val="18"/>
                      <w:szCs w:val="18"/>
                    </w:rPr>
                    <w:t>t/a</w:t>
                  </w:r>
                </w:p>
              </w:tc>
              <w:tc>
                <w:tcPr>
                  <w:tcW w:w="1129" w:type="dxa"/>
                  <w:vMerge w:val="restart"/>
                  <w:tcBorders>
                    <w:tl2br w:val="nil"/>
                    <w:tr2bl w:val="nil"/>
                  </w:tcBorders>
                  <w:noWrap w:val="0"/>
                  <w:vAlign w:val="center"/>
                </w:tcPr>
                <w:p w14:paraId="2E1FBF94">
                  <w:pPr>
                    <w:jc w:val="center"/>
                    <w:rPr>
                      <w:color w:val="auto"/>
                      <w:sz w:val="18"/>
                      <w:szCs w:val="18"/>
                    </w:rPr>
                  </w:pPr>
                  <w:r>
                    <w:rPr>
                      <w:color w:val="auto"/>
                      <w:sz w:val="18"/>
                      <w:szCs w:val="18"/>
                    </w:rPr>
                    <w:t>主要防治措施</w:t>
                  </w:r>
                </w:p>
              </w:tc>
              <w:tc>
                <w:tcPr>
                  <w:tcW w:w="716" w:type="dxa"/>
                  <w:vMerge w:val="restart"/>
                  <w:tcBorders>
                    <w:tl2br w:val="nil"/>
                    <w:tr2bl w:val="nil"/>
                  </w:tcBorders>
                  <w:noWrap w:val="0"/>
                  <w:vAlign w:val="center"/>
                </w:tcPr>
                <w:p w14:paraId="495010C4">
                  <w:pPr>
                    <w:jc w:val="center"/>
                    <w:rPr>
                      <w:rFonts w:hint="eastAsia" w:eastAsia="宋体"/>
                      <w:color w:val="auto"/>
                      <w:sz w:val="18"/>
                      <w:szCs w:val="18"/>
                      <w:lang w:eastAsia="zh-CN"/>
                    </w:rPr>
                  </w:pPr>
                  <w:r>
                    <w:rPr>
                      <w:color w:val="auto"/>
                      <w:sz w:val="18"/>
                      <w:szCs w:val="18"/>
                    </w:rPr>
                    <w:t>处理</w:t>
                  </w:r>
                  <w:r>
                    <w:rPr>
                      <w:rFonts w:hint="eastAsia"/>
                      <w:color w:val="auto"/>
                      <w:sz w:val="18"/>
                      <w:szCs w:val="18"/>
                      <w:lang w:val="en-US" w:eastAsia="zh-CN"/>
                    </w:rPr>
                    <w:t>/集气</w:t>
                  </w:r>
                  <w:r>
                    <w:rPr>
                      <w:color w:val="auto"/>
                      <w:sz w:val="18"/>
                      <w:szCs w:val="18"/>
                    </w:rPr>
                    <w:t>效率%</w:t>
                  </w:r>
                </w:p>
              </w:tc>
              <w:tc>
                <w:tcPr>
                  <w:tcW w:w="727" w:type="dxa"/>
                  <w:vMerge w:val="restart"/>
                  <w:tcBorders>
                    <w:tl2br w:val="nil"/>
                    <w:tr2bl w:val="nil"/>
                  </w:tcBorders>
                  <w:noWrap w:val="0"/>
                  <w:vAlign w:val="center"/>
                </w:tcPr>
                <w:p w14:paraId="6DD48494">
                  <w:pPr>
                    <w:jc w:val="center"/>
                    <w:rPr>
                      <w:color w:val="auto"/>
                      <w:sz w:val="18"/>
                      <w:szCs w:val="18"/>
                    </w:rPr>
                  </w:pPr>
                  <w:r>
                    <w:rPr>
                      <w:color w:val="auto"/>
                      <w:sz w:val="18"/>
                      <w:szCs w:val="18"/>
                    </w:rPr>
                    <w:t>排放浓度mg/m</w:t>
                  </w:r>
                  <w:r>
                    <w:rPr>
                      <w:color w:val="auto"/>
                      <w:sz w:val="18"/>
                      <w:szCs w:val="18"/>
                      <w:vertAlign w:val="superscript"/>
                    </w:rPr>
                    <w:t>3</w:t>
                  </w:r>
                </w:p>
              </w:tc>
              <w:tc>
                <w:tcPr>
                  <w:tcW w:w="2399" w:type="dxa"/>
                  <w:gridSpan w:val="2"/>
                  <w:tcBorders>
                    <w:tl2br w:val="nil"/>
                    <w:tr2bl w:val="nil"/>
                  </w:tcBorders>
                  <w:noWrap w:val="0"/>
                  <w:vAlign w:val="center"/>
                </w:tcPr>
                <w:p w14:paraId="6F16E8D8">
                  <w:pPr>
                    <w:jc w:val="center"/>
                    <w:rPr>
                      <w:color w:val="auto"/>
                      <w:sz w:val="18"/>
                      <w:szCs w:val="18"/>
                    </w:rPr>
                  </w:pPr>
                  <w:r>
                    <w:rPr>
                      <w:color w:val="auto"/>
                      <w:sz w:val="18"/>
                      <w:szCs w:val="18"/>
                    </w:rPr>
                    <w:t>污染物排放标准</w:t>
                  </w:r>
                </w:p>
              </w:tc>
              <w:tc>
                <w:tcPr>
                  <w:tcW w:w="712" w:type="dxa"/>
                  <w:vMerge w:val="restart"/>
                  <w:tcBorders>
                    <w:tl2br w:val="nil"/>
                    <w:tr2bl w:val="nil"/>
                  </w:tcBorders>
                  <w:noWrap w:val="0"/>
                  <w:vAlign w:val="center"/>
                </w:tcPr>
                <w:p w14:paraId="01E86BE8">
                  <w:pPr>
                    <w:jc w:val="center"/>
                    <w:rPr>
                      <w:color w:val="auto"/>
                      <w:sz w:val="18"/>
                      <w:szCs w:val="18"/>
                    </w:rPr>
                  </w:pPr>
                  <w:r>
                    <w:rPr>
                      <w:color w:val="auto"/>
                      <w:sz w:val="18"/>
                      <w:szCs w:val="18"/>
                    </w:rPr>
                    <w:t>排放量t/a</w:t>
                  </w:r>
                </w:p>
              </w:tc>
            </w:tr>
            <w:tr w14:paraId="33871F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dxa"/>
                  <w:vMerge w:val="continue"/>
                  <w:tcBorders>
                    <w:tl2br w:val="nil"/>
                    <w:tr2bl w:val="nil"/>
                  </w:tcBorders>
                  <w:noWrap w:val="0"/>
                  <w:vAlign w:val="center"/>
                </w:tcPr>
                <w:p w14:paraId="2D6DDA69">
                  <w:pPr>
                    <w:jc w:val="center"/>
                    <w:rPr>
                      <w:color w:val="auto"/>
                      <w:sz w:val="18"/>
                      <w:szCs w:val="18"/>
                    </w:rPr>
                  </w:pPr>
                </w:p>
              </w:tc>
              <w:tc>
                <w:tcPr>
                  <w:tcW w:w="689" w:type="dxa"/>
                  <w:vMerge w:val="continue"/>
                  <w:tcBorders>
                    <w:tl2br w:val="nil"/>
                    <w:tr2bl w:val="nil"/>
                  </w:tcBorders>
                  <w:noWrap w:val="0"/>
                  <w:vAlign w:val="center"/>
                </w:tcPr>
                <w:p w14:paraId="14D17D16">
                  <w:pPr>
                    <w:jc w:val="center"/>
                    <w:rPr>
                      <w:color w:val="auto"/>
                      <w:sz w:val="18"/>
                      <w:szCs w:val="18"/>
                    </w:rPr>
                  </w:pPr>
                </w:p>
              </w:tc>
              <w:tc>
                <w:tcPr>
                  <w:tcW w:w="611" w:type="dxa"/>
                  <w:vMerge w:val="continue"/>
                  <w:tcBorders>
                    <w:tl2br w:val="nil"/>
                    <w:tr2bl w:val="nil"/>
                  </w:tcBorders>
                  <w:noWrap w:val="0"/>
                  <w:vAlign w:val="center"/>
                </w:tcPr>
                <w:p w14:paraId="2CAB5F8C">
                  <w:pPr>
                    <w:jc w:val="center"/>
                    <w:rPr>
                      <w:color w:val="auto"/>
                      <w:sz w:val="18"/>
                      <w:szCs w:val="18"/>
                    </w:rPr>
                  </w:pPr>
                </w:p>
              </w:tc>
              <w:tc>
                <w:tcPr>
                  <w:tcW w:w="735" w:type="dxa"/>
                  <w:vMerge w:val="continue"/>
                  <w:tcBorders>
                    <w:tl2br w:val="nil"/>
                    <w:tr2bl w:val="nil"/>
                  </w:tcBorders>
                  <w:noWrap w:val="0"/>
                  <w:vAlign w:val="center"/>
                </w:tcPr>
                <w:p w14:paraId="203FCCB2">
                  <w:pPr>
                    <w:jc w:val="center"/>
                    <w:rPr>
                      <w:color w:val="auto"/>
                      <w:sz w:val="18"/>
                      <w:szCs w:val="18"/>
                    </w:rPr>
                  </w:pPr>
                </w:p>
              </w:tc>
              <w:tc>
                <w:tcPr>
                  <w:tcW w:w="1129" w:type="dxa"/>
                  <w:vMerge w:val="continue"/>
                  <w:tcBorders>
                    <w:tl2br w:val="nil"/>
                    <w:tr2bl w:val="nil"/>
                  </w:tcBorders>
                  <w:noWrap w:val="0"/>
                  <w:vAlign w:val="center"/>
                </w:tcPr>
                <w:p w14:paraId="7922C0F7">
                  <w:pPr>
                    <w:jc w:val="center"/>
                    <w:rPr>
                      <w:color w:val="auto"/>
                      <w:sz w:val="18"/>
                      <w:szCs w:val="18"/>
                    </w:rPr>
                  </w:pPr>
                </w:p>
              </w:tc>
              <w:tc>
                <w:tcPr>
                  <w:tcW w:w="716" w:type="dxa"/>
                  <w:vMerge w:val="continue"/>
                  <w:tcBorders>
                    <w:tl2br w:val="nil"/>
                    <w:tr2bl w:val="nil"/>
                  </w:tcBorders>
                  <w:noWrap w:val="0"/>
                  <w:vAlign w:val="center"/>
                </w:tcPr>
                <w:p w14:paraId="4A884ADE">
                  <w:pPr>
                    <w:jc w:val="center"/>
                    <w:rPr>
                      <w:color w:val="auto"/>
                      <w:sz w:val="18"/>
                      <w:szCs w:val="18"/>
                    </w:rPr>
                  </w:pPr>
                </w:p>
              </w:tc>
              <w:tc>
                <w:tcPr>
                  <w:tcW w:w="727" w:type="dxa"/>
                  <w:vMerge w:val="continue"/>
                  <w:tcBorders>
                    <w:tl2br w:val="nil"/>
                    <w:tr2bl w:val="nil"/>
                  </w:tcBorders>
                  <w:noWrap w:val="0"/>
                  <w:vAlign w:val="center"/>
                </w:tcPr>
                <w:p w14:paraId="57CF5C77">
                  <w:pPr>
                    <w:jc w:val="center"/>
                    <w:rPr>
                      <w:color w:val="auto"/>
                      <w:sz w:val="18"/>
                      <w:szCs w:val="18"/>
                    </w:rPr>
                  </w:pPr>
                </w:p>
              </w:tc>
              <w:tc>
                <w:tcPr>
                  <w:tcW w:w="1696" w:type="dxa"/>
                  <w:tcBorders>
                    <w:tl2br w:val="nil"/>
                    <w:tr2bl w:val="nil"/>
                  </w:tcBorders>
                  <w:noWrap w:val="0"/>
                  <w:vAlign w:val="center"/>
                </w:tcPr>
                <w:p w14:paraId="42DA1793">
                  <w:pPr>
                    <w:jc w:val="center"/>
                    <w:rPr>
                      <w:color w:val="auto"/>
                      <w:sz w:val="18"/>
                      <w:szCs w:val="18"/>
                    </w:rPr>
                  </w:pPr>
                  <w:r>
                    <w:rPr>
                      <w:color w:val="auto"/>
                      <w:sz w:val="18"/>
                      <w:szCs w:val="18"/>
                    </w:rPr>
                    <w:t>标准名称</w:t>
                  </w:r>
                </w:p>
              </w:tc>
              <w:tc>
                <w:tcPr>
                  <w:tcW w:w="703" w:type="dxa"/>
                  <w:tcBorders>
                    <w:tl2br w:val="nil"/>
                    <w:tr2bl w:val="nil"/>
                  </w:tcBorders>
                  <w:noWrap w:val="0"/>
                  <w:vAlign w:val="center"/>
                </w:tcPr>
                <w:p w14:paraId="3CF83E56">
                  <w:pPr>
                    <w:jc w:val="center"/>
                    <w:rPr>
                      <w:color w:val="auto"/>
                      <w:sz w:val="18"/>
                      <w:szCs w:val="18"/>
                    </w:rPr>
                  </w:pPr>
                  <w:r>
                    <w:rPr>
                      <w:color w:val="auto"/>
                      <w:sz w:val="18"/>
                      <w:szCs w:val="18"/>
                    </w:rPr>
                    <w:t>浓度</w:t>
                  </w:r>
                </w:p>
                <w:p w14:paraId="36221C9E">
                  <w:pPr>
                    <w:jc w:val="center"/>
                    <w:rPr>
                      <w:color w:val="auto"/>
                      <w:sz w:val="18"/>
                      <w:szCs w:val="18"/>
                    </w:rPr>
                  </w:pPr>
                  <w:r>
                    <w:rPr>
                      <w:color w:val="auto"/>
                      <w:sz w:val="18"/>
                      <w:szCs w:val="18"/>
                    </w:rPr>
                    <w:t>限值mg/m</w:t>
                  </w:r>
                  <w:r>
                    <w:rPr>
                      <w:color w:val="auto"/>
                      <w:sz w:val="18"/>
                      <w:szCs w:val="18"/>
                      <w:vertAlign w:val="superscript"/>
                    </w:rPr>
                    <w:t>3</w:t>
                  </w:r>
                </w:p>
              </w:tc>
              <w:tc>
                <w:tcPr>
                  <w:tcW w:w="712" w:type="dxa"/>
                  <w:vMerge w:val="continue"/>
                  <w:tcBorders>
                    <w:tl2br w:val="nil"/>
                    <w:tr2bl w:val="nil"/>
                  </w:tcBorders>
                  <w:noWrap w:val="0"/>
                  <w:vAlign w:val="center"/>
                </w:tcPr>
                <w:p w14:paraId="538F4C20">
                  <w:pPr>
                    <w:jc w:val="center"/>
                    <w:rPr>
                      <w:color w:val="auto"/>
                      <w:sz w:val="18"/>
                      <w:szCs w:val="18"/>
                      <w:highlight w:val="yellow"/>
                    </w:rPr>
                  </w:pPr>
                </w:p>
              </w:tc>
            </w:tr>
            <w:tr w14:paraId="44F7BC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dxa"/>
                  <w:tcBorders>
                    <w:tl2br w:val="nil"/>
                    <w:tr2bl w:val="nil"/>
                  </w:tcBorders>
                  <w:noWrap w:val="0"/>
                  <w:vAlign w:val="center"/>
                </w:tcPr>
                <w:p w14:paraId="7350EC49">
                  <w:pPr>
                    <w:jc w:val="center"/>
                    <w:rPr>
                      <w:rFonts w:hint="default" w:eastAsia="宋体"/>
                      <w:color w:val="auto"/>
                      <w:sz w:val="18"/>
                      <w:szCs w:val="18"/>
                      <w:lang w:val="en-US" w:eastAsia="zh-CN"/>
                    </w:rPr>
                  </w:pPr>
                  <w:r>
                    <w:rPr>
                      <w:rFonts w:hint="eastAsia"/>
                      <w:color w:val="auto"/>
                      <w:sz w:val="18"/>
                      <w:szCs w:val="18"/>
                      <w:lang w:val="en-US" w:eastAsia="zh-CN"/>
                    </w:rPr>
                    <w:t>实验室</w:t>
                  </w:r>
                </w:p>
              </w:tc>
              <w:tc>
                <w:tcPr>
                  <w:tcW w:w="689" w:type="dxa"/>
                  <w:tcBorders>
                    <w:tl2br w:val="nil"/>
                    <w:tr2bl w:val="nil"/>
                  </w:tcBorders>
                  <w:noWrap w:val="0"/>
                  <w:vAlign w:val="center"/>
                </w:tcPr>
                <w:p w14:paraId="0304B348">
                  <w:pPr>
                    <w:jc w:val="center"/>
                    <w:rPr>
                      <w:rFonts w:hint="default" w:eastAsia="宋体"/>
                      <w:color w:val="auto"/>
                      <w:sz w:val="18"/>
                      <w:szCs w:val="18"/>
                      <w:lang w:val="en-US" w:eastAsia="zh-CN"/>
                    </w:rPr>
                  </w:pPr>
                  <w:r>
                    <w:rPr>
                      <w:rFonts w:hint="eastAsia"/>
                      <w:color w:val="auto"/>
                      <w:sz w:val="18"/>
                      <w:szCs w:val="18"/>
                      <w:lang w:val="en-US" w:eastAsia="zh-CN"/>
                    </w:rPr>
                    <w:t>非甲烷总烃</w:t>
                  </w:r>
                </w:p>
              </w:tc>
              <w:tc>
                <w:tcPr>
                  <w:tcW w:w="611" w:type="dxa"/>
                  <w:tcBorders>
                    <w:tl2br w:val="nil"/>
                    <w:tr2bl w:val="nil"/>
                  </w:tcBorders>
                  <w:noWrap w:val="0"/>
                  <w:vAlign w:val="center"/>
                </w:tcPr>
                <w:p w14:paraId="1888F5A7">
                  <w:pPr>
                    <w:jc w:val="center"/>
                    <w:rPr>
                      <w:color w:val="auto"/>
                      <w:sz w:val="18"/>
                      <w:szCs w:val="18"/>
                    </w:rPr>
                  </w:pPr>
                  <w:r>
                    <w:rPr>
                      <w:color w:val="auto"/>
                      <w:sz w:val="18"/>
                      <w:szCs w:val="18"/>
                    </w:rPr>
                    <w:t>有组织</w:t>
                  </w:r>
                </w:p>
              </w:tc>
              <w:tc>
                <w:tcPr>
                  <w:tcW w:w="735" w:type="dxa"/>
                  <w:tcBorders>
                    <w:tl2br w:val="nil"/>
                    <w:tr2bl w:val="nil"/>
                  </w:tcBorders>
                  <w:noWrap w:val="0"/>
                  <w:vAlign w:val="center"/>
                </w:tcPr>
                <w:p w14:paraId="422EE05C">
                  <w:pPr>
                    <w:jc w:val="center"/>
                    <w:rPr>
                      <w:rFonts w:hint="default" w:eastAsia="宋体"/>
                      <w:color w:val="auto"/>
                      <w:sz w:val="18"/>
                      <w:szCs w:val="18"/>
                      <w:lang w:val="en-US" w:eastAsia="zh-CN"/>
                    </w:rPr>
                  </w:pPr>
                  <w:r>
                    <w:rPr>
                      <w:rFonts w:hint="eastAsia"/>
                      <w:color w:val="auto"/>
                      <w:sz w:val="18"/>
                      <w:szCs w:val="18"/>
                      <w:lang w:val="en-US" w:eastAsia="zh-CN"/>
                    </w:rPr>
                    <w:t>0.064</w:t>
                  </w:r>
                </w:p>
              </w:tc>
              <w:tc>
                <w:tcPr>
                  <w:tcW w:w="1129" w:type="dxa"/>
                  <w:tcBorders>
                    <w:tl2br w:val="nil"/>
                    <w:tr2bl w:val="nil"/>
                  </w:tcBorders>
                  <w:noWrap w:val="0"/>
                  <w:vAlign w:val="center"/>
                </w:tcPr>
                <w:p w14:paraId="54532C33">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通风橱+活性炭</w:t>
                  </w:r>
                  <w:r>
                    <w:rPr>
                      <w:rFonts w:hint="default" w:ascii="Times New Roman" w:hAnsi="Times New Roman" w:eastAsia="宋体"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5</w:t>
                  </w:r>
                  <w:r>
                    <w:rPr>
                      <w:rFonts w:hint="default" w:ascii="Times New Roman" w:hAnsi="Times New Roman" w:eastAsia="宋体" w:cs="Times New Roman"/>
                      <w:color w:val="auto"/>
                      <w:sz w:val="18"/>
                      <w:szCs w:val="18"/>
                      <w:lang w:val="en-US" w:eastAsia="zh-CN"/>
                    </w:rPr>
                    <w:t>m</w:t>
                  </w:r>
                  <w:r>
                    <w:rPr>
                      <w:rFonts w:hint="eastAsia" w:ascii="Times New Roman" w:hAnsi="Times New Roman" w:eastAsia="宋体" w:cs="Times New Roman"/>
                      <w:color w:val="auto"/>
                      <w:sz w:val="18"/>
                      <w:szCs w:val="18"/>
                      <w:lang w:val="en-US" w:eastAsia="zh-CN"/>
                    </w:rPr>
                    <w:t>高排气筒（DA001）</w:t>
                  </w:r>
                </w:p>
              </w:tc>
              <w:tc>
                <w:tcPr>
                  <w:tcW w:w="716" w:type="dxa"/>
                  <w:tcBorders>
                    <w:tl2br w:val="nil"/>
                    <w:tr2bl w:val="nil"/>
                  </w:tcBorders>
                  <w:noWrap w:val="0"/>
                  <w:vAlign w:val="center"/>
                </w:tcPr>
                <w:p w14:paraId="647415C3">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95/55</w:t>
                  </w:r>
                </w:p>
              </w:tc>
              <w:tc>
                <w:tcPr>
                  <w:tcW w:w="727" w:type="dxa"/>
                  <w:tcBorders>
                    <w:tl2br w:val="nil"/>
                    <w:tr2bl w:val="nil"/>
                  </w:tcBorders>
                  <w:noWrap w:val="0"/>
                  <w:vAlign w:val="center"/>
                </w:tcPr>
                <w:p w14:paraId="18A3A2B7">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5.73</w:t>
                  </w:r>
                </w:p>
              </w:tc>
              <w:tc>
                <w:tcPr>
                  <w:tcW w:w="1696" w:type="dxa"/>
                  <w:tcBorders>
                    <w:tl2br w:val="nil"/>
                    <w:tr2bl w:val="nil"/>
                  </w:tcBorders>
                  <w:noWrap w:val="0"/>
                  <w:vAlign w:val="center"/>
                </w:tcPr>
                <w:p w14:paraId="0E98319A">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《大气污染物综合排放标准》（</w:t>
                  </w:r>
                  <w:r>
                    <w:rPr>
                      <w:rFonts w:hint="default" w:ascii="Times New Roman" w:hAnsi="Times New Roman" w:eastAsia="宋体" w:cs="Times New Roman"/>
                      <w:color w:val="auto"/>
                      <w:sz w:val="18"/>
                      <w:szCs w:val="18"/>
                      <w:lang w:val="en-US" w:eastAsia="zh-CN"/>
                    </w:rPr>
                    <w:t>GB16297-1996</w:t>
                  </w:r>
                  <w:r>
                    <w:rPr>
                      <w:rFonts w:hint="eastAsia" w:ascii="Times New Roman" w:hAnsi="Times New Roman" w:eastAsia="宋体" w:cs="Times New Roman"/>
                      <w:color w:val="auto"/>
                      <w:sz w:val="18"/>
                      <w:szCs w:val="18"/>
                      <w:lang w:val="en-US" w:eastAsia="zh-CN"/>
                    </w:rPr>
                    <w:t>）</w:t>
                  </w:r>
                </w:p>
              </w:tc>
              <w:tc>
                <w:tcPr>
                  <w:tcW w:w="703" w:type="dxa"/>
                  <w:tcBorders>
                    <w:tl2br w:val="nil"/>
                    <w:tr2bl w:val="nil"/>
                  </w:tcBorders>
                  <w:noWrap w:val="0"/>
                  <w:vAlign w:val="center"/>
                </w:tcPr>
                <w:p w14:paraId="0D32A7E0">
                  <w:pPr>
                    <w:jc w:val="center"/>
                    <w:rPr>
                      <w:rFonts w:hint="default" w:eastAsia="宋体"/>
                      <w:color w:val="auto"/>
                      <w:sz w:val="18"/>
                      <w:szCs w:val="18"/>
                      <w:lang w:val="en-US" w:eastAsia="zh-CN"/>
                    </w:rPr>
                  </w:pPr>
                  <w:r>
                    <w:rPr>
                      <w:rFonts w:hint="eastAsia"/>
                      <w:color w:val="auto"/>
                      <w:sz w:val="18"/>
                      <w:szCs w:val="18"/>
                      <w:lang w:val="en-US" w:eastAsia="zh-CN"/>
                    </w:rPr>
                    <w:t>120</w:t>
                  </w:r>
                </w:p>
              </w:tc>
              <w:tc>
                <w:tcPr>
                  <w:tcW w:w="712" w:type="dxa"/>
                  <w:tcBorders>
                    <w:tl2br w:val="nil"/>
                    <w:tr2bl w:val="nil"/>
                  </w:tcBorders>
                  <w:noWrap w:val="0"/>
                  <w:vAlign w:val="center"/>
                </w:tcPr>
                <w:p w14:paraId="52CA3BD6">
                  <w:pPr>
                    <w:jc w:val="center"/>
                    <w:rPr>
                      <w:rFonts w:hint="default" w:eastAsia="宋体"/>
                      <w:color w:val="auto"/>
                      <w:sz w:val="18"/>
                      <w:szCs w:val="18"/>
                      <w:lang w:val="en-US" w:eastAsia="zh-CN"/>
                    </w:rPr>
                  </w:pPr>
                  <w:r>
                    <w:rPr>
                      <w:rFonts w:hint="eastAsia" w:eastAsia="宋体"/>
                      <w:color w:val="auto"/>
                      <w:sz w:val="18"/>
                      <w:szCs w:val="18"/>
                      <w:lang w:val="en-US" w:eastAsia="zh-CN"/>
                    </w:rPr>
                    <w:t>0.029</w:t>
                  </w:r>
                </w:p>
              </w:tc>
            </w:tr>
            <w:tr w14:paraId="0A3EB3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dxa"/>
                  <w:tcBorders>
                    <w:tl2br w:val="nil"/>
                    <w:tr2bl w:val="nil"/>
                  </w:tcBorders>
                  <w:noWrap w:val="0"/>
                  <w:vAlign w:val="center"/>
                </w:tcPr>
                <w:p w14:paraId="44E39F11">
                  <w:pPr>
                    <w:jc w:val="center"/>
                    <w:rPr>
                      <w:rFonts w:hint="default" w:eastAsia="宋体"/>
                      <w:color w:val="auto"/>
                      <w:sz w:val="18"/>
                      <w:szCs w:val="18"/>
                      <w:lang w:val="en-US" w:eastAsia="zh-CN"/>
                    </w:rPr>
                  </w:pPr>
                  <w:r>
                    <w:rPr>
                      <w:rFonts w:hint="eastAsia"/>
                      <w:color w:val="auto"/>
                      <w:sz w:val="18"/>
                      <w:szCs w:val="18"/>
                      <w:lang w:val="en-US" w:eastAsia="zh-CN"/>
                    </w:rPr>
                    <w:t>蒸煮浓缩</w:t>
                  </w:r>
                </w:p>
              </w:tc>
              <w:tc>
                <w:tcPr>
                  <w:tcW w:w="689" w:type="dxa"/>
                  <w:tcBorders>
                    <w:tl2br w:val="nil"/>
                    <w:tr2bl w:val="nil"/>
                  </w:tcBorders>
                  <w:noWrap w:val="0"/>
                  <w:vAlign w:val="center"/>
                </w:tcPr>
                <w:p w14:paraId="63C6A3A5">
                  <w:pPr>
                    <w:jc w:val="center"/>
                    <w:rPr>
                      <w:rFonts w:hint="default" w:eastAsia="宋体"/>
                      <w:color w:val="auto"/>
                      <w:sz w:val="18"/>
                      <w:szCs w:val="18"/>
                      <w:lang w:val="en-US" w:eastAsia="zh-CN"/>
                    </w:rPr>
                  </w:pPr>
                  <w:r>
                    <w:rPr>
                      <w:rFonts w:hint="eastAsia"/>
                      <w:color w:val="auto"/>
                      <w:sz w:val="18"/>
                      <w:szCs w:val="18"/>
                      <w:lang w:val="en-US" w:eastAsia="zh-CN"/>
                    </w:rPr>
                    <w:t>臭气浓度</w:t>
                  </w:r>
                </w:p>
              </w:tc>
              <w:tc>
                <w:tcPr>
                  <w:tcW w:w="611" w:type="dxa"/>
                  <w:tcBorders>
                    <w:tl2br w:val="nil"/>
                    <w:tr2bl w:val="nil"/>
                  </w:tcBorders>
                  <w:noWrap w:val="0"/>
                  <w:vAlign w:val="center"/>
                </w:tcPr>
                <w:p w14:paraId="5A653221">
                  <w:pPr>
                    <w:jc w:val="center"/>
                    <w:rPr>
                      <w:color w:val="auto"/>
                      <w:sz w:val="18"/>
                      <w:szCs w:val="18"/>
                    </w:rPr>
                  </w:pPr>
                  <w:r>
                    <w:rPr>
                      <w:color w:val="auto"/>
                      <w:sz w:val="18"/>
                      <w:szCs w:val="18"/>
                    </w:rPr>
                    <w:t>有组织</w:t>
                  </w:r>
                </w:p>
              </w:tc>
              <w:tc>
                <w:tcPr>
                  <w:tcW w:w="735" w:type="dxa"/>
                  <w:tcBorders>
                    <w:tl2br w:val="nil"/>
                    <w:tr2bl w:val="nil"/>
                  </w:tcBorders>
                  <w:noWrap w:val="0"/>
                  <w:vAlign w:val="center"/>
                </w:tcPr>
                <w:p w14:paraId="6DE5D39F">
                  <w:pPr>
                    <w:jc w:val="center"/>
                    <w:rPr>
                      <w:rFonts w:hint="default" w:eastAsia="宋体"/>
                      <w:color w:val="auto"/>
                      <w:sz w:val="18"/>
                      <w:szCs w:val="18"/>
                      <w:lang w:val="en-US" w:eastAsia="zh-CN"/>
                    </w:rPr>
                  </w:pPr>
                  <w:r>
                    <w:rPr>
                      <w:rFonts w:hint="eastAsia"/>
                      <w:color w:val="auto"/>
                      <w:sz w:val="18"/>
                      <w:szCs w:val="18"/>
                      <w:lang w:val="en-US" w:eastAsia="zh-CN"/>
                    </w:rPr>
                    <w:t>/</w:t>
                  </w:r>
                </w:p>
              </w:tc>
              <w:tc>
                <w:tcPr>
                  <w:tcW w:w="1129" w:type="dxa"/>
                  <w:tcBorders>
                    <w:tl2br w:val="nil"/>
                    <w:tr2bl w:val="nil"/>
                  </w:tcBorders>
                  <w:noWrap w:val="0"/>
                  <w:vAlign w:val="center"/>
                </w:tcPr>
                <w:p w14:paraId="7D209789">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活性炭</w:t>
                  </w:r>
                  <w:r>
                    <w:rPr>
                      <w:rFonts w:hint="default" w:ascii="Times New Roman" w:hAnsi="Times New Roman" w:eastAsia="宋体"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5</w:t>
                  </w:r>
                  <w:r>
                    <w:rPr>
                      <w:rFonts w:hint="default" w:ascii="Times New Roman" w:hAnsi="Times New Roman" w:eastAsia="宋体" w:cs="Times New Roman"/>
                      <w:color w:val="auto"/>
                      <w:sz w:val="18"/>
                      <w:szCs w:val="18"/>
                      <w:lang w:val="en-US" w:eastAsia="zh-CN"/>
                    </w:rPr>
                    <w:t>m</w:t>
                  </w:r>
                  <w:r>
                    <w:rPr>
                      <w:rFonts w:hint="eastAsia" w:ascii="Times New Roman" w:hAnsi="Times New Roman" w:eastAsia="宋体" w:cs="Times New Roman"/>
                      <w:color w:val="auto"/>
                      <w:sz w:val="18"/>
                      <w:szCs w:val="18"/>
                      <w:lang w:val="en-US" w:eastAsia="zh-CN"/>
                    </w:rPr>
                    <w:t>高排气筒（</w:t>
                  </w:r>
                  <w:r>
                    <w:rPr>
                      <w:rFonts w:hint="default" w:ascii="Times New Roman" w:hAnsi="Times New Roman" w:eastAsia="宋体" w:cs="Times New Roman"/>
                      <w:color w:val="auto"/>
                      <w:sz w:val="18"/>
                      <w:szCs w:val="18"/>
                      <w:lang w:val="en-US" w:eastAsia="zh-CN"/>
                    </w:rPr>
                    <w:t>DA00</w:t>
                  </w:r>
                  <w:r>
                    <w:rPr>
                      <w:rFonts w:hint="eastAsia" w:ascii="Times New Roman" w:hAnsi="Times New Roman" w:eastAsia="宋体" w:cs="Times New Roman"/>
                      <w:color w:val="auto"/>
                      <w:sz w:val="18"/>
                      <w:szCs w:val="18"/>
                      <w:lang w:val="en-US" w:eastAsia="zh-CN"/>
                    </w:rPr>
                    <w:t>2）</w:t>
                  </w:r>
                </w:p>
              </w:tc>
              <w:tc>
                <w:tcPr>
                  <w:tcW w:w="716" w:type="dxa"/>
                  <w:tcBorders>
                    <w:tl2br w:val="nil"/>
                    <w:tr2bl w:val="nil"/>
                  </w:tcBorders>
                  <w:noWrap w:val="0"/>
                  <w:vAlign w:val="center"/>
                </w:tcPr>
                <w:p w14:paraId="3E4D8BD7">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85/55</w:t>
                  </w:r>
                </w:p>
              </w:tc>
              <w:tc>
                <w:tcPr>
                  <w:tcW w:w="727" w:type="dxa"/>
                  <w:tcBorders>
                    <w:tl2br w:val="nil"/>
                    <w:tr2bl w:val="nil"/>
                  </w:tcBorders>
                  <w:noWrap w:val="0"/>
                  <w:vAlign w:val="center"/>
                </w:tcPr>
                <w:p w14:paraId="59A3AAD7">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696" w:type="dxa"/>
                  <w:tcBorders>
                    <w:tl2br w:val="nil"/>
                    <w:tr2bl w:val="nil"/>
                  </w:tcBorders>
                  <w:noWrap w:val="0"/>
                  <w:vAlign w:val="center"/>
                </w:tcPr>
                <w:p w14:paraId="51B8AAFD">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20"/>
                      <w:szCs w:val="22"/>
                      <w:lang w:val="en-US" w:eastAsia="zh-CN"/>
                    </w:rPr>
                    <w:t>《恶臭污染物排放标准》（</w:t>
                  </w:r>
                  <w:r>
                    <w:rPr>
                      <w:rFonts w:hint="default" w:ascii="Times New Roman" w:hAnsi="Times New Roman" w:eastAsia="宋体" w:cs="Times New Roman"/>
                      <w:color w:val="auto"/>
                      <w:sz w:val="20"/>
                      <w:szCs w:val="22"/>
                      <w:lang w:val="en-US" w:eastAsia="zh-CN"/>
                    </w:rPr>
                    <w:t>GB14554-93</w:t>
                  </w:r>
                  <w:r>
                    <w:rPr>
                      <w:rFonts w:hint="eastAsia" w:ascii="Times New Roman" w:hAnsi="Times New Roman" w:eastAsia="宋体" w:cs="Times New Roman"/>
                      <w:color w:val="auto"/>
                      <w:sz w:val="20"/>
                      <w:szCs w:val="22"/>
                      <w:lang w:val="en-US" w:eastAsia="zh-CN"/>
                    </w:rPr>
                    <w:t>）</w:t>
                  </w:r>
                </w:p>
              </w:tc>
              <w:tc>
                <w:tcPr>
                  <w:tcW w:w="703" w:type="dxa"/>
                  <w:tcBorders>
                    <w:tl2br w:val="nil"/>
                    <w:tr2bl w:val="nil"/>
                  </w:tcBorders>
                  <w:noWrap w:val="0"/>
                  <w:vAlign w:val="center"/>
                </w:tcPr>
                <w:p w14:paraId="2EB27C45">
                  <w:pPr>
                    <w:jc w:val="center"/>
                    <w:rPr>
                      <w:rFonts w:hint="default" w:eastAsia="宋体"/>
                      <w:color w:val="auto"/>
                      <w:sz w:val="18"/>
                      <w:szCs w:val="18"/>
                      <w:lang w:val="en-US" w:eastAsia="zh-CN"/>
                    </w:rPr>
                  </w:pPr>
                  <w:r>
                    <w:rPr>
                      <w:rFonts w:hint="eastAsia"/>
                      <w:color w:val="auto"/>
                      <w:sz w:val="18"/>
                      <w:szCs w:val="18"/>
                      <w:lang w:val="en-US" w:eastAsia="zh-CN"/>
                    </w:rPr>
                    <w:t>2000（无量纲）</w:t>
                  </w:r>
                </w:p>
              </w:tc>
              <w:tc>
                <w:tcPr>
                  <w:tcW w:w="712" w:type="dxa"/>
                  <w:tcBorders>
                    <w:tl2br w:val="nil"/>
                    <w:tr2bl w:val="nil"/>
                  </w:tcBorders>
                  <w:noWrap w:val="0"/>
                  <w:vAlign w:val="center"/>
                </w:tcPr>
                <w:p w14:paraId="5A18E046">
                  <w:pPr>
                    <w:jc w:val="center"/>
                    <w:rPr>
                      <w:rFonts w:hint="default" w:eastAsia="宋体"/>
                      <w:color w:val="auto"/>
                      <w:sz w:val="18"/>
                      <w:szCs w:val="18"/>
                      <w:lang w:val="en-US" w:eastAsia="zh-CN"/>
                    </w:rPr>
                  </w:pPr>
                  <w:r>
                    <w:rPr>
                      <w:rFonts w:hint="eastAsia"/>
                      <w:color w:val="auto"/>
                      <w:sz w:val="18"/>
                      <w:szCs w:val="18"/>
                      <w:lang w:val="en-US" w:eastAsia="zh-CN"/>
                    </w:rPr>
                    <w:t>/</w:t>
                  </w:r>
                </w:p>
              </w:tc>
            </w:tr>
            <w:tr w14:paraId="2FED7C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dxa"/>
                  <w:tcBorders>
                    <w:tl2br w:val="nil"/>
                    <w:tr2bl w:val="nil"/>
                  </w:tcBorders>
                  <w:noWrap w:val="0"/>
                  <w:vAlign w:val="center"/>
                </w:tcPr>
                <w:p w14:paraId="3D9FC693">
                  <w:pPr>
                    <w:jc w:val="center"/>
                    <w:rPr>
                      <w:rFonts w:hint="default"/>
                      <w:bCs/>
                      <w:color w:val="auto"/>
                      <w:sz w:val="18"/>
                      <w:szCs w:val="18"/>
                      <w:lang w:val="en-US" w:eastAsia="zh-CN"/>
                    </w:rPr>
                  </w:pPr>
                  <w:r>
                    <w:rPr>
                      <w:rFonts w:hint="eastAsia"/>
                      <w:bCs/>
                      <w:color w:val="auto"/>
                      <w:sz w:val="18"/>
                      <w:szCs w:val="18"/>
                      <w:lang w:val="en-US" w:eastAsia="zh-CN"/>
                    </w:rPr>
                    <w:t>粉碎</w:t>
                  </w:r>
                </w:p>
              </w:tc>
              <w:tc>
                <w:tcPr>
                  <w:tcW w:w="689" w:type="dxa"/>
                  <w:tcBorders>
                    <w:tl2br w:val="nil"/>
                    <w:tr2bl w:val="nil"/>
                  </w:tcBorders>
                  <w:noWrap w:val="0"/>
                  <w:vAlign w:val="center"/>
                </w:tcPr>
                <w:p w14:paraId="3B2696A4">
                  <w:pPr>
                    <w:jc w:val="center"/>
                    <w:rPr>
                      <w:rFonts w:hint="eastAsia" w:eastAsia="宋体"/>
                      <w:color w:val="auto"/>
                      <w:sz w:val="18"/>
                      <w:szCs w:val="18"/>
                      <w:lang w:eastAsia="zh-CN"/>
                    </w:rPr>
                  </w:pPr>
                  <w:r>
                    <w:rPr>
                      <w:rFonts w:hint="eastAsia"/>
                      <w:color w:val="auto"/>
                      <w:sz w:val="18"/>
                      <w:szCs w:val="18"/>
                      <w:lang w:val="en-US" w:eastAsia="zh-CN"/>
                    </w:rPr>
                    <w:t>颗粒物</w:t>
                  </w:r>
                </w:p>
              </w:tc>
              <w:tc>
                <w:tcPr>
                  <w:tcW w:w="611" w:type="dxa"/>
                  <w:vMerge w:val="restart"/>
                  <w:tcBorders>
                    <w:tl2br w:val="nil"/>
                    <w:tr2bl w:val="nil"/>
                  </w:tcBorders>
                  <w:noWrap w:val="0"/>
                  <w:vAlign w:val="center"/>
                </w:tcPr>
                <w:p w14:paraId="7506E309">
                  <w:pPr>
                    <w:jc w:val="center"/>
                    <w:rPr>
                      <w:rFonts w:ascii="Times New Roman" w:hAnsi="Times New Roman" w:eastAsia="宋体" w:cs="Times New Roman"/>
                      <w:color w:val="auto"/>
                      <w:kern w:val="2"/>
                      <w:sz w:val="18"/>
                      <w:szCs w:val="18"/>
                      <w:lang w:val="en-US" w:eastAsia="zh-CN" w:bidi="ar-SA"/>
                    </w:rPr>
                  </w:pPr>
                  <w:r>
                    <w:rPr>
                      <w:color w:val="auto"/>
                      <w:sz w:val="18"/>
                      <w:szCs w:val="18"/>
                    </w:rPr>
                    <w:t>无组织</w:t>
                  </w:r>
                </w:p>
              </w:tc>
              <w:tc>
                <w:tcPr>
                  <w:tcW w:w="735" w:type="dxa"/>
                  <w:tcBorders>
                    <w:tl2br w:val="nil"/>
                    <w:tr2bl w:val="nil"/>
                  </w:tcBorders>
                  <w:noWrap w:val="0"/>
                  <w:vAlign w:val="center"/>
                </w:tcPr>
                <w:p w14:paraId="78E75E25">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0.00</w:t>
                  </w:r>
                  <w:r>
                    <w:rPr>
                      <w:rFonts w:hint="eastAsia" w:cs="Times New Roman"/>
                      <w:color w:val="auto"/>
                      <w:kern w:val="2"/>
                      <w:sz w:val="18"/>
                      <w:szCs w:val="18"/>
                      <w:lang w:val="en-US" w:eastAsia="zh-CN" w:bidi="ar-SA"/>
                    </w:rPr>
                    <w:t>12</w:t>
                  </w:r>
                </w:p>
              </w:tc>
              <w:tc>
                <w:tcPr>
                  <w:tcW w:w="1129" w:type="dxa"/>
                  <w:vMerge w:val="restart"/>
                  <w:tcBorders>
                    <w:tl2br w:val="nil"/>
                    <w:tr2bl w:val="nil"/>
                  </w:tcBorders>
                  <w:noWrap w:val="0"/>
                  <w:vAlign w:val="center"/>
                </w:tcPr>
                <w:p w14:paraId="7D490B4D">
                  <w:pPr>
                    <w:jc w:val="center"/>
                    <w:rPr>
                      <w:rFonts w:hint="eastAsia" w:ascii="Times New Roman" w:hAnsi="Times New Roman" w:eastAsia="宋体" w:cs="Times New Roman"/>
                      <w:color w:val="auto"/>
                      <w:sz w:val="18"/>
                      <w:szCs w:val="18"/>
                      <w:lang w:val="en-US" w:eastAsia="zh-CN"/>
                    </w:rPr>
                  </w:pPr>
                  <w:r>
                    <w:rPr>
                      <w:rFonts w:ascii="Times New Roman" w:hAnsi="Times New Roman" w:eastAsia="宋体" w:cs="Times New Roman"/>
                      <w:color w:val="auto"/>
                      <w:sz w:val="18"/>
                      <w:szCs w:val="18"/>
                    </w:rPr>
                    <w:t>封闭</w:t>
                  </w:r>
                  <w:r>
                    <w:rPr>
                      <w:rFonts w:hint="eastAsia" w:cs="Times New Roman"/>
                      <w:color w:val="auto"/>
                      <w:sz w:val="18"/>
                      <w:szCs w:val="18"/>
                      <w:lang w:val="en-US" w:eastAsia="zh-CN"/>
                    </w:rPr>
                    <w:t>房间</w:t>
                  </w:r>
                </w:p>
              </w:tc>
              <w:tc>
                <w:tcPr>
                  <w:tcW w:w="716" w:type="dxa"/>
                  <w:tcBorders>
                    <w:tl2br w:val="nil"/>
                    <w:tr2bl w:val="nil"/>
                  </w:tcBorders>
                  <w:noWrap w:val="0"/>
                  <w:vAlign w:val="center"/>
                </w:tcPr>
                <w:p w14:paraId="44981BC9">
                  <w:pPr>
                    <w:jc w:val="center"/>
                    <w:rPr>
                      <w:rFonts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w:t>
                  </w:r>
                </w:p>
              </w:tc>
              <w:tc>
                <w:tcPr>
                  <w:tcW w:w="727" w:type="dxa"/>
                  <w:tcBorders>
                    <w:tl2br w:val="nil"/>
                    <w:tr2bl w:val="nil"/>
                  </w:tcBorders>
                  <w:noWrap w:val="0"/>
                  <w:vAlign w:val="center"/>
                </w:tcPr>
                <w:p w14:paraId="48247643">
                  <w:pPr>
                    <w:jc w:val="center"/>
                    <w:rPr>
                      <w:rFonts w:hint="eastAsia" w:ascii="Times New Roman" w:hAnsi="Times New Roman" w:eastAsia="宋体" w:cs="Times New Roman"/>
                      <w:color w:val="auto"/>
                      <w:sz w:val="18"/>
                      <w:szCs w:val="18"/>
                      <w:lang w:val="en-US" w:eastAsia="zh-CN"/>
                    </w:rPr>
                  </w:pPr>
                  <w:r>
                    <w:rPr>
                      <w:rFonts w:ascii="Times New Roman" w:hAnsi="Times New Roman" w:eastAsia="宋体" w:cs="Times New Roman"/>
                      <w:color w:val="auto"/>
                      <w:sz w:val="18"/>
                      <w:szCs w:val="18"/>
                    </w:rPr>
                    <w:t>/</w:t>
                  </w:r>
                </w:p>
              </w:tc>
              <w:tc>
                <w:tcPr>
                  <w:tcW w:w="1696" w:type="dxa"/>
                  <w:vMerge w:val="restart"/>
                  <w:tcBorders>
                    <w:tl2br w:val="nil"/>
                    <w:tr2bl w:val="nil"/>
                  </w:tcBorders>
                  <w:noWrap w:val="0"/>
                  <w:vAlign w:val="center"/>
                </w:tcPr>
                <w:p w14:paraId="17FD53B6">
                  <w:pPr>
                    <w:jc w:val="center"/>
                    <w:rPr>
                      <w:rFonts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《大气污染物综合排放标准》（</w:t>
                  </w:r>
                  <w:r>
                    <w:rPr>
                      <w:rFonts w:hint="default" w:ascii="Times New Roman" w:hAnsi="Times New Roman" w:eastAsia="宋体" w:cs="Times New Roman"/>
                      <w:color w:val="auto"/>
                      <w:sz w:val="18"/>
                      <w:szCs w:val="18"/>
                      <w:lang w:val="en-US" w:eastAsia="zh-CN"/>
                    </w:rPr>
                    <w:t>GB16297-1996</w:t>
                  </w:r>
                  <w:r>
                    <w:rPr>
                      <w:rFonts w:hint="eastAsia" w:ascii="Times New Roman" w:hAnsi="Times New Roman" w:eastAsia="宋体" w:cs="Times New Roman"/>
                      <w:color w:val="auto"/>
                      <w:sz w:val="18"/>
                      <w:szCs w:val="18"/>
                      <w:lang w:val="en-US" w:eastAsia="zh-CN"/>
                    </w:rPr>
                    <w:t>）</w:t>
                  </w:r>
                </w:p>
              </w:tc>
              <w:tc>
                <w:tcPr>
                  <w:tcW w:w="703" w:type="dxa"/>
                  <w:tcBorders>
                    <w:tl2br w:val="nil"/>
                    <w:tr2bl w:val="nil"/>
                  </w:tcBorders>
                  <w:noWrap w:val="0"/>
                  <w:vAlign w:val="center"/>
                </w:tcPr>
                <w:p w14:paraId="067D16A4">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1.0</w:t>
                  </w:r>
                </w:p>
              </w:tc>
              <w:tc>
                <w:tcPr>
                  <w:tcW w:w="712" w:type="dxa"/>
                  <w:tcBorders>
                    <w:tl2br w:val="nil"/>
                    <w:tr2bl w:val="nil"/>
                  </w:tcBorders>
                  <w:noWrap w:val="0"/>
                  <w:vAlign w:val="center"/>
                </w:tcPr>
                <w:p w14:paraId="2EBDCF36">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0.0012</w:t>
                  </w:r>
                </w:p>
              </w:tc>
            </w:tr>
            <w:tr w14:paraId="2E31D7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dxa"/>
                  <w:tcBorders>
                    <w:tl2br w:val="nil"/>
                    <w:tr2bl w:val="nil"/>
                  </w:tcBorders>
                  <w:noWrap w:val="0"/>
                  <w:vAlign w:val="center"/>
                </w:tcPr>
                <w:p w14:paraId="35135B55">
                  <w:pPr>
                    <w:jc w:val="center"/>
                    <w:rPr>
                      <w:rFonts w:hint="default"/>
                      <w:bCs/>
                      <w:color w:val="auto"/>
                      <w:sz w:val="18"/>
                      <w:szCs w:val="18"/>
                      <w:lang w:val="en-US" w:eastAsia="zh-CN"/>
                    </w:rPr>
                  </w:pPr>
                  <w:r>
                    <w:rPr>
                      <w:rFonts w:hint="eastAsia"/>
                      <w:bCs/>
                      <w:color w:val="auto"/>
                      <w:sz w:val="18"/>
                      <w:szCs w:val="18"/>
                      <w:lang w:val="en-US" w:eastAsia="zh-CN"/>
                    </w:rPr>
                    <w:t>有机试剂</w:t>
                  </w:r>
                </w:p>
              </w:tc>
              <w:tc>
                <w:tcPr>
                  <w:tcW w:w="689" w:type="dxa"/>
                  <w:tcBorders>
                    <w:tl2br w:val="nil"/>
                    <w:tr2bl w:val="nil"/>
                  </w:tcBorders>
                  <w:noWrap w:val="0"/>
                  <w:vAlign w:val="center"/>
                </w:tcPr>
                <w:p w14:paraId="3495CCEA">
                  <w:pPr>
                    <w:jc w:val="center"/>
                    <w:rPr>
                      <w:color w:val="auto"/>
                      <w:sz w:val="18"/>
                      <w:szCs w:val="18"/>
                    </w:rPr>
                  </w:pPr>
                  <w:r>
                    <w:rPr>
                      <w:rFonts w:hint="eastAsia"/>
                      <w:color w:val="auto"/>
                      <w:sz w:val="18"/>
                      <w:szCs w:val="18"/>
                      <w:lang w:val="en-US" w:eastAsia="zh-CN"/>
                    </w:rPr>
                    <w:t>非甲烷总烃</w:t>
                  </w:r>
                </w:p>
              </w:tc>
              <w:tc>
                <w:tcPr>
                  <w:tcW w:w="611" w:type="dxa"/>
                  <w:vMerge w:val="continue"/>
                  <w:tcBorders>
                    <w:tl2br w:val="nil"/>
                    <w:tr2bl w:val="nil"/>
                  </w:tcBorders>
                  <w:noWrap w:val="0"/>
                  <w:vAlign w:val="center"/>
                </w:tcPr>
                <w:p w14:paraId="0B55A02E">
                  <w:pPr>
                    <w:jc w:val="center"/>
                    <w:rPr>
                      <w:color w:val="auto"/>
                      <w:sz w:val="18"/>
                      <w:szCs w:val="18"/>
                    </w:rPr>
                  </w:pPr>
                </w:p>
              </w:tc>
              <w:tc>
                <w:tcPr>
                  <w:tcW w:w="735" w:type="dxa"/>
                  <w:tcBorders>
                    <w:tl2br w:val="nil"/>
                    <w:tr2bl w:val="nil"/>
                  </w:tcBorders>
                  <w:noWrap w:val="0"/>
                  <w:vAlign w:val="center"/>
                </w:tcPr>
                <w:p w14:paraId="51010785">
                  <w:pPr>
                    <w:jc w:val="center"/>
                    <w:rPr>
                      <w:rFonts w:hint="default"/>
                      <w:color w:val="auto"/>
                      <w:sz w:val="18"/>
                      <w:szCs w:val="18"/>
                      <w:lang w:val="en-US" w:eastAsia="zh-CN"/>
                    </w:rPr>
                  </w:pPr>
                  <w:r>
                    <w:rPr>
                      <w:rFonts w:hint="eastAsia"/>
                      <w:color w:val="auto"/>
                      <w:sz w:val="18"/>
                      <w:szCs w:val="18"/>
                      <w:lang w:val="en-US" w:eastAsia="zh-CN"/>
                    </w:rPr>
                    <w:t>0.003</w:t>
                  </w:r>
                </w:p>
              </w:tc>
              <w:tc>
                <w:tcPr>
                  <w:tcW w:w="1129" w:type="dxa"/>
                  <w:vMerge w:val="continue"/>
                  <w:tcBorders>
                    <w:tl2br w:val="nil"/>
                    <w:tr2bl w:val="nil"/>
                  </w:tcBorders>
                  <w:noWrap w:val="0"/>
                  <w:vAlign w:val="center"/>
                </w:tcPr>
                <w:p w14:paraId="0C32FD38">
                  <w:pPr>
                    <w:jc w:val="center"/>
                    <w:rPr>
                      <w:color w:val="auto"/>
                      <w:sz w:val="18"/>
                      <w:szCs w:val="18"/>
                    </w:rPr>
                  </w:pPr>
                </w:p>
              </w:tc>
              <w:tc>
                <w:tcPr>
                  <w:tcW w:w="716" w:type="dxa"/>
                  <w:tcBorders>
                    <w:tl2br w:val="nil"/>
                    <w:tr2bl w:val="nil"/>
                  </w:tcBorders>
                  <w:noWrap w:val="0"/>
                  <w:vAlign w:val="center"/>
                </w:tcPr>
                <w:p w14:paraId="24735F7F">
                  <w:pPr>
                    <w:jc w:val="center"/>
                    <w:rPr>
                      <w:rFonts w:hint="eastAsia"/>
                      <w:color w:val="auto"/>
                      <w:sz w:val="18"/>
                      <w:szCs w:val="18"/>
                    </w:rPr>
                  </w:pPr>
                  <w:r>
                    <w:rPr>
                      <w:rFonts w:hint="eastAsia"/>
                      <w:color w:val="auto"/>
                      <w:sz w:val="18"/>
                      <w:szCs w:val="18"/>
                    </w:rPr>
                    <w:t>/</w:t>
                  </w:r>
                </w:p>
              </w:tc>
              <w:tc>
                <w:tcPr>
                  <w:tcW w:w="727" w:type="dxa"/>
                  <w:tcBorders>
                    <w:tl2br w:val="nil"/>
                    <w:tr2bl w:val="nil"/>
                  </w:tcBorders>
                  <w:noWrap w:val="0"/>
                  <w:vAlign w:val="center"/>
                </w:tcPr>
                <w:p w14:paraId="2A0349A0">
                  <w:pPr>
                    <w:jc w:val="center"/>
                    <w:rPr>
                      <w:color w:val="auto"/>
                      <w:sz w:val="18"/>
                      <w:szCs w:val="18"/>
                    </w:rPr>
                  </w:pPr>
                  <w:r>
                    <w:rPr>
                      <w:color w:val="auto"/>
                      <w:sz w:val="18"/>
                      <w:szCs w:val="18"/>
                    </w:rPr>
                    <w:t>/</w:t>
                  </w:r>
                </w:p>
              </w:tc>
              <w:tc>
                <w:tcPr>
                  <w:tcW w:w="1696" w:type="dxa"/>
                  <w:vMerge w:val="continue"/>
                  <w:tcBorders>
                    <w:tl2br w:val="nil"/>
                    <w:tr2bl w:val="nil"/>
                  </w:tcBorders>
                  <w:noWrap w:val="0"/>
                  <w:vAlign w:val="center"/>
                </w:tcPr>
                <w:p w14:paraId="2C4CDBE6">
                  <w:pPr>
                    <w:jc w:val="center"/>
                    <w:rPr>
                      <w:rFonts w:ascii="Times New Roman" w:hAnsi="Times New Roman" w:eastAsia="宋体" w:cs="Times New Roman"/>
                      <w:color w:val="auto"/>
                      <w:kern w:val="2"/>
                      <w:sz w:val="18"/>
                      <w:szCs w:val="18"/>
                      <w:lang w:val="en-US" w:eastAsia="zh-CN" w:bidi="ar-SA"/>
                    </w:rPr>
                  </w:pPr>
                </w:p>
              </w:tc>
              <w:tc>
                <w:tcPr>
                  <w:tcW w:w="703" w:type="dxa"/>
                  <w:tcBorders>
                    <w:tl2br w:val="nil"/>
                    <w:tr2bl w:val="nil"/>
                  </w:tcBorders>
                  <w:noWrap w:val="0"/>
                  <w:vAlign w:val="center"/>
                </w:tcPr>
                <w:p w14:paraId="17383A1D">
                  <w:pPr>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4.0</w:t>
                  </w:r>
                </w:p>
              </w:tc>
              <w:tc>
                <w:tcPr>
                  <w:tcW w:w="712" w:type="dxa"/>
                  <w:tcBorders>
                    <w:tl2br w:val="nil"/>
                    <w:tr2bl w:val="nil"/>
                  </w:tcBorders>
                  <w:noWrap w:val="0"/>
                  <w:vAlign w:val="center"/>
                </w:tcPr>
                <w:p w14:paraId="16675238">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0.003</w:t>
                  </w:r>
                </w:p>
              </w:tc>
            </w:tr>
          </w:tbl>
          <w:p w14:paraId="096DE7D7">
            <w:pPr>
              <w:pStyle w:val="27"/>
              <w:spacing w:after="0"/>
              <w:ind w:left="0" w:leftChars="0" w:firstLine="0" w:firstLineChars="0"/>
              <w:jc w:val="center"/>
              <w:rPr>
                <w:b/>
                <w:bCs/>
                <w:color w:val="auto"/>
                <w:sz w:val="21"/>
                <w:szCs w:val="16"/>
              </w:rPr>
            </w:pPr>
            <w:r>
              <w:rPr>
                <w:b/>
                <w:bCs/>
                <w:color w:val="auto"/>
                <w:sz w:val="21"/>
                <w:szCs w:val="16"/>
              </w:rPr>
              <w:t>表4-2</w:t>
            </w:r>
            <w:r>
              <w:rPr>
                <w:rFonts w:hint="eastAsia"/>
                <w:b/>
                <w:bCs/>
                <w:color w:val="auto"/>
                <w:sz w:val="21"/>
                <w:szCs w:val="16"/>
                <w:lang w:val="en-US" w:eastAsia="zh-CN"/>
              </w:rPr>
              <w:t xml:space="preserve">  </w:t>
            </w:r>
            <w:r>
              <w:rPr>
                <w:b/>
                <w:bCs/>
                <w:color w:val="auto"/>
                <w:sz w:val="21"/>
                <w:szCs w:val="16"/>
              </w:rPr>
              <w:t>项目废气排放口基本情况表</w:t>
            </w:r>
          </w:p>
          <w:tbl>
            <w:tblPr>
              <w:tblStyle w:val="28"/>
              <w:tblW w:w="830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177"/>
              <w:gridCol w:w="823"/>
              <w:gridCol w:w="889"/>
              <w:gridCol w:w="1620"/>
              <w:gridCol w:w="1117"/>
              <w:gridCol w:w="736"/>
              <w:gridCol w:w="1005"/>
              <w:gridCol w:w="934"/>
            </w:tblGrid>
            <w:tr w14:paraId="745064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77" w:type="dxa"/>
                  <w:tcBorders>
                    <w:tl2br w:val="nil"/>
                    <w:tr2bl w:val="nil"/>
                  </w:tcBorders>
                  <w:noWrap w:val="0"/>
                  <w:vAlign w:val="center"/>
                </w:tcPr>
                <w:p w14:paraId="12831727">
                  <w:pPr>
                    <w:snapToGrid w:val="0"/>
                    <w:spacing w:before="36" w:beforeLines="15" w:after="36" w:afterLines="15"/>
                    <w:jc w:val="center"/>
                    <w:rPr>
                      <w:color w:val="auto"/>
                      <w:sz w:val="21"/>
                      <w:szCs w:val="21"/>
                      <w:lang w:val="en-GB"/>
                    </w:rPr>
                  </w:pPr>
                  <w:r>
                    <w:rPr>
                      <w:color w:val="auto"/>
                      <w:sz w:val="21"/>
                      <w:szCs w:val="21"/>
                      <w:lang w:val="en-GB"/>
                    </w:rPr>
                    <w:t>名称</w:t>
                  </w:r>
                </w:p>
              </w:tc>
              <w:tc>
                <w:tcPr>
                  <w:tcW w:w="823" w:type="dxa"/>
                  <w:tcBorders>
                    <w:tl2br w:val="nil"/>
                    <w:tr2bl w:val="nil"/>
                  </w:tcBorders>
                  <w:noWrap w:val="0"/>
                  <w:vAlign w:val="center"/>
                </w:tcPr>
                <w:p w14:paraId="1ACE66C9">
                  <w:pPr>
                    <w:snapToGrid w:val="0"/>
                    <w:spacing w:before="36" w:beforeLines="15" w:after="36" w:afterLines="15"/>
                    <w:jc w:val="center"/>
                    <w:rPr>
                      <w:color w:val="auto"/>
                      <w:sz w:val="21"/>
                      <w:szCs w:val="21"/>
                    </w:rPr>
                  </w:pPr>
                  <w:r>
                    <w:rPr>
                      <w:color w:val="auto"/>
                      <w:sz w:val="21"/>
                      <w:szCs w:val="21"/>
                    </w:rPr>
                    <w:t>编号</w:t>
                  </w:r>
                </w:p>
              </w:tc>
              <w:tc>
                <w:tcPr>
                  <w:tcW w:w="889" w:type="dxa"/>
                  <w:tcBorders>
                    <w:tl2br w:val="nil"/>
                    <w:tr2bl w:val="nil"/>
                  </w:tcBorders>
                  <w:noWrap w:val="0"/>
                  <w:vAlign w:val="center"/>
                </w:tcPr>
                <w:p w14:paraId="4EC09E08">
                  <w:pPr>
                    <w:snapToGrid w:val="0"/>
                    <w:spacing w:before="36" w:beforeLines="15" w:after="36" w:afterLines="15"/>
                    <w:jc w:val="center"/>
                    <w:rPr>
                      <w:color w:val="auto"/>
                      <w:sz w:val="21"/>
                      <w:szCs w:val="21"/>
                    </w:rPr>
                  </w:pPr>
                  <w:r>
                    <w:rPr>
                      <w:color w:val="auto"/>
                      <w:sz w:val="21"/>
                      <w:szCs w:val="21"/>
                    </w:rPr>
                    <w:t>类型</w:t>
                  </w:r>
                </w:p>
              </w:tc>
              <w:tc>
                <w:tcPr>
                  <w:tcW w:w="1620" w:type="dxa"/>
                  <w:tcBorders>
                    <w:tl2br w:val="nil"/>
                    <w:tr2bl w:val="nil"/>
                  </w:tcBorders>
                  <w:noWrap w:val="0"/>
                  <w:vAlign w:val="center"/>
                </w:tcPr>
                <w:p w14:paraId="3A3644B0">
                  <w:pPr>
                    <w:snapToGrid w:val="0"/>
                    <w:spacing w:before="36" w:beforeLines="15" w:after="36" w:afterLines="15"/>
                    <w:jc w:val="center"/>
                    <w:rPr>
                      <w:color w:val="auto"/>
                      <w:sz w:val="21"/>
                      <w:szCs w:val="21"/>
                      <w:lang w:val="en-GB"/>
                    </w:rPr>
                  </w:pPr>
                  <w:r>
                    <w:rPr>
                      <w:color w:val="auto"/>
                      <w:sz w:val="21"/>
                      <w:szCs w:val="21"/>
                      <w:lang w:val="en-GB"/>
                    </w:rPr>
                    <w:t>排气筒底部中心坐标</w:t>
                  </w:r>
                </w:p>
              </w:tc>
              <w:tc>
                <w:tcPr>
                  <w:tcW w:w="1117" w:type="dxa"/>
                  <w:tcBorders>
                    <w:tl2br w:val="nil"/>
                    <w:tr2bl w:val="nil"/>
                  </w:tcBorders>
                  <w:noWrap w:val="0"/>
                  <w:vAlign w:val="center"/>
                </w:tcPr>
                <w:p w14:paraId="466ACB14">
                  <w:pPr>
                    <w:snapToGrid w:val="0"/>
                    <w:spacing w:before="36" w:beforeLines="15" w:after="36" w:afterLines="15"/>
                    <w:jc w:val="center"/>
                    <w:rPr>
                      <w:color w:val="auto"/>
                      <w:sz w:val="21"/>
                      <w:szCs w:val="21"/>
                      <w:lang w:val="en-GB"/>
                    </w:rPr>
                  </w:pPr>
                  <w:r>
                    <w:rPr>
                      <w:color w:val="auto"/>
                      <w:sz w:val="21"/>
                      <w:szCs w:val="21"/>
                      <w:lang w:val="en-GB"/>
                    </w:rPr>
                    <w:t>排气筒底部海拔高度/m</w:t>
                  </w:r>
                </w:p>
              </w:tc>
              <w:tc>
                <w:tcPr>
                  <w:tcW w:w="736" w:type="dxa"/>
                  <w:tcBorders>
                    <w:tl2br w:val="nil"/>
                    <w:tr2bl w:val="nil"/>
                  </w:tcBorders>
                  <w:noWrap w:val="0"/>
                  <w:vAlign w:val="center"/>
                </w:tcPr>
                <w:p w14:paraId="15070C5C">
                  <w:pPr>
                    <w:snapToGrid w:val="0"/>
                    <w:spacing w:before="36" w:beforeLines="15" w:after="36" w:afterLines="15"/>
                    <w:jc w:val="center"/>
                    <w:rPr>
                      <w:color w:val="auto"/>
                      <w:sz w:val="21"/>
                      <w:szCs w:val="21"/>
                      <w:lang w:val="en-GB"/>
                    </w:rPr>
                  </w:pPr>
                  <w:r>
                    <w:rPr>
                      <w:color w:val="auto"/>
                      <w:sz w:val="21"/>
                      <w:szCs w:val="21"/>
                      <w:lang w:val="en-GB"/>
                    </w:rPr>
                    <w:t>排气筒高度/m</w:t>
                  </w:r>
                </w:p>
              </w:tc>
              <w:tc>
                <w:tcPr>
                  <w:tcW w:w="1005" w:type="dxa"/>
                  <w:tcBorders>
                    <w:tl2br w:val="nil"/>
                    <w:tr2bl w:val="nil"/>
                  </w:tcBorders>
                  <w:noWrap w:val="0"/>
                  <w:vAlign w:val="center"/>
                </w:tcPr>
                <w:p w14:paraId="26F866CF">
                  <w:pPr>
                    <w:snapToGrid w:val="0"/>
                    <w:spacing w:before="36" w:beforeLines="15" w:after="36" w:afterLines="15"/>
                    <w:jc w:val="center"/>
                    <w:rPr>
                      <w:color w:val="auto"/>
                      <w:sz w:val="21"/>
                      <w:szCs w:val="21"/>
                      <w:lang w:val="en-GB"/>
                    </w:rPr>
                  </w:pPr>
                  <w:r>
                    <w:rPr>
                      <w:color w:val="auto"/>
                      <w:sz w:val="21"/>
                      <w:szCs w:val="21"/>
                      <w:lang w:val="en-GB"/>
                    </w:rPr>
                    <w:t>排气筒出口内径/m</w:t>
                  </w:r>
                </w:p>
              </w:tc>
              <w:tc>
                <w:tcPr>
                  <w:tcW w:w="934" w:type="dxa"/>
                  <w:tcBorders>
                    <w:tl2br w:val="nil"/>
                    <w:tr2bl w:val="nil"/>
                  </w:tcBorders>
                  <w:noWrap w:val="0"/>
                  <w:vAlign w:val="center"/>
                </w:tcPr>
                <w:p w14:paraId="731F7EFE">
                  <w:pPr>
                    <w:snapToGrid w:val="0"/>
                    <w:spacing w:before="36" w:beforeLines="15" w:after="36" w:afterLines="15"/>
                    <w:jc w:val="center"/>
                    <w:rPr>
                      <w:color w:val="auto"/>
                      <w:sz w:val="21"/>
                      <w:szCs w:val="21"/>
                      <w:lang w:val="en-GB"/>
                    </w:rPr>
                  </w:pPr>
                  <w:r>
                    <w:rPr>
                      <w:color w:val="auto"/>
                      <w:sz w:val="21"/>
                      <w:szCs w:val="21"/>
                      <w:lang w:val="en-GB"/>
                    </w:rPr>
                    <w:t>烟气温度</w:t>
                  </w:r>
                </w:p>
                <w:p w14:paraId="0A783535">
                  <w:pPr>
                    <w:snapToGrid w:val="0"/>
                    <w:spacing w:before="36" w:beforeLines="15" w:after="36" w:afterLines="15"/>
                    <w:jc w:val="center"/>
                    <w:rPr>
                      <w:color w:val="auto"/>
                      <w:sz w:val="21"/>
                      <w:szCs w:val="21"/>
                      <w:lang w:val="en-GB"/>
                    </w:rPr>
                  </w:pPr>
                  <w:r>
                    <w:rPr>
                      <w:color w:val="auto"/>
                      <w:sz w:val="21"/>
                      <w:szCs w:val="21"/>
                      <w:lang w:val="en-GB"/>
                    </w:rPr>
                    <w:t>/℃</w:t>
                  </w:r>
                </w:p>
              </w:tc>
            </w:tr>
            <w:tr w14:paraId="17B68E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1177" w:type="dxa"/>
                  <w:tcBorders>
                    <w:tl2br w:val="nil"/>
                    <w:tr2bl w:val="nil"/>
                  </w:tcBorders>
                  <w:noWrap w:val="0"/>
                  <w:vAlign w:val="center"/>
                </w:tcPr>
                <w:p w14:paraId="305048F9">
                  <w:pPr>
                    <w:snapToGrid w:val="0"/>
                    <w:spacing w:before="36" w:beforeLines="15" w:after="36" w:afterLines="15"/>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实验室有机废气</w:t>
                  </w:r>
                </w:p>
              </w:tc>
              <w:tc>
                <w:tcPr>
                  <w:tcW w:w="823" w:type="dxa"/>
                  <w:tcBorders>
                    <w:tl2br w:val="nil"/>
                    <w:tr2bl w:val="nil"/>
                  </w:tcBorders>
                  <w:noWrap w:val="0"/>
                  <w:vAlign w:val="center"/>
                </w:tcPr>
                <w:p w14:paraId="27EF1505">
                  <w:pPr>
                    <w:snapToGrid w:val="0"/>
                    <w:spacing w:before="36" w:beforeLines="15" w:after="36" w:afterLines="15"/>
                    <w:jc w:val="center"/>
                    <w:rPr>
                      <w:color w:val="auto"/>
                      <w:sz w:val="21"/>
                      <w:szCs w:val="21"/>
                    </w:rPr>
                  </w:pPr>
                  <w:r>
                    <w:rPr>
                      <w:color w:val="auto"/>
                      <w:sz w:val="21"/>
                      <w:szCs w:val="21"/>
                    </w:rPr>
                    <w:t>DA001</w:t>
                  </w:r>
                </w:p>
              </w:tc>
              <w:tc>
                <w:tcPr>
                  <w:tcW w:w="889" w:type="dxa"/>
                  <w:tcBorders>
                    <w:tl2br w:val="nil"/>
                    <w:tr2bl w:val="nil"/>
                  </w:tcBorders>
                  <w:noWrap w:val="0"/>
                  <w:vAlign w:val="center"/>
                </w:tcPr>
                <w:p w14:paraId="16A84DB5">
                  <w:pPr>
                    <w:snapToGrid w:val="0"/>
                    <w:spacing w:before="36" w:beforeLines="15" w:after="36" w:afterLines="15"/>
                    <w:jc w:val="center"/>
                    <w:rPr>
                      <w:color w:val="auto"/>
                      <w:sz w:val="21"/>
                      <w:szCs w:val="21"/>
                    </w:rPr>
                  </w:pPr>
                  <w:r>
                    <w:rPr>
                      <w:color w:val="auto"/>
                      <w:sz w:val="21"/>
                      <w:szCs w:val="21"/>
                    </w:rPr>
                    <w:t>一般</w:t>
                  </w:r>
                </w:p>
                <w:p w14:paraId="7AED1B8F">
                  <w:pPr>
                    <w:snapToGrid w:val="0"/>
                    <w:spacing w:before="36" w:beforeLines="15" w:after="36" w:afterLines="15"/>
                    <w:jc w:val="center"/>
                    <w:rPr>
                      <w:color w:val="auto"/>
                      <w:sz w:val="21"/>
                      <w:szCs w:val="21"/>
                    </w:rPr>
                  </w:pPr>
                  <w:r>
                    <w:rPr>
                      <w:color w:val="auto"/>
                      <w:sz w:val="21"/>
                      <w:szCs w:val="21"/>
                    </w:rPr>
                    <w:t>排放口</w:t>
                  </w:r>
                </w:p>
              </w:tc>
              <w:tc>
                <w:tcPr>
                  <w:tcW w:w="1620" w:type="dxa"/>
                  <w:tcBorders>
                    <w:tl2br w:val="nil"/>
                    <w:tr2bl w:val="nil"/>
                  </w:tcBorders>
                  <w:noWrap w:val="0"/>
                  <w:vAlign w:val="center"/>
                </w:tcPr>
                <w:p w14:paraId="326F50E0">
                  <w:pPr>
                    <w:snapToGrid w:val="0"/>
                    <w:spacing w:before="36" w:beforeLines="15" w:after="36" w:afterLines="1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108°</w:t>
                  </w:r>
                  <w:r>
                    <w:rPr>
                      <w:rFonts w:hint="eastAsia" w:ascii="Times New Roman" w:hAnsi="Times New Roman" w:cs="Times New Roman"/>
                      <w:color w:val="auto"/>
                      <w:sz w:val="21"/>
                      <w:szCs w:val="21"/>
                      <w:lang w:val="en-US" w:eastAsia="zh-CN"/>
                    </w:rPr>
                    <w:t>44</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1.390</w:t>
                  </w:r>
                  <w:r>
                    <w:rPr>
                      <w:rFonts w:hint="default" w:ascii="Times New Roman" w:hAnsi="Times New Roman" w:cs="Times New Roman"/>
                      <w:color w:val="auto"/>
                      <w:sz w:val="21"/>
                      <w:szCs w:val="21"/>
                    </w:rPr>
                    <w:t>"</w:t>
                  </w:r>
                </w:p>
                <w:p w14:paraId="2A98118E">
                  <w:pPr>
                    <w:snapToGrid w:val="0"/>
                    <w:spacing w:before="36" w:beforeLines="15" w:after="36" w:afterLines="15"/>
                    <w:jc w:val="center"/>
                    <w:rPr>
                      <w:color w:val="auto"/>
                      <w:sz w:val="21"/>
                      <w:szCs w:val="21"/>
                    </w:rPr>
                  </w:pPr>
                  <w:r>
                    <w:rPr>
                      <w:rFonts w:hint="default" w:ascii="Times New Roman" w:hAnsi="Times New Roman" w:cs="Times New Roman"/>
                      <w:color w:val="auto"/>
                      <w:sz w:val="21"/>
                      <w:szCs w:val="21"/>
                    </w:rPr>
                    <w:t>34°</w:t>
                  </w:r>
                  <w:r>
                    <w:rPr>
                      <w:rFonts w:hint="eastAsia" w:ascii="Times New Roman" w:hAnsi="Times New Roman" w:cs="Times New Roman"/>
                      <w:color w:val="auto"/>
                      <w:sz w:val="21"/>
                      <w:szCs w:val="21"/>
                      <w:lang w:val="en-US" w:eastAsia="zh-CN"/>
                    </w:rPr>
                    <w:t>17</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31.418</w:t>
                  </w:r>
                  <w:r>
                    <w:rPr>
                      <w:rFonts w:hint="default" w:ascii="Times New Roman" w:hAnsi="Times New Roman" w:cs="Times New Roman"/>
                      <w:color w:val="auto"/>
                      <w:sz w:val="21"/>
                      <w:szCs w:val="21"/>
                    </w:rPr>
                    <w:t>"</w:t>
                  </w:r>
                </w:p>
              </w:tc>
              <w:tc>
                <w:tcPr>
                  <w:tcW w:w="1117" w:type="dxa"/>
                  <w:tcBorders>
                    <w:tl2br w:val="nil"/>
                    <w:tr2bl w:val="nil"/>
                  </w:tcBorders>
                  <w:noWrap w:val="0"/>
                  <w:vAlign w:val="center"/>
                </w:tcPr>
                <w:p w14:paraId="16351730">
                  <w:pPr>
                    <w:snapToGrid w:val="0"/>
                    <w:spacing w:before="36" w:beforeLines="15" w:after="36" w:afterLines="15"/>
                    <w:jc w:val="center"/>
                    <w:rPr>
                      <w:rFonts w:hint="default" w:eastAsia="宋体"/>
                      <w:color w:val="auto"/>
                      <w:sz w:val="21"/>
                      <w:szCs w:val="21"/>
                      <w:lang w:val="en-US" w:eastAsia="zh-CN"/>
                    </w:rPr>
                  </w:pPr>
                  <w:r>
                    <w:rPr>
                      <w:rFonts w:hint="eastAsia"/>
                      <w:color w:val="auto"/>
                      <w:sz w:val="21"/>
                      <w:szCs w:val="21"/>
                      <w:lang w:val="en-US" w:eastAsia="zh-CN"/>
                    </w:rPr>
                    <w:t>386</w:t>
                  </w:r>
                </w:p>
              </w:tc>
              <w:tc>
                <w:tcPr>
                  <w:tcW w:w="736" w:type="dxa"/>
                  <w:tcBorders>
                    <w:tl2br w:val="nil"/>
                    <w:tr2bl w:val="nil"/>
                  </w:tcBorders>
                  <w:noWrap w:val="0"/>
                  <w:vAlign w:val="center"/>
                </w:tcPr>
                <w:p w14:paraId="46F4E558">
                  <w:pPr>
                    <w:snapToGrid w:val="0"/>
                    <w:spacing w:before="36" w:beforeLines="15" w:after="36" w:afterLines="15"/>
                    <w:jc w:val="center"/>
                    <w:rPr>
                      <w:rFonts w:hint="eastAsia" w:eastAsia="宋体"/>
                      <w:color w:val="auto"/>
                      <w:sz w:val="21"/>
                      <w:szCs w:val="21"/>
                      <w:lang w:eastAsia="zh-CN"/>
                    </w:rPr>
                  </w:pPr>
                  <w:r>
                    <w:rPr>
                      <w:color w:val="auto"/>
                      <w:sz w:val="21"/>
                      <w:szCs w:val="21"/>
                    </w:rPr>
                    <w:t>1</w:t>
                  </w:r>
                  <w:r>
                    <w:rPr>
                      <w:rFonts w:hint="eastAsia"/>
                      <w:color w:val="auto"/>
                      <w:sz w:val="21"/>
                      <w:szCs w:val="21"/>
                      <w:lang w:val="en-US" w:eastAsia="zh-CN"/>
                    </w:rPr>
                    <w:t>5</w:t>
                  </w:r>
                </w:p>
              </w:tc>
              <w:tc>
                <w:tcPr>
                  <w:tcW w:w="1005" w:type="dxa"/>
                  <w:tcBorders>
                    <w:tl2br w:val="nil"/>
                    <w:tr2bl w:val="nil"/>
                  </w:tcBorders>
                  <w:noWrap w:val="0"/>
                  <w:vAlign w:val="center"/>
                </w:tcPr>
                <w:p w14:paraId="4D6854EE">
                  <w:pPr>
                    <w:snapToGrid w:val="0"/>
                    <w:spacing w:before="36" w:beforeLines="15" w:after="36" w:afterLines="15"/>
                    <w:jc w:val="center"/>
                    <w:rPr>
                      <w:rFonts w:hint="default" w:eastAsia="宋体"/>
                      <w:color w:val="auto"/>
                      <w:sz w:val="21"/>
                      <w:szCs w:val="21"/>
                      <w:lang w:val="en-US" w:eastAsia="zh-CN"/>
                    </w:rPr>
                  </w:pPr>
                  <w:r>
                    <w:rPr>
                      <w:rFonts w:hint="eastAsia"/>
                      <w:color w:val="auto"/>
                      <w:sz w:val="21"/>
                      <w:szCs w:val="21"/>
                      <w:lang w:val="en-US" w:eastAsia="zh-CN"/>
                    </w:rPr>
                    <w:t>0.4</w:t>
                  </w:r>
                </w:p>
              </w:tc>
              <w:tc>
                <w:tcPr>
                  <w:tcW w:w="934" w:type="dxa"/>
                  <w:tcBorders>
                    <w:tl2br w:val="nil"/>
                    <w:tr2bl w:val="nil"/>
                  </w:tcBorders>
                  <w:noWrap w:val="0"/>
                  <w:vAlign w:val="center"/>
                </w:tcPr>
                <w:p w14:paraId="34851478">
                  <w:pPr>
                    <w:snapToGrid w:val="0"/>
                    <w:spacing w:before="36" w:beforeLines="15" w:after="36" w:afterLines="15"/>
                    <w:jc w:val="center"/>
                    <w:rPr>
                      <w:rFonts w:hint="eastAsia" w:eastAsia="宋体"/>
                      <w:color w:val="auto"/>
                      <w:sz w:val="21"/>
                      <w:szCs w:val="21"/>
                      <w:lang w:eastAsia="zh-CN"/>
                    </w:rPr>
                  </w:pPr>
                  <w:r>
                    <w:rPr>
                      <w:color w:val="auto"/>
                      <w:sz w:val="21"/>
                      <w:szCs w:val="21"/>
                    </w:rPr>
                    <w:t>2</w:t>
                  </w:r>
                  <w:r>
                    <w:rPr>
                      <w:rFonts w:hint="eastAsia"/>
                      <w:color w:val="auto"/>
                      <w:sz w:val="21"/>
                      <w:szCs w:val="21"/>
                      <w:lang w:val="en-US" w:eastAsia="zh-CN"/>
                    </w:rPr>
                    <w:t>0</w:t>
                  </w:r>
                </w:p>
              </w:tc>
            </w:tr>
            <w:tr w14:paraId="79D0F5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1177" w:type="dxa"/>
                  <w:tcBorders>
                    <w:tl2br w:val="nil"/>
                    <w:tr2bl w:val="nil"/>
                  </w:tcBorders>
                  <w:noWrap w:val="0"/>
                  <w:vAlign w:val="center"/>
                </w:tcPr>
                <w:p w14:paraId="7B588D37">
                  <w:pPr>
                    <w:snapToGrid w:val="0"/>
                    <w:spacing w:before="36" w:beforeLines="15" w:after="36" w:afterLines="15"/>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蒸煮异味</w:t>
                  </w:r>
                </w:p>
              </w:tc>
              <w:tc>
                <w:tcPr>
                  <w:tcW w:w="823" w:type="dxa"/>
                  <w:tcBorders>
                    <w:tl2br w:val="nil"/>
                    <w:tr2bl w:val="nil"/>
                  </w:tcBorders>
                  <w:noWrap w:val="0"/>
                  <w:vAlign w:val="center"/>
                </w:tcPr>
                <w:p w14:paraId="4589B610">
                  <w:pPr>
                    <w:snapToGrid w:val="0"/>
                    <w:spacing w:before="36" w:beforeLines="15" w:after="36" w:afterLines="15"/>
                    <w:jc w:val="center"/>
                    <w:rPr>
                      <w:rFonts w:hint="eastAsia" w:eastAsia="宋体"/>
                      <w:color w:val="auto"/>
                      <w:sz w:val="21"/>
                      <w:szCs w:val="21"/>
                      <w:lang w:eastAsia="zh-CN"/>
                    </w:rPr>
                  </w:pPr>
                  <w:r>
                    <w:rPr>
                      <w:color w:val="auto"/>
                      <w:sz w:val="21"/>
                      <w:szCs w:val="21"/>
                    </w:rPr>
                    <w:t>DA00</w:t>
                  </w:r>
                  <w:r>
                    <w:rPr>
                      <w:rFonts w:hint="eastAsia"/>
                      <w:color w:val="auto"/>
                      <w:sz w:val="21"/>
                      <w:szCs w:val="21"/>
                      <w:lang w:val="en-US" w:eastAsia="zh-CN"/>
                    </w:rPr>
                    <w:t>2</w:t>
                  </w:r>
                </w:p>
              </w:tc>
              <w:tc>
                <w:tcPr>
                  <w:tcW w:w="889" w:type="dxa"/>
                  <w:tcBorders>
                    <w:tl2br w:val="nil"/>
                    <w:tr2bl w:val="nil"/>
                  </w:tcBorders>
                  <w:noWrap w:val="0"/>
                  <w:vAlign w:val="center"/>
                </w:tcPr>
                <w:p w14:paraId="6DC901EB">
                  <w:pPr>
                    <w:snapToGrid w:val="0"/>
                    <w:spacing w:before="36" w:beforeLines="15" w:after="36" w:afterLines="15"/>
                    <w:jc w:val="center"/>
                    <w:rPr>
                      <w:color w:val="auto"/>
                      <w:sz w:val="21"/>
                      <w:szCs w:val="21"/>
                    </w:rPr>
                  </w:pPr>
                  <w:r>
                    <w:rPr>
                      <w:color w:val="auto"/>
                      <w:sz w:val="21"/>
                      <w:szCs w:val="21"/>
                    </w:rPr>
                    <w:t>一般</w:t>
                  </w:r>
                </w:p>
                <w:p w14:paraId="24B8E7CA">
                  <w:pPr>
                    <w:snapToGrid w:val="0"/>
                    <w:spacing w:before="36" w:beforeLines="15" w:after="36" w:afterLines="15"/>
                    <w:jc w:val="center"/>
                    <w:rPr>
                      <w:color w:val="auto"/>
                      <w:sz w:val="21"/>
                      <w:szCs w:val="21"/>
                    </w:rPr>
                  </w:pPr>
                  <w:r>
                    <w:rPr>
                      <w:color w:val="auto"/>
                      <w:sz w:val="21"/>
                      <w:szCs w:val="21"/>
                    </w:rPr>
                    <w:t>排放口</w:t>
                  </w:r>
                </w:p>
              </w:tc>
              <w:tc>
                <w:tcPr>
                  <w:tcW w:w="1620" w:type="dxa"/>
                  <w:tcBorders>
                    <w:tl2br w:val="nil"/>
                    <w:tr2bl w:val="nil"/>
                  </w:tcBorders>
                  <w:noWrap w:val="0"/>
                  <w:vAlign w:val="center"/>
                </w:tcPr>
                <w:p w14:paraId="6B654720">
                  <w:pPr>
                    <w:snapToGrid w:val="0"/>
                    <w:spacing w:before="36" w:beforeLines="15" w:after="36" w:afterLines="1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108°</w:t>
                  </w:r>
                  <w:r>
                    <w:rPr>
                      <w:rFonts w:hint="eastAsia" w:ascii="Times New Roman" w:hAnsi="Times New Roman" w:cs="Times New Roman"/>
                      <w:color w:val="auto"/>
                      <w:sz w:val="21"/>
                      <w:szCs w:val="21"/>
                      <w:lang w:val="en-US" w:eastAsia="zh-CN"/>
                    </w:rPr>
                    <w:t>44</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1.405</w:t>
                  </w:r>
                  <w:r>
                    <w:rPr>
                      <w:rFonts w:hint="default" w:ascii="Times New Roman" w:hAnsi="Times New Roman" w:cs="Times New Roman"/>
                      <w:color w:val="auto"/>
                      <w:sz w:val="21"/>
                      <w:szCs w:val="21"/>
                    </w:rPr>
                    <w:t>"</w:t>
                  </w:r>
                </w:p>
                <w:p w14:paraId="4B932A5F">
                  <w:pPr>
                    <w:snapToGrid w:val="0"/>
                    <w:spacing w:before="36" w:beforeLines="15" w:after="36" w:afterLines="1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r>
                    <w:rPr>
                      <w:rFonts w:hint="eastAsia" w:ascii="Times New Roman" w:hAnsi="Times New Roman" w:cs="Times New Roman"/>
                      <w:color w:val="auto"/>
                      <w:sz w:val="21"/>
                      <w:szCs w:val="21"/>
                      <w:lang w:val="en-US" w:eastAsia="zh-CN"/>
                    </w:rPr>
                    <w:t>17</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31.302</w:t>
                  </w:r>
                  <w:r>
                    <w:rPr>
                      <w:rFonts w:hint="default" w:ascii="Times New Roman" w:hAnsi="Times New Roman" w:cs="Times New Roman"/>
                      <w:color w:val="auto"/>
                      <w:sz w:val="21"/>
                      <w:szCs w:val="21"/>
                    </w:rPr>
                    <w:t>"</w:t>
                  </w:r>
                </w:p>
              </w:tc>
              <w:tc>
                <w:tcPr>
                  <w:tcW w:w="1117" w:type="dxa"/>
                  <w:tcBorders>
                    <w:tl2br w:val="nil"/>
                    <w:tr2bl w:val="nil"/>
                  </w:tcBorders>
                  <w:noWrap w:val="0"/>
                  <w:vAlign w:val="center"/>
                </w:tcPr>
                <w:p w14:paraId="1A53BDE4">
                  <w:pPr>
                    <w:snapToGrid w:val="0"/>
                    <w:spacing w:before="36" w:beforeLines="15" w:after="36" w:afterLines="15"/>
                    <w:jc w:val="center"/>
                    <w:rPr>
                      <w:rFonts w:hint="default"/>
                      <w:color w:val="auto"/>
                      <w:sz w:val="21"/>
                      <w:szCs w:val="21"/>
                      <w:lang w:val="en-US" w:eastAsia="zh-CN"/>
                    </w:rPr>
                  </w:pPr>
                  <w:r>
                    <w:rPr>
                      <w:rFonts w:hint="eastAsia"/>
                      <w:color w:val="auto"/>
                      <w:sz w:val="21"/>
                      <w:szCs w:val="21"/>
                      <w:lang w:val="en-US" w:eastAsia="zh-CN"/>
                    </w:rPr>
                    <w:t>386</w:t>
                  </w:r>
                </w:p>
              </w:tc>
              <w:tc>
                <w:tcPr>
                  <w:tcW w:w="736" w:type="dxa"/>
                  <w:tcBorders>
                    <w:tl2br w:val="nil"/>
                    <w:tr2bl w:val="nil"/>
                  </w:tcBorders>
                  <w:noWrap w:val="0"/>
                  <w:vAlign w:val="center"/>
                </w:tcPr>
                <w:p w14:paraId="1F04118F">
                  <w:pPr>
                    <w:snapToGrid w:val="0"/>
                    <w:spacing w:before="36" w:beforeLines="15" w:after="36" w:afterLines="15"/>
                    <w:jc w:val="center"/>
                    <w:rPr>
                      <w:rFonts w:hint="default" w:eastAsia="宋体"/>
                      <w:color w:val="auto"/>
                      <w:sz w:val="21"/>
                      <w:szCs w:val="21"/>
                      <w:lang w:val="en-US" w:eastAsia="zh-CN"/>
                    </w:rPr>
                  </w:pPr>
                  <w:r>
                    <w:rPr>
                      <w:rFonts w:hint="eastAsia"/>
                      <w:color w:val="auto"/>
                      <w:sz w:val="21"/>
                      <w:szCs w:val="21"/>
                      <w:lang w:val="en-US" w:eastAsia="zh-CN"/>
                    </w:rPr>
                    <w:t>15</w:t>
                  </w:r>
                </w:p>
              </w:tc>
              <w:tc>
                <w:tcPr>
                  <w:tcW w:w="1005" w:type="dxa"/>
                  <w:tcBorders>
                    <w:tl2br w:val="nil"/>
                    <w:tr2bl w:val="nil"/>
                  </w:tcBorders>
                  <w:noWrap w:val="0"/>
                  <w:vAlign w:val="center"/>
                </w:tcPr>
                <w:p w14:paraId="6B11205D">
                  <w:pPr>
                    <w:snapToGrid w:val="0"/>
                    <w:spacing w:before="36" w:beforeLines="15" w:after="36" w:afterLines="15"/>
                    <w:jc w:val="center"/>
                    <w:rPr>
                      <w:rFonts w:hint="default" w:eastAsia="宋体"/>
                      <w:color w:val="auto"/>
                      <w:sz w:val="21"/>
                      <w:szCs w:val="21"/>
                      <w:lang w:val="en-US" w:eastAsia="zh-CN"/>
                    </w:rPr>
                  </w:pPr>
                  <w:r>
                    <w:rPr>
                      <w:color w:val="auto"/>
                      <w:sz w:val="21"/>
                      <w:szCs w:val="21"/>
                    </w:rPr>
                    <w:t>0.</w:t>
                  </w:r>
                  <w:r>
                    <w:rPr>
                      <w:rFonts w:hint="eastAsia"/>
                      <w:color w:val="auto"/>
                      <w:sz w:val="21"/>
                      <w:szCs w:val="21"/>
                      <w:lang w:val="en-US" w:eastAsia="zh-CN"/>
                    </w:rPr>
                    <w:t>4</w:t>
                  </w:r>
                </w:p>
              </w:tc>
              <w:tc>
                <w:tcPr>
                  <w:tcW w:w="934" w:type="dxa"/>
                  <w:tcBorders>
                    <w:tl2br w:val="nil"/>
                    <w:tr2bl w:val="nil"/>
                  </w:tcBorders>
                  <w:noWrap w:val="0"/>
                  <w:vAlign w:val="center"/>
                </w:tcPr>
                <w:p w14:paraId="4EA05AF0">
                  <w:pPr>
                    <w:snapToGrid w:val="0"/>
                    <w:spacing w:before="36" w:beforeLines="15" w:after="36" w:afterLines="15"/>
                    <w:jc w:val="center"/>
                    <w:rPr>
                      <w:rFonts w:hint="default" w:eastAsia="宋体"/>
                      <w:color w:val="auto"/>
                      <w:sz w:val="21"/>
                      <w:szCs w:val="21"/>
                      <w:lang w:val="en-US" w:eastAsia="zh-CN"/>
                    </w:rPr>
                  </w:pPr>
                  <w:r>
                    <w:rPr>
                      <w:rFonts w:hint="eastAsia"/>
                      <w:color w:val="auto"/>
                      <w:sz w:val="21"/>
                      <w:szCs w:val="21"/>
                      <w:lang w:val="en-US" w:eastAsia="zh-CN"/>
                    </w:rPr>
                    <w:t>30</w:t>
                  </w:r>
                </w:p>
              </w:tc>
            </w:tr>
          </w:tbl>
          <w:p w14:paraId="13CA8474">
            <w:pPr>
              <w:adjustRightInd w:val="0"/>
              <w:snapToGrid w:val="0"/>
              <w:spacing w:before="120" w:beforeLines="50" w:line="360" w:lineRule="auto"/>
              <w:ind w:firstLine="482"/>
              <w:rPr>
                <w:b/>
                <w:bCs/>
                <w:color w:val="auto"/>
                <w:sz w:val="24"/>
              </w:rPr>
            </w:pPr>
            <w:r>
              <w:rPr>
                <w:b/>
                <w:bCs/>
                <w:color w:val="auto"/>
                <w:sz w:val="24"/>
              </w:rPr>
              <w:t>2、源强核算过程</w:t>
            </w:r>
          </w:p>
          <w:p w14:paraId="759E98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）粉碎废气</w:t>
            </w:r>
          </w:p>
          <w:p w14:paraId="0AC5989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auto"/>
              </w:rPr>
            </w:pPr>
            <w:r>
              <w:rPr>
                <w:rFonts w:hint="eastAsia" w:ascii="Times New Roman" w:hAnsi="Times New Roman" w:eastAsia="宋体" w:cs="Times New Roman"/>
                <w:color w:val="auto"/>
                <w:sz w:val="24"/>
                <w:highlight w:val="none"/>
                <w:lang w:val="en-US" w:eastAsia="zh-CN"/>
              </w:rPr>
              <w:t>本项目前处理需要对收集的中药药材采用粉碎机进行粉碎，根据建设单位提供资料，需进行粉碎处理的中药材总量约</w:t>
            </w:r>
            <w:r>
              <w:rPr>
                <w:rFonts w:hint="default" w:ascii="Times New Roman" w:hAnsi="Times New Roman" w:eastAsia="宋体" w:cs="Times New Roman"/>
                <w:color w:val="auto"/>
                <w:sz w:val="24"/>
                <w:highlight w:val="none"/>
                <w:lang w:val="en-US" w:eastAsia="zh-CN"/>
              </w:rPr>
              <w:t>0.</w:t>
            </w:r>
            <w:r>
              <w:rPr>
                <w:rFonts w:hint="eastAsia" w:cs="Times New Roman"/>
                <w:color w:val="auto"/>
                <w:sz w:val="24"/>
                <w:highlight w:val="none"/>
                <w:lang w:val="en-US" w:eastAsia="zh-CN"/>
              </w:rPr>
              <w:t>45</w:t>
            </w:r>
            <w:r>
              <w:rPr>
                <w:rFonts w:hint="default" w:ascii="Times New Roman" w:hAnsi="Times New Roman" w:eastAsia="宋体" w:cs="Times New Roman"/>
                <w:color w:val="auto"/>
                <w:sz w:val="24"/>
                <w:highlight w:val="none"/>
                <w:lang w:val="en-US" w:eastAsia="zh-CN"/>
              </w:rPr>
              <w:t>t/a</w:t>
            </w:r>
            <w:r>
              <w:rPr>
                <w:rFonts w:hint="eastAsia" w:ascii="Times New Roman" w:hAnsi="Times New Roman" w:eastAsia="宋体" w:cs="Times New Roman"/>
                <w:color w:val="auto"/>
                <w:sz w:val="24"/>
                <w:highlight w:val="none"/>
                <w:lang w:val="en-US" w:eastAsia="zh-CN"/>
              </w:rPr>
              <w:t>。本次评价参照《工业源产排污核算方法和系数手册》中</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&lt;200</w:t>
            </w:r>
            <w:r>
              <w:rPr>
                <w:rFonts w:hint="eastAsia" w:ascii="Times New Roman" w:hAnsi="Times New Roman" w:eastAsia="宋体" w:cs="Times New Roman"/>
                <w:color w:val="auto"/>
                <w:sz w:val="24"/>
                <w:highlight w:val="none"/>
                <w:lang w:val="en-US" w:eastAsia="zh-CN"/>
              </w:rPr>
              <w:t>吨</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中药饮片</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”，颗粒物产生量按照2.69kg/t产品，经计算</w:t>
            </w:r>
            <w:r>
              <w:rPr>
                <w:rFonts w:hint="eastAsia" w:ascii="Times New Roman" w:hAnsi="Times New Roman" w:eastAsia="宋体" w:cs="Times New Roman"/>
                <w:color w:val="auto"/>
                <w:sz w:val="24"/>
                <w:highlight w:val="none"/>
                <w:lang w:val="en-US" w:eastAsia="zh-CN"/>
              </w:rPr>
              <w:t>粉尘产生量为</w:t>
            </w:r>
            <w:r>
              <w:rPr>
                <w:rFonts w:hint="default" w:ascii="Times New Roman" w:hAnsi="Times New Roman" w:eastAsia="宋体" w:cs="Times New Roman"/>
                <w:color w:val="auto"/>
                <w:sz w:val="24"/>
                <w:highlight w:val="none"/>
                <w:lang w:val="en-US" w:eastAsia="zh-CN"/>
              </w:rPr>
              <w:t>0.00</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lang w:val="en-US" w:eastAsia="zh-CN"/>
              </w:rPr>
              <w:t>2t/a</w:t>
            </w:r>
            <w:r>
              <w:rPr>
                <w:rFonts w:hint="eastAsia" w:ascii="Times New Roman" w:hAnsi="Times New Roman" w:eastAsia="宋体" w:cs="Times New Roman"/>
                <w:color w:val="auto"/>
                <w:sz w:val="24"/>
                <w:highlight w:val="none"/>
                <w:lang w:val="en-US" w:eastAsia="zh-CN"/>
              </w:rPr>
              <w:t>，项目年工作时间为200天，每天累计操作</w:t>
            </w:r>
            <w:r>
              <w:rPr>
                <w:rFonts w:hint="default" w:ascii="Times New Roman" w:hAnsi="Times New Roman" w:eastAsia="宋体" w:cs="Times New Roman"/>
                <w:color w:val="auto"/>
                <w:sz w:val="24"/>
                <w:highlight w:val="none"/>
                <w:lang w:val="en-US" w:eastAsia="zh-CN"/>
              </w:rPr>
              <w:t>4h</w:t>
            </w:r>
            <w:r>
              <w:rPr>
                <w:rFonts w:hint="eastAsia" w:ascii="Times New Roman" w:hAnsi="Times New Roman" w:eastAsia="宋体" w:cs="Times New Roman"/>
                <w:color w:val="auto"/>
                <w:sz w:val="24"/>
                <w:highlight w:val="none"/>
                <w:lang w:val="en-US" w:eastAsia="zh-CN"/>
              </w:rPr>
              <w:t>，则产生速率为</w:t>
            </w:r>
            <w:r>
              <w:rPr>
                <w:rFonts w:hint="default" w:ascii="Times New Roman" w:hAnsi="Times New Roman" w:eastAsia="宋体" w:cs="Times New Roman"/>
                <w:color w:val="auto"/>
                <w:sz w:val="24"/>
                <w:highlight w:val="none"/>
                <w:lang w:val="en-US" w:eastAsia="zh-CN"/>
              </w:rPr>
              <w:t>0.00</w:t>
            </w:r>
            <w:r>
              <w:rPr>
                <w:rFonts w:hint="eastAsia" w:cs="Times New Roman"/>
                <w:color w:val="auto"/>
                <w:sz w:val="24"/>
                <w:highlight w:val="none"/>
                <w:lang w:val="en-US" w:eastAsia="zh-CN"/>
              </w:rPr>
              <w:t>15</w:t>
            </w:r>
            <w:r>
              <w:rPr>
                <w:rFonts w:hint="default" w:ascii="Times New Roman" w:hAnsi="Times New Roman" w:eastAsia="宋体" w:cs="Times New Roman"/>
                <w:color w:val="auto"/>
                <w:sz w:val="24"/>
                <w:highlight w:val="none"/>
                <w:lang w:val="en-US" w:eastAsia="zh-CN"/>
              </w:rPr>
              <w:t>kg/h</w:t>
            </w:r>
            <w:r>
              <w:rPr>
                <w:rFonts w:hint="eastAsia" w:ascii="Times New Roman" w:hAnsi="Times New Roman" w:eastAsia="宋体" w:cs="Times New Roman"/>
                <w:color w:val="auto"/>
                <w:sz w:val="24"/>
                <w:highlight w:val="none"/>
                <w:lang w:val="en-US" w:eastAsia="zh-CN"/>
              </w:rPr>
              <w:t>。</w:t>
            </w:r>
            <w:r>
              <w:rPr>
                <w:rFonts w:hint="eastAsia" w:ascii="宋体" w:hAnsi="宋体" w:eastAsia="宋体" w:cs="宋体"/>
                <w:color w:val="auto"/>
                <w:kern w:val="0"/>
                <w:sz w:val="24"/>
                <w:szCs w:val="24"/>
                <w:lang w:val="en-US" w:eastAsia="zh-CN" w:bidi="ar"/>
              </w:rPr>
              <w:t>由于本项目粉尘产生量小，破碎粉尘无组织排放，不会对周边环境造成太大影响。</w:t>
            </w:r>
          </w:p>
          <w:p w14:paraId="3AD94C8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（2）有机废气</w:t>
            </w:r>
          </w:p>
          <w:p w14:paraId="422AB5B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eastAsia="宋体" w:cs="Times New Roman"/>
                <w:color w:val="auto"/>
                <w:sz w:val="24"/>
                <w:highlight w:val="none"/>
                <w:lang w:val="en-US" w:eastAsia="zh-CN"/>
              </w:rPr>
              <w:t>本项目实验过程中使用的</w:t>
            </w:r>
            <w:bookmarkStart w:id="9" w:name="OLE_LINK5"/>
            <w:r>
              <w:rPr>
                <w:rFonts w:hint="eastAsia" w:ascii="Times New Roman" w:hAnsi="Times New Roman" w:eastAsia="宋体" w:cs="Times New Roman"/>
                <w:color w:val="auto"/>
                <w:sz w:val="24"/>
                <w:highlight w:val="none"/>
                <w:lang w:val="en-US" w:eastAsia="zh-CN"/>
              </w:rPr>
              <w:t>甲醇、乙腈、乙酸、乙醇</w:t>
            </w:r>
            <w:r>
              <w:rPr>
                <w:rFonts w:hint="eastAsia" w:cs="Times New Roman"/>
                <w:color w:val="auto"/>
                <w:sz w:val="24"/>
                <w:highlight w:val="none"/>
                <w:lang w:val="en-US" w:eastAsia="zh-CN"/>
              </w:rPr>
              <w:t>、异丙醇、环己烷、正己烷、石油醚</w:t>
            </w:r>
            <w:bookmarkEnd w:id="9"/>
            <w:r>
              <w:rPr>
                <w:rFonts w:hint="eastAsia" w:cs="Times New Roman"/>
                <w:color w:val="auto"/>
                <w:sz w:val="24"/>
                <w:highlight w:val="none"/>
                <w:lang w:val="en-US" w:eastAsia="zh-CN"/>
              </w:rPr>
              <w:t>等有机溶剂易</w:t>
            </w:r>
            <w:r>
              <w:rPr>
                <w:rFonts w:hint="eastAsia" w:ascii="Times New Roman" w:hAnsi="Times New Roman" w:eastAsia="宋体" w:cs="Times New Roman"/>
                <w:color w:val="auto"/>
                <w:sz w:val="24"/>
                <w:highlight w:val="none"/>
                <w:lang w:val="en-US" w:eastAsia="zh-CN"/>
              </w:rPr>
              <w:t>挥发产生有机废气（以非甲烷总烃计）。</w:t>
            </w:r>
            <w:r>
              <w:rPr>
                <w:rFonts w:hint="eastAsia" w:ascii="Times New Roman" w:hAnsi="Times New Roman" w:cs="Times New Roman"/>
                <w:color w:val="auto"/>
                <w:sz w:val="24"/>
                <w:lang w:val="en-US" w:eastAsia="zh-CN"/>
              </w:rPr>
              <w:t>参考文献资料</w:t>
            </w:r>
            <w:r>
              <w:rPr>
                <w:rFonts w:hint="default" w:ascii="Times New Roman" w:hAnsi="Times New Roman" w:cs="Times New Roman"/>
                <w:color w:val="auto"/>
                <w:sz w:val="24"/>
                <w:lang w:val="en-US" w:eastAsia="zh-CN"/>
              </w:rPr>
              <w:t>《江苏省实验室废气排放水平及控制对策》</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来源</w:t>
            </w:r>
            <w:r>
              <w:rPr>
                <w:rFonts w:hint="default" w:ascii="Times New Roman" w:hAnsi="Times New Roman" w:cs="Times New Roman"/>
                <w:color w:val="auto"/>
                <w:sz w:val="24"/>
                <w:lang w:val="en-US" w:eastAsia="zh-CN"/>
              </w:rPr>
              <w:fldChar w:fldCharType="begin"/>
            </w:r>
            <w:r>
              <w:rPr>
                <w:rFonts w:hint="default" w:ascii="Times New Roman" w:hAnsi="Times New Roman" w:cs="Times New Roman"/>
                <w:color w:val="auto"/>
                <w:sz w:val="24"/>
                <w:lang w:val="en-US" w:eastAsia="zh-CN"/>
              </w:rPr>
              <w:instrText xml:space="preserve"> HYPERLINK "https://www.zhangqiaokeyan.com/journal-cn-7695/" </w:instrText>
            </w:r>
            <w:r>
              <w:rPr>
                <w:rFonts w:hint="default" w:ascii="Times New Roman" w:hAnsi="Times New Roman" w:cs="Times New Roman"/>
                <w:color w:val="auto"/>
                <w:sz w:val="24"/>
                <w:lang w:val="en-US" w:eastAsia="zh-CN"/>
              </w:rPr>
              <w:fldChar w:fldCharType="separate"/>
            </w:r>
            <w:r>
              <w:rPr>
                <w:rFonts w:hint="default" w:ascii="Times New Roman" w:hAnsi="Times New Roman" w:cs="Times New Roman"/>
                <w:color w:val="auto"/>
                <w:sz w:val="24"/>
                <w:lang w:val="en-US" w:eastAsia="zh-CN"/>
              </w:rPr>
              <w:t>《实验室研究与探索》</w:t>
            </w:r>
            <w:r>
              <w:rPr>
                <w:rFonts w:hint="default" w:ascii="Times New Roman" w:hAnsi="Times New Roman" w:cs="Times New Roman"/>
                <w:color w:val="auto"/>
                <w:sz w:val="24"/>
                <w:lang w:val="en-US" w:eastAsia="zh-CN"/>
              </w:rPr>
              <w:fldChar w:fldCharType="end"/>
            </w:r>
            <w:r>
              <w:rPr>
                <w:rFonts w:hint="default" w:ascii="Times New Roman" w:hAnsi="Times New Roman" w:cs="Times New Roman"/>
                <w:color w:val="auto"/>
                <w:sz w:val="24"/>
                <w:lang w:val="en-US" w:eastAsia="zh-CN"/>
              </w:rPr>
              <w:t>2023年第2期</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306-309</w:t>
            </w:r>
            <w:r>
              <w:rPr>
                <w:rFonts w:hint="eastAsia" w:ascii="Times New Roman" w:hAnsi="Times New Roman" w:cs="Times New Roman"/>
                <w:color w:val="auto"/>
                <w:sz w:val="24"/>
                <w:lang w:val="en-US" w:eastAsia="zh-CN"/>
              </w:rPr>
              <w:t>，该文献实地调研了江苏省53家实验室，涉及废气排放的易挥发物质用量以及有机废气、无机废气产生情况），</w:t>
            </w:r>
            <w:r>
              <w:rPr>
                <w:rFonts w:hint="default" w:ascii="Times New Roman" w:hAnsi="Times New Roman" w:cs="Times New Roman"/>
                <w:color w:val="auto"/>
                <w:sz w:val="24"/>
                <w:lang w:val="en-US" w:eastAsia="zh-CN"/>
              </w:rPr>
              <w:t>在实验、研发状态下，有机试剂的挥发比例</w:t>
            </w:r>
            <w:r>
              <w:rPr>
                <w:rFonts w:hint="eastAsia" w:ascii="Times New Roman" w:hAnsi="Times New Roman" w:cs="Times New Roman"/>
                <w:color w:val="auto"/>
                <w:sz w:val="24"/>
                <w:lang w:val="en-US" w:eastAsia="zh-CN"/>
              </w:rPr>
              <w:t>平均约为用量的16%。</w:t>
            </w:r>
          </w:p>
          <w:p w14:paraId="7D8F8A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根据建设提供的资料，本项目有机溶剂的</w:t>
            </w:r>
            <w:r>
              <w:rPr>
                <w:rFonts w:hint="eastAsia" w:cs="Times New Roman"/>
                <w:color w:val="auto"/>
                <w:sz w:val="24"/>
                <w:highlight w:val="none"/>
                <w:lang w:val="en-US" w:eastAsia="zh-CN"/>
              </w:rPr>
              <w:t>使用量为530.25L/a（见下表）</w:t>
            </w:r>
            <w:r>
              <w:rPr>
                <w:rFonts w:hint="eastAsia" w:ascii="Times New Roman" w:hAnsi="Times New Roman" w:eastAsia="宋体" w:cs="Times New Roman"/>
                <w:color w:val="auto"/>
                <w:sz w:val="24"/>
                <w:highlight w:val="none"/>
                <w:lang w:val="en-US" w:eastAsia="zh-CN"/>
              </w:rPr>
              <w:t>，根据计算，挥发的</w:t>
            </w:r>
            <w:r>
              <w:rPr>
                <w:rFonts w:hint="eastAsia" w:cs="Times New Roman"/>
                <w:color w:val="auto"/>
                <w:sz w:val="24"/>
                <w:highlight w:val="none"/>
                <w:lang w:val="en-US" w:eastAsia="zh-CN"/>
              </w:rPr>
              <w:t>有机废气</w:t>
            </w:r>
            <w:r>
              <w:rPr>
                <w:rFonts w:hint="eastAsia" w:ascii="Times New Roman" w:hAnsi="Times New Roman" w:eastAsia="宋体" w:cs="Times New Roman"/>
                <w:color w:val="auto"/>
                <w:sz w:val="24"/>
                <w:highlight w:val="none"/>
                <w:lang w:val="en-US" w:eastAsia="zh-CN"/>
              </w:rPr>
              <w:t>量为</w:t>
            </w:r>
            <w:r>
              <w:rPr>
                <w:rFonts w:hint="eastAsia" w:cs="Times New Roman"/>
                <w:color w:val="auto"/>
                <w:sz w:val="24"/>
                <w:highlight w:val="none"/>
                <w:lang w:val="en-US" w:eastAsia="zh-CN"/>
              </w:rPr>
              <w:t>0.067t</w:t>
            </w:r>
            <w:r>
              <w:rPr>
                <w:rFonts w:hint="default" w:ascii="Times New Roman" w:hAnsi="Times New Roman" w:eastAsia="宋体" w:cs="Times New Roman"/>
                <w:color w:val="auto"/>
                <w:sz w:val="24"/>
                <w:highlight w:val="none"/>
                <w:lang w:val="en-US" w:eastAsia="zh-CN"/>
              </w:rPr>
              <w:t>/a</w:t>
            </w:r>
            <w:r>
              <w:rPr>
                <w:rFonts w:hint="eastAsia" w:ascii="Times New Roman" w:hAnsi="Times New Roman" w:eastAsia="宋体" w:cs="Times New Roman"/>
                <w:color w:val="auto"/>
                <w:sz w:val="24"/>
                <w:highlight w:val="none"/>
                <w:lang w:val="en-US" w:eastAsia="zh-CN"/>
              </w:rPr>
              <w:t>，经通风橱（通风橱三面封闭，一面半封闭，侧吸风）收集</w:t>
            </w:r>
            <w:r>
              <w:rPr>
                <w:rFonts w:hint="eastAsia" w:cs="Times New Roman"/>
                <w:color w:val="auto"/>
                <w:sz w:val="24"/>
                <w:highlight w:val="none"/>
                <w:lang w:val="en-US" w:eastAsia="zh-CN"/>
              </w:rPr>
              <w:t>，引至楼顶经</w:t>
            </w:r>
            <w:r>
              <w:rPr>
                <w:rFonts w:hint="eastAsia" w:ascii="Times New Roman" w:hAnsi="Times New Roman" w:eastAsia="宋体" w:cs="Times New Roman"/>
                <w:color w:val="auto"/>
                <w:sz w:val="24"/>
                <w:highlight w:val="none"/>
                <w:lang w:val="en-US" w:eastAsia="zh-CN"/>
              </w:rPr>
              <w:t>活性炭吸附处理后</w:t>
            </w:r>
            <w:r>
              <w:rPr>
                <w:rFonts w:hint="eastAsia" w:cs="Times New Roman"/>
                <w:color w:val="auto"/>
                <w:sz w:val="24"/>
                <w:highlight w:val="none"/>
                <w:lang w:val="en-US" w:eastAsia="zh-CN"/>
              </w:rPr>
              <w:t>经</w:t>
            </w:r>
            <w:r>
              <w:rPr>
                <w:rFonts w:hint="eastAsia" w:ascii="Times New Roman" w:hAnsi="Times New Roman" w:eastAsia="宋体" w:cs="Times New Roman"/>
                <w:color w:val="auto"/>
                <w:sz w:val="24"/>
                <w:highlight w:val="none"/>
                <w:lang w:val="en-US" w:eastAsia="zh-CN"/>
              </w:rPr>
              <w:t>排气筒</w:t>
            </w:r>
            <w:r>
              <w:rPr>
                <w:rFonts w:hint="eastAsia" w:cs="Times New Roman"/>
                <w:color w:val="auto"/>
                <w:sz w:val="24"/>
                <w:highlight w:val="none"/>
                <w:lang w:val="en-US" w:eastAsia="zh-CN"/>
              </w:rPr>
              <w:t>DA001</w:t>
            </w:r>
            <w:r>
              <w:rPr>
                <w:rFonts w:hint="eastAsia" w:ascii="Times New Roman" w:hAnsi="Times New Roman" w:eastAsia="宋体" w:cs="Times New Roman"/>
                <w:color w:val="auto"/>
                <w:sz w:val="24"/>
                <w:highlight w:val="none"/>
                <w:lang w:val="en-US" w:eastAsia="zh-CN"/>
              </w:rPr>
              <w:t>排放。通风橱集气效率为</w:t>
            </w:r>
            <w:r>
              <w:rPr>
                <w:rFonts w:hint="default" w:ascii="Times New Roman" w:hAnsi="Times New Roman" w:eastAsia="宋体" w:cs="Times New Roman"/>
                <w:color w:val="auto"/>
                <w:sz w:val="24"/>
                <w:highlight w:val="none"/>
                <w:lang w:val="en-US" w:eastAsia="zh-CN"/>
              </w:rPr>
              <w:t>95%</w:t>
            </w:r>
            <w:r>
              <w:rPr>
                <w:rFonts w:hint="eastAsia" w:ascii="Times New Roman" w:hAnsi="Times New Roman" w:eastAsia="宋体" w:cs="Times New Roman"/>
                <w:color w:val="auto"/>
                <w:sz w:val="24"/>
                <w:highlight w:val="none"/>
                <w:lang w:val="en-US" w:eastAsia="zh-CN"/>
              </w:rPr>
              <w:t>，活性炭对有机废气处理效率约55</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，理化室年工作时间约为1000</w:t>
            </w:r>
            <w:r>
              <w:rPr>
                <w:rFonts w:hint="default" w:ascii="Times New Roman" w:hAnsi="Times New Roman" w:eastAsia="宋体" w:cs="Times New Roman"/>
                <w:color w:val="auto"/>
                <w:sz w:val="24"/>
                <w:highlight w:val="none"/>
                <w:lang w:val="en-US" w:eastAsia="zh-CN"/>
              </w:rPr>
              <w:t>h</w:t>
            </w:r>
            <w:r>
              <w:rPr>
                <w:rFonts w:hint="eastAsia" w:cs="Times New Roman"/>
                <w:color w:val="auto"/>
                <w:sz w:val="24"/>
                <w:highlight w:val="none"/>
                <w:lang w:val="en-US" w:eastAsia="zh-CN"/>
              </w:rPr>
              <w:t>，风机</w:t>
            </w:r>
            <w:r>
              <w:rPr>
                <w:rFonts w:hint="eastAsia" w:ascii="Times New Roman" w:hAnsi="Times New Roman" w:eastAsia="宋体" w:cs="Times New Roman"/>
                <w:color w:val="auto"/>
                <w:sz w:val="24"/>
                <w:highlight w:val="none"/>
                <w:lang w:val="en-US" w:eastAsia="zh-CN"/>
              </w:rPr>
              <w:t>风量约5</w:t>
            </w:r>
            <w:r>
              <w:rPr>
                <w:rFonts w:hint="default" w:ascii="Times New Roman" w:hAnsi="Times New Roman" w:eastAsia="宋体" w:cs="Times New Roman"/>
                <w:color w:val="auto"/>
                <w:sz w:val="24"/>
                <w:highlight w:val="none"/>
                <w:lang w:val="en-US" w:eastAsia="zh-CN"/>
              </w:rPr>
              <w:t>000m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/h</w:t>
            </w:r>
            <w:r>
              <w:rPr>
                <w:rFonts w:hint="eastAsia" w:ascii="Times New Roman" w:hAnsi="Times New Roman" w:eastAsia="宋体" w:cs="Times New Roman"/>
                <w:color w:val="auto"/>
                <w:sz w:val="24"/>
                <w:highlight w:val="none"/>
                <w:lang w:val="en-US" w:eastAsia="zh-CN"/>
              </w:rPr>
              <w:t>，排放浓度为</w:t>
            </w:r>
            <w:r>
              <w:rPr>
                <w:rFonts w:hint="eastAsia" w:cs="Times New Roman"/>
                <w:color w:val="auto"/>
                <w:sz w:val="24"/>
                <w:highlight w:val="none"/>
                <w:lang w:val="en-US" w:eastAsia="zh-CN"/>
              </w:rPr>
              <w:t>5.73</w:t>
            </w:r>
            <w:r>
              <w:rPr>
                <w:rFonts w:hint="default" w:ascii="Times New Roman" w:hAnsi="Times New Roman" w:eastAsia="宋体" w:cs="Times New Roman"/>
                <w:color w:val="auto"/>
                <w:sz w:val="24"/>
                <w:highlight w:val="none"/>
                <w:lang w:val="en-US" w:eastAsia="zh-CN"/>
              </w:rPr>
              <w:t>mg/m</w:t>
            </w:r>
            <w:r>
              <w:rPr>
                <w:rFonts w:hint="default"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，排放速率约</w:t>
            </w:r>
            <w:r>
              <w:rPr>
                <w:rFonts w:hint="default" w:ascii="Times New Roman" w:hAnsi="Times New Roman" w:eastAsia="宋体" w:cs="Times New Roman"/>
                <w:color w:val="auto"/>
                <w:sz w:val="24"/>
                <w:highlight w:val="none"/>
                <w:lang w:val="en-US" w:eastAsia="zh-CN"/>
              </w:rPr>
              <w:t>0.0</w:t>
            </w:r>
            <w:r>
              <w:rPr>
                <w:rFonts w:hint="eastAsia"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lang w:val="en-US" w:eastAsia="zh-CN"/>
              </w:rPr>
              <w:t>kg/h</w:t>
            </w:r>
            <w:r>
              <w:rPr>
                <w:rFonts w:hint="eastAsia" w:ascii="Times New Roman" w:hAnsi="Times New Roman" w:eastAsia="宋体" w:cs="Times New Roman"/>
                <w:color w:val="auto"/>
                <w:sz w:val="24"/>
                <w:highlight w:val="none"/>
                <w:lang w:val="en-US" w:eastAsia="zh-CN"/>
              </w:rPr>
              <w:t>，排放量为</w:t>
            </w:r>
            <w:r>
              <w:rPr>
                <w:rFonts w:hint="default" w:ascii="Times New Roman" w:hAnsi="Times New Roman" w:eastAsia="宋体" w:cs="Times New Roman"/>
                <w:color w:val="auto"/>
                <w:sz w:val="24"/>
                <w:highlight w:val="none"/>
                <w:lang w:val="en-US" w:eastAsia="zh-CN"/>
              </w:rPr>
              <w:t>0.0</w:t>
            </w:r>
            <w:r>
              <w:rPr>
                <w:rFonts w:hint="eastAsia"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lang w:val="en-US" w:eastAsia="zh-CN"/>
              </w:rPr>
              <w:t>t/a</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未被收集的有机废气量为0.003</w:t>
            </w:r>
            <w:r>
              <w:rPr>
                <w:rFonts w:hint="default" w:ascii="Times New Roman" w:hAnsi="Times New Roman" w:eastAsia="宋体" w:cs="Times New Roman"/>
                <w:color w:val="auto"/>
                <w:sz w:val="24"/>
                <w:highlight w:val="none"/>
                <w:lang w:val="en-US" w:eastAsia="zh-CN"/>
              </w:rPr>
              <w:t>t/a</w:t>
            </w:r>
            <w:r>
              <w:rPr>
                <w:rFonts w:hint="eastAsia" w:ascii="Times New Roman" w:hAnsi="Times New Roman" w:eastAsia="宋体" w:cs="Times New Roman"/>
                <w:color w:val="auto"/>
                <w:sz w:val="24"/>
                <w:highlight w:val="none"/>
                <w:lang w:val="en-US" w:eastAsia="zh-CN"/>
              </w:rPr>
              <w:t>，以无组织形式排放。</w:t>
            </w:r>
          </w:p>
          <w:p w14:paraId="245F77D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本项目有机废气产排情况如下：</w:t>
            </w:r>
          </w:p>
          <w:p w14:paraId="5D8763E9">
            <w:pPr>
              <w:pStyle w:val="95"/>
              <w:keepNext/>
              <w:keepLines w:val="0"/>
              <w:pageBreakBefore w:val="0"/>
              <w:widowControl/>
              <w:kinsoku/>
              <w:wordWrap/>
              <w:overflowPunct/>
              <w:topLinePunct w:val="0"/>
              <w:autoSpaceDE/>
              <w:autoSpaceDN/>
              <w:bidi w:val="0"/>
              <w:adjustRightInd/>
              <w:snapToGrid w:val="0"/>
              <w:spacing w:before="0" w:beforeLines="0" w:after="40"/>
              <w:ind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表4-</w:t>
            </w:r>
            <w:r>
              <w:rPr>
                <w:rFonts w:hint="eastAsia" w:cs="Times New Roman"/>
                <w:color w:val="auto"/>
                <w:sz w:val="21"/>
                <w:szCs w:val="21"/>
                <w:highlight w:val="none"/>
                <w:lang w:val="en-US" w:eastAsia="zh-CN"/>
              </w:rPr>
              <w:t xml:space="preserve">3  </w:t>
            </w:r>
            <w:r>
              <w:rPr>
                <w:rFonts w:hint="default" w:ascii="Times New Roman" w:hAnsi="Times New Roman" w:eastAsia="宋体" w:cs="Times New Roman"/>
                <w:color w:val="auto"/>
                <w:sz w:val="21"/>
                <w:szCs w:val="21"/>
                <w:highlight w:val="none"/>
                <w:lang w:val="en-US" w:eastAsia="zh-CN"/>
              </w:rPr>
              <w:t>废气产</w:t>
            </w:r>
            <w:r>
              <w:rPr>
                <w:rFonts w:hint="eastAsia" w:ascii="Times New Roman" w:hAnsi="Times New Roman" w:eastAsia="宋体" w:cs="Times New Roman"/>
                <w:color w:val="auto"/>
                <w:sz w:val="21"/>
                <w:szCs w:val="21"/>
                <w:highlight w:val="none"/>
                <w:lang w:val="en-US" w:eastAsia="zh-CN"/>
              </w:rPr>
              <w:t>生</w:t>
            </w:r>
            <w:r>
              <w:rPr>
                <w:rFonts w:hint="default" w:ascii="Times New Roman" w:hAnsi="Times New Roman" w:eastAsia="宋体" w:cs="Times New Roman"/>
                <w:color w:val="auto"/>
                <w:sz w:val="21"/>
                <w:szCs w:val="21"/>
                <w:highlight w:val="none"/>
                <w:lang w:val="en-US" w:eastAsia="zh-CN"/>
              </w:rPr>
              <w:t>情况一览表</w:t>
            </w:r>
          </w:p>
          <w:tbl>
            <w:tblPr>
              <w:tblStyle w:val="68"/>
              <w:tblW w:w="4997"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70"/>
              <w:gridCol w:w="1543"/>
              <w:gridCol w:w="877"/>
              <w:gridCol w:w="799"/>
              <w:gridCol w:w="1046"/>
              <w:gridCol w:w="1034"/>
              <w:gridCol w:w="1611"/>
            </w:tblGrid>
            <w:tr w14:paraId="402511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tcBorders>
                    <w:tl2br w:val="nil"/>
                    <w:tr2bl w:val="nil"/>
                  </w:tcBorders>
                  <w:noWrap w:val="0"/>
                  <w:vAlign w:val="center"/>
                </w:tcPr>
                <w:p w14:paraId="1AE3EF0C">
                  <w:pPr>
                    <w:pStyle w:val="107"/>
                    <w:autoSpaceDE w:val="0"/>
                    <w:autoSpaceDN w:val="0"/>
                    <w:spacing w:before="55" w:line="222" w:lineRule="auto"/>
                    <w:ind w:left="114"/>
                    <w:jc w:val="center"/>
                    <w:rPr>
                      <w:rFonts w:hint="eastAsia" w:eastAsia="宋体"/>
                      <w:b/>
                      <w:bCs/>
                      <w:color w:val="auto"/>
                      <w:sz w:val="21"/>
                      <w:szCs w:val="21"/>
                      <w:lang w:val="en-US" w:eastAsia="zh-CN"/>
                    </w:rPr>
                  </w:pPr>
                  <w:r>
                    <w:rPr>
                      <w:b/>
                      <w:bCs/>
                      <w:color w:val="auto"/>
                      <w:spacing w:val="-2"/>
                      <w:sz w:val="21"/>
                      <w:szCs w:val="21"/>
                    </w:rPr>
                    <w:t>污染物</w:t>
                  </w:r>
                  <w:r>
                    <w:rPr>
                      <w:rFonts w:hint="eastAsia"/>
                      <w:b/>
                      <w:bCs/>
                      <w:color w:val="auto"/>
                      <w:spacing w:val="-2"/>
                      <w:sz w:val="21"/>
                      <w:szCs w:val="21"/>
                      <w:lang w:val="en-US" w:eastAsia="zh-CN"/>
                    </w:rPr>
                    <w:t>类别</w:t>
                  </w:r>
                </w:p>
              </w:tc>
              <w:tc>
                <w:tcPr>
                  <w:tcW w:w="931" w:type="pct"/>
                  <w:tcBorders>
                    <w:tl2br w:val="nil"/>
                    <w:tr2bl w:val="nil"/>
                  </w:tcBorders>
                  <w:noWrap w:val="0"/>
                  <w:vAlign w:val="center"/>
                </w:tcPr>
                <w:p w14:paraId="1236E754">
                  <w:pPr>
                    <w:pStyle w:val="10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pacing w:val="-1"/>
                      <w:sz w:val="21"/>
                      <w:szCs w:val="21"/>
                    </w:rPr>
                    <w:t>挥发性试剂名称</w:t>
                  </w:r>
                </w:p>
              </w:tc>
              <w:tc>
                <w:tcPr>
                  <w:tcW w:w="529" w:type="pct"/>
                  <w:tcBorders>
                    <w:tl2br w:val="nil"/>
                    <w:tr2bl w:val="nil"/>
                  </w:tcBorders>
                  <w:noWrap w:val="0"/>
                  <w:vAlign w:val="center"/>
                </w:tcPr>
                <w:p w14:paraId="318EA205">
                  <w:pPr>
                    <w:pStyle w:val="10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pacing w:val="-2"/>
                      <w:sz w:val="21"/>
                      <w:szCs w:val="21"/>
                    </w:rPr>
                    <w:t>单位</w:t>
                  </w:r>
                </w:p>
              </w:tc>
              <w:tc>
                <w:tcPr>
                  <w:tcW w:w="482" w:type="pct"/>
                  <w:tcBorders>
                    <w:tl2br w:val="nil"/>
                    <w:tr2bl w:val="nil"/>
                  </w:tcBorders>
                  <w:noWrap w:val="0"/>
                  <w:vAlign w:val="center"/>
                </w:tcPr>
                <w:p w14:paraId="56F9B6F6">
                  <w:pPr>
                    <w:pStyle w:val="10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pacing w:val="-2"/>
                      <w:sz w:val="21"/>
                      <w:szCs w:val="21"/>
                    </w:rPr>
                    <w:t>年用量</w:t>
                  </w:r>
                </w:p>
              </w:tc>
              <w:tc>
                <w:tcPr>
                  <w:tcW w:w="631" w:type="pct"/>
                  <w:tcBorders>
                    <w:tl2br w:val="nil"/>
                    <w:tr2bl w:val="nil"/>
                  </w:tcBorders>
                  <w:noWrap w:val="0"/>
                  <w:vAlign w:val="center"/>
                </w:tcPr>
                <w:p w14:paraId="39A92D1F">
                  <w:pPr>
                    <w:pStyle w:val="10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b/>
                      <w:bCs/>
                      <w:color w:val="auto"/>
                      <w:sz w:val="21"/>
                      <w:szCs w:val="21"/>
                    </w:rPr>
                  </w:pPr>
                  <w:r>
                    <w:rPr>
                      <w:rFonts w:hint="default" w:ascii="Times New Roman" w:hAnsi="Times New Roman" w:cs="Times New Roman"/>
                      <w:b/>
                      <w:bCs/>
                      <w:color w:val="auto"/>
                      <w:spacing w:val="-3"/>
                      <w:position w:val="2"/>
                      <w:sz w:val="21"/>
                      <w:szCs w:val="21"/>
                    </w:rPr>
                    <w:t>密度</w:t>
                  </w:r>
                  <w:r>
                    <w:rPr>
                      <w:rFonts w:hint="default" w:ascii="Times New Roman" w:hAnsi="Times New Roman" w:eastAsia="Times New Roman" w:cs="Times New Roman"/>
                      <w:b/>
                      <w:bCs/>
                      <w:color w:val="auto"/>
                      <w:spacing w:val="-3"/>
                      <w:position w:val="2"/>
                      <w:sz w:val="21"/>
                      <w:szCs w:val="21"/>
                    </w:rPr>
                    <w:t>g/ml</w:t>
                  </w:r>
                </w:p>
              </w:tc>
              <w:tc>
                <w:tcPr>
                  <w:tcW w:w="624" w:type="pct"/>
                  <w:tcBorders>
                    <w:tl2br w:val="nil"/>
                    <w:tr2bl w:val="nil"/>
                  </w:tcBorders>
                  <w:noWrap w:val="0"/>
                  <w:vAlign w:val="center"/>
                </w:tcPr>
                <w:p w14:paraId="524DE1DB">
                  <w:pPr>
                    <w:pStyle w:val="107"/>
                    <w:autoSpaceDE w:val="0"/>
                    <w:autoSpaceDN w:val="0"/>
                    <w:spacing w:before="55" w:line="222" w:lineRule="auto"/>
                    <w:ind w:left="155"/>
                    <w:jc w:val="center"/>
                    <w:rPr>
                      <w:b/>
                      <w:bCs/>
                      <w:color w:val="auto"/>
                      <w:sz w:val="21"/>
                      <w:szCs w:val="21"/>
                    </w:rPr>
                  </w:pPr>
                  <w:r>
                    <w:rPr>
                      <w:b/>
                      <w:bCs/>
                      <w:color w:val="auto"/>
                      <w:spacing w:val="-1"/>
                      <w:sz w:val="21"/>
                      <w:szCs w:val="21"/>
                    </w:rPr>
                    <w:t>挥发比例</w:t>
                  </w:r>
                </w:p>
              </w:tc>
              <w:tc>
                <w:tcPr>
                  <w:tcW w:w="972" w:type="pct"/>
                  <w:tcBorders>
                    <w:tl2br w:val="nil"/>
                    <w:tr2bl w:val="nil"/>
                  </w:tcBorders>
                  <w:noWrap w:val="0"/>
                  <w:vAlign w:val="center"/>
                </w:tcPr>
                <w:p w14:paraId="5A52EA06">
                  <w:pPr>
                    <w:pStyle w:val="107"/>
                    <w:autoSpaceDE w:val="0"/>
                    <w:autoSpaceDN w:val="0"/>
                    <w:spacing w:before="23" w:line="278" w:lineRule="exact"/>
                    <w:ind w:left="141"/>
                    <w:jc w:val="center"/>
                    <w:rPr>
                      <w:rFonts w:ascii="Times New Roman" w:hAnsi="Times New Roman" w:eastAsia="Times New Roman" w:cs="Times New Roman"/>
                      <w:b/>
                      <w:bCs/>
                      <w:color w:val="auto"/>
                      <w:sz w:val="21"/>
                      <w:szCs w:val="21"/>
                    </w:rPr>
                  </w:pPr>
                  <w:r>
                    <w:rPr>
                      <w:b/>
                      <w:bCs/>
                      <w:color w:val="auto"/>
                      <w:spacing w:val="-1"/>
                      <w:position w:val="2"/>
                      <w:sz w:val="21"/>
                      <w:szCs w:val="21"/>
                    </w:rPr>
                    <w:t>废气产生量</w:t>
                  </w:r>
                  <w:r>
                    <w:rPr>
                      <w:rFonts w:ascii="Times New Roman" w:hAnsi="Times New Roman" w:eastAsia="Times New Roman" w:cs="Times New Roman"/>
                      <w:b/>
                      <w:bCs/>
                      <w:color w:val="auto"/>
                      <w:spacing w:val="-1"/>
                      <w:position w:val="2"/>
                      <w:sz w:val="21"/>
                      <w:szCs w:val="21"/>
                    </w:rPr>
                    <w:t>kg/a</w:t>
                  </w:r>
                </w:p>
              </w:tc>
            </w:tr>
            <w:tr w14:paraId="2F6C8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restart"/>
                  <w:tcBorders>
                    <w:tl2br w:val="nil"/>
                    <w:tr2bl w:val="nil"/>
                  </w:tcBorders>
                  <w:noWrap w:val="0"/>
                  <w:vAlign w:val="center"/>
                </w:tcPr>
                <w:p w14:paraId="6162F419">
                  <w:pPr>
                    <w:keepNext w:val="0"/>
                    <w:keepLines w:val="0"/>
                    <w:pageBreakBefore w:val="0"/>
                    <w:widowControl w:val="0"/>
                    <w:kinsoku/>
                    <w:wordWrap/>
                    <w:overflowPunct/>
                    <w:topLinePunct w:val="0"/>
                    <w:autoSpaceDE w:val="0"/>
                    <w:autoSpaceDN w:val="0"/>
                    <w:bidi w:val="0"/>
                    <w:adjustRightInd/>
                    <w:snapToGrid/>
                    <w:spacing w:line="187" w:lineRule="auto"/>
                    <w:ind w:left="0" w:right="0" w:firstLine="0"/>
                    <w:jc w:val="center"/>
                    <w:textAlignment w:val="auto"/>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VOCs</w:t>
                  </w:r>
                </w:p>
                <w:p w14:paraId="7CCA250C">
                  <w:pPr>
                    <w:pStyle w:val="107"/>
                    <w:keepNext w:val="0"/>
                    <w:keepLines w:val="0"/>
                    <w:pageBreakBefore w:val="0"/>
                    <w:widowControl w:val="0"/>
                    <w:kinsoku/>
                    <w:wordWrap/>
                    <w:overflowPunct/>
                    <w:topLinePunct w:val="0"/>
                    <w:autoSpaceDE w:val="0"/>
                    <w:autoSpaceDN w:val="0"/>
                    <w:bidi w:val="0"/>
                    <w:adjustRightInd/>
                    <w:snapToGrid/>
                    <w:spacing w:line="235" w:lineRule="auto"/>
                    <w:ind w:left="0" w:right="0" w:firstLine="0"/>
                    <w:jc w:val="center"/>
                    <w:textAlignment w:val="auto"/>
                    <w:rPr>
                      <w:color w:val="auto"/>
                      <w:sz w:val="21"/>
                      <w:szCs w:val="21"/>
                    </w:rPr>
                  </w:pPr>
                  <w:r>
                    <w:rPr>
                      <w:color w:val="auto"/>
                      <w:spacing w:val="-6"/>
                      <w:sz w:val="21"/>
                      <w:szCs w:val="21"/>
                    </w:rPr>
                    <w:t>（合计：</w:t>
                  </w:r>
                  <w:r>
                    <w:rPr>
                      <w:rFonts w:hint="eastAsia" w:ascii="Times New Roman" w:hAnsi="Times New Roman" w:cs="Times New Roman"/>
                      <w:color w:val="auto"/>
                      <w:spacing w:val="-2"/>
                      <w:sz w:val="21"/>
                      <w:szCs w:val="21"/>
                      <w:lang w:val="en-US" w:eastAsia="zh-CN"/>
                    </w:rPr>
                    <w:t>0.067</w:t>
                  </w:r>
                  <w:r>
                    <w:rPr>
                      <w:rFonts w:ascii="Times New Roman" w:hAnsi="Times New Roman" w:eastAsia="Times New Roman" w:cs="Times New Roman"/>
                      <w:color w:val="auto"/>
                      <w:spacing w:val="-2"/>
                      <w:sz w:val="21"/>
                      <w:szCs w:val="21"/>
                    </w:rPr>
                    <w:t>/a</w:t>
                  </w:r>
                  <w:r>
                    <w:rPr>
                      <w:color w:val="auto"/>
                      <w:spacing w:val="-2"/>
                      <w:sz w:val="21"/>
                      <w:szCs w:val="21"/>
                    </w:rPr>
                    <w:t>）</w:t>
                  </w:r>
                </w:p>
              </w:tc>
              <w:tc>
                <w:tcPr>
                  <w:tcW w:w="931" w:type="pct"/>
                  <w:tcBorders>
                    <w:tl2br w:val="nil"/>
                    <w:tr2bl w:val="nil"/>
                  </w:tcBorders>
                  <w:noWrap w:val="0"/>
                  <w:vAlign w:val="center"/>
                </w:tcPr>
                <w:p w14:paraId="4F25564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rPr>
                    <w:t>无水乙醇</w:t>
                  </w:r>
                </w:p>
              </w:tc>
              <w:tc>
                <w:tcPr>
                  <w:tcW w:w="529" w:type="pct"/>
                  <w:tcBorders>
                    <w:tl2br w:val="nil"/>
                    <w:tr2bl w:val="nil"/>
                  </w:tcBorders>
                  <w:noWrap w:val="0"/>
                  <w:vAlign w:val="center"/>
                </w:tcPr>
                <w:p w14:paraId="19731C7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3EBBC68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12</w:t>
                  </w:r>
                </w:p>
              </w:tc>
              <w:tc>
                <w:tcPr>
                  <w:tcW w:w="631" w:type="pct"/>
                  <w:tcBorders>
                    <w:tl2br w:val="nil"/>
                    <w:tr2bl w:val="nil"/>
                  </w:tcBorders>
                  <w:noWrap w:val="0"/>
                  <w:vAlign w:val="center"/>
                </w:tcPr>
                <w:p w14:paraId="2E966AA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color w:val="auto"/>
                      <w:spacing w:val="-1"/>
                      <w:sz w:val="21"/>
                      <w:szCs w:val="21"/>
                    </w:rPr>
                    <w:t>0.7</w:t>
                  </w:r>
                  <w:r>
                    <w:rPr>
                      <w:rFonts w:hint="default" w:ascii="Times New Roman" w:hAnsi="Times New Roman" w:eastAsia="宋体" w:cs="Times New Roman"/>
                      <w:color w:val="auto"/>
                      <w:spacing w:val="-1"/>
                      <w:sz w:val="21"/>
                      <w:szCs w:val="21"/>
                      <w:lang w:val="en-US" w:eastAsia="zh-CN"/>
                    </w:rPr>
                    <w:t>89</w:t>
                  </w:r>
                </w:p>
              </w:tc>
              <w:tc>
                <w:tcPr>
                  <w:tcW w:w="624" w:type="pct"/>
                  <w:tcBorders>
                    <w:tl2br w:val="nil"/>
                    <w:tr2bl w:val="nil"/>
                  </w:tcBorders>
                  <w:noWrap w:val="0"/>
                  <w:vAlign w:val="center"/>
                </w:tcPr>
                <w:p w14:paraId="192DB327">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54EF9DA8">
                  <w:pPr>
                    <w:keepNext w:val="0"/>
                    <w:keepLines w:val="0"/>
                    <w:widowControl/>
                    <w:suppressLineNumbers w:val="0"/>
                    <w:autoSpaceDE w:val="0"/>
                    <w:autoSpaceDN w:val="0"/>
                    <w:jc w:val="center"/>
                    <w:textAlignment w:val="top"/>
                    <w:rPr>
                      <w:rFonts w:ascii="Times New Roman" w:hAnsi="Times New Roman" w:eastAsia="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1.515</w:t>
                  </w:r>
                </w:p>
              </w:tc>
            </w:tr>
            <w:tr w14:paraId="5A3D0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524E2997">
                  <w:pPr>
                    <w:autoSpaceDE w:val="0"/>
                    <w:autoSpaceDN w:val="0"/>
                    <w:jc w:val="center"/>
                    <w:rPr>
                      <w:rFonts w:ascii="Arial"/>
                      <w:color w:val="auto"/>
                      <w:sz w:val="21"/>
                    </w:rPr>
                  </w:pPr>
                </w:p>
              </w:tc>
              <w:tc>
                <w:tcPr>
                  <w:tcW w:w="931" w:type="pct"/>
                  <w:tcBorders>
                    <w:tl2br w:val="nil"/>
                    <w:tr2bl w:val="nil"/>
                  </w:tcBorders>
                  <w:noWrap w:val="0"/>
                  <w:vAlign w:val="center"/>
                </w:tcPr>
                <w:p w14:paraId="3AF48B6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rPr>
                    <w:t>95%乙醇</w:t>
                  </w:r>
                </w:p>
              </w:tc>
              <w:tc>
                <w:tcPr>
                  <w:tcW w:w="529" w:type="pct"/>
                  <w:tcBorders>
                    <w:tl2br w:val="nil"/>
                    <w:tr2bl w:val="nil"/>
                  </w:tcBorders>
                  <w:noWrap w:val="0"/>
                  <w:vAlign w:val="center"/>
                </w:tcPr>
                <w:p w14:paraId="4255C89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10871E1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40</w:t>
                  </w:r>
                </w:p>
              </w:tc>
              <w:tc>
                <w:tcPr>
                  <w:tcW w:w="631" w:type="pct"/>
                  <w:tcBorders>
                    <w:tl2br w:val="nil"/>
                    <w:tr2bl w:val="nil"/>
                  </w:tcBorders>
                  <w:noWrap w:val="0"/>
                  <w:vAlign w:val="center"/>
                </w:tcPr>
                <w:p w14:paraId="484CCC5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color w:val="auto"/>
                      <w:spacing w:val="-1"/>
                      <w:sz w:val="21"/>
                      <w:szCs w:val="21"/>
                    </w:rPr>
                    <w:t>0.</w:t>
                  </w:r>
                  <w:r>
                    <w:rPr>
                      <w:rFonts w:hint="eastAsia" w:eastAsia="宋体" w:cs="Times New Roman"/>
                      <w:color w:val="auto"/>
                      <w:spacing w:val="-1"/>
                      <w:sz w:val="21"/>
                      <w:szCs w:val="21"/>
                      <w:lang w:val="en-US" w:eastAsia="zh-CN"/>
                    </w:rPr>
                    <w:t>808</w:t>
                  </w:r>
                </w:p>
              </w:tc>
              <w:tc>
                <w:tcPr>
                  <w:tcW w:w="624" w:type="pct"/>
                  <w:tcBorders>
                    <w:tl2br w:val="nil"/>
                    <w:tr2bl w:val="nil"/>
                  </w:tcBorders>
                  <w:noWrap w:val="0"/>
                  <w:vAlign w:val="center"/>
                </w:tcPr>
                <w:p w14:paraId="6A6DCBF4">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11D71CFD">
                  <w:pPr>
                    <w:keepNext w:val="0"/>
                    <w:keepLines w:val="0"/>
                    <w:widowControl/>
                    <w:suppressLineNumbers w:val="0"/>
                    <w:autoSpaceDE w:val="0"/>
                    <w:autoSpaceDN w:val="0"/>
                    <w:jc w:val="center"/>
                    <w:textAlignment w:val="top"/>
                    <w:rPr>
                      <w:rFonts w:ascii="Times New Roman" w:hAnsi="Times New Roman" w:eastAsia="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5.171</w:t>
                  </w:r>
                </w:p>
              </w:tc>
            </w:tr>
            <w:tr w14:paraId="00AA6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729D8959">
                  <w:pPr>
                    <w:autoSpaceDE w:val="0"/>
                    <w:autoSpaceDN w:val="0"/>
                    <w:jc w:val="center"/>
                    <w:rPr>
                      <w:rFonts w:ascii="Arial"/>
                      <w:color w:val="auto"/>
                      <w:sz w:val="21"/>
                    </w:rPr>
                  </w:pPr>
                </w:p>
              </w:tc>
              <w:tc>
                <w:tcPr>
                  <w:tcW w:w="931" w:type="pct"/>
                  <w:tcBorders>
                    <w:tl2br w:val="nil"/>
                    <w:tr2bl w:val="nil"/>
                  </w:tcBorders>
                  <w:noWrap w:val="0"/>
                  <w:vAlign w:val="center"/>
                </w:tcPr>
                <w:p w14:paraId="295EC9A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rPr>
                    <w:t>甲醇</w:t>
                  </w:r>
                </w:p>
              </w:tc>
              <w:tc>
                <w:tcPr>
                  <w:tcW w:w="529" w:type="pct"/>
                  <w:tcBorders>
                    <w:tl2br w:val="nil"/>
                    <w:tr2bl w:val="nil"/>
                  </w:tcBorders>
                  <w:noWrap w:val="0"/>
                  <w:vAlign w:val="center"/>
                </w:tcPr>
                <w:p w14:paraId="4806C8E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7FB4A8E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260</w:t>
                  </w:r>
                </w:p>
              </w:tc>
              <w:tc>
                <w:tcPr>
                  <w:tcW w:w="631" w:type="pct"/>
                  <w:tcBorders>
                    <w:tl2br w:val="nil"/>
                    <w:tr2bl w:val="nil"/>
                  </w:tcBorders>
                  <w:noWrap w:val="0"/>
                  <w:vAlign w:val="center"/>
                </w:tcPr>
                <w:p w14:paraId="205F785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5"/>
                      <w:sz w:val="21"/>
                      <w:szCs w:val="21"/>
                      <w:lang w:val="en-US" w:eastAsia="zh-CN"/>
                    </w:rPr>
                    <w:t>0.791</w:t>
                  </w:r>
                </w:p>
              </w:tc>
              <w:tc>
                <w:tcPr>
                  <w:tcW w:w="624" w:type="pct"/>
                  <w:tcBorders>
                    <w:tl2br w:val="nil"/>
                    <w:tr2bl w:val="nil"/>
                  </w:tcBorders>
                  <w:noWrap w:val="0"/>
                  <w:vAlign w:val="center"/>
                </w:tcPr>
                <w:p w14:paraId="39022780">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2B47C63C">
                  <w:pPr>
                    <w:keepNext w:val="0"/>
                    <w:keepLines w:val="0"/>
                    <w:widowControl/>
                    <w:suppressLineNumbers w:val="0"/>
                    <w:autoSpaceDE w:val="0"/>
                    <w:autoSpaceDN w:val="0"/>
                    <w:jc w:val="center"/>
                    <w:textAlignment w:val="top"/>
                    <w:rPr>
                      <w:rFonts w:ascii="Times New Roman" w:hAnsi="Times New Roman" w:eastAsia="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32.906</w:t>
                  </w:r>
                </w:p>
              </w:tc>
            </w:tr>
            <w:tr w14:paraId="63BD0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687294C6">
                  <w:pPr>
                    <w:autoSpaceDE w:val="0"/>
                    <w:autoSpaceDN w:val="0"/>
                    <w:jc w:val="center"/>
                    <w:rPr>
                      <w:rFonts w:ascii="Arial"/>
                      <w:color w:val="auto"/>
                      <w:sz w:val="21"/>
                    </w:rPr>
                  </w:pPr>
                </w:p>
              </w:tc>
              <w:tc>
                <w:tcPr>
                  <w:tcW w:w="931" w:type="pct"/>
                  <w:tcBorders>
                    <w:tl2br w:val="nil"/>
                    <w:tr2bl w:val="nil"/>
                  </w:tcBorders>
                  <w:noWrap w:val="0"/>
                  <w:vAlign w:val="center"/>
                </w:tcPr>
                <w:p w14:paraId="2F210B5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rPr>
                    <w:t>乙腈</w:t>
                  </w:r>
                </w:p>
              </w:tc>
              <w:tc>
                <w:tcPr>
                  <w:tcW w:w="529" w:type="pct"/>
                  <w:tcBorders>
                    <w:tl2br w:val="nil"/>
                    <w:tr2bl w:val="nil"/>
                  </w:tcBorders>
                  <w:noWrap w:val="0"/>
                  <w:vAlign w:val="center"/>
                </w:tcPr>
                <w:p w14:paraId="021D1EE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079EB0F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180</w:t>
                  </w:r>
                </w:p>
              </w:tc>
              <w:tc>
                <w:tcPr>
                  <w:tcW w:w="631" w:type="pct"/>
                  <w:tcBorders>
                    <w:tl2br w:val="nil"/>
                    <w:tr2bl w:val="nil"/>
                  </w:tcBorders>
                  <w:noWrap w:val="0"/>
                  <w:vAlign w:val="center"/>
                </w:tcPr>
                <w:p w14:paraId="6EA68E9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6"/>
                      <w:sz w:val="21"/>
                      <w:szCs w:val="21"/>
                      <w:lang w:val="en-US" w:eastAsia="zh-CN"/>
                    </w:rPr>
                    <w:t>0.7857</w:t>
                  </w:r>
                </w:p>
              </w:tc>
              <w:tc>
                <w:tcPr>
                  <w:tcW w:w="624" w:type="pct"/>
                  <w:tcBorders>
                    <w:tl2br w:val="nil"/>
                    <w:tr2bl w:val="nil"/>
                  </w:tcBorders>
                  <w:noWrap w:val="0"/>
                  <w:vAlign w:val="center"/>
                </w:tcPr>
                <w:p w14:paraId="0E508055">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1FC3FDCC">
                  <w:pPr>
                    <w:keepNext w:val="0"/>
                    <w:keepLines w:val="0"/>
                    <w:widowControl/>
                    <w:suppressLineNumbers w:val="0"/>
                    <w:autoSpaceDE w:val="0"/>
                    <w:autoSpaceDN w:val="0"/>
                    <w:jc w:val="center"/>
                    <w:textAlignment w:val="top"/>
                    <w:rPr>
                      <w:rFonts w:ascii="Times New Roman" w:hAnsi="Times New Roman" w:eastAsia="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22.628</w:t>
                  </w:r>
                </w:p>
              </w:tc>
            </w:tr>
            <w:tr w14:paraId="6F6103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5A17371A">
                  <w:pPr>
                    <w:autoSpaceDE w:val="0"/>
                    <w:autoSpaceDN w:val="0"/>
                    <w:jc w:val="center"/>
                    <w:rPr>
                      <w:rFonts w:ascii="Arial"/>
                      <w:color w:val="auto"/>
                      <w:sz w:val="21"/>
                    </w:rPr>
                  </w:pPr>
                </w:p>
              </w:tc>
              <w:tc>
                <w:tcPr>
                  <w:tcW w:w="931" w:type="pct"/>
                  <w:tcBorders>
                    <w:tl2br w:val="nil"/>
                    <w:tr2bl w:val="nil"/>
                  </w:tcBorders>
                  <w:noWrap w:val="0"/>
                  <w:vAlign w:val="center"/>
                </w:tcPr>
                <w:p w14:paraId="2494F5A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甲酸</w:t>
                  </w:r>
                </w:p>
              </w:tc>
              <w:tc>
                <w:tcPr>
                  <w:tcW w:w="529" w:type="pct"/>
                  <w:tcBorders>
                    <w:tl2br w:val="nil"/>
                    <w:tr2bl w:val="nil"/>
                  </w:tcBorders>
                  <w:noWrap w:val="0"/>
                  <w:vAlign w:val="center"/>
                </w:tcPr>
                <w:p w14:paraId="44AEB1E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6E928BB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2</w:t>
                  </w:r>
                </w:p>
              </w:tc>
              <w:tc>
                <w:tcPr>
                  <w:tcW w:w="631" w:type="pct"/>
                  <w:tcBorders>
                    <w:tl2br w:val="nil"/>
                    <w:tr2bl w:val="nil"/>
                  </w:tcBorders>
                  <w:noWrap w:val="0"/>
                  <w:vAlign w:val="center"/>
                </w:tcPr>
                <w:p w14:paraId="45DA87D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pacing w:val="-6"/>
                      <w:sz w:val="21"/>
                      <w:szCs w:val="21"/>
                      <w:lang w:val="en-US" w:eastAsia="zh-CN"/>
                    </w:rPr>
                  </w:pPr>
                  <w:r>
                    <w:rPr>
                      <w:rFonts w:hint="eastAsia" w:cs="Times New Roman"/>
                      <w:color w:val="auto"/>
                      <w:spacing w:val="-6"/>
                      <w:sz w:val="21"/>
                      <w:szCs w:val="21"/>
                      <w:lang w:val="en-US" w:eastAsia="zh-CN"/>
                    </w:rPr>
                    <w:t>1.220</w:t>
                  </w:r>
                </w:p>
              </w:tc>
              <w:tc>
                <w:tcPr>
                  <w:tcW w:w="624" w:type="pct"/>
                  <w:tcBorders>
                    <w:tl2br w:val="nil"/>
                    <w:tr2bl w:val="nil"/>
                  </w:tcBorders>
                  <w:noWrap w:val="0"/>
                  <w:vAlign w:val="center"/>
                </w:tcPr>
                <w:p w14:paraId="72CBFE43">
                  <w:pPr>
                    <w:keepNext w:val="0"/>
                    <w:keepLines w:val="0"/>
                    <w:widowControl/>
                    <w:suppressLineNumbers w:val="0"/>
                    <w:autoSpaceDE w:val="0"/>
                    <w:autoSpaceDN w:val="0"/>
                    <w:jc w:val="center"/>
                    <w:textAlignment w:val="center"/>
                    <w:rPr>
                      <w:rFonts w:hint="eastAsia"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32988A03">
                  <w:pPr>
                    <w:keepNext w:val="0"/>
                    <w:keepLines w:val="0"/>
                    <w:widowControl/>
                    <w:suppressLineNumbers w:val="0"/>
                    <w:autoSpaceDE w:val="0"/>
                    <w:autoSpaceDN w:val="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0.390</w:t>
                  </w:r>
                </w:p>
              </w:tc>
            </w:tr>
            <w:tr w14:paraId="30BE7B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65BCE140">
                  <w:pPr>
                    <w:autoSpaceDE w:val="0"/>
                    <w:autoSpaceDN w:val="0"/>
                    <w:jc w:val="center"/>
                    <w:rPr>
                      <w:rFonts w:ascii="Arial"/>
                      <w:color w:val="auto"/>
                      <w:sz w:val="21"/>
                    </w:rPr>
                  </w:pPr>
                </w:p>
              </w:tc>
              <w:tc>
                <w:tcPr>
                  <w:tcW w:w="931" w:type="pct"/>
                  <w:tcBorders>
                    <w:tl2br w:val="nil"/>
                    <w:tr2bl w:val="nil"/>
                  </w:tcBorders>
                  <w:shd w:val="clear" w:color="auto" w:fill="auto"/>
                  <w:noWrap w:val="0"/>
                  <w:vAlign w:val="center"/>
                </w:tcPr>
                <w:p w14:paraId="23434FA4">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rPr>
                    <w:t>乙酸</w:t>
                  </w:r>
                </w:p>
              </w:tc>
              <w:tc>
                <w:tcPr>
                  <w:tcW w:w="529" w:type="pct"/>
                  <w:tcBorders>
                    <w:tl2br w:val="nil"/>
                    <w:tr2bl w:val="nil"/>
                  </w:tcBorders>
                  <w:shd w:val="clear" w:color="auto" w:fill="auto"/>
                  <w:noWrap w:val="0"/>
                  <w:vAlign w:val="center"/>
                </w:tcPr>
                <w:p w14:paraId="6001A14A">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Times New Roman" w:cs="Times New Roman"/>
                      <w:color w:val="auto"/>
                      <w:kern w:val="2"/>
                      <w:sz w:val="21"/>
                      <w:szCs w:val="21"/>
                      <w:lang w:val="en-US" w:eastAsia="zh-CN" w:bidi="ar-SA"/>
                    </w:rPr>
                  </w:pPr>
                  <w:r>
                    <w:rPr>
                      <w:rFonts w:hint="default" w:ascii="Times New Roman" w:hAnsi="Times New Roman" w:eastAsia="Times New Roman" w:cs="Times New Roman"/>
                      <w:color w:val="auto"/>
                      <w:sz w:val="21"/>
                      <w:szCs w:val="21"/>
                    </w:rPr>
                    <w:t>L</w:t>
                  </w:r>
                </w:p>
              </w:tc>
              <w:tc>
                <w:tcPr>
                  <w:tcW w:w="482" w:type="pct"/>
                  <w:tcBorders>
                    <w:tl2br w:val="nil"/>
                    <w:tr2bl w:val="nil"/>
                  </w:tcBorders>
                  <w:shd w:val="clear" w:color="auto" w:fill="auto"/>
                  <w:noWrap w:val="0"/>
                  <w:vAlign w:val="center"/>
                </w:tcPr>
                <w:p w14:paraId="2E0F9FE0">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w:t>
                  </w:r>
                </w:p>
              </w:tc>
              <w:tc>
                <w:tcPr>
                  <w:tcW w:w="631" w:type="pct"/>
                  <w:tcBorders>
                    <w:tl2br w:val="nil"/>
                    <w:tr2bl w:val="nil"/>
                  </w:tcBorders>
                  <w:shd w:val="clear" w:color="auto" w:fill="auto"/>
                  <w:noWrap w:val="0"/>
                  <w:vAlign w:val="center"/>
                </w:tcPr>
                <w:p w14:paraId="20107B56">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pacing w:val="-1"/>
                      <w:sz w:val="21"/>
                      <w:szCs w:val="21"/>
                      <w:lang w:val="en-US" w:eastAsia="zh-CN"/>
                    </w:rPr>
                    <w:t>1.0</w:t>
                  </w:r>
                  <w:r>
                    <w:rPr>
                      <w:rFonts w:hint="eastAsia" w:ascii="Times New Roman" w:hAnsi="Times New Roman" w:eastAsia="宋体" w:cs="Times New Roman"/>
                      <w:color w:val="auto"/>
                      <w:spacing w:val="-1"/>
                      <w:sz w:val="21"/>
                      <w:szCs w:val="21"/>
                      <w:lang w:val="en-US" w:eastAsia="zh-CN"/>
                    </w:rPr>
                    <w:t>492</w:t>
                  </w:r>
                </w:p>
              </w:tc>
              <w:tc>
                <w:tcPr>
                  <w:tcW w:w="624" w:type="pct"/>
                  <w:tcBorders>
                    <w:tl2br w:val="nil"/>
                    <w:tr2bl w:val="nil"/>
                  </w:tcBorders>
                  <w:shd w:val="clear" w:color="auto" w:fill="auto"/>
                  <w:noWrap w:val="0"/>
                  <w:vAlign w:val="center"/>
                </w:tcPr>
                <w:p w14:paraId="41E40245">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shd w:val="clear" w:color="auto" w:fill="auto"/>
                  <w:noWrap w:val="0"/>
                  <w:vAlign w:val="center"/>
                </w:tcPr>
                <w:p w14:paraId="29FF3EBE">
                  <w:pPr>
                    <w:keepNext w:val="0"/>
                    <w:keepLines w:val="0"/>
                    <w:widowControl/>
                    <w:suppressLineNumbers w:val="0"/>
                    <w:autoSpaceDE w:val="0"/>
                    <w:autoSpaceDN w:val="0"/>
                    <w:jc w:val="center"/>
                    <w:textAlignment w:val="top"/>
                    <w:rPr>
                      <w:rFonts w:ascii="Times New Roman" w:hAnsi="Times New Roman" w:eastAsia="Times New Roman"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0.839</w:t>
                  </w:r>
                </w:p>
              </w:tc>
            </w:tr>
            <w:tr w14:paraId="4B1E8E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0756CC9A">
                  <w:pPr>
                    <w:autoSpaceDE w:val="0"/>
                    <w:autoSpaceDN w:val="0"/>
                    <w:jc w:val="center"/>
                    <w:rPr>
                      <w:rFonts w:ascii="Arial"/>
                      <w:color w:val="auto"/>
                      <w:sz w:val="21"/>
                    </w:rPr>
                  </w:pPr>
                </w:p>
              </w:tc>
              <w:tc>
                <w:tcPr>
                  <w:tcW w:w="931" w:type="pct"/>
                  <w:tcBorders>
                    <w:tl2br w:val="nil"/>
                    <w:tr2bl w:val="nil"/>
                  </w:tcBorders>
                  <w:shd w:val="clear" w:color="auto" w:fill="auto"/>
                  <w:noWrap w:val="0"/>
                  <w:vAlign w:val="center"/>
                </w:tcPr>
                <w:p w14:paraId="66AC7335">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rPr>
                    <w:t>正己烷</w:t>
                  </w:r>
                </w:p>
              </w:tc>
              <w:tc>
                <w:tcPr>
                  <w:tcW w:w="529" w:type="pct"/>
                  <w:tcBorders>
                    <w:tl2br w:val="nil"/>
                    <w:tr2bl w:val="nil"/>
                  </w:tcBorders>
                  <w:shd w:val="clear" w:color="auto" w:fill="auto"/>
                  <w:noWrap w:val="0"/>
                  <w:vAlign w:val="center"/>
                </w:tcPr>
                <w:p w14:paraId="66E60665">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Times New Roman" w:cs="Times New Roman"/>
                      <w:color w:val="auto"/>
                      <w:kern w:val="2"/>
                      <w:sz w:val="21"/>
                      <w:szCs w:val="21"/>
                      <w:lang w:val="en-US" w:eastAsia="zh-CN" w:bidi="ar-SA"/>
                    </w:rPr>
                  </w:pPr>
                  <w:r>
                    <w:rPr>
                      <w:rFonts w:hint="default" w:ascii="Times New Roman" w:hAnsi="Times New Roman" w:eastAsia="Times New Roman" w:cs="Times New Roman"/>
                      <w:color w:val="auto"/>
                      <w:sz w:val="21"/>
                      <w:szCs w:val="21"/>
                    </w:rPr>
                    <w:t>L</w:t>
                  </w:r>
                </w:p>
              </w:tc>
              <w:tc>
                <w:tcPr>
                  <w:tcW w:w="482" w:type="pct"/>
                  <w:tcBorders>
                    <w:tl2br w:val="nil"/>
                    <w:tr2bl w:val="nil"/>
                  </w:tcBorders>
                  <w:shd w:val="clear" w:color="auto" w:fill="auto"/>
                  <w:noWrap w:val="0"/>
                  <w:vAlign w:val="center"/>
                </w:tcPr>
                <w:p w14:paraId="41A8F44C">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Times New Roman" w:cs="Times New Roman"/>
                      <w:color w:val="auto"/>
                      <w:kern w:val="2"/>
                      <w:sz w:val="21"/>
                      <w:szCs w:val="21"/>
                      <w:lang w:val="en-US" w:eastAsia="zh-CN" w:bidi="ar-SA"/>
                    </w:rPr>
                  </w:pPr>
                  <w:r>
                    <w:rPr>
                      <w:rFonts w:hint="eastAsia" w:ascii="Times New Roman" w:hAnsi="Times New Roman" w:eastAsia="Times New Roman" w:cs="Times New Roman"/>
                      <w:color w:val="auto"/>
                      <w:kern w:val="2"/>
                      <w:sz w:val="21"/>
                      <w:szCs w:val="21"/>
                      <w:lang w:val="en-US" w:eastAsia="zh-CN" w:bidi="ar-SA"/>
                    </w:rPr>
                    <w:t>2</w:t>
                  </w:r>
                </w:p>
              </w:tc>
              <w:tc>
                <w:tcPr>
                  <w:tcW w:w="631" w:type="pct"/>
                  <w:tcBorders>
                    <w:tl2br w:val="nil"/>
                    <w:tr2bl w:val="nil"/>
                  </w:tcBorders>
                  <w:shd w:val="clear" w:color="auto" w:fill="auto"/>
                  <w:noWrap w:val="0"/>
                  <w:vAlign w:val="center"/>
                </w:tcPr>
                <w:p w14:paraId="5A0760BA">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Times New Roman" w:cs="Times New Roman"/>
                      <w:color w:val="auto"/>
                      <w:spacing w:val="-1"/>
                      <w:sz w:val="21"/>
                      <w:szCs w:val="21"/>
                    </w:rPr>
                    <w:t>0.6</w:t>
                  </w:r>
                  <w:r>
                    <w:rPr>
                      <w:rFonts w:hint="eastAsia" w:ascii="Times New Roman" w:hAnsi="Times New Roman" w:eastAsia="宋体" w:cs="Times New Roman"/>
                      <w:color w:val="auto"/>
                      <w:spacing w:val="-1"/>
                      <w:sz w:val="21"/>
                      <w:szCs w:val="21"/>
                      <w:lang w:val="en-US" w:eastAsia="zh-CN"/>
                    </w:rPr>
                    <w:t>603</w:t>
                  </w:r>
                </w:p>
              </w:tc>
              <w:tc>
                <w:tcPr>
                  <w:tcW w:w="624" w:type="pct"/>
                  <w:tcBorders>
                    <w:tl2br w:val="nil"/>
                    <w:tr2bl w:val="nil"/>
                  </w:tcBorders>
                  <w:shd w:val="clear" w:color="auto" w:fill="auto"/>
                  <w:noWrap w:val="0"/>
                  <w:vAlign w:val="center"/>
                </w:tcPr>
                <w:p w14:paraId="3CBB1585">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shd w:val="clear" w:color="auto" w:fill="auto"/>
                  <w:noWrap w:val="0"/>
                  <w:vAlign w:val="center"/>
                </w:tcPr>
                <w:p w14:paraId="22A61993">
                  <w:pPr>
                    <w:keepNext w:val="0"/>
                    <w:keepLines w:val="0"/>
                    <w:widowControl/>
                    <w:suppressLineNumbers w:val="0"/>
                    <w:autoSpaceDE w:val="0"/>
                    <w:autoSpaceDN w:val="0"/>
                    <w:jc w:val="center"/>
                    <w:textAlignment w:val="top"/>
                    <w:rPr>
                      <w:rFonts w:ascii="Times New Roman" w:hAnsi="Times New Roman" w:eastAsia="Times New Roman"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0.211</w:t>
                  </w:r>
                </w:p>
              </w:tc>
            </w:tr>
            <w:tr w14:paraId="722788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3B818F57">
                  <w:pPr>
                    <w:autoSpaceDE w:val="0"/>
                    <w:autoSpaceDN w:val="0"/>
                    <w:jc w:val="center"/>
                    <w:rPr>
                      <w:rFonts w:ascii="Arial"/>
                      <w:color w:val="auto"/>
                      <w:sz w:val="21"/>
                    </w:rPr>
                  </w:pPr>
                </w:p>
              </w:tc>
              <w:tc>
                <w:tcPr>
                  <w:tcW w:w="931" w:type="pct"/>
                  <w:tcBorders>
                    <w:tl2br w:val="nil"/>
                    <w:tr2bl w:val="nil"/>
                  </w:tcBorders>
                  <w:noWrap w:val="0"/>
                  <w:vAlign w:val="center"/>
                </w:tcPr>
                <w:p w14:paraId="158947E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环己烷</w:t>
                  </w:r>
                </w:p>
              </w:tc>
              <w:tc>
                <w:tcPr>
                  <w:tcW w:w="529" w:type="pct"/>
                  <w:tcBorders>
                    <w:tl2br w:val="nil"/>
                    <w:tr2bl w:val="nil"/>
                  </w:tcBorders>
                  <w:noWrap w:val="0"/>
                  <w:vAlign w:val="center"/>
                </w:tcPr>
                <w:p w14:paraId="6D01C72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0304F2B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w:t>
                  </w:r>
                </w:p>
              </w:tc>
              <w:tc>
                <w:tcPr>
                  <w:tcW w:w="631" w:type="pct"/>
                  <w:tcBorders>
                    <w:tl2br w:val="nil"/>
                    <w:tr2bl w:val="nil"/>
                  </w:tcBorders>
                  <w:noWrap w:val="0"/>
                  <w:vAlign w:val="center"/>
                </w:tcPr>
                <w:p w14:paraId="47DAB4B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0.735</w:t>
                  </w:r>
                </w:p>
              </w:tc>
              <w:tc>
                <w:tcPr>
                  <w:tcW w:w="624" w:type="pct"/>
                  <w:tcBorders>
                    <w:tl2br w:val="nil"/>
                    <w:tr2bl w:val="nil"/>
                  </w:tcBorders>
                  <w:noWrap w:val="0"/>
                  <w:vAlign w:val="center"/>
                </w:tcPr>
                <w:p w14:paraId="5D12D36A">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264C9B02">
                  <w:pPr>
                    <w:keepNext w:val="0"/>
                    <w:keepLines w:val="0"/>
                    <w:widowControl/>
                    <w:suppressLineNumbers w:val="0"/>
                    <w:autoSpaceDE w:val="0"/>
                    <w:autoSpaceDN w:val="0"/>
                    <w:jc w:val="center"/>
                    <w:textAlignment w:val="top"/>
                    <w:rPr>
                      <w:rFonts w:ascii="Times New Roman" w:hAnsi="Times New Roman" w:eastAsia="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0.235</w:t>
                  </w:r>
                </w:p>
              </w:tc>
            </w:tr>
            <w:tr w14:paraId="488D44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300512A6">
                  <w:pPr>
                    <w:autoSpaceDE w:val="0"/>
                    <w:autoSpaceDN w:val="0"/>
                    <w:jc w:val="center"/>
                    <w:rPr>
                      <w:rFonts w:ascii="Arial"/>
                      <w:color w:val="auto"/>
                      <w:sz w:val="21"/>
                    </w:rPr>
                  </w:pPr>
                </w:p>
              </w:tc>
              <w:tc>
                <w:tcPr>
                  <w:tcW w:w="931" w:type="pct"/>
                  <w:tcBorders>
                    <w:tl2br w:val="nil"/>
                    <w:tr2bl w:val="nil"/>
                  </w:tcBorders>
                  <w:noWrap w:val="0"/>
                  <w:vAlign w:val="center"/>
                </w:tcPr>
                <w:p w14:paraId="109ED05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rPr>
                    <w:t>石油醚</w:t>
                  </w:r>
                </w:p>
              </w:tc>
              <w:tc>
                <w:tcPr>
                  <w:tcW w:w="529" w:type="pct"/>
                  <w:tcBorders>
                    <w:tl2br w:val="nil"/>
                    <w:tr2bl w:val="nil"/>
                  </w:tcBorders>
                  <w:noWrap w:val="0"/>
                  <w:vAlign w:val="center"/>
                </w:tcPr>
                <w:p w14:paraId="0544B07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748CD2D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2.5</w:t>
                  </w:r>
                </w:p>
              </w:tc>
              <w:tc>
                <w:tcPr>
                  <w:tcW w:w="631" w:type="pct"/>
                  <w:tcBorders>
                    <w:tl2br w:val="nil"/>
                    <w:tr2bl w:val="nil"/>
                  </w:tcBorders>
                  <w:noWrap w:val="0"/>
                  <w:vAlign w:val="center"/>
                </w:tcPr>
                <w:p w14:paraId="4F6B9D6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color w:val="auto"/>
                      <w:spacing w:val="-1"/>
                      <w:sz w:val="21"/>
                      <w:szCs w:val="21"/>
                    </w:rPr>
                    <w:t>0.</w:t>
                  </w:r>
                  <w:r>
                    <w:rPr>
                      <w:rFonts w:hint="default" w:ascii="Times New Roman" w:hAnsi="Times New Roman" w:eastAsia="宋体" w:cs="Times New Roman"/>
                      <w:color w:val="auto"/>
                      <w:spacing w:val="-1"/>
                      <w:sz w:val="21"/>
                      <w:szCs w:val="21"/>
                      <w:lang w:val="en-US" w:eastAsia="zh-CN"/>
                    </w:rPr>
                    <w:t>66</w:t>
                  </w:r>
                </w:p>
              </w:tc>
              <w:tc>
                <w:tcPr>
                  <w:tcW w:w="624" w:type="pct"/>
                  <w:tcBorders>
                    <w:tl2br w:val="nil"/>
                    <w:tr2bl w:val="nil"/>
                  </w:tcBorders>
                  <w:noWrap w:val="0"/>
                  <w:vAlign w:val="center"/>
                </w:tcPr>
                <w:p w14:paraId="7EAB4C2E">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3C2BB008">
                  <w:pPr>
                    <w:keepNext w:val="0"/>
                    <w:keepLines w:val="0"/>
                    <w:widowControl/>
                    <w:suppressLineNumbers w:val="0"/>
                    <w:autoSpaceDE w:val="0"/>
                    <w:autoSpaceDN w:val="0"/>
                    <w:jc w:val="center"/>
                    <w:textAlignment w:val="top"/>
                    <w:rPr>
                      <w:rFonts w:ascii="Times New Roman" w:hAnsi="Times New Roman" w:eastAsia="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0.264</w:t>
                  </w:r>
                </w:p>
              </w:tc>
            </w:tr>
            <w:tr w14:paraId="32BF30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4CC08E6F">
                  <w:pPr>
                    <w:autoSpaceDE w:val="0"/>
                    <w:autoSpaceDN w:val="0"/>
                    <w:jc w:val="center"/>
                    <w:rPr>
                      <w:rFonts w:ascii="Arial"/>
                      <w:color w:val="auto"/>
                      <w:sz w:val="21"/>
                    </w:rPr>
                  </w:pPr>
                </w:p>
              </w:tc>
              <w:tc>
                <w:tcPr>
                  <w:tcW w:w="931" w:type="pct"/>
                  <w:tcBorders>
                    <w:tl2br w:val="nil"/>
                    <w:tr2bl w:val="nil"/>
                  </w:tcBorders>
                  <w:noWrap w:val="0"/>
                  <w:vAlign w:val="center"/>
                </w:tcPr>
                <w:p w14:paraId="1679319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rPr>
                    <w:t>乙酸乙酯</w:t>
                  </w:r>
                </w:p>
              </w:tc>
              <w:tc>
                <w:tcPr>
                  <w:tcW w:w="529" w:type="pct"/>
                  <w:tcBorders>
                    <w:tl2br w:val="nil"/>
                    <w:tr2bl w:val="nil"/>
                  </w:tcBorders>
                  <w:noWrap w:val="0"/>
                  <w:vAlign w:val="center"/>
                </w:tcPr>
                <w:p w14:paraId="65DF310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343BC30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w:t>
                  </w:r>
                </w:p>
              </w:tc>
              <w:tc>
                <w:tcPr>
                  <w:tcW w:w="631" w:type="pct"/>
                  <w:tcBorders>
                    <w:tl2br w:val="nil"/>
                    <w:tr2bl w:val="nil"/>
                  </w:tcBorders>
                  <w:noWrap w:val="0"/>
                  <w:vAlign w:val="center"/>
                </w:tcPr>
                <w:p w14:paraId="11E9A07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Times New Roman" w:cs="Times New Roman"/>
                      <w:color w:val="auto"/>
                      <w:spacing w:val="-1"/>
                      <w:sz w:val="21"/>
                      <w:szCs w:val="21"/>
                    </w:rPr>
                    <w:t>0.8</w:t>
                  </w:r>
                  <w:r>
                    <w:rPr>
                      <w:rFonts w:hint="default" w:ascii="Times New Roman" w:hAnsi="Times New Roman" w:eastAsia="宋体" w:cs="Times New Roman"/>
                      <w:color w:val="auto"/>
                      <w:spacing w:val="-1"/>
                      <w:sz w:val="21"/>
                      <w:szCs w:val="21"/>
                      <w:lang w:val="en-US" w:eastAsia="zh-CN"/>
                    </w:rPr>
                    <w:t>97</w:t>
                  </w:r>
                </w:p>
              </w:tc>
              <w:tc>
                <w:tcPr>
                  <w:tcW w:w="624" w:type="pct"/>
                  <w:tcBorders>
                    <w:tl2br w:val="nil"/>
                    <w:tr2bl w:val="nil"/>
                  </w:tcBorders>
                  <w:noWrap w:val="0"/>
                  <w:vAlign w:val="center"/>
                </w:tcPr>
                <w:p w14:paraId="6326B00F">
                  <w:pPr>
                    <w:keepNext w:val="0"/>
                    <w:keepLines w:val="0"/>
                    <w:widowControl/>
                    <w:suppressLineNumbers w:val="0"/>
                    <w:autoSpaceDE w:val="0"/>
                    <w:autoSpaceDN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76D00B2E">
                  <w:pPr>
                    <w:keepNext w:val="0"/>
                    <w:keepLines w:val="0"/>
                    <w:widowControl/>
                    <w:suppressLineNumbers w:val="0"/>
                    <w:autoSpaceDE w:val="0"/>
                    <w:autoSpaceDN w:val="0"/>
                    <w:jc w:val="center"/>
                    <w:textAlignment w:val="top"/>
                    <w:rPr>
                      <w:rFonts w:ascii="Times New Roman" w:hAnsi="Times New Roman" w:eastAsia="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0.287</w:t>
                  </w:r>
                </w:p>
              </w:tc>
            </w:tr>
            <w:tr w14:paraId="5C986C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4EB8C970">
                  <w:pPr>
                    <w:autoSpaceDE w:val="0"/>
                    <w:autoSpaceDN w:val="0"/>
                    <w:jc w:val="center"/>
                    <w:rPr>
                      <w:rFonts w:ascii="Arial"/>
                      <w:color w:val="auto"/>
                      <w:sz w:val="21"/>
                    </w:rPr>
                  </w:pPr>
                </w:p>
              </w:tc>
              <w:tc>
                <w:tcPr>
                  <w:tcW w:w="931" w:type="pct"/>
                  <w:tcBorders>
                    <w:tl2br w:val="nil"/>
                    <w:tr2bl w:val="nil"/>
                  </w:tcBorders>
                  <w:noWrap w:val="0"/>
                  <w:vAlign w:val="center"/>
                </w:tcPr>
                <w:p w14:paraId="02C7F1F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正丁醇</w:t>
                  </w:r>
                </w:p>
              </w:tc>
              <w:tc>
                <w:tcPr>
                  <w:tcW w:w="529" w:type="pct"/>
                  <w:tcBorders>
                    <w:tl2br w:val="nil"/>
                    <w:tr2bl w:val="nil"/>
                  </w:tcBorders>
                  <w:noWrap w:val="0"/>
                  <w:vAlign w:val="center"/>
                </w:tcPr>
                <w:p w14:paraId="79467B9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5876E90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2</w:t>
                  </w:r>
                </w:p>
              </w:tc>
              <w:tc>
                <w:tcPr>
                  <w:tcW w:w="631" w:type="pct"/>
                  <w:tcBorders>
                    <w:tl2br w:val="nil"/>
                    <w:tr2bl w:val="nil"/>
                  </w:tcBorders>
                  <w:noWrap w:val="0"/>
                  <w:vAlign w:val="center"/>
                </w:tcPr>
                <w:p w14:paraId="38D8CAD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pacing w:val="-1"/>
                      <w:sz w:val="21"/>
                      <w:szCs w:val="21"/>
                      <w:lang w:val="en-US" w:eastAsia="zh-CN"/>
                    </w:rPr>
                  </w:pPr>
                  <w:r>
                    <w:rPr>
                      <w:rFonts w:hint="eastAsia" w:eastAsia="宋体" w:cs="Times New Roman"/>
                      <w:color w:val="auto"/>
                      <w:spacing w:val="-1"/>
                      <w:sz w:val="21"/>
                      <w:szCs w:val="21"/>
                      <w:lang w:val="en-US" w:eastAsia="zh-CN"/>
                    </w:rPr>
                    <w:t>0.81</w:t>
                  </w:r>
                </w:p>
              </w:tc>
              <w:tc>
                <w:tcPr>
                  <w:tcW w:w="624" w:type="pct"/>
                  <w:tcBorders>
                    <w:tl2br w:val="nil"/>
                    <w:tr2bl w:val="nil"/>
                  </w:tcBorders>
                  <w:noWrap w:val="0"/>
                  <w:vAlign w:val="center"/>
                </w:tcPr>
                <w:p w14:paraId="4948E8A7">
                  <w:pPr>
                    <w:keepNext w:val="0"/>
                    <w:keepLines w:val="0"/>
                    <w:widowControl/>
                    <w:suppressLineNumbers w:val="0"/>
                    <w:autoSpaceDE w:val="0"/>
                    <w:autoSpaceDN w:val="0"/>
                    <w:jc w:val="center"/>
                    <w:textAlignment w:val="center"/>
                    <w:rPr>
                      <w:rFonts w:hint="eastAsia"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086C894D">
                  <w:pPr>
                    <w:keepNext w:val="0"/>
                    <w:keepLines w:val="0"/>
                    <w:widowControl/>
                    <w:suppressLineNumbers w:val="0"/>
                    <w:autoSpaceDE w:val="0"/>
                    <w:autoSpaceDN w:val="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0.259</w:t>
                  </w:r>
                </w:p>
              </w:tc>
            </w:tr>
            <w:tr w14:paraId="7FEB24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4F837357">
                  <w:pPr>
                    <w:autoSpaceDE w:val="0"/>
                    <w:autoSpaceDN w:val="0"/>
                    <w:jc w:val="center"/>
                    <w:rPr>
                      <w:rFonts w:ascii="Arial"/>
                      <w:color w:val="auto"/>
                      <w:sz w:val="21"/>
                    </w:rPr>
                  </w:pPr>
                </w:p>
              </w:tc>
              <w:tc>
                <w:tcPr>
                  <w:tcW w:w="931" w:type="pct"/>
                  <w:tcBorders>
                    <w:tl2br w:val="nil"/>
                    <w:tr2bl w:val="nil"/>
                  </w:tcBorders>
                  <w:shd w:val="clear" w:color="auto" w:fill="auto"/>
                  <w:noWrap w:val="0"/>
                  <w:vAlign w:val="center"/>
                </w:tcPr>
                <w:p w14:paraId="79E854E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异丙醇</w:t>
                  </w:r>
                </w:p>
              </w:tc>
              <w:tc>
                <w:tcPr>
                  <w:tcW w:w="529" w:type="pct"/>
                  <w:tcBorders>
                    <w:tl2br w:val="nil"/>
                    <w:tr2bl w:val="nil"/>
                  </w:tcBorders>
                  <w:noWrap w:val="0"/>
                  <w:vAlign w:val="center"/>
                </w:tcPr>
                <w:p w14:paraId="4BAB3D2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338477E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17.5</w:t>
                  </w:r>
                </w:p>
              </w:tc>
              <w:tc>
                <w:tcPr>
                  <w:tcW w:w="631" w:type="pct"/>
                  <w:tcBorders>
                    <w:tl2br w:val="nil"/>
                    <w:tr2bl w:val="nil"/>
                  </w:tcBorders>
                  <w:noWrap w:val="0"/>
                  <w:vAlign w:val="center"/>
                </w:tcPr>
                <w:p w14:paraId="304B27B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pacing w:val="-1"/>
                      <w:sz w:val="21"/>
                      <w:szCs w:val="21"/>
                      <w:lang w:val="en-US" w:eastAsia="zh-CN"/>
                    </w:rPr>
                  </w:pPr>
                  <w:r>
                    <w:rPr>
                      <w:rFonts w:hint="eastAsia" w:eastAsia="宋体" w:cs="Times New Roman"/>
                      <w:color w:val="auto"/>
                      <w:spacing w:val="-1"/>
                      <w:sz w:val="21"/>
                      <w:szCs w:val="21"/>
                      <w:lang w:val="en-US" w:eastAsia="zh-CN"/>
                    </w:rPr>
                    <w:t>0.7855</w:t>
                  </w:r>
                </w:p>
              </w:tc>
              <w:tc>
                <w:tcPr>
                  <w:tcW w:w="624" w:type="pct"/>
                  <w:tcBorders>
                    <w:tl2br w:val="nil"/>
                    <w:tr2bl w:val="nil"/>
                  </w:tcBorders>
                  <w:noWrap w:val="0"/>
                  <w:vAlign w:val="center"/>
                </w:tcPr>
                <w:p w14:paraId="0CB1D35F">
                  <w:pPr>
                    <w:keepNext w:val="0"/>
                    <w:keepLines w:val="0"/>
                    <w:widowControl/>
                    <w:suppressLineNumbers w:val="0"/>
                    <w:autoSpaceDE w:val="0"/>
                    <w:autoSpaceDN w:val="0"/>
                    <w:jc w:val="center"/>
                    <w:textAlignment w:val="center"/>
                    <w:rPr>
                      <w:rFonts w:hint="eastAsia"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3E243947">
                  <w:pPr>
                    <w:keepNext w:val="0"/>
                    <w:keepLines w:val="0"/>
                    <w:widowControl/>
                    <w:suppressLineNumbers w:val="0"/>
                    <w:autoSpaceDE w:val="0"/>
                    <w:autoSpaceDN w:val="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2.199</w:t>
                  </w:r>
                </w:p>
              </w:tc>
            </w:tr>
            <w:tr w14:paraId="3B9D42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6CA49866">
                  <w:pPr>
                    <w:autoSpaceDE w:val="0"/>
                    <w:autoSpaceDN w:val="0"/>
                    <w:jc w:val="center"/>
                    <w:rPr>
                      <w:rFonts w:ascii="Arial"/>
                      <w:color w:val="auto"/>
                      <w:sz w:val="21"/>
                    </w:rPr>
                  </w:pPr>
                </w:p>
              </w:tc>
              <w:tc>
                <w:tcPr>
                  <w:tcW w:w="931" w:type="pct"/>
                  <w:tcBorders>
                    <w:tl2br w:val="nil"/>
                    <w:tr2bl w:val="nil"/>
                  </w:tcBorders>
                  <w:shd w:val="clear" w:color="auto" w:fill="auto"/>
                  <w:noWrap w:val="0"/>
                  <w:vAlign w:val="center"/>
                </w:tcPr>
                <w:p w14:paraId="6F5D2BA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Segoe UI" w:cs="Times New Roman"/>
                      <w:i w:val="0"/>
                      <w:iCs w:val="0"/>
                      <w:caps w:val="0"/>
                      <w:color w:val="auto"/>
                      <w:spacing w:val="0"/>
                      <w:sz w:val="21"/>
                      <w:szCs w:val="21"/>
                      <w:shd w:val="clear" w:fill="FFFFFF"/>
                    </w:rPr>
                    <w:t>四氢呋喃</w:t>
                  </w:r>
                </w:p>
              </w:tc>
              <w:tc>
                <w:tcPr>
                  <w:tcW w:w="529" w:type="pct"/>
                  <w:tcBorders>
                    <w:tl2br w:val="nil"/>
                    <w:tr2bl w:val="nil"/>
                  </w:tcBorders>
                  <w:noWrap w:val="0"/>
                  <w:vAlign w:val="center"/>
                </w:tcPr>
                <w:p w14:paraId="5EEC6F4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14AB0E6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cs="Times New Roman"/>
                      <w:color w:val="auto"/>
                      <w:lang w:val="en-US" w:eastAsia="zh-CN"/>
                    </w:rPr>
                  </w:pPr>
                  <w:r>
                    <w:rPr>
                      <w:rFonts w:hint="eastAsia" w:cs="Times New Roman"/>
                      <w:color w:val="auto"/>
                      <w:lang w:val="en-US" w:eastAsia="zh-CN"/>
                    </w:rPr>
                    <w:t>2</w:t>
                  </w:r>
                </w:p>
              </w:tc>
              <w:tc>
                <w:tcPr>
                  <w:tcW w:w="631" w:type="pct"/>
                  <w:tcBorders>
                    <w:tl2br w:val="nil"/>
                    <w:tr2bl w:val="nil"/>
                  </w:tcBorders>
                  <w:noWrap w:val="0"/>
                  <w:vAlign w:val="center"/>
                </w:tcPr>
                <w:p w14:paraId="62E0CAC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pacing w:val="-1"/>
                      <w:sz w:val="21"/>
                      <w:szCs w:val="21"/>
                      <w:lang w:val="en-US" w:eastAsia="zh-CN"/>
                    </w:rPr>
                  </w:pPr>
                  <w:r>
                    <w:rPr>
                      <w:rFonts w:hint="eastAsia" w:eastAsia="宋体" w:cs="Times New Roman"/>
                      <w:color w:val="auto"/>
                      <w:spacing w:val="-1"/>
                      <w:sz w:val="21"/>
                      <w:szCs w:val="21"/>
                      <w:lang w:val="en-US" w:eastAsia="zh-CN"/>
                    </w:rPr>
                    <w:t>0.89</w:t>
                  </w:r>
                </w:p>
              </w:tc>
              <w:tc>
                <w:tcPr>
                  <w:tcW w:w="624" w:type="pct"/>
                  <w:tcBorders>
                    <w:tl2br w:val="nil"/>
                    <w:tr2bl w:val="nil"/>
                  </w:tcBorders>
                  <w:noWrap w:val="0"/>
                  <w:vAlign w:val="center"/>
                </w:tcPr>
                <w:p w14:paraId="5445F1A6">
                  <w:pPr>
                    <w:keepNext w:val="0"/>
                    <w:keepLines w:val="0"/>
                    <w:widowControl/>
                    <w:suppressLineNumbers w:val="0"/>
                    <w:autoSpaceDE w:val="0"/>
                    <w:autoSpaceDN w:val="0"/>
                    <w:jc w:val="center"/>
                    <w:textAlignment w:val="center"/>
                    <w:rPr>
                      <w:rFonts w:hint="eastAsia"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0BF6094B">
                  <w:pPr>
                    <w:keepNext w:val="0"/>
                    <w:keepLines w:val="0"/>
                    <w:widowControl/>
                    <w:suppressLineNumbers w:val="0"/>
                    <w:autoSpaceDE w:val="0"/>
                    <w:autoSpaceDN w:val="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0.285</w:t>
                  </w:r>
                </w:p>
              </w:tc>
            </w:tr>
            <w:tr w14:paraId="39185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l2br w:val="nil"/>
                    <w:tr2bl w:val="nil"/>
                  </w:tcBorders>
                  <w:noWrap w:val="0"/>
                  <w:vAlign w:val="center"/>
                </w:tcPr>
                <w:p w14:paraId="14368411">
                  <w:pPr>
                    <w:autoSpaceDE w:val="0"/>
                    <w:autoSpaceDN w:val="0"/>
                    <w:jc w:val="center"/>
                    <w:rPr>
                      <w:rFonts w:ascii="Arial"/>
                      <w:color w:val="auto"/>
                      <w:sz w:val="21"/>
                    </w:rPr>
                  </w:pPr>
                </w:p>
              </w:tc>
              <w:tc>
                <w:tcPr>
                  <w:tcW w:w="931" w:type="pct"/>
                  <w:tcBorders>
                    <w:tl2br w:val="nil"/>
                    <w:tr2bl w:val="nil"/>
                  </w:tcBorders>
                  <w:shd w:val="clear" w:color="auto" w:fill="auto"/>
                  <w:noWrap w:val="0"/>
                  <w:vAlign w:val="center"/>
                </w:tcPr>
                <w:p w14:paraId="5DDE69C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甲酸乙酯</w:t>
                  </w:r>
                </w:p>
              </w:tc>
              <w:tc>
                <w:tcPr>
                  <w:tcW w:w="529" w:type="pct"/>
                  <w:tcBorders>
                    <w:tl2br w:val="nil"/>
                    <w:tr2bl w:val="nil"/>
                  </w:tcBorders>
                  <w:noWrap w:val="0"/>
                  <w:vAlign w:val="center"/>
                </w:tcPr>
                <w:p w14:paraId="04C4E66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L</w:t>
                  </w:r>
                </w:p>
              </w:tc>
              <w:tc>
                <w:tcPr>
                  <w:tcW w:w="482" w:type="pct"/>
                  <w:tcBorders>
                    <w:tl2br w:val="nil"/>
                    <w:tr2bl w:val="nil"/>
                  </w:tcBorders>
                  <w:noWrap w:val="0"/>
                  <w:vAlign w:val="center"/>
                </w:tcPr>
                <w:p w14:paraId="15A5F56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1.25</w:t>
                  </w:r>
                </w:p>
              </w:tc>
              <w:tc>
                <w:tcPr>
                  <w:tcW w:w="631" w:type="pct"/>
                  <w:tcBorders>
                    <w:tl2br w:val="nil"/>
                    <w:tr2bl w:val="nil"/>
                  </w:tcBorders>
                  <w:noWrap w:val="0"/>
                  <w:vAlign w:val="center"/>
                </w:tcPr>
                <w:p w14:paraId="4DFC77C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pacing w:val="-1"/>
                      <w:sz w:val="21"/>
                      <w:szCs w:val="21"/>
                      <w:lang w:val="en-US" w:eastAsia="zh-CN"/>
                    </w:rPr>
                  </w:pPr>
                  <w:r>
                    <w:rPr>
                      <w:rFonts w:hint="eastAsia" w:eastAsia="宋体" w:cs="Times New Roman"/>
                      <w:color w:val="auto"/>
                      <w:spacing w:val="-1"/>
                      <w:sz w:val="21"/>
                      <w:szCs w:val="21"/>
                      <w:lang w:val="en-US" w:eastAsia="zh-CN"/>
                    </w:rPr>
                    <w:t>0.9168</w:t>
                  </w:r>
                </w:p>
              </w:tc>
              <w:tc>
                <w:tcPr>
                  <w:tcW w:w="624" w:type="pct"/>
                  <w:tcBorders>
                    <w:tl2br w:val="nil"/>
                    <w:tr2bl w:val="nil"/>
                  </w:tcBorders>
                  <w:noWrap w:val="0"/>
                  <w:vAlign w:val="center"/>
                </w:tcPr>
                <w:p w14:paraId="03C8995C">
                  <w:pPr>
                    <w:keepNext w:val="0"/>
                    <w:keepLines w:val="0"/>
                    <w:widowControl/>
                    <w:suppressLineNumbers w:val="0"/>
                    <w:autoSpaceDE w:val="0"/>
                    <w:autoSpaceDN w:val="0"/>
                    <w:jc w:val="center"/>
                    <w:textAlignment w:val="center"/>
                    <w:rPr>
                      <w:rFonts w:hint="eastAsia"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72" w:type="pct"/>
                  <w:tcBorders>
                    <w:tl2br w:val="nil"/>
                    <w:tr2bl w:val="nil"/>
                  </w:tcBorders>
                  <w:noWrap w:val="0"/>
                  <w:vAlign w:val="center"/>
                </w:tcPr>
                <w:p w14:paraId="395421EC">
                  <w:pPr>
                    <w:keepNext w:val="0"/>
                    <w:keepLines w:val="0"/>
                    <w:widowControl/>
                    <w:suppressLineNumbers w:val="0"/>
                    <w:autoSpaceDE w:val="0"/>
                    <w:autoSpaceDN w:val="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0.183</w:t>
                  </w:r>
                </w:p>
              </w:tc>
            </w:tr>
          </w:tbl>
          <w:p w14:paraId="6C4D1806">
            <w:pPr>
              <w:pStyle w:val="95"/>
              <w:keepNext/>
              <w:keepLines w:val="0"/>
              <w:pageBreakBefore w:val="0"/>
              <w:widowControl/>
              <w:kinsoku/>
              <w:wordWrap/>
              <w:overflowPunct/>
              <w:topLinePunct w:val="0"/>
              <w:autoSpaceDE/>
              <w:autoSpaceDN/>
              <w:bidi w:val="0"/>
              <w:adjustRightInd/>
              <w:snapToGrid w:val="0"/>
              <w:spacing w:before="0" w:beforeLines="0" w:after="0" w:line="240" w:lineRule="auto"/>
              <w:ind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表4-4  </w:t>
            </w:r>
            <w:r>
              <w:rPr>
                <w:rFonts w:hint="eastAsia" w:ascii="Times New Roman" w:hAnsi="Times New Roman" w:eastAsia="宋体" w:cs="Times New Roman"/>
                <w:color w:val="auto"/>
                <w:kern w:val="0"/>
                <w:sz w:val="21"/>
                <w:szCs w:val="21"/>
                <w:highlight w:val="none"/>
                <w:lang w:val="en-US" w:eastAsia="zh-CN" w:bidi="ar"/>
              </w:rPr>
              <w:t>本项目</w:t>
            </w:r>
            <w:r>
              <w:rPr>
                <w:rFonts w:hint="eastAsia" w:eastAsia="宋体"/>
                <w:color w:val="auto"/>
                <w:sz w:val="21"/>
                <w:szCs w:val="21"/>
                <w:highlight w:val="none"/>
                <w:lang w:val="en-US" w:eastAsia="zh-CN"/>
              </w:rPr>
              <w:t>有机废气产排</w:t>
            </w:r>
            <w:r>
              <w:rPr>
                <w:rFonts w:hint="eastAsia"/>
                <w:color w:val="auto"/>
                <w:sz w:val="21"/>
                <w:szCs w:val="21"/>
                <w:highlight w:val="none"/>
                <w:lang w:val="en-US" w:eastAsia="zh-CN"/>
              </w:rPr>
              <w:t>情况表</w:t>
            </w:r>
          </w:p>
          <w:tbl>
            <w:tblPr>
              <w:tblStyle w:val="28"/>
              <w:tblW w:w="8395"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677"/>
              <w:gridCol w:w="817"/>
              <w:gridCol w:w="1625"/>
              <w:gridCol w:w="872"/>
              <w:gridCol w:w="807"/>
              <w:gridCol w:w="1047"/>
              <w:gridCol w:w="874"/>
              <w:gridCol w:w="819"/>
            </w:tblGrid>
            <w:tr w14:paraId="774419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52" w:type="dxa"/>
                  <w:tcBorders>
                    <w:tl2br w:val="nil"/>
                    <w:tr2bl w:val="nil"/>
                  </w:tcBorders>
                  <w:noWrap/>
                  <w:vAlign w:val="center"/>
                </w:tcPr>
                <w:p w14:paraId="2744FD94">
                  <w:pPr>
                    <w:pStyle w:val="85"/>
                    <w:bidi w:val="0"/>
                    <w:rPr>
                      <w:rFonts w:hint="eastAsia"/>
                      <w:color w:val="auto"/>
                      <w:highlight w:val="none"/>
                    </w:rPr>
                  </w:pPr>
                  <w:r>
                    <w:rPr>
                      <w:rFonts w:hint="eastAsia"/>
                      <w:color w:val="auto"/>
                      <w:highlight w:val="none"/>
                      <w:lang w:val="en-US" w:eastAsia="zh-CN"/>
                    </w:rPr>
                    <w:t>工序</w:t>
                  </w:r>
                </w:p>
              </w:tc>
              <w:tc>
                <w:tcPr>
                  <w:tcW w:w="685" w:type="dxa"/>
                  <w:tcBorders>
                    <w:tl2br w:val="nil"/>
                    <w:tr2bl w:val="nil"/>
                  </w:tcBorders>
                  <w:noWrap/>
                  <w:vAlign w:val="center"/>
                </w:tcPr>
                <w:p w14:paraId="7CA81590">
                  <w:pPr>
                    <w:pStyle w:val="85"/>
                    <w:bidi w:val="0"/>
                    <w:rPr>
                      <w:rFonts w:hint="eastAsia"/>
                      <w:color w:val="auto"/>
                      <w:highlight w:val="none"/>
                    </w:rPr>
                  </w:pPr>
                  <w:r>
                    <w:rPr>
                      <w:rFonts w:hint="eastAsia"/>
                      <w:color w:val="auto"/>
                      <w:highlight w:val="none"/>
                      <w:lang w:val="en-US" w:eastAsia="zh-CN"/>
                    </w:rPr>
                    <w:t>污染因子</w:t>
                  </w:r>
                </w:p>
              </w:tc>
              <w:tc>
                <w:tcPr>
                  <w:tcW w:w="828" w:type="dxa"/>
                  <w:tcBorders>
                    <w:tl2br w:val="nil"/>
                    <w:tr2bl w:val="nil"/>
                  </w:tcBorders>
                  <w:noWrap/>
                  <w:vAlign w:val="center"/>
                </w:tcPr>
                <w:p w14:paraId="2F5ACDDA">
                  <w:pPr>
                    <w:pStyle w:val="85"/>
                    <w:bidi w:val="0"/>
                    <w:rPr>
                      <w:rFonts w:hint="eastAsia"/>
                      <w:color w:val="auto"/>
                      <w:highlight w:val="none"/>
                    </w:rPr>
                  </w:pPr>
                  <w:r>
                    <w:rPr>
                      <w:rFonts w:hint="eastAsia"/>
                      <w:color w:val="auto"/>
                      <w:highlight w:val="none"/>
                      <w:lang w:val="en-US" w:eastAsia="zh-CN"/>
                    </w:rPr>
                    <w:t>产生量t</w:t>
                  </w:r>
                  <w:r>
                    <w:rPr>
                      <w:rFonts w:hint="default"/>
                      <w:color w:val="auto"/>
                      <w:highlight w:val="none"/>
                      <w:lang w:val="en-US" w:eastAsia="zh-CN"/>
                    </w:rPr>
                    <w:t>/a</w:t>
                  </w:r>
                </w:p>
              </w:tc>
              <w:tc>
                <w:tcPr>
                  <w:tcW w:w="1651" w:type="dxa"/>
                  <w:tcBorders>
                    <w:tl2br w:val="nil"/>
                    <w:tr2bl w:val="nil"/>
                  </w:tcBorders>
                  <w:noWrap/>
                  <w:vAlign w:val="center"/>
                </w:tcPr>
                <w:p w14:paraId="08A0EB16">
                  <w:pPr>
                    <w:pStyle w:val="85"/>
                    <w:bidi w:val="0"/>
                    <w:rPr>
                      <w:rFonts w:hint="eastAsia"/>
                      <w:color w:val="auto"/>
                      <w:highlight w:val="none"/>
                    </w:rPr>
                  </w:pPr>
                  <w:r>
                    <w:rPr>
                      <w:rFonts w:hint="eastAsia"/>
                      <w:color w:val="auto"/>
                      <w:highlight w:val="none"/>
                      <w:lang w:val="en-US" w:eastAsia="zh-CN"/>
                    </w:rPr>
                    <w:t>治理措施</w:t>
                  </w:r>
                </w:p>
              </w:tc>
              <w:tc>
                <w:tcPr>
                  <w:tcW w:w="884" w:type="dxa"/>
                  <w:tcBorders>
                    <w:tl2br w:val="nil"/>
                    <w:tr2bl w:val="nil"/>
                  </w:tcBorders>
                  <w:noWrap/>
                  <w:vAlign w:val="center"/>
                </w:tcPr>
                <w:p w14:paraId="7027BEC0">
                  <w:pPr>
                    <w:pStyle w:val="85"/>
                    <w:bidi w:val="0"/>
                    <w:rPr>
                      <w:rFonts w:hint="eastAsia"/>
                      <w:color w:val="auto"/>
                      <w:highlight w:val="none"/>
                      <w:lang w:val="en-US" w:eastAsia="zh-CN"/>
                    </w:rPr>
                  </w:pPr>
                  <w:r>
                    <w:rPr>
                      <w:rFonts w:hint="eastAsia"/>
                      <w:color w:val="auto"/>
                      <w:highlight w:val="none"/>
                      <w:lang w:val="en-US" w:eastAsia="zh-CN"/>
                    </w:rPr>
                    <w:t>排放</w:t>
                  </w:r>
                </w:p>
                <w:p w14:paraId="0EA66DC7">
                  <w:pPr>
                    <w:pStyle w:val="85"/>
                    <w:bidi w:val="0"/>
                    <w:rPr>
                      <w:rFonts w:hint="eastAsia"/>
                      <w:color w:val="auto"/>
                      <w:highlight w:val="none"/>
                    </w:rPr>
                  </w:pPr>
                  <w:r>
                    <w:rPr>
                      <w:rFonts w:hint="eastAsia"/>
                      <w:color w:val="auto"/>
                      <w:highlight w:val="none"/>
                      <w:lang w:val="en-US" w:eastAsia="zh-CN"/>
                    </w:rPr>
                    <w:t>方式</w:t>
                  </w:r>
                </w:p>
              </w:tc>
              <w:tc>
                <w:tcPr>
                  <w:tcW w:w="818" w:type="dxa"/>
                  <w:tcBorders>
                    <w:tl2br w:val="nil"/>
                    <w:tr2bl w:val="nil"/>
                  </w:tcBorders>
                  <w:noWrap/>
                  <w:vAlign w:val="center"/>
                </w:tcPr>
                <w:p w14:paraId="167C7437">
                  <w:pPr>
                    <w:pStyle w:val="85"/>
                    <w:bidi w:val="0"/>
                    <w:rPr>
                      <w:rFonts w:hint="eastAsia"/>
                      <w:color w:val="auto"/>
                      <w:highlight w:val="none"/>
                    </w:rPr>
                  </w:pPr>
                  <w:r>
                    <w:rPr>
                      <w:rFonts w:hint="eastAsia"/>
                      <w:color w:val="auto"/>
                      <w:highlight w:val="none"/>
                      <w:lang w:val="en-US" w:eastAsia="zh-CN"/>
                    </w:rPr>
                    <w:t>风量</w:t>
                  </w:r>
                  <w:r>
                    <w:rPr>
                      <w:rFonts w:hint="default"/>
                      <w:color w:val="auto"/>
                      <w:highlight w:val="none"/>
                      <w:lang w:val="en-US" w:eastAsia="zh-CN"/>
                    </w:rPr>
                    <w:t>m</w:t>
                  </w:r>
                  <w:r>
                    <w:rPr>
                      <w:rFonts w:hint="default"/>
                      <w:color w:val="auto"/>
                      <w:highlight w:val="none"/>
                      <w:vertAlign w:val="superscript"/>
                      <w:lang w:val="en-US" w:eastAsia="zh-CN"/>
                    </w:rPr>
                    <w:t>3</w:t>
                  </w:r>
                  <w:r>
                    <w:rPr>
                      <w:rFonts w:hint="default"/>
                      <w:color w:val="auto"/>
                      <w:highlight w:val="none"/>
                      <w:lang w:val="en-US" w:eastAsia="zh-CN"/>
                    </w:rPr>
                    <w:t>/h</w:t>
                  </w:r>
                </w:p>
              </w:tc>
              <w:tc>
                <w:tcPr>
                  <w:tcW w:w="1062" w:type="dxa"/>
                  <w:tcBorders>
                    <w:tl2br w:val="nil"/>
                    <w:tr2bl w:val="nil"/>
                  </w:tcBorders>
                  <w:noWrap/>
                  <w:vAlign w:val="center"/>
                </w:tcPr>
                <w:p w14:paraId="44C07059">
                  <w:pPr>
                    <w:pStyle w:val="85"/>
                    <w:bidi w:val="0"/>
                    <w:rPr>
                      <w:rFonts w:hint="eastAsia"/>
                      <w:color w:val="auto"/>
                      <w:highlight w:val="none"/>
                    </w:rPr>
                  </w:pPr>
                  <w:r>
                    <w:rPr>
                      <w:rFonts w:hint="eastAsia"/>
                      <w:color w:val="auto"/>
                      <w:highlight w:val="none"/>
                      <w:lang w:val="en-US" w:eastAsia="zh-CN"/>
                    </w:rPr>
                    <w:t>排放浓度</w:t>
                  </w:r>
                  <w:r>
                    <w:rPr>
                      <w:rFonts w:hint="default"/>
                      <w:color w:val="auto"/>
                      <w:highlight w:val="none"/>
                      <w:lang w:val="en-US" w:eastAsia="zh-CN"/>
                    </w:rPr>
                    <w:t>mg/m</w:t>
                  </w:r>
                  <w:r>
                    <w:rPr>
                      <w:rFonts w:hint="default"/>
                      <w:color w:val="auto"/>
                      <w:highlight w:val="none"/>
                      <w:vertAlign w:val="superscript"/>
                      <w:lang w:val="en-US" w:eastAsia="zh-CN"/>
                    </w:rPr>
                    <w:t>3</w:t>
                  </w:r>
                </w:p>
              </w:tc>
              <w:tc>
                <w:tcPr>
                  <w:tcW w:w="886" w:type="dxa"/>
                  <w:tcBorders>
                    <w:tl2br w:val="nil"/>
                    <w:tr2bl w:val="nil"/>
                  </w:tcBorders>
                  <w:noWrap/>
                  <w:vAlign w:val="center"/>
                </w:tcPr>
                <w:p w14:paraId="77E7A613">
                  <w:pPr>
                    <w:pStyle w:val="85"/>
                    <w:bidi w:val="0"/>
                    <w:rPr>
                      <w:rFonts w:hint="eastAsia"/>
                      <w:color w:val="auto"/>
                      <w:highlight w:val="none"/>
                    </w:rPr>
                  </w:pPr>
                  <w:r>
                    <w:rPr>
                      <w:rFonts w:hint="eastAsia"/>
                      <w:color w:val="auto"/>
                      <w:highlight w:val="none"/>
                      <w:lang w:val="en-US" w:eastAsia="zh-CN"/>
                    </w:rPr>
                    <w:t>排放速率</w:t>
                  </w:r>
                  <w:r>
                    <w:rPr>
                      <w:rFonts w:hint="default"/>
                      <w:color w:val="auto"/>
                      <w:highlight w:val="none"/>
                      <w:lang w:val="en-US" w:eastAsia="zh-CN"/>
                    </w:rPr>
                    <w:t>kg/h</w:t>
                  </w:r>
                </w:p>
              </w:tc>
              <w:tc>
                <w:tcPr>
                  <w:tcW w:w="829" w:type="dxa"/>
                  <w:tcBorders>
                    <w:tl2br w:val="nil"/>
                    <w:tr2bl w:val="nil"/>
                  </w:tcBorders>
                  <w:noWrap/>
                  <w:vAlign w:val="center"/>
                </w:tcPr>
                <w:p w14:paraId="3C1D8134">
                  <w:pPr>
                    <w:pStyle w:val="85"/>
                    <w:bidi w:val="0"/>
                    <w:rPr>
                      <w:rFonts w:hint="eastAsia"/>
                      <w:color w:val="auto"/>
                      <w:highlight w:val="none"/>
                    </w:rPr>
                  </w:pPr>
                  <w:r>
                    <w:rPr>
                      <w:rFonts w:hint="eastAsia"/>
                      <w:color w:val="auto"/>
                      <w:highlight w:val="none"/>
                      <w:lang w:val="en-US" w:eastAsia="zh-CN"/>
                    </w:rPr>
                    <w:t>排放量</w:t>
                  </w:r>
                  <w:r>
                    <w:rPr>
                      <w:rFonts w:hint="default"/>
                      <w:color w:val="auto"/>
                      <w:highlight w:val="none"/>
                      <w:lang w:val="en-US" w:eastAsia="zh-CN"/>
                    </w:rPr>
                    <w:t>t/a</w:t>
                  </w:r>
                </w:p>
              </w:tc>
            </w:tr>
            <w:tr w14:paraId="23200A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52" w:type="dxa"/>
                  <w:vMerge w:val="restart"/>
                  <w:tcBorders>
                    <w:tl2br w:val="nil"/>
                    <w:tr2bl w:val="nil"/>
                  </w:tcBorders>
                  <w:noWrap w:val="0"/>
                  <w:vAlign w:val="center"/>
                </w:tcPr>
                <w:p w14:paraId="348787BF">
                  <w:pPr>
                    <w:pStyle w:val="85"/>
                    <w:bidi w:val="0"/>
                    <w:rPr>
                      <w:rFonts w:hint="default" w:eastAsia="宋体"/>
                      <w:color w:val="auto"/>
                      <w:highlight w:val="none"/>
                      <w:lang w:val="en-US" w:eastAsia="zh-CN"/>
                    </w:rPr>
                  </w:pPr>
                  <w:r>
                    <w:rPr>
                      <w:rFonts w:hint="eastAsia"/>
                      <w:color w:val="auto"/>
                      <w:highlight w:val="none"/>
                      <w:lang w:val="en-US" w:eastAsia="zh-CN"/>
                    </w:rPr>
                    <w:t>有机溶剂</w:t>
                  </w:r>
                </w:p>
              </w:tc>
              <w:tc>
                <w:tcPr>
                  <w:tcW w:w="685" w:type="dxa"/>
                  <w:vMerge w:val="restart"/>
                  <w:tcBorders>
                    <w:tl2br w:val="nil"/>
                    <w:tr2bl w:val="nil"/>
                  </w:tcBorders>
                  <w:noWrap/>
                  <w:vAlign w:val="center"/>
                </w:tcPr>
                <w:p w14:paraId="64CB6FE4">
                  <w:pPr>
                    <w:pStyle w:val="85"/>
                    <w:bidi w:val="0"/>
                    <w:rPr>
                      <w:rFonts w:hint="eastAsia"/>
                      <w:color w:val="auto"/>
                      <w:highlight w:val="none"/>
                    </w:rPr>
                  </w:pPr>
                  <w:r>
                    <w:rPr>
                      <w:rFonts w:hint="eastAsia"/>
                      <w:color w:val="auto"/>
                      <w:highlight w:val="none"/>
                      <w:lang w:val="en-US" w:eastAsia="zh-CN"/>
                    </w:rPr>
                    <w:t>非甲烷总烃</w:t>
                  </w:r>
                </w:p>
              </w:tc>
              <w:tc>
                <w:tcPr>
                  <w:tcW w:w="828" w:type="dxa"/>
                  <w:tcBorders>
                    <w:tl2br w:val="nil"/>
                    <w:tr2bl w:val="nil"/>
                  </w:tcBorders>
                  <w:noWrap/>
                  <w:vAlign w:val="center"/>
                </w:tcPr>
                <w:p w14:paraId="3E1A3460">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0.064</w:t>
                  </w:r>
                </w:p>
              </w:tc>
              <w:tc>
                <w:tcPr>
                  <w:tcW w:w="1651" w:type="dxa"/>
                  <w:vMerge w:val="restart"/>
                  <w:tcBorders>
                    <w:tl2br w:val="nil"/>
                    <w:tr2bl w:val="nil"/>
                  </w:tcBorders>
                  <w:noWrap w:val="0"/>
                  <w:vAlign w:val="center"/>
                </w:tcPr>
                <w:p w14:paraId="4F65105F">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1"/>
                      <w:szCs w:val="21"/>
                      <w:u w:val="none"/>
                      <w:lang w:val="en-US" w:eastAsia="zh-CN" w:bidi="ar"/>
                    </w:rPr>
                    <w:t>活性炭</w:t>
                  </w:r>
                  <w:r>
                    <w:rPr>
                      <w:rFonts w:hint="default" w:ascii="Times New Roman" w:hAnsi="Times New Roman" w:eastAsia="宋体" w:cs="Times New Roman"/>
                      <w:i w:val="0"/>
                      <w:iCs w:val="0"/>
                      <w:color w:val="auto"/>
                      <w:kern w:val="0"/>
                      <w:sz w:val="21"/>
                      <w:szCs w:val="21"/>
                      <w:u w:val="none"/>
                      <w:lang w:val="en-US" w:eastAsia="zh-CN" w:bidi="ar"/>
                    </w:rPr>
                    <w:t>+15m</w:t>
                  </w:r>
                  <w:r>
                    <w:rPr>
                      <w:rFonts w:hint="eastAsia" w:ascii="宋体" w:hAnsi="宋体" w:eastAsia="宋体" w:cs="宋体"/>
                      <w:i w:val="0"/>
                      <w:iCs w:val="0"/>
                      <w:color w:val="auto"/>
                      <w:kern w:val="0"/>
                      <w:sz w:val="21"/>
                      <w:szCs w:val="21"/>
                      <w:u w:val="none"/>
                      <w:lang w:val="en-US" w:eastAsia="zh-CN" w:bidi="ar"/>
                    </w:rPr>
                    <w:t>高排气筒（</w:t>
                  </w:r>
                  <w:r>
                    <w:rPr>
                      <w:rFonts w:hint="default" w:ascii="Times New Roman" w:hAnsi="Times New Roman" w:eastAsia="宋体" w:cs="Times New Roman"/>
                      <w:i w:val="0"/>
                      <w:iCs w:val="0"/>
                      <w:color w:val="auto"/>
                      <w:kern w:val="0"/>
                      <w:sz w:val="21"/>
                      <w:szCs w:val="21"/>
                      <w:u w:val="none"/>
                      <w:lang w:val="en-US" w:eastAsia="zh-CN" w:bidi="ar"/>
                    </w:rPr>
                    <w:t>DA001</w:t>
                  </w:r>
                  <w:r>
                    <w:rPr>
                      <w:rFonts w:hint="eastAsia" w:ascii="宋体" w:hAnsi="宋体" w:eastAsia="宋体" w:cs="宋体"/>
                      <w:i w:val="0"/>
                      <w:iCs w:val="0"/>
                      <w:color w:val="auto"/>
                      <w:kern w:val="0"/>
                      <w:sz w:val="21"/>
                      <w:szCs w:val="21"/>
                      <w:u w:val="none"/>
                      <w:lang w:val="en-US" w:eastAsia="zh-CN" w:bidi="ar"/>
                    </w:rPr>
                    <w:t>）</w:t>
                  </w:r>
                </w:p>
              </w:tc>
              <w:tc>
                <w:tcPr>
                  <w:tcW w:w="884" w:type="dxa"/>
                  <w:tcBorders>
                    <w:tl2br w:val="nil"/>
                    <w:tr2bl w:val="nil"/>
                  </w:tcBorders>
                  <w:noWrap/>
                  <w:vAlign w:val="center"/>
                </w:tcPr>
                <w:p w14:paraId="4FD0C8E3">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1"/>
                      <w:szCs w:val="21"/>
                      <w:u w:val="none"/>
                      <w:lang w:val="en-US" w:eastAsia="zh-CN" w:bidi="ar"/>
                    </w:rPr>
                    <w:t>有组织</w:t>
                  </w:r>
                </w:p>
              </w:tc>
              <w:tc>
                <w:tcPr>
                  <w:tcW w:w="818" w:type="dxa"/>
                  <w:tcBorders>
                    <w:tl2br w:val="nil"/>
                    <w:tr2bl w:val="nil"/>
                  </w:tcBorders>
                  <w:noWrap/>
                  <w:vAlign w:val="center"/>
                </w:tcPr>
                <w:p w14:paraId="56DB8987">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5000</w:t>
                  </w:r>
                </w:p>
              </w:tc>
              <w:tc>
                <w:tcPr>
                  <w:tcW w:w="1062" w:type="dxa"/>
                  <w:tcBorders>
                    <w:tl2br w:val="nil"/>
                    <w:tr2bl w:val="nil"/>
                  </w:tcBorders>
                  <w:noWrap/>
                  <w:vAlign w:val="center"/>
                </w:tcPr>
                <w:p w14:paraId="227155ED">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5.73</w:t>
                  </w:r>
                </w:p>
              </w:tc>
              <w:tc>
                <w:tcPr>
                  <w:tcW w:w="886" w:type="dxa"/>
                  <w:tcBorders>
                    <w:tl2br w:val="nil"/>
                    <w:tr2bl w:val="nil"/>
                  </w:tcBorders>
                  <w:noWrap/>
                  <w:vAlign w:val="center"/>
                </w:tcPr>
                <w:p w14:paraId="22423A36">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0.029</w:t>
                  </w:r>
                </w:p>
              </w:tc>
              <w:tc>
                <w:tcPr>
                  <w:tcW w:w="829" w:type="dxa"/>
                  <w:tcBorders>
                    <w:tl2br w:val="nil"/>
                    <w:tr2bl w:val="nil"/>
                  </w:tcBorders>
                  <w:noWrap/>
                  <w:vAlign w:val="center"/>
                </w:tcPr>
                <w:p w14:paraId="278E2B7F">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0.029</w:t>
                  </w:r>
                </w:p>
              </w:tc>
            </w:tr>
            <w:tr w14:paraId="34A8B2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52" w:type="dxa"/>
                  <w:vMerge w:val="continue"/>
                  <w:tcBorders>
                    <w:tl2br w:val="nil"/>
                    <w:tr2bl w:val="nil"/>
                  </w:tcBorders>
                  <w:noWrap w:val="0"/>
                  <w:vAlign w:val="center"/>
                </w:tcPr>
                <w:p w14:paraId="2F44A21F">
                  <w:pPr>
                    <w:pStyle w:val="85"/>
                    <w:bidi w:val="0"/>
                    <w:rPr>
                      <w:rFonts w:hint="eastAsia"/>
                      <w:color w:val="auto"/>
                      <w:highlight w:val="none"/>
                    </w:rPr>
                  </w:pPr>
                </w:p>
              </w:tc>
              <w:tc>
                <w:tcPr>
                  <w:tcW w:w="685" w:type="dxa"/>
                  <w:vMerge w:val="continue"/>
                  <w:tcBorders>
                    <w:tl2br w:val="nil"/>
                    <w:tr2bl w:val="nil"/>
                  </w:tcBorders>
                  <w:noWrap/>
                  <w:vAlign w:val="center"/>
                </w:tcPr>
                <w:p w14:paraId="1C2BE707">
                  <w:pPr>
                    <w:pStyle w:val="85"/>
                    <w:bidi w:val="0"/>
                    <w:rPr>
                      <w:rFonts w:hint="eastAsia"/>
                      <w:color w:val="auto"/>
                      <w:highlight w:val="none"/>
                    </w:rPr>
                  </w:pPr>
                </w:p>
              </w:tc>
              <w:tc>
                <w:tcPr>
                  <w:tcW w:w="828" w:type="dxa"/>
                  <w:tcBorders>
                    <w:tl2br w:val="nil"/>
                    <w:tr2bl w:val="nil"/>
                  </w:tcBorders>
                  <w:noWrap/>
                  <w:vAlign w:val="center"/>
                </w:tcPr>
                <w:p w14:paraId="3375E322">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1651" w:type="dxa"/>
                  <w:vMerge w:val="continue"/>
                  <w:tcBorders>
                    <w:tl2br w:val="nil"/>
                    <w:tr2bl w:val="nil"/>
                  </w:tcBorders>
                  <w:noWrap w:val="0"/>
                  <w:vAlign w:val="center"/>
                </w:tcPr>
                <w:p w14:paraId="3AF61542">
                  <w:pPr>
                    <w:jc w:val="center"/>
                    <w:rPr>
                      <w:rFonts w:hint="eastAsia"/>
                      <w:color w:val="auto"/>
                      <w:highlight w:val="none"/>
                    </w:rPr>
                  </w:pPr>
                </w:p>
              </w:tc>
              <w:tc>
                <w:tcPr>
                  <w:tcW w:w="884" w:type="dxa"/>
                  <w:tcBorders>
                    <w:tl2br w:val="nil"/>
                    <w:tr2bl w:val="nil"/>
                  </w:tcBorders>
                  <w:noWrap/>
                  <w:vAlign w:val="center"/>
                </w:tcPr>
                <w:p w14:paraId="5DE11A56">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1"/>
                      <w:szCs w:val="21"/>
                      <w:u w:val="none"/>
                      <w:lang w:val="en-US" w:eastAsia="zh-CN" w:bidi="ar"/>
                    </w:rPr>
                    <w:t>无组织</w:t>
                  </w:r>
                </w:p>
              </w:tc>
              <w:tc>
                <w:tcPr>
                  <w:tcW w:w="818" w:type="dxa"/>
                  <w:tcBorders>
                    <w:tl2br w:val="nil"/>
                    <w:tr2bl w:val="nil"/>
                  </w:tcBorders>
                  <w:noWrap/>
                  <w:vAlign w:val="center"/>
                </w:tcPr>
                <w:p w14:paraId="3047191B">
                  <w:pPr>
                    <w:keepNext w:val="0"/>
                    <w:keepLines w:val="0"/>
                    <w:widowControl/>
                    <w:suppressLineNumbers w:val="0"/>
                    <w:jc w:val="center"/>
                    <w:textAlignment w:val="center"/>
                    <w:rPr>
                      <w:rFonts w:hint="eastAsia"/>
                      <w:color w:val="auto"/>
                      <w:highlight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62" w:type="dxa"/>
                  <w:tcBorders>
                    <w:tl2br w:val="nil"/>
                    <w:tr2bl w:val="nil"/>
                  </w:tcBorders>
                  <w:noWrap/>
                  <w:vAlign w:val="center"/>
                </w:tcPr>
                <w:p w14:paraId="135C783A">
                  <w:pPr>
                    <w:keepNext w:val="0"/>
                    <w:keepLines w:val="0"/>
                    <w:widowControl/>
                    <w:suppressLineNumbers w:val="0"/>
                    <w:jc w:val="center"/>
                    <w:textAlignment w:val="center"/>
                    <w:rPr>
                      <w:rFonts w:hint="eastAsia"/>
                      <w:color w:val="auto"/>
                      <w:highlight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886" w:type="dxa"/>
                  <w:tcBorders>
                    <w:tl2br w:val="nil"/>
                    <w:tr2bl w:val="nil"/>
                  </w:tcBorders>
                  <w:noWrap/>
                  <w:vAlign w:val="center"/>
                </w:tcPr>
                <w:p w14:paraId="36ADEA51">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829" w:type="dxa"/>
                  <w:tcBorders>
                    <w:tl2br w:val="nil"/>
                    <w:tr2bl w:val="nil"/>
                  </w:tcBorders>
                  <w:noWrap/>
                  <w:vAlign w:val="center"/>
                </w:tcPr>
                <w:p w14:paraId="3F06945B">
                  <w:pPr>
                    <w:keepNext w:val="0"/>
                    <w:keepLines w:val="0"/>
                    <w:widowControl/>
                    <w:suppressLineNumbers w:val="0"/>
                    <w:jc w:val="center"/>
                    <w:textAlignment w:val="center"/>
                    <w:rPr>
                      <w:rFonts w:hint="default"/>
                      <w:color w:val="auto"/>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0.003</w:t>
                  </w:r>
                </w:p>
              </w:tc>
            </w:tr>
          </w:tbl>
          <w:p w14:paraId="307670F4">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bCs/>
                <w:color w:val="auto"/>
                <w:kern w:val="0"/>
                <w:sz w:val="24"/>
                <w:lang w:bidi="en-US"/>
              </w:rPr>
            </w:pPr>
            <w:r>
              <w:rPr>
                <w:rFonts w:hint="eastAsia"/>
                <w:bCs/>
                <w:color w:val="auto"/>
                <w:kern w:val="0"/>
                <w:sz w:val="24"/>
                <w:lang w:eastAsia="zh-CN" w:bidi="en-US"/>
              </w:rPr>
              <w:t>（</w:t>
            </w:r>
            <w:r>
              <w:rPr>
                <w:rFonts w:hint="eastAsia"/>
                <w:bCs/>
                <w:color w:val="auto"/>
                <w:kern w:val="0"/>
                <w:sz w:val="24"/>
                <w:lang w:val="en-US" w:eastAsia="zh-CN" w:bidi="en-US"/>
              </w:rPr>
              <w:t>3</w:t>
            </w:r>
            <w:r>
              <w:rPr>
                <w:rFonts w:hint="eastAsia"/>
                <w:bCs/>
                <w:color w:val="auto"/>
                <w:kern w:val="0"/>
                <w:sz w:val="24"/>
                <w:lang w:bidi="en-US"/>
              </w:rPr>
              <w:t>）无机废气（氨）</w:t>
            </w:r>
          </w:p>
          <w:p w14:paraId="4FEF0439">
            <w:pPr>
              <w:adjustRightInd w:val="0"/>
              <w:snapToGrid w:val="0"/>
              <w:spacing w:line="360" w:lineRule="auto"/>
              <w:ind w:firstLine="480" w:firstLineChars="200"/>
              <w:jc w:val="left"/>
              <w:rPr>
                <w:rFonts w:hint="default" w:ascii="Times New Roman" w:hAnsi="Times New Roman" w:cs="Times New Roman"/>
                <w:b/>
                <w:bCs/>
                <w:color w:val="auto"/>
                <w:sz w:val="24"/>
              </w:rPr>
            </w:pPr>
            <w:r>
              <w:rPr>
                <w:rFonts w:hint="eastAsia"/>
                <w:bCs/>
                <w:color w:val="auto"/>
                <w:kern w:val="0"/>
                <w:sz w:val="24"/>
                <w:lang w:bidi="en-US"/>
              </w:rPr>
              <w:t>本项目氨水</w:t>
            </w:r>
            <w:r>
              <w:rPr>
                <w:rFonts w:hint="eastAsia"/>
                <w:bCs/>
                <w:color w:val="auto"/>
                <w:kern w:val="0"/>
                <w:sz w:val="24"/>
                <w:lang w:val="en-US" w:eastAsia="zh-CN" w:bidi="en-US"/>
              </w:rPr>
              <w:t>用量较少，在密闭容器中保存，仅实验过程中产生少量氨气，具有刺激性气味。由于使用量较小，对环境影响较小，本次评价不再对氨气产生量进行计算。</w:t>
            </w:r>
          </w:p>
          <w:p w14:paraId="790C0765">
            <w:pPr>
              <w:spacing w:line="360" w:lineRule="auto"/>
              <w:ind w:firstLine="480" w:firstLineChars="200"/>
              <w:rPr>
                <w:rFonts w:hint="default" w:ascii="Times New Roman" w:hAnsi="Times New Roman" w:eastAsia="宋体" w:cs="Times New Roman"/>
                <w:bCs/>
                <w:color w:val="auto"/>
                <w:kern w:val="0"/>
                <w:sz w:val="24"/>
                <w:lang w:val="en-US" w:eastAsia="zh-CN" w:bidi="en-US"/>
              </w:rPr>
            </w:pPr>
            <w:r>
              <w:rPr>
                <w:rFonts w:hint="eastAsia" w:ascii="Times New Roman" w:hAnsi="Times New Roman" w:eastAsia="宋体" w:cs="Times New Roman"/>
                <w:bCs/>
                <w:color w:val="auto"/>
                <w:kern w:val="0"/>
                <w:sz w:val="24"/>
                <w:lang w:val="en-US" w:eastAsia="zh-CN" w:bidi="en-US"/>
              </w:rPr>
              <w:t>（4）</w:t>
            </w:r>
            <w:r>
              <w:rPr>
                <w:rFonts w:hint="default" w:ascii="Times New Roman" w:hAnsi="Times New Roman" w:eastAsia="宋体" w:cs="Times New Roman"/>
                <w:bCs/>
                <w:color w:val="auto"/>
                <w:kern w:val="0"/>
                <w:sz w:val="24"/>
                <w:lang w:val="en-US" w:eastAsia="zh-CN" w:bidi="en-US"/>
              </w:rPr>
              <w:t>药品浓缩蒸煮等异味</w:t>
            </w:r>
          </w:p>
          <w:p w14:paraId="4CF5B76C">
            <w:pPr>
              <w:spacing w:line="360" w:lineRule="auto"/>
              <w:ind w:firstLine="480" w:firstLineChars="200"/>
              <w:rPr>
                <w:rFonts w:hint="default" w:ascii="Times New Roman" w:hAnsi="Times New Roman" w:eastAsia="宋体" w:cs="Times New Roman"/>
                <w:bCs/>
                <w:color w:val="auto"/>
                <w:kern w:val="0"/>
                <w:sz w:val="24"/>
                <w:lang w:val="en-US" w:eastAsia="zh-CN" w:bidi="en-US"/>
              </w:rPr>
            </w:pPr>
            <w:r>
              <w:rPr>
                <w:rFonts w:hint="default" w:ascii="Times New Roman" w:hAnsi="Times New Roman" w:eastAsia="宋体" w:cs="Times New Roman"/>
                <w:bCs/>
                <w:color w:val="auto"/>
                <w:kern w:val="0"/>
                <w:sz w:val="24"/>
                <w:lang w:val="en-US" w:eastAsia="zh-CN" w:bidi="en-US"/>
              </w:rPr>
              <w:t>本项目采用中药</w:t>
            </w:r>
            <w:r>
              <w:rPr>
                <w:rFonts w:hint="eastAsia" w:ascii="Times New Roman" w:hAnsi="Times New Roman" w:eastAsia="宋体" w:cs="Times New Roman"/>
                <w:bCs/>
                <w:color w:val="auto"/>
                <w:kern w:val="0"/>
                <w:sz w:val="24"/>
                <w:lang w:val="en-US" w:eastAsia="zh-CN" w:bidi="en-US"/>
              </w:rPr>
              <w:t>药材</w:t>
            </w:r>
            <w:r>
              <w:rPr>
                <w:rFonts w:hint="default" w:ascii="Times New Roman" w:hAnsi="Times New Roman" w:eastAsia="宋体" w:cs="Times New Roman"/>
                <w:bCs/>
                <w:color w:val="auto"/>
                <w:kern w:val="0"/>
                <w:sz w:val="24"/>
                <w:lang w:val="en-US" w:eastAsia="zh-CN" w:bidi="en-US"/>
              </w:rPr>
              <w:t>进行生产研究，药品蒸煮浓缩等过程均会产生异味，产生气体无有毒有害物质，仅仅是能够刺激人体嗅觉的气味，以臭气浓度表征，该废气进行收集引至顶楼经活性炭吸附处理后由</w:t>
            </w:r>
            <w:r>
              <w:rPr>
                <w:rFonts w:hint="eastAsia" w:cs="Times New Roman"/>
                <w:bCs/>
                <w:color w:val="auto"/>
                <w:kern w:val="0"/>
                <w:sz w:val="24"/>
                <w:lang w:val="en-US" w:eastAsia="zh-CN" w:bidi="en-US"/>
              </w:rPr>
              <w:t>排气筒</w:t>
            </w:r>
            <w:r>
              <w:rPr>
                <w:rFonts w:hint="default" w:ascii="Times New Roman" w:hAnsi="Times New Roman" w:eastAsia="宋体" w:cs="Times New Roman"/>
                <w:bCs/>
                <w:color w:val="auto"/>
                <w:kern w:val="0"/>
                <w:sz w:val="24"/>
                <w:lang w:val="en-US" w:eastAsia="zh-CN" w:bidi="en-US"/>
              </w:rPr>
              <w:t>排出</w:t>
            </w:r>
            <w:r>
              <w:rPr>
                <w:rFonts w:hint="eastAsia" w:ascii="Times New Roman" w:hAnsi="Times New Roman" w:eastAsia="宋体" w:cs="Times New Roman"/>
                <w:bCs/>
                <w:color w:val="auto"/>
                <w:kern w:val="0"/>
                <w:sz w:val="24"/>
                <w:lang w:val="en-US" w:eastAsia="zh-CN" w:bidi="en-US"/>
              </w:rPr>
              <w:t>（DA002）</w:t>
            </w:r>
            <w:r>
              <w:rPr>
                <w:rFonts w:hint="default" w:ascii="Times New Roman" w:hAnsi="Times New Roman" w:eastAsia="宋体" w:cs="Times New Roman"/>
                <w:bCs/>
                <w:color w:val="auto"/>
                <w:kern w:val="0"/>
                <w:sz w:val="24"/>
                <w:lang w:val="en-US" w:eastAsia="zh-CN" w:bidi="en-US"/>
              </w:rPr>
              <w:t>。</w:t>
            </w:r>
          </w:p>
          <w:p w14:paraId="4649D602">
            <w:pPr>
              <w:adjustRightInd w:val="0"/>
              <w:snapToGrid w:val="0"/>
              <w:spacing w:line="360" w:lineRule="auto"/>
              <w:ind w:firstLine="482" w:firstLineChars="200"/>
              <w:jc w:val="left"/>
              <w:rPr>
                <w:rFonts w:hint="default" w:ascii="Times New Roman" w:hAnsi="Times New Roman" w:eastAsia="宋体" w:cs="Times New Roman"/>
                <w:b/>
                <w:bCs/>
                <w:color w:val="auto"/>
                <w:sz w:val="24"/>
                <w:lang w:val="en-US" w:eastAsia="zh-CN"/>
              </w:rPr>
            </w:pPr>
            <w:r>
              <w:rPr>
                <w:rFonts w:hint="eastAsia" w:cs="Times New Roman"/>
                <w:b/>
                <w:bCs/>
                <w:color w:val="auto"/>
                <w:sz w:val="24"/>
                <w:lang w:val="en-US" w:eastAsia="zh-CN"/>
              </w:rPr>
              <w:t>3、治理措施的可行性分析</w:t>
            </w:r>
          </w:p>
          <w:p w14:paraId="64387922">
            <w:pPr>
              <w:spacing w:line="360" w:lineRule="auto"/>
              <w:ind w:firstLine="480" w:firstLineChars="200"/>
              <w:rPr>
                <w:rFonts w:hint="default" w:ascii="Times New Roman" w:hAnsi="Times New Roman" w:eastAsia="宋体" w:cs="Times New Roman"/>
                <w:bCs/>
                <w:color w:val="auto"/>
                <w:kern w:val="0"/>
                <w:sz w:val="24"/>
                <w:lang w:val="en-US" w:eastAsia="zh-CN" w:bidi="en-US"/>
              </w:rPr>
            </w:pPr>
            <w:r>
              <w:rPr>
                <w:rFonts w:hint="eastAsia" w:ascii="Times New Roman" w:hAnsi="Times New Roman" w:eastAsia="宋体" w:cs="Times New Roman"/>
                <w:bCs/>
                <w:color w:val="auto"/>
                <w:kern w:val="0"/>
                <w:sz w:val="24"/>
                <w:lang w:val="en-US" w:eastAsia="zh-CN" w:bidi="en-US"/>
              </w:rPr>
              <w:t>有机溶剂挥发产生的有机废气经通风橱（通风橱三面封闭，一面半封闭，侧吸风）收集，引至楼顶经活性炭吸附处理后经排气筒DA001排放；</w:t>
            </w:r>
            <w:r>
              <w:rPr>
                <w:rFonts w:hint="default" w:ascii="Times New Roman" w:hAnsi="Times New Roman" w:eastAsia="宋体" w:cs="Times New Roman"/>
                <w:bCs/>
                <w:color w:val="auto"/>
                <w:kern w:val="0"/>
                <w:sz w:val="24"/>
                <w:lang w:val="en-US" w:eastAsia="zh-CN" w:bidi="en-US"/>
              </w:rPr>
              <w:t>药品蒸煮浓缩等过程均会产生异味收集引至顶楼经活性炭吸附处理后由排</w:t>
            </w:r>
            <w:r>
              <w:rPr>
                <w:rFonts w:hint="eastAsia" w:cs="Times New Roman"/>
                <w:bCs/>
                <w:color w:val="auto"/>
                <w:kern w:val="0"/>
                <w:sz w:val="24"/>
                <w:lang w:val="en-US" w:eastAsia="zh-CN" w:bidi="en-US"/>
              </w:rPr>
              <w:t>气筒</w:t>
            </w:r>
            <w:r>
              <w:rPr>
                <w:rFonts w:hint="default" w:ascii="Times New Roman" w:hAnsi="Times New Roman" w:eastAsia="宋体" w:cs="Times New Roman"/>
                <w:bCs/>
                <w:color w:val="auto"/>
                <w:kern w:val="0"/>
                <w:sz w:val="24"/>
                <w:lang w:val="en-US" w:eastAsia="zh-CN" w:bidi="en-US"/>
              </w:rPr>
              <w:t>排出</w:t>
            </w:r>
            <w:r>
              <w:rPr>
                <w:rFonts w:hint="eastAsia" w:ascii="Times New Roman" w:hAnsi="Times New Roman" w:eastAsia="宋体" w:cs="Times New Roman"/>
                <w:bCs/>
                <w:color w:val="auto"/>
                <w:kern w:val="0"/>
                <w:sz w:val="24"/>
                <w:lang w:val="en-US" w:eastAsia="zh-CN" w:bidi="en-US"/>
              </w:rPr>
              <w:t>（DA002）</w:t>
            </w:r>
            <w:r>
              <w:rPr>
                <w:rFonts w:hint="default" w:ascii="Times New Roman" w:hAnsi="Times New Roman" w:eastAsia="宋体" w:cs="Times New Roman"/>
                <w:bCs/>
                <w:color w:val="auto"/>
                <w:kern w:val="0"/>
                <w:sz w:val="24"/>
                <w:lang w:val="en-US" w:eastAsia="zh-CN" w:bidi="en-US"/>
              </w:rPr>
              <w:t>。</w:t>
            </w:r>
          </w:p>
          <w:p w14:paraId="522F22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s="Times New Roman"/>
                <w:color w:val="auto"/>
                <w:sz w:val="24"/>
                <w:lang w:val="en-US" w:eastAsia="zh-CN" w:bidi="ar"/>
              </w:rPr>
            </w:pPr>
            <w:r>
              <w:rPr>
                <w:rFonts w:hint="default" w:cs="Times New Roman"/>
                <w:color w:val="auto"/>
                <w:sz w:val="24"/>
                <w:lang w:val="en-US" w:eastAsia="zh-CN" w:bidi="ar"/>
              </w:rPr>
              <w:t>根据《吸附法处理有机废气技术规范》(HJ2026-2013)</w:t>
            </w:r>
            <w:r>
              <w:rPr>
                <w:rFonts w:hint="eastAsia" w:cs="Times New Roman"/>
                <w:color w:val="auto"/>
                <w:sz w:val="24"/>
                <w:lang w:val="en-US" w:eastAsia="zh-CN" w:bidi="ar"/>
              </w:rPr>
              <w:t>、《西安市生态环境局关于加强挥发性有机物活性炭吸附处理设施运行管理工作的通知》（市环发〔2022〕65号）和西安市生态环境局办公室《关于加强涉气项目环境影响评价管理的通知》（市环办发〔2023〕47）要求，有机废气可采用吸附法进行处置。</w:t>
            </w:r>
          </w:p>
          <w:p w14:paraId="065327B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活性炭微孔结构发达，具有很大的比表面积，由表面效应所产生的吸附作用是活性炭吸附最明显的特征之一。活性炭吸附主要有以下特点</w:t>
            </w:r>
            <w:r>
              <w:rPr>
                <w:rFonts w:hint="eastAsia" w:ascii="Times New Roman" w:hAnsi="Times New Roman" w:eastAsia="宋体" w:cs="Times New Roman"/>
                <w:color w:val="auto"/>
                <w:sz w:val="24"/>
                <w:lang w:val="en-US" w:eastAsia="zh-CN" w:bidi="ar"/>
              </w:rPr>
              <w:t>：</w:t>
            </w:r>
          </w:p>
          <w:p w14:paraId="22FBC6F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①活性炭是非极性的吸附剂，能选择吸附非极性物质</w:t>
            </w:r>
            <w:r>
              <w:rPr>
                <w:rFonts w:hint="eastAsia" w:ascii="Times New Roman" w:hAnsi="Times New Roman" w:eastAsia="宋体" w:cs="Times New Roman"/>
                <w:color w:val="auto"/>
                <w:sz w:val="24"/>
                <w:lang w:val="en-US" w:eastAsia="zh-CN" w:bidi="ar"/>
              </w:rPr>
              <w:t>；</w:t>
            </w:r>
          </w:p>
          <w:p w14:paraId="76593EF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②活性炭是疏水性的吸附剂，在有水或水蒸气存在的情况下仍能发挥作用</w:t>
            </w:r>
            <w:r>
              <w:rPr>
                <w:rFonts w:hint="eastAsia" w:ascii="Times New Roman" w:hAnsi="Times New Roman" w:eastAsia="宋体" w:cs="Times New Roman"/>
                <w:color w:val="auto"/>
                <w:sz w:val="24"/>
                <w:lang w:val="en-US" w:eastAsia="zh-CN" w:bidi="ar"/>
              </w:rPr>
              <w:t>；</w:t>
            </w:r>
          </w:p>
          <w:p w14:paraId="14EE519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③活性炭</w:t>
            </w:r>
            <w:r>
              <w:rPr>
                <w:rFonts w:hint="eastAsia" w:cs="Times New Roman"/>
                <w:color w:val="auto"/>
                <w:sz w:val="24"/>
                <w:highlight w:val="none"/>
                <w:lang w:val="en-US" w:eastAsia="zh-CN" w:bidi="ar"/>
              </w:rPr>
              <w:t>用途广泛</w:t>
            </w:r>
            <w:r>
              <w:rPr>
                <w:rFonts w:hint="default" w:ascii="Times New Roman" w:hAnsi="Times New Roman" w:eastAsia="宋体" w:cs="Times New Roman"/>
                <w:color w:val="auto"/>
                <w:sz w:val="24"/>
                <w:lang w:val="en-US" w:eastAsia="zh-CN" w:bidi="ar"/>
              </w:rPr>
              <w:t>，能够吸附分子大小不同的物质</w:t>
            </w:r>
            <w:r>
              <w:rPr>
                <w:rFonts w:hint="eastAsia" w:ascii="Times New Roman" w:hAnsi="Times New Roman" w:eastAsia="宋体" w:cs="Times New Roman"/>
                <w:color w:val="auto"/>
                <w:sz w:val="24"/>
                <w:lang w:val="en-US" w:eastAsia="zh-CN" w:bidi="ar"/>
              </w:rPr>
              <w:t>；</w:t>
            </w:r>
          </w:p>
          <w:p w14:paraId="061291F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④活性炭的化学稳定性和热稳定性优于硅胶等其他吸附剂。</w:t>
            </w:r>
          </w:p>
          <w:p w14:paraId="3084588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活性炭吸附法工艺成熟，效果可靠，广泛应用于化工、喷漆、印刷、轻工等行业的有机废气处理。此外，活性炭具有孔径分布合理、吸附容量高、吸附速度快、机械强度大、在固定床中使用，气流阻力小，易于解吸和再生等优点。</w:t>
            </w:r>
          </w:p>
          <w:p w14:paraId="33959A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根据工程分析，本项目废气污染物产生浓度较低，活性炭具有适用于处理低浓度有机废气、操作简单、能耗低、投资费用低和维护简单的特性。因此，本项目利用活性炭吸附装置作为有机废气的主要处理手段。</w:t>
            </w:r>
          </w:p>
          <w:p w14:paraId="18129D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活性炭吸附箱体采用不锈钢制作，内部进行防腐处理。原理是风机将有机废气从吸入吸附塔体的气箱内，然后进入箱体吸附单元，有机废气分子吸附在活性炭上，净化后的废气汇集至风口排出。</w:t>
            </w:r>
          </w:p>
          <w:p w14:paraId="0B66471D">
            <w:pPr>
              <w:adjustRightInd w:val="0"/>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中药蒸煮浓缩过程产生的异味</w:t>
            </w:r>
            <w:r>
              <w:rPr>
                <w:rFonts w:hint="eastAsia" w:ascii="Times New Roman" w:hAnsi="Times New Roman" w:cs="Times New Roman"/>
                <w:color w:val="auto"/>
                <w:sz w:val="24"/>
                <w:lang w:eastAsia="zh-CN"/>
              </w:rPr>
              <w:t>经活性炭吸附</w:t>
            </w:r>
            <w:r>
              <w:rPr>
                <w:rFonts w:hint="eastAsia" w:cs="Times New Roman"/>
                <w:color w:val="auto"/>
                <w:sz w:val="24"/>
                <w:lang w:eastAsia="zh-CN"/>
              </w:rPr>
              <w:t>处理</w:t>
            </w:r>
            <w:r>
              <w:rPr>
                <w:rFonts w:hint="eastAsia" w:ascii="Times New Roman" w:hAnsi="Times New Roman" w:cs="Times New Roman"/>
                <w:color w:val="auto"/>
                <w:sz w:val="24"/>
                <w:lang w:eastAsia="zh-CN"/>
              </w:rPr>
              <w:t>后</w:t>
            </w:r>
            <w:r>
              <w:rPr>
                <w:rFonts w:hint="eastAsia" w:cs="Times New Roman"/>
                <w:color w:val="auto"/>
                <w:sz w:val="24"/>
                <w:lang w:eastAsia="zh-CN"/>
              </w:rPr>
              <w:t>，</w:t>
            </w:r>
            <w:r>
              <w:rPr>
                <w:rFonts w:hint="eastAsia" w:ascii="Times New Roman" w:hAnsi="Times New Roman" w:cs="Times New Roman"/>
                <w:color w:val="auto"/>
                <w:sz w:val="24"/>
                <w:lang w:eastAsia="zh-CN"/>
              </w:rPr>
              <w:t>臭气浓度能够达到《恶臭污染物排放标准》（GB14554-93）中相应标准限值</w:t>
            </w:r>
            <w:r>
              <w:rPr>
                <w:rFonts w:hint="default" w:ascii="Times New Roman" w:hAnsi="Times New Roman" w:cs="Times New Roman"/>
                <w:color w:val="auto"/>
                <w:sz w:val="24"/>
              </w:rPr>
              <w:t>。</w:t>
            </w:r>
          </w:p>
          <w:p w14:paraId="4C7DAF8B">
            <w:pPr>
              <w:adjustRightInd w:val="0"/>
              <w:snapToGrid w:val="0"/>
              <w:spacing w:line="360" w:lineRule="auto"/>
              <w:ind w:firstLine="482" w:firstLineChars="200"/>
              <w:rPr>
                <w:rFonts w:hint="default" w:ascii="Times New Roman" w:hAnsi="Times New Roman" w:cs="Times New Roman"/>
                <w:b/>
                <w:color w:val="auto"/>
                <w:sz w:val="24"/>
              </w:rPr>
            </w:pPr>
            <w:r>
              <w:rPr>
                <w:rFonts w:hint="eastAsia" w:ascii="Times New Roman" w:hAnsi="Times New Roman" w:cs="Times New Roman"/>
                <w:b/>
                <w:color w:val="auto"/>
                <w:sz w:val="24"/>
                <w:lang w:val="en-US" w:eastAsia="zh-CN"/>
              </w:rPr>
              <w:t>4、</w:t>
            </w:r>
            <w:r>
              <w:rPr>
                <w:rFonts w:hint="default" w:ascii="Times New Roman" w:hAnsi="Times New Roman" w:cs="Times New Roman"/>
                <w:b/>
                <w:color w:val="auto"/>
                <w:sz w:val="24"/>
              </w:rPr>
              <w:t>废气排放的环境影响</w:t>
            </w:r>
          </w:p>
          <w:p w14:paraId="5EA69348">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本项目建成后会对项目所在区域排放少量大气污染物，本项目所在区域环境空气质量属于不达标区，本项目排放的废气主要为非甲烷总烃</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少量颗粒物及臭气</w:t>
            </w:r>
            <w:r>
              <w:rPr>
                <w:rFonts w:hint="default" w:ascii="Times New Roman" w:hAnsi="Times New Roman" w:cs="Times New Roman"/>
                <w:color w:val="auto"/>
                <w:sz w:val="24"/>
              </w:rPr>
              <w:t>，排放的废气采取措施后均能够达标排放，</w:t>
            </w:r>
            <w:r>
              <w:rPr>
                <w:rFonts w:hint="eastAsia" w:cs="Times New Roman"/>
                <w:color w:val="auto"/>
                <w:sz w:val="24"/>
                <w:lang w:val="en-US" w:eastAsia="zh-CN"/>
              </w:rPr>
              <w:t>对外</w:t>
            </w:r>
            <w:r>
              <w:rPr>
                <w:rFonts w:hint="default" w:ascii="Times New Roman" w:hAnsi="Times New Roman" w:cs="Times New Roman"/>
                <w:color w:val="auto"/>
                <w:sz w:val="24"/>
              </w:rPr>
              <w:t>环境空气质量</w:t>
            </w:r>
            <w:r>
              <w:rPr>
                <w:rFonts w:hint="eastAsia" w:cs="Times New Roman"/>
                <w:color w:val="auto"/>
                <w:sz w:val="24"/>
                <w:lang w:val="en-US" w:eastAsia="zh-CN"/>
              </w:rPr>
              <w:t>影响较小</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项目</w:t>
            </w:r>
            <w:r>
              <w:rPr>
                <w:rFonts w:hint="eastAsia" w:ascii="Times New Roman" w:hAnsi="Times New Roman" w:cs="Times New Roman"/>
                <w:color w:val="auto"/>
                <w:sz w:val="24"/>
                <w:lang w:val="en-US" w:eastAsia="zh-CN"/>
              </w:rPr>
              <w:t>距离</w:t>
            </w:r>
            <w:r>
              <w:rPr>
                <w:rFonts w:hint="eastAsia" w:ascii="Times New Roman" w:hAnsi="Times New Roman" w:eastAsia="宋体" w:cs="Times New Roman"/>
                <w:color w:val="auto"/>
                <w:sz w:val="24"/>
                <w:szCs w:val="24"/>
                <w:highlight w:val="none"/>
                <w:lang w:val="en-US" w:eastAsia="zh-CN"/>
              </w:rPr>
              <w:t>隆桥瑞苑小区</w:t>
            </w:r>
            <w:r>
              <w:rPr>
                <w:rFonts w:hint="eastAsia" w:ascii="Times New Roman" w:hAnsi="Times New Roman" w:eastAsia="宋体" w:cs="Times New Roman"/>
                <w:color w:val="auto"/>
                <w:sz w:val="24"/>
                <w:lang w:val="en-US" w:eastAsia="zh-CN"/>
              </w:rPr>
              <w:t>距离较近</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但</w:t>
            </w:r>
            <w:r>
              <w:rPr>
                <w:rFonts w:hint="default" w:ascii="Times New Roman" w:hAnsi="Times New Roman" w:cs="Times New Roman"/>
                <w:color w:val="auto"/>
                <w:sz w:val="24"/>
              </w:rPr>
              <w:t>本项目废气排放源强较小，废气采取环保措施处理后，均能够进行达标排放，</w:t>
            </w:r>
            <w:r>
              <w:rPr>
                <w:rFonts w:hint="eastAsia" w:ascii="Times New Roman" w:hAnsi="Times New Roman" w:cs="Times New Roman"/>
                <w:color w:val="auto"/>
                <w:sz w:val="24"/>
                <w:lang w:val="en-US" w:eastAsia="zh-CN"/>
              </w:rPr>
              <w:t>对周边小区住户影响较小，</w:t>
            </w:r>
            <w:r>
              <w:rPr>
                <w:rFonts w:hint="default" w:ascii="Times New Roman" w:hAnsi="Times New Roman" w:cs="Times New Roman"/>
                <w:color w:val="auto"/>
                <w:sz w:val="24"/>
              </w:rPr>
              <w:t>故对周边环境影响的可接受的。</w:t>
            </w:r>
            <w:r>
              <w:rPr>
                <w:rFonts w:hint="eastAsia" w:ascii="Times New Roman" w:hAnsi="Times New Roman" w:cs="Times New Roman"/>
                <w:color w:val="auto"/>
                <w:sz w:val="24"/>
                <w:lang w:val="en-US" w:eastAsia="zh-CN"/>
              </w:rPr>
              <w:t>为减轻对住户的影响，</w:t>
            </w:r>
            <w:r>
              <w:rPr>
                <w:rFonts w:hint="eastAsia" w:cs="Times New Roman"/>
                <w:color w:val="auto"/>
                <w:sz w:val="24"/>
                <w:lang w:val="en-US" w:eastAsia="zh-CN"/>
              </w:rPr>
              <w:t>本次环评建议建设单位将</w:t>
            </w:r>
            <w:r>
              <w:rPr>
                <w:rFonts w:hint="eastAsia" w:ascii="Times New Roman" w:hAnsi="Times New Roman" w:cs="Times New Roman"/>
                <w:color w:val="auto"/>
                <w:sz w:val="24"/>
                <w:lang w:val="en-US" w:eastAsia="zh-CN"/>
              </w:rPr>
              <w:t>废气排放口</w:t>
            </w:r>
            <w:r>
              <w:rPr>
                <w:rFonts w:hint="eastAsia" w:cs="Times New Roman"/>
                <w:color w:val="auto"/>
                <w:sz w:val="24"/>
                <w:lang w:val="en-US" w:eastAsia="zh-CN"/>
              </w:rPr>
              <w:t>远离西侧</w:t>
            </w:r>
            <w:r>
              <w:rPr>
                <w:rFonts w:hint="eastAsia" w:ascii="Times New Roman" w:hAnsi="Times New Roman" w:eastAsia="宋体" w:cs="Times New Roman"/>
                <w:color w:val="auto"/>
                <w:sz w:val="24"/>
                <w:szCs w:val="24"/>
                <w:highlight w:val="none"/>
                <w:lang w:val="en-US" w:eastAsia="zh-CN"/>
              </w:rPr>
              <w:t>隆桥瑞苑</w:t>
            </w:r>
            <w:r>
              <w:rPr>
                <w:rFonts w:hint="eastAsia" w:ascii="Times New Roman" w:hAnsi="Times New Roman" w:cs="Times New Roman"/>
                <w:color w:val="auto"/>
                <w:sz w:val="24"/>
                <w:lang w:val="en-US" w:eastAsia="zh-CN"/>
              </w:rPr>
              <w:t>小区，并将排放口</w:t>
            </w:r>
            <w:r>
              <w:rPr>
                <w:rFonts w:hint="eastAsia" w:cs="Times New Roman"/>
                <w:color w:val="auto"/>
                <w:sz w:val="24"/>
                <w:lang w:val="en-US" w:eastAsia="zh-CN"/>
              </w:rPr>
              <w:t>朝东</w:t>
            </w:r>
            <w:r>
              <w:rPr>
                <w:rFonts w:hint="eastAsia" w:ascii="Times New Roman" w:hAnsi="Times New Roman" w:cs="Times New Roman"/>
                <w:color w:val="auto"/>
                <w:sz w:val="24"/>
                <w:lang w:val="en-US" w:eastAsia="zh-CN"/>
              </w:rPr>
              <w:t>设置。</w:t>
            </w:r>
          </w:p>
          <w:p w14:paraId="14F7B4BF">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综上，本项目废气经上述措施处理后，对环境空气影响较小。</w:t>
            </w:r>
          </w:p>
          <w:p w14:paraId="2A14E80B">
            <w:pPr>
              <w:adjustRightInd w:val="0"/>
              <w:snapToGrid w:val="0"/>
              <w:spacing w:line="360" w:lineRule="auto"/>
              <w:ind w:firstLine="482" w:firstLineChars="200"/>
              <w:rPr>
                <w:rFonts w:hint="default" w:ascii="Times New Roman" w:hAnsi="Times New Roman" w:eastAsia="宋体" w:cs="Times New Roman"/>
                <w:b/>
                <w:color w:val="auto"/>
                <w:sz w:val="24"/>
              </w:rPr>
            </w:pPr>
            <w:r>
              <w:rPr>
                <w:rFonts w:hint="eastAsia" w:ascii="Times New Roman" w:hAnsi="Times New Roman" w:eastAsia="宋体" w:cs="Times New Roman"/>
                <w:b/>
                <w:color w:val="auto"/>
                <w:sz w:val="24"/>
                <w:lang w:val="en-US" w:eastAsia="zh-CN"/>
              </w:rPr>
              <w:t>5、</w:t>
            </w:r>
            <w:r>
              <w:rPr>
                <w:rFonts w:hint="eastAsia" w:ascii="Times New Roman" w:hAnsi="Times New Roman" w:eastAsia="宋体" w:cs="Times New Roman"/>
                <w:b/>
                <w:color w:val="auto"/>
                <w:sz w:val="24"/>
              </w:rPr>
              <w:t>排气筒设置合理性分析</w:t>
            </w:r>
          </w:p>
          <w:p w14:paraId="166A31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color w:val="auto"/>
                <w:sz w:val="24"/>
              </w:rPr>
            </w:pPr>
            <w:r>
              <w:rPr>
                <w:rFonts w:hint="default" w:ascii="Times New Roman" w:hAnsi="Times New Roman" w:eastAsia="宋体" w:cs="Times New Roman"/>
                <w:color w:val="auto"/>
                <w:kern w:val="24"/>
                <w:sz w:val="24"/>
                <w:szCs w:val="24"/>
              </w:rPr>
              <w:t>根据《大气污染物综合排放标准》（GB16297-1996）</w:t>
            </w:r>
            <w:r>
              <w:rPr>
                <w:rFonts w:hint="eastAsia" w:ascii="Times New Roman" w:hAnsi="Times New Roman" w:eastAsia="宋体" w:cs="Times New Roman"/>
                <w:color w:val="auto"/>
                <w:kern w:val="24"/>
                <w:sz w:val="24"/>
                <w:szCs w:val="24"/>
                <w:lang w:val="en-US" w:eastAsia="zh-CN"/>
              </w:rPr>
              <w:t>“</w:t>
            </w:r>
            <w:r>
              <w:rPr>
                <w:rFonts w:hint="eastAsia" w:cs="Times New Roman"/>
                <w:color w:val="auto"/>
                <w:kern w:val="24"/>
                <w:sz w:val="24"/>
                <w:szCs w:val="24"/>
                <w:lang w:val="en-US" w:eastAsia="zh-CN"/>
              </w:rPr>
              <w:t>7.1：</w:t>
            </w:r>
            <w:r>
              <w:rPr>
                <w:rFonts w:hint="eastAsia" w:hAnsi="宋体"/>
                <w:color w:val="auto"/>
                <w:sz w:val="24"/>
              </w:rPr>
              <w:t>排气筒高度应高出周围200m半径范围的建筑5m以上</w:t>
            </w:r>
            <w:r>
              <w:rPr>
                <w:rFonts w:hint="eastAsia" w:hAnsi="宋体"/>
                <w:color w:val="auto"/>
                <w:sz w:val="24"/>
                <w:lang w:eastAsia="zh-CN"/>
              </w:rPr>
              <w:t>；</w:t>
            </w:r>
            <w:r>
              <w:rPr>
                <w:rFonts w:hint="eastAsia" w:ascii="Times New Roman" w:hAnsi="Times New Roman" w:eastAsia="宋体" w:cs="Times New Roman"/>
                <w:color w:val="auto"/>
                <w:kern w:val="24"/>
                <w:sz w:val="24"/>
                <w:szCs w:val="24"/>
                <w:lang w:val="en-US" w:eastAsia="zh-CN"/>
              </w:rPr>
              <w:t>7.4</w:t>
            </w:r>
            <w:r>
              <w:rPr>
                <w:rFonts w:hint="eastAsia" w:cs="Times New Roman"/>
                <w:color w:val="auto"/>
                <w:kern w:val="24"/>
                <w:sz w:val="24"/>
                <w:szCs w:val="24"/>
                <w:lang w:val="en-US" w:eastAsia="zh-CN"/>
              </w:rPr>
              <w:t>：</w:t>
            </w:r>
            <w:r>
              <w:rPr>
                <w:rFonts w:hint="eastAsia" w:ascii="Times New Roman" w:hAnsi="Times New Roman" w:eastAsia="宋体" w:cs="Times New Roman"/>
                <w:color w:val="auto"/>
                <w:kern w:val="24"/>
                <w:sz w:val="24"/>
                <w:szCs w:val="24"/>
                <w:lang w:val="en-US" w:eastAsia="zh-CN"/>
              </w:rPr>
              <w:t>新污染源的排气筒一般不低于15m</w:t>
            </w:r>
            <w:r>
              <w:rPr>
                <w:rFonts w:hint="eastAsia" w:cs="Times New Roman"/>
                <w:color w:val="auto"/>
                <w:kern w:val="24"/>
                <w:sz w:val="24"/>
                <w:szCs w:val="24"/>
                <w:lang w:val="en-US" w:eastAsia="zh-CN"/>
              </w:rPr>
              <w:t>”</w:t>
            </w:r>
            <w:r>
              <w:rPr>
                <w:rFonts w:hint="eastAsia" w:ascii="Times New Roman" w:hAnsi="Times New Roman" w:eastAsia="宋体" w:cs="Times New Roman"/>
                <w:color w:val="auto"/>
                <w:kern w:val="24"/>
                <w:sz w:val="24"/>
                <w:szCs w:val="24"/>
                <w:lang w:val="en-US" w:eastAsia="zh-CN"/>
              </w:rPr>
              <w:t>。</w:t>
            </w:r>
            <w:r>
              <w:rPr>
                <w:rFonts w:hint="eastAsia"/>
                <w:bCs/>
                <w:color w:val="auto"/>
                <w:sz w:val="24"/>
                <w:szCs w:val="22"/>
              </w:rPr>
              <w:t>本项目排气筒高度为</w:t>
            </w:r>
            <w:r>
              <w:rPr>
                <w:rFonts w:hint="eastAsia"/>
                <w:bCs/>
                <w:color w:val="auto"/>
                <w:sz w:val="24"/>
                <w:szCs w:val="22"/>
                <w:lang w:val="en-US" w:eastAsia="zh-CN"/>
              </w:rPr>
              <w:t>15</w:t>
            </w:r>
            <w:r>
              <w:rPr>
                <w:rFonts w:hint="eastAsia"/>
                <w:bCs/>
                <w:color w:val="auto"/>
                <w:sz w:val="24"/>
                <w:szCs w:val="22"/>
              </w:rPr>
              <w:t>m，</w:t>
            </w:r>
            <w:r>
              <w:rPr>
                <w:rFonts w:hint="eastAsia"/>
                <w:color w:val="auto"/>
                <w:kern w:val="0"/>
                <w:sz w:val="24"/>
                <w:lang w:bidi="ar"/>
              </w:rPr>
              <w:t>周围半径200m范围内最高建筑物</w:t>
            </w:r>
            <w:r>
              <w:rPr>
                <w:rFonts w:hint="eastAsia"/>
                <w:bCs/>
                <w:color w:val="auto"/>
                <w:sz w:val="24"/>
                <w:szCs w:val="22"/>
              </w:rPr>
              <w:t>为</w:t>
            </w:r>
            <w:r>
              <w:rPr>
                <w:rFonts w:hint="eastAsia" w:ascii="Times New Roman" w:hAnsi="Times New Roman" w:eastAsia="宋体" w:cs="Times New Roman"/>
                <w:color w:val="auto"/>
                <w:sz w:val="24"/>
                <w:szCs w:val="24"/>
                <w:highlight w:val="none"/>
                <w:lang w:val="en-US" w:eastAsia="zh-CN"/>
              </w:rPr>
              <w:t>隆桥瑞苑小区</w:t>
            </w:r>
            <w:r>
              <w:rPr>
                <w:rFonts w:hint="eastAsia"/>
                <w:bCs/>
                <w:color w:val="auto"/>
                <w:sz w:val="24"/>
                <w:szCs w:val="22"/>
              </w:rPr>
              <w:t>，约为</w:t>
            </w:r>
            <w:r>
              <w:rPr>
                <w:rFonts w:hint="eastAsia"/>
                <w:bCs/>
                <w:color w:val="auto"/>
                <w:sz w:val="24"/>
                <w:szCs w:val="22"/>
                <w:lang w:val="en-US" w:eastAsia="zh-CN"/>
              </w:rPr>
              <w:t>100</w:t>
            </w:r>
            <w:r>
              <w:rPr>
                <w:rFonts w:hint="eastAsia"/>
                <w:bCs/>
                <w:color w:val="auto"/>
                <w:sz w:val="24"/>
                <w:szCs w:val="22"/>
              </w:rPr>
              <w:t>m，</w:t>
            </w:r>
            <w:r>
              <w:rPr>
                <w:rFonts w:hint="eastAsia"/>
                <w:bCs/>
                <w:color w:val="auto"/>
                <w:sz w:val="24"/>
                <w:szCs w:val="22"/>
                <w:lang w:val="en-US" w:eastAsia="zh-CN"/>
              </w:rPr>
              <w:t>不</w:t>
            </w:r>
            <w:r>
              <w:rPr>
                <w:rFonts w:hint="eastAsia"/>
                <w:bCs/>
                <w:color w:val="auto"/>
                <w:sz w:val="24"/>
                <w:szCs w:val="22"/>
              </w:rPr>
              <w:t>符合高出周围</w:t>
            </w:r>
            <w:r>
              <w:rPr>
                <w:rFonts w:hint="eastAsia" w:hAnsi="宋体"/>
                <w:color w:val="auto"/>
                <w:sz w:val="24"/>
              </w:rPr>
              <w:t>200m半径范围的建筑5m以上。</w:t>
            </w:r>
            <w:r>
              <w:rPr>
                <w:rFonts w:hint="eastAsia" w:hAnsi="宋体"/>
                <w:color w:val="auto"/>
                <w:sz w:val="24"/>
                <w:lang w:val="en-US" w:eastAsia="zh-CN"/>
              </w:rPr>
              <w:t>故本项目非甲烷总烃</w:t>
            </w:r>
            <w:r>
              <w:rPr>
                <w:rFonts w:hint="eastAsia" w:ascii="Times New Roman" w:hAnsi="Times New Roman" w:eastAsia="宋体" w:cs="Times New Roman"/>
                <w:color w:val="auto"/>
                <w:kern w:val="24"/>
                <w:sz w:val="24"/>
                <w:szCs w:val="24"/>
                <w:lang w:val="en-US" w:eastAsia="zh-CN"/>
              </w:rPr>
              <w:t>排放速率标准值按</w:t>
            </w:r>
            <w:r>
              <w:rPr>
                <w:rFonts w:hint="default" w:ascii="Times New Roman" w:hAnsi="Times New Roman" w:eastAsia="宋体" w:cs="Times New Roman"/>
                <w:color w:val="auto"/>
                <w:kern w:val="24"/>
                <w:sz w:val="24"/>
                <w:szCs w:val="24"/>
              </w:rPr>
              <w:t>《大气污染物综合排放标准》（GB16297-1996）</w:t>
            </w:r>
            <w:r>
              <w:rPr>
                <w:rFonts w:hint="eastAsia" w:ascii="Times New Roman" w:hAnsi="Times New Roman" w:eastAsia="宋体" w:cs="Times New Roman"/>
                <w:color w:val="auto"/>
                <w:kern w:val="24"/>
                <w:sz w:val="24"/>
                <w:szCs w:val="24"/>
                <w:lang w:val="en-US" w:eastAsia="zh-CN"/>
              </w:rPr>
              <w:t>严格50%执行</w:t>
            </w:r>
            <w:r>
              <w:rPr>
                <w:rFonts w:hint="eastAsia"/>
                <w:bCs/>
                <w:color w:val="auto"/>
                <w:sz w:val="24"/>
                <w:szCs w:val="22"/>
              </w:rPr>
              <w:t>。</w:t>
            </w:r>
          </w:p>
          <w:p w14:paraId="17453B7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color w:val="auto"/>
                <w:sz w:val="24"/>
                <w:lang w:eastAsia="zh-CN"/>
              </w:rPr>
            </w:pPr>
            <w:r>
              <w:rPr>
                <w:rFonts w:hint="eastAsia" w:cs="Times New Roman"/>
                <w:b/>
                <w:color w:val="auto"/>
                <w:sz w:val="24"/>
                <w:lang w:val="en-US" w:eastAsia="zh-CN"/>
              </w:rPr>
              <w:t>6、</w:t>
            </w:r>
            <w:r>
              <w:rPr>
                <w:rFonts w:hint="default" w:ascii="Times New Roman" w:hAnsi="Times New Roman" w:cs="Times New Roman"/>
                <w:b/>
                <w:color w:val="auto"/>
                <w:sz w:val="24"/>
              </w:rPr>
              <w:t>自行监测</w:t>
            </w:r>
            <w:r>
              <w:rPr>
                <w:rFonts w:hint="eastAsia" w:cs="Times New Roman"/>
                <w:b/>
                <w:color w:val="auto"/>
                <w:sz w:val="24"/>
                <w:lang w:val="en-US" w:eastAsia="zh-CN"/>
              </w:rPr>
              <w:t>计划</w:t>
            </w:r>
          </w:p>
          <w:p w14:paraId="69958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根</w:t>
            </w:r>
            <w:r>
              <w:rPr>
                <w:rFonts w:hint="default" w:ascii="Times New Roman" w:hAnsi="Times New Roman" w:eastAsia="宋体" w:cs="Times New Roman"/>
                <w:color w:val="auto"/>
                <w:sz w:val="24"/>
                <w:vertAlign w:val="baseline"/>
                <w:lang w:val="en-US" w:eastAsia="zh-CN"/>
              </w:rPr>
              <w:t>据《排污许可证申请与核发技术规范</w:t>
            </w:r>
            <w:r>
              <w:rPr>
                <w:rFonts w:hint="eastAsia" w:cs="Times New Roman"/>
                <w:color w:val="auto"/>
                <w:sz w:val="24"/>
                <w:vertAlign w:val="baseline"/>
                <w:lang w:val="en-US" w:eastAsia="zh-CN"/>
              </w:rPr>
              <w:t xml:space="preserve">  </w:t>
            </w:r>
            <w:r>
              <w:rPr>
                <w:rFonts w:hint="default" w:ascii="Times New Roman" w:hAnsi="Times New Roman" w:eastAsia="宋体" w:cs="Times New Roman"/>
                <w:color w:val="auto"/>
                <w:sz w:val="24"/>
                <w:vertAlign w:val="baseline"/>
                <w:lang w:val="en-US" w:eastAsia="zh-CN"/>
              </w:rPr>
              <w:t>总则》（HJ942-2018）、《排污单位自行监测技术指南</w:t>
            </w:r>
            <w:r>
              <w:rPr>
                <w:rFonts w:hint="eastAsia" w:cs="Times New Roman"/>
                <w:color w:val="auto"/>
                <w:sz w:val="24"/>
                <w:vertAlign w:val="baseline"/>
                <w:lang w:val="en-US" w:eastAsia="zh-CN"/>
              </w:rPr>
              <w:t xml:space="preserve">  </w:t>
            </w:r>
            <w:r>
              <w:rPr>
                <w:rFonts w:hint="default" w:ascii="Times New Roman" w:hAnsi="Times New Roman" w:eastAsia="宋体" w:cs="Times New Roman"/>
                <w:color w:val="auto"/>
                <w:sz w:val="24"/>
                <w:vertAlign w:val="baseline"/>
                <w:lang w:val="en-US" w:eastAsia="zh-CN"/>
              </w:rPr>
              <w:t>总则》（HJ819-2017）</w:t>
            </w:r>
            <w:r>
              <w:rPr>
                <w:rFonts w:hint="default" w:ascii="Times New Roman" w:hAnsi="Times New Roman" w:eastAsia="宋体" w:cs="Times New Roman"/>
                <w:color w:val="auto"/>
                <w:sz w:val="24"/>
                <w:lang w:val="en-US" w:eastAsia="zh-CN"/>
              </w:rPr>
              <w:t>，本项目属非重点排污单位，废气排气筒为一般排放口，</w:t>
            </w:r>
            <w:r>
              <w:rPr>
                <w:rFonts w:hint="default" w:ascii="Times New Roman" w:hAnsi="Times New Roman" w:eastAsia="宋体" w:cs="Times New Roman"/>
                <w:color w:val="auto"/>
                <w:sz w:val="24"/>
              </w:rPr>
              <w:t>本项目废气监测计划</w:t>
            </w:r>
            <w:r>
              <w:rPr>
                <w:rFonts w:hint="default" w:ascii="Times New Roman" w:hAnsi="Times New Roman" w:eastAsia="宋体" w:cs="Times New Roman"/>
                <w:color w:val="auto"/>
                <w:sz w:val="24"/>
                <w:lang w:val="en-US" w:eastAsia="zh-CN"/>
              </w:rPr>
              <w:t>如下</w:t>
            </w:r>
            <w:r>
              <w:rPr>
                <w:rFonts w:hint="default" w:ascii="Times New Roman" w:hAnsi="Times New Roman" w:eastAsia="宋体" w:cs="Times New Roman"/>
                <w:color w:val="auto"/>
                <w:sz w:val="24"/>
              </w:rPr>
              <w:t>。</w:t>
            </w:r>
          </w:p>
          <w:p w14:paraId="12B06E1D">
            <w:pPr>
              <w:pStyle w:val="95"/>
              <w:keepNext/>
              <w:keepLines w:val="0"/>
              <w:pageBreakBefore w:val="0"/>
              <w:widowControl/>
              <w:kinsoku/>
              <w:wordWrap/>
              <w:overflowPunct/>
              <w:topLinePunct w:val="0"/>
              <w:autoSpaceDE/>
              <w:autoSpaceDN/>
              <w:bidi w:val="0"/>
              <w:adjustRightInd/>
              <w:snapToGrid w:val="0"/>
              <w:spacing w:before="0" w:beforeLines="0" w:after="40"/>
              <w:ind w:right="0"/>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表</w:t>
            </w:r>
            <w:r>
              <w:rPr>
                <w:rFonts w:hint="eastAsia" w:ascii="Times New Roman" w:hAnsi="Times New Roman" w:eastAsia="宋体" w:cs="Times New Roman"/>
                <w:color w:val="auto"/>
                <w:kern w:val="0"/>
                <w:sz w:val="21"/>
                <w:szCs w:val="21"/>
                <w:highlight w:val="none"/>
                <w:lang w:val="en-US" w:eastAsia="zh-CN" w:bidi="ar"/>
              </w:rPr>
              <w:t>4-5</w:t>
            </w:r>
            <w:r>
              <w:rPr>
                <w:rFonts w:hint="eastAsia"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监测计划表</w:t>
            </w:r>
          </w:p>
          <w:tbl>
            <w:tblPr>
              <w:tblStyle w:val="28"/>
              <w:tblW w:w="822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73"/>
              <w:gridCol w:w="1690"/>
              <w:gridCol w:w="1392"/>
              <w:gridCol w:w="1103"/>
              <w:gridCol w:w="2623"/>
            </w:tblGrid>
            <w:tr w14:paraId="7B0DC4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0" w:type="dxa"/>
                  <w:gridSpan w:val="2"/>
                  <w:tcBorders>
                    <w:tl2br w:val="nil"/>
                    <w:tr2bl w:val="nil"/>
                  </w:tcBorders>
                  <w:noWrap w:val="0"/>
                  <w:vAlign w:val="center"/>
                </w:tcPr>
                <w:p w14:paraId="3E71B889">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1690" w:type="dxa"/>
                  <w:tcBorders>
                    <w:tl2br w:val="nil"/>
                    <w:tr2bl w:val="nil"/>
                  </w:tcBorders>
                  <w:noWrap w:val="0"/>
                  <w:vAlign w:val="center"/>
                </w:tcPr>
                <w:p w14:paraId="021C76F8">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监测点位编号</w:t>
                  </w:r>
                </w:p>
              </w:tc>
              <w:tc>
                <w:tcPr>
                  <w:tcW w:w="1392" w:type="dxa"/>
                  <w:tcBorders>
                    <w:tl2br w:val="nil"/>
                    <w:tr2bl w:val="nil"/>
                  </w:tcBorders>
                  <w:noWrap w:val="0"/>
                  <w:vAlign w:val="center"/>
                </w:tcPr>
                <w:p w14:paraId="6A096BE1">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监测因子</w:t>
                  </w:r>
                </w:p>
              </w:tc>
              <w:tc>
                <w:tcPr>
                  <w:tcW w:w="1103" w:type="dxa"/>
                  <w:tcBorders>
                    <w:tl2br w:val="nil"/>
                    <w:tr2bl w:val="nil"/>
                  </w:tcBorders>
                  <w:noWrap w:val="0"/>
                  <w:vAlign w:val="center"/>
                </w:tcPr>
                <w:p w14:paraId="59F4AD1D">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c>
                <w:tcPr>
                  <w:tcW w:w="2623" w:type="dxa"/>
                  <w:tcBorders>
                    <w:tl2br w:val="nil"/>
                    <w:tr2bl w:val="nil"/>
                  </w:tcBorders>
                  <w:noWrap w:val="0"/>
                  <w:vAlign w:val="center"/>
                </w:tcPr>
                <w:p w14:paraId="25C01AE8">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r>
            <w:tr w14:paraId="6FF17B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547" w:type="dxa"/>
                  <w:vMerge w:val="restart"/>
                  <w:tcBorders>
                    <w:tl2br w:val="nil"/>
                    <w:tr2bl w:val="nil"/>
                  </w:tcBorders>
                  <w:noWrap w:val="0"/>
                  <w:vAlign w:val="center"/>
                </w:tcPr>
                <w:p w14:paraId="0030B396">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873" w:type="dxa"/>
                  <w:vMerge w:val="restart"/>
                  <w:tcBorders>
                    <w:tl2br w:val="nil"/>
                    <w:tr2bl w:val="nil"/>
                  </w:tcBorders>
                  <w:noWrap w:val="0"/>
                  <w:vAlign w:val="center"/>
                </w:tcPr>
                <w:p w14:paraId="77AFFEB9">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w:t>
                  </w:r>
                </w:p>
              </w:tc>
              <w:tc>
                <w:tcPr>
                  <w:tcW w:w="1690" w:type="dxa"/>
                  <w:tcBorders>
                    <w:tl2br w:val="nil"/>
                    <w:tr2bl w:val="nil"/>
                  </w:tcBorders>
                  <w:noWrap w:val="0"/>
                  <w:vAlign w:val="center"/>
                </w:tcPr>
                <w:p w14:paraId="669EC65F">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有机废气排气筒DA00</w:t>
                  </w:r>
                  <w:r>
                    <w:rPr>
                      <w:rFonts w:hint="default" w:ascii="Times New Roman" w:hAnsi="Times New Roman" w:eastAsia="宋体" w:cs="Times New Roman"/>
                      <w:color w:val="auto"/>
                      <w:sz w:val="21"/>
                      <w:szCs w:val="21"/>
                      <w:lang w:val="en-US" w:eastAsia="zh-CN"/>
                    </w:rPr>
                    <w:t>1</w:t>
                  </w:r>
                </w:p>
              </w:tc>
              <w:tc>
                <w:tcPr>
                  <w:tcW w:w="1392" w:type="dxa"/>
                  <w:tcBorders>
                    <w:tl2br w:val="nil"/>
                    <w:tr2bl w:val="nil"/>
                  </w:tcBorders>
                  <w:noWrap w:val="0"/>
                  <w:vAlign w:val="center"/>
                </w:tcPr>
                <w:p w14:paraId="77684554">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lang w:val="en-US" w:eastAsia="zh-CN"/>
                    </w:rPr>
                  </w:pPr>
                  <w:r>
                    <w:rPr>
                      <w:rFonts w:hint="eastAsia" w:eastAsia="宋体" w:cs="Times New Roman"/>
                      <w:color w:val="auto"/>
                      <w:sz w:val="21"/>
                      <w:szCs w:val="21"/>
                      <w:lang w:val="en-US" w:eastAsia="zh-CN"/>
                    </w:rPr>
                    <w:t>非甲烷总烃</w:t>
                  </w:r>
                </w:p>
              </w:tc>
              <w:tc>
                <w:tcPr>
                  <w:tcW w:w="1103" w:type="dxa"/>
                  <w:tcBorders>
                    <w:tl2br w:val="nil"/>
                    <w:tr2bl w:val="nil"/>
                  </w:tcBorders>
                  <w:noWrap w:val="0"/>
                  <w:vAlign w:val="center"/>
                </w:tcPr>
                <w:p w14:paraId="23BD5B42">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1次/年</w:t>
                  </w:r>
                </w:p>
              </w:tc>
              <w:tc>
                <w:tcPr>
                  <w:tcW w:w="2623" w:type="dxa"/>
                  <w:tcBorders>
                    <w:tl2br w:val="nil"/>
                    <w:tr2bl w:val="nil"/>
                  </w:tcBorders>
                  <w:noWrap w:val="0"/>
                  <w:vAlign w:val="center"/>
                </w:tcPr>
                <w:p w14:paraId="127E04F5">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《大气污染物综合排放标准》（</w:t>
                  </w:r>
                  <w:r>
                    <w:rPr>
                      <w:rFonts w:hint="default" w:eastAsia="宋体" w:cs="Times New Roman"/>
                      <w:color w:val="auto"/>
                      <w:sz w:val="21"/>
                      <w:szCs w:val="21"/>
                      <w:lang w:val="en-US" w:eastAsia="zh-CN"/>
                    </w:rPr>
                    <w:t>GB16297-1996</w:t>
                  </w:r>
                  <w:r>
                    <w:rPr>
                      <w:rFonts w:hint="eastAsia" w:eastAsia="宋体" w:cs="Times New Roman"/>
                      <w:color w:val="auto"/>
                      <w:sz w:val="21"/>
                      <w:szCs w:val="21"/>
                      <w:lang w:val="en-US" w:eastAsia="zh-CN"/>
                    </w:rPr>
                    <w:t>）</w:t>
                  </w:r>
                </w:p>
              </w:tc>
            </w:tr>
            <w:tr w14:paraId="5B4C54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tl2br w:val="nil"/>
                    <w:tr2bl w:val="nil"/>
                  </w:tcBorders>
                  <w:noWrap w:val="0"/>
                  <w:vAlign w:val="center"/>
                </w:tcPr>
                <w:p w14:paraId="086653C5">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p>
              </w:tc>
              <w:tc>
                <w:tcPr>
                  <w:tcW w:w="873" w:type="dxa"/>
                  <w:vMerge w:val="continue"/>
                  <w:tcBorders>
                    <w:tl2br w:val="nil"/>
                    <w:tr2bl w:val="nil"/>
                  </w:tcBorders>
                  <w:noWrap w:val="0"/>
                  <w:vAlign w:val="center"/>
                </w:tcPr>
                <w:p w14:paraId="405FDE14">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p>
              </w:tc>
              <w:tc>
                <w:tcPr>
                  <w:tcW w:w="1690" w:type="dxa"/>
                  <w:tcBorders>
                    <w:tl2br w:val="nil"/>
                    <w:tr2bl w:val="nil"/>
                  </w:tcBorders>
                  <w:noWrap w:val="0"/>
                  <w:vAlign w:val="center"/>
                </w:tcPr>
                <w:p w14:paraId="41BE4388">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异味气体排气筒DA002</w:t>
                  </w:r>
                </w:p>
              </w:tc>
              <w:tc>
                <w:tcPr>
                  <w:tcW w:w="1392" w:type="dxa"/>
                  <w:tcBorders>
                    <w:tl2br w:val="nil"/>
                    <w:tr2bl w:val="nil"/>
                  </w:tcBorders>
                  <w:noWrap w:val="0"/>
                  <w:vAlign w:val="center"/>
                </w:tcPr>
                <w:p w14:paraId="7BFB50C4">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臭气浓度</w:t>
                  </w:r>
                </w:p>
              </w:tc>
              <w:tc>
                <w:tcPr>
                  <w:tcW w:w="1103" w:type="dxa"/>
                  <w:tcBorders>
                    <w:tl2br w:val="nil"/>
                    <w:tr2bl w:val="nil"/>
                  </w:tcBorders>
                  <w:noWrap w:val="0"/>
                  <w:vAlign w:val="center"/>
                </w:tcPr>
                <w:p w14:paraId="2B886F26">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1次/年</w:t>
                  </w:r>
                </w:p>
              </w:tc>
              <w:tc>
                <w:tcPr>
                  <w:tcW w:w="2623" w:type="dxa"/>
                  <w:vMerge w:val="restart"/>
                  <w:tcBorders>
                    <w:tl2br w:val="nil"/>
                    <w:tr2bl w:val="nil"/>
                  </w:tcBorders>
                  <w:noWrap w:val="0"/>
                  <w:vAlign w:val="center"/>
                </w:tcPr>
                <w:p w14:paraId="7C13E440">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s="Times New Roman"/>
                      <w:color w:val="auto"/>
                      <w:sz w:val="21"/>
                      <w:szCs w:val="21"/>
                      <w:lang w:val="en-US" w:eastAsia="zh-CN"/>
                    </w:rPr>
                  </w:pPr>
                  <w:bookmarkStart w:id="10" w:name="OLE_LINK8"/>
                  <w:r>
                    <w:rPr>
                      <w:rFonts w:hint="eastAsia" w:eastAsia="宋体" w:cs="Times New Roman"/>
                      <w:color w:val="auto"/>
                      <w:sz w:val="21"/>
                      <w:szCs w:val="21"/>
                      <w:lang w:val="en-US" w:eastAsia="zh-CN"/>
                    </w:rPr>
                    <w:t>《恶臭污染物排放标准》（</w:t>
                  </w:r>
                  <w:r>
                    <w:rPr>
                      <w:rFonts w:hint="default" w:eastAsia="宋体" w:cs="Times New Roman"/>
                      <w:color w:val="auto"/>
                      <w:sz w:val="21"/>
                      <w:szCs w:val="21"/>
                      <w:lang w:val="en-US" w:eastAsia="zh-CN"/>
                    </w:rPr>
                    <w:t>GB14554-93</w:t>
                  </w:r>
                  <w:r>
                    <w:rPr>
                      <w:rFonts w:hint="eastAsia" w:eastAsia="宋体" w:cs="Times New Roman"/>
                      <w:color w:val="auto"/>
                      <w:sz w:val="21"/>
                      <w:szCs w:val="21"/>
                      <w:lang w:val="en-US" w:eastAsia="zh-CN"/>
                    </w:rPr>
                    <w:t>）</w:t>
                  </w:r>
                  <w:bookmarkEnd w:id="10"/>
                </w:p>
              </w:tc>
            </w:tr>
            <w:tr w14:paraId="210431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tl2br w:val="nil"/>
                    <w:tr2bl w:val="nil"/>
                  </w:tcBorders>
                  <w:noWrap w:val="0"/>
                  <w:vAlign w:val="center"/>
                </w:tcPr>
                <w:p w14:paraId="3C5CDF3C">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p>
              </w:tc>
              <w:tc>
                <w:tcPr>
                  <w:tcW w:w="873" w:type="dxa"/>
                  <w:vMerge w:val="restart"/>
                  <w:tcBorders>
                    <w:tl2br w:val="nil"/>
                    <w:tr2bl w:val="nil"/>
                  </w:tcBorders>
                  <w:noWrap w:val="0"/>
                  <w:vAlign w:val="center"/>
                </w:tcPr>
                <w:p w14:paraId="41499EA9">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无组织</w:t>
                  </w:r>
                </w:p>
              </w:tc>
              <w:tc>
                <w:tcPr>
                  <w:tcW w:w="1690" w:type="dxa"/>
                  <w:vMerge w:val="restart"/>
                  <w:tcBorders>
                    <w:tl2br w:val="nil"/>
                    <w:tr2bl w:val="nil"/>
                  </w:tcBorders>
                  <w:noWrap w:val="0"/>
                  <w:vAlign w:val="center"/>
                </w:tcPr>
                <w:p w14:paraId="47404999">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w:t>
                  </w:r>
                </w:p>
              </w:tc>
              <w:tc>
                <w:tcPr>
                  <w:tcW w:w="1392" w:type="dxa"/>
                  <w:tcBorders>
                    <w:tl2br w:val="nil"/>
                    <w:tr2bl w:val="nil"/>
                  </w:tcBorders>
                  <w:noWrap w:val="0"/>
                  <w:vAlign w:val="center"/>
                </w:tcPr>
                <w:p w14:paraId="4DD37C07">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氨气</w:t>
                  </w:r>
                </w:p>
              </w:tc>
              <w:tc>
                <w:tcPr>
                  <w:tcW w:w="1103" w:type="dxa"/>
                  <w:vMerge w:val="restart"/>
                  <w:tcBorders>
                    <w:tl2br w:val="nil"/>
                    <w:tr2bl w:val="nil"/>
                  </w:tcBorders>
                  <w:noWrap w:val="0"/>
                  <w:vAlign w:val="center"/>
                </w:tcPr>
                <w:p w14:paraId="163B9A1A">
                  <w:pPr>
                    <w:pStyle w:val="65"/>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color w:val="auto"/>
                      <w:sz w:val="21"/>
                      <w:szCs w:val="21"/>
                    </w:rPr>
                    <w:t>1次/年</w:t>
                  </w:r>
                </w:p>
              </w:tc>
              <w:tc>
                <w:tcPr>
                  <w:tcW w:w="2623" w:type="dxa"/>
                  <w:vMerge w:val="continue"/>
                  <w:tcBorders>
                    <w:tl2br w:val="nil"/>
                    <w:tr2bl w:val="nil"/>
                  </w:tcBorders>
                  <w:noWrap w:val="0"/>
                  <w:vAlign w:val="center"/>
                </w:tcPr>
                <w:p w14:paraId="5116EDF9">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s="Times New Roman"/>
                      <w:color w:val="auto"/>
                      <w:sz w:val="21"/>
                      <w:szCs w:val="21"/>
                      <w:lang w:val="en-US" w:eastAsia="zh-CN"/>
                    </w:rPr>
                  </w:pPr>
                </w:p>
              </w:tc>
            </w:tr>
            <w:tr w14:paraId="4D76CA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47" w:type="dxa"/>
                  <w:vMerge w:val="continue"/>
                  <w:tcBorders>
                    <w:tl2br w:val="nil"/>
                    <w:tr2bl w:val="nil"/>
                  </w:tcBorders>
                  <w:noWrap w:val="0"/>
                  <w:vAlign w:val="center"/>
                </w:tcPr>
                <w:p w14:paraId="20486DC9">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p>
              </w:tc>
              <w:tc>
                <w:tcPr>
                  <w:tcW w:w="873" w:type="dxa"/>
                  <w:vMerge w:val="continue"/>
                  <w:tcBorders>
                    <w:tl2br w:val="nil"/>
                    <w:tr2bl w:val="nil"/>
                  </w:tcBorders>
                  <w:noWrap w:val="0"/>
                  <w:vAlign w:val="center"/>
                </w:tcPr>
                <w:p w14:paraId="7551FC8F">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p>
              </w:tc>
              <w:tc>
                <w:tcPr>
                  <w:tcW w:w="1690" w:type="dxa"/>
                  <w:vMerge w:val="continue"/>
                  <w:tcBorders>
                    <w:tl2br w:val="nil"/>
                    <w:tr2bl w:val="nil"/>
                  </w:tcBorders>
                  <w:noWrap w:val="0"/>
                  <w:vAlign w:val="center"/>
                </w:tcPr>
                <w:p w14:paraId="06023BC0">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p>
              </w:tc>
              <w:tc>
                <w:tcPr>
                  <w:tcW w:w="1392" w:type="dxa"/>
                  <w:tcBorders>
                    <w:tl2br w:val="nil"/>
                    <w:tr2bl w:val="nil"/>
                  </w:tcBorders>
                  <w:noWrap w:val="0"/>
                  <w:vAlign w:val="center"/>
                </w:tcPr>
                <w:p w14:paraId="14BDB4C2">
                  <w:pPr>
                    <w:pStyle w:val="65"/>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p w14:paraId="664D062F">
                  <w:pPr>
                    <w:pStyle w:val="65"/>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default"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w:t>
                  </w:r>
                </w:p>
              </w:tc>
              <w:tc>
                <w:tcPr>
                  <w:tcW w:w="1103" w:type="dxa"/>
                  <w:vMerge w:val="continue"/>
                  <w:tcBorders>
                    <w:tl2br w:val="nil"/>
                    <w:tr2bl w:val="nil"/>
                  </w:tcBorders>
                  <w:noWrap w:val="0"/>
                  <w:vAlign w:val="center"/>
                </w:tcPr>
                <w:p w14:paraId="76EAE770">
                  <w:pPr>
                    <w:pStyle w:val="65"/>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default" w:ascii="Times New Roman" w:hAnsi="Times New Roman" w:eastAsia="宋体" w:cs="Times New Roman"/>
                      <w:snapToGrid w:val="0"/>
                      <w:color w:val="auto"/>
                      <w:kern w:val="2"/>
                      <w:sz w:val="21"/>
                      <w:szCs w:val="21"/>
                      <w:lang w:val="en-US" w:eastAsia="zh-CN" w:bidi="ar-SA"/>
                    </w:rPr>
                  </w:pPr>
                </w:p>
              </w:tc>
              <w:tc>
                <w:tcPr>
                  <w:tcW w:w="2623" w:type="dxa"/>
                  <w:tcBorders>
                    <w:tl2br w:val="nil"/>
                    <w:tr2bl w:val="nil"/>
                  </w:tcBorders>
                  <w:noWrap w:val="0"/>
                  <w:vAlign w:val="center"/>
                </w:tcPr>
                <w:p w14:paraId="7CCC27BB">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《大气污染物综合排放标准》（</w:t>
                  </w:r>
                  <w:r>
                    <w:rPr>
                      <w:rFonts w:hint="default" w:eastAsia="宋体" w:cs="Times New Roman"/>
                      <w:color w:val="auto"/>
                      <w:sz w:val="21"/>
                      <w:szCs w:val="21"/>
                      <w:lang w:val="en-US" w:eastAsia="zh-CN"/>
                    </w:rPr>
                    <w:t>GB16297-1996</w:t>
                  </w:r>
                  <w:r>
                    <w:rPr>
                      <w:rFonts w:hint="eastAsia" w:eastAsia="宋体" w:cs="Times New Roman"/>
                      <w:color w:val="auto"/>
                      <w:sz w:val="21"/>
                      <w:szCs w:val="21"/>
                      <w:lang w:val="en-US" w:eastAsia="zh-CN"/>
                    </w:rPr>
                    <w:t>）</w:t>
                  </w:r>
                </w:p>
              </w:tc>
            </w:tr>
            <w:tr w14:paraId="27B114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Merge w:val="continue"/>
                  <w:tcBorders>
                    <w:tl2br w:val="nil"/>
                    <w:tr2bl w:val="nil"/>
                  </w:tcBorders>
                  <w:noWrap w:val="0"/>
                  <w:vAlign w:val="center"/>
                </w:tcPr>
                <w:p w14:paraId="3C664DEC">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p>
              </w:tc>
              <w:tc>
                <w:tcPr>
                  <w:tcW w:w="873" w:type="dxa"/>
                  <w:vMerge w:val="continue"/>
                  <w:tcBorders>
                    <w:tl2br w:val="nil"/>
                    <w:tr2bl w:val="nil"/>
                  </w:tcBorders>
                  <w:noWrap w:val="0"/>
                  <w:vAlign w:val="center"/>
                </w:tcPr>
                <w:p w14:paraId="19CD749B">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rPr>
                  </w:pPr>
                </w:p>
              </w:tc>
              <w:tc>
                <w:tcPr>
                  <w:tcW w:w="1690" w:type="dxa"/>
                  <w:tcBorders>
                    <w:tl2br w:val="nil"/>
                    <w:tr2bl w:val="nil"/>
                  </w:tcBorders>
                  <w:noWrap w:val="0"/>
                  <w:vAlign w:val="center"/>
                </w:tcPr>
                <w:p w14:paraId="379A07D1">
                  <w:pPr>
                    <w:pStyle w:val="6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实验楼外</w:t>
                  </w:r>
                </w:p>
              </w:tc>
              <w:tc>
                <w:tcPr>
                  <w:tcW w:w="1392" w:type="dxa"/>
                  <w:tcBorders>
                    <w:tl2br w:val="nil"/>
                    <w:tr2bl w:val="nil"/>
                  </w:tcBorders>
                  <w:noWrap w:val="0"/>
                  <w:vAlign w:val="center"/>
                </w:tcPr>
                <w:p w14:paraId="122BC74E">
                  <w:pPr>
                    <w:pStyle w:val="65"/>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eastAsia" w:ascii="Times New Roman" w:hAnsi="Times New Roman" w:eastAsia="宋体" w:cs="Times New Roman"/>
                      <w:snapToGrid w:val="0"/>
                      <w:color w:val="auto"/>
                      <w:kern w:val="2"/>
                      <w:sz w:val="21"/>
                      <w:szCs w:val="21"/>
                      <w:lang w:val="en-US" w:eastAsia="zh-CN" w:bidi="ar-SA"/>
                    </w:rPr>
                  </w:pPr>
                  <w:r>
                    <w:rPr>
                      <w:rFonts w:hint="eastAsia" w:eastAsia="宋体" w:cs="Times New Roman"/>
                      <w:color w:val="auto"/>
                      <w:sz w:val="21"/>
                      <w:szCs w:val="21"/>
                      <w:lang w:val="en-US" w:eastAsia="zh-CN"/>
                    </w:rPr>
                    <w:t>非甲烷总烃</w:t>
                  </w:r>
                </w:p>
              </w:tc>
              <w:tc>
                <w:tcPr>
                  <w:tcW w:w="1103" w:type="dxa"/>
                  <w:vMerge w:val="continue"/>
                  <w:tcBorders>
                    <w:tl2br w:val="nil"/>
                    <w:tr2bl w:val="nil"/>
                  </w:tcBorders>
                  <w:noWrap w:val="0"/>
                  <w:vAlign w:val="center"/>
                </w:tcPr>
                <w:p w14:paraId="7EAF68F1">
                  <w:pPr>
                    <w:pStyle w:val="65"/>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default" w:ascii="Times New Roman" w:hAnsi="Times New Roman" w:eastAsia="宋体" w:cs="Times New Roman"/>
                      <w:snapToGrid w:val="0"/>
                      <w:color w:val="auto"/>
                      <w:kern w:val="2"/>
                      <w:sz w:val="21"/>
                      <w:szCs w:val="21"/>
                      <w:lang w:val="en-US" w:eastAsia="zh-CN" w:bidi="ar-SA"/>
                    </w:rPr>
                  </w:pPr>
                </w:p>
              </w:tc>
              <w:tc>
                <w:tcPr>
                  <w:tcW w:w="2623" w:type="dxa"/>
                  <w:tcBorders>
                    <w:tl2br w:val="nil"/>
                    <w:tr2bl w:val="nil"/>
                  </w:tcBorders>
                  <w:noWrap w:val="0"/>
                  <w:vAlign w:val="center"/>
                </w:tcPr>
                <w:p w14:paraId="45515576">
                  <w:pPr>
                    <w:pStyle w:val="65"/>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eastAsia" w:ascii="Times New Roman" w:hAnsi="Times New Roman" w:eastAsia="宋体" w:cs="Times New Roman"/>
                      <w:snapToGrid w:val="0"/>
                      <w:color w:val="auto"/>
                      <w:kern w:val="2"/>
                      <w:sz w:val="21"/>
                      <w:szCs w:val="21"/>
                      <w:lang w:val="en-US" w:eastAsia="zh-CN" w:bidi="ar-SA"/>
                    </w:rPr>
                  </w:pPr>
                  <w:r>
                    <w:rPr>
                      <w:rFonts w:hint="eastAsia" w:eastAsia="宋体" w:cs="Times New Roman"/>
                      <w:color w:val="auto"/>
                      <w:sz w:val="21"/>
                      <w:szCs w:val="21"/>
                      <w:lang w:val="en-US" w:eastAsia="zh-CN"/>
                    </w:rPr>
                    <w:t>《挥发性有机物无组织排放控制标准》</w:t>
                  </w:r>
                  <w:r>
                    <w:rPr>
                      <w:rFonts w:hint="default" w:eastAsia="宋体" w:cs="Times New Roman"/>
                      <w:color w:val="auto"/>
                      <w:sz w:val="21"/>
                      <w:szCs w:val="21"/>
                      <w:lang w:val="en-US" w:eastAsia="zh-CN"/>
                    </w:rPr>
                    <w:t>(</w:t>
                  </w:r>
                  <w:r>
                    <w:rPr>
                      <w:rFonts w:hint="eastAsia" w:eastAsia="宋体" w:cs="Times New Roman"/>
                      <w:color w:val="auto"/>
                      <w:sz w:val="21"/>
                      <w:szCs w:val="21"/>
                      <w:lang w:val="en-US" w:eastAsia="zh-CN"/>
                    </w:rPr>
                    <w:t>GB37822</w:t>
                  </w:r>
                  <w:r>
                    <w:rPr>
                      <w:rFonts w:hint="default" w:eastAsia="宋体" w:cs="Times New Roman"/>
                      <w:color w:val="auto"/>
                      <w:sz w:val="21"/>
                      <w:szCs w:val="21"/>
                      <w:lang w:val="en-US" w:eastAsia="zh-CN"/>
                    </w:rPr>
                    <w:t>-2019)</w:t>
                  </w:r>
                </w:p>
              </w:tc>
            </w:tr>
          </w:tbl>
          <w:p w14:paraId="4784D24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二、废水</w:t>
            </w:r>
          </w:p>
          <w:p w14:paraId="00B54A8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eastAsia="宋体" w:cs="Times New Roman"/>
                <w:b/>
                <w:bCs/>
                <w:color w:val="auto"/>
                <w:sz w:val="24"/>
                <w:lang w:val="en-US" w:eastAsia="zh-CN"/>
              </w:rPr>
            </w:pPr>
            <w:r>
              <w:rPr>
                <w:rFonts w:hint="eastAsia" w:eastAsia="宋体" w:cs="Times New Roman"/>
                <w:b/>
                <w:bCs/>
                <w:color w:val="auto"/>
                <w:sz w:val="24"/>
                <w:lang w:val="en-US" w:eastAsia="zh-CN"/>
              </w:rPr>
              <w:t>1、废水产排情况</w:t>
            </w:r>
          </w:p>
          <w:p w14:paraId="602595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eastAsia="宋体" w:cs="Times New Roman"/>
                <w:color w:val="auto"/>
                <w:sz w:val="24"/>
                <w:lang w:val="en-US" w:eastAsia="zh-CN"/>
              </w:rPr>
              <w:t>本项目产生的废水主要为</w:t>
            </w:r>
            <w:bookmarkStart w:id="11" w:name="OLE_LINK9"/>
            <w:r>
              <w:rPr>
                <w:rFonts w:hint="eastAsia" w:ascii="Times New Roman" w:hAnsi="Times New Roman" w:eastAsia="宋体" w:cs="Times New Roman"/>
                <w:color w:val="auto"/>
                <w:sz w:val="24"/>
                <w:lang w:val="en-US" w:eastAsia="zh-CN"/>
              </w:rPr>
              <w:t>实验室药材洗润、浸泡、蒸煮废水，实验器皿清洗废水，设备清洗废水、纯水制备产生的浓水、实验台及地面清洗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水</w:t>
            </w:r>
            <w:bookmarkEnd w:id="11"/>
            <w:r>
              <w:rPr>
                <w:rFonts w:hint="eastAsia" w:eastAsia="宋体" w:cs="Times New Roman"/>
                <w:color w:val="auto"/>
                <w:sz w:val="24"/>
                <w:lang w:val="en-US" w:eastAsia="zh-CN"/>
              </w:rPr>
              <w:t>以及生活污水</w:t>
            </w:r>
            <w:r>
              <w:rPr>
                <w:rFonts w:hint="eastAsia" w:ascii="Times New Roman" w:hAnsi="Times New Roman" w:eastAsia="宋体" w:cs="Times New Roman"/>
                <w:color w:val="auto"/>
                <w:sz w:val="24"/>
                <w:lang w:val="en-US" w:eastAsia="zh-CN"/>
              </w:rPr>
              <w:t>。</w:t>
            </w:r>
          </w:p>
          <w:p w14:paraId="4E2E85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（1）生活污水</w:t>
            </w:r>
          </w:p>
          <w:p w14:paraId="6F0C7B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本项目全厂劳动定员</w:t>
            </w:r>
            <w:r>
              <w:rPr>
                <w:rFonts w:hint="eastAsia" w:cs="Times New Roman"/>
                <w:color w:val="auto"/>
                <w:sz w:val="24"/>
                <w:lang w:val="en-US" w:eastAsia="zh-CN"/>
              </w:rPr>
              <w:t>17</w:t>
            </w:r>
            <w:r>
              <w:rPr>
                <w:rFonts w:hint="default" w:ascii="Times New Roman" w:hAnsi="Times New Roman" w:eastAsia="宋体" w:cs="Times New Roman"/>
                <w:color w:val="auto"/>
                <w:sz w:val="24"/>
              </w:rPr>
              <w:t>人，</w:t>
            </w:r>
            <w:r>
              <w:rPr>
                <w:rFonts w:hint="default" w:ascii="Times New Roman" w:hAnsi="Times New Roman" w:cs="Times New Roman"/>
                <w:color w:val="auto"/>
                <w:sz w:val="24"/>
                <w:lang w:val="en-US" w:eastAsia="zh-CN"/>
              </w:rPr>
              <w:t>不</w:t>
            </w:r>
            <w:r>
              <w:rPr>
                <w:rFonts w:hint="default" w:ascii="Times New Roman" w:hAnsi="Times New Roman" w:eastAsia="宋体" w:cs="Times New Roman"/>
                <w:color w:val="auto"/>
                <w:sz w:val="24"/>
                <w:lang w:val="en-US" w:eastAsia="zh-CN"/>
              </w:rPr>
              <w:t>设置食</w:t>
            </w:r>
            <w:r>
              <w:rPr>
                <w:rFonts w:hint="default" w:ascii="Times New Roman" w:hAnsi="Times New Roman" w:cs="Times New Roman"/>
                <w:color w:val="auto"/>
                <w:sz w:val="24"/>
                <w:lang w:val="en-US" w:eastAsia="zh-CN"/>
              </w:rPr>
              <w:t>堂</w:t>
            </w:r>
            <w:r>
              <w:rPr>
                <w:rFonts w:hint="default" w:ascii="Times New Roman" w:hAnsi="Times New Roman" w:eastAsia="宋体" w:cs="Times New Roman"/>
                <w:color w:val="auto"/>
                <w:sz w:val="24"/>
                <w:lang w:val="en-US" w:eastAsia="zh-CN"/>
              </w:rPr>
              <w:t>，本项目</w:t>
            </w:r>
            <w:r>
              <w:rPr>
                <w:rFonts w:hint="default" w:ascii="Times New Roman" w:hAnsi="Times New Roman" w:eastAsia="宋体" w:cs="Times New Roman"/>
                <w:color w:val="auto"/>
                <w:sz w:val="24"/>
              </w:rPr>
              <w:t>生活污水</w:t>
            </w:r>
            <w:r>
              <w:rPr>
                <w:rFonts w:hint="default" w:ascii="Times New Roman" w:hAnsi="Times New Roman" w:eastAsia="宋体" w:cs="Times New Roman"/>
                <w:color w:val="auto"/>
                <w:sz w:val="24"/>
                <w:lang w:val="en-US" w:eastAsia="zh-CN"/>
              </w:rPr>
              <w:t>产生量</w:t>
            </w:r>
            <w:r>
              <w:rPr>
                <w:rFonts w:hint="default" w:ascii="Times New Roman" w:hAnsi="Times New Roman" w:eastAsia="宋体" w:cs="Times New Roman"/>
                <w:color w:val="auto"/>
                <w:sz w:val="24"/>
              </w:rPr>
              <w:t>为</w:t>
            </w:r>
            <w:r>
              <w:rPr>
                <w:rFonts w:hint="eastAsia" w:cs="Times New Roman"/>
                <w:color w:val="auto"/>
                <w:sz w:val="24"/>
                <w:lang w:val="en-US" w:eastAsia="zh-CN"/>
              </w:rPr>
              <w:t>0.34</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/d（</w:t>
            </w:r>
            <w:r>
              <w:rPr>
                <w:rFonts w:hint="eastAsia" w:cs="Times New Roman"/>
                <w:color w:val="auto"/>
                <w:sz w:val="24"/>
                <w:lang w:val="en-US" w:eastAsia="zh-CN"/>
              </w:rPr>
              <w:t>68</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生活污水经</w:t>
            </w:r>
            <w:r>
              <w:rPr>
                <w:rFonts w:hint="eastAsia" w:cs="Times New Roman"/>
                <w:color w:val="auto"/>
                <w:sz w:val="24"/>
                <w:lang w:val="en-US" w:eastAsia="zh-CN"/>
              </w:rPr>
              <w:t>小</w:t>
            </w:r>
            <w:r>
              <w:rPr>
                <w:rFonts w:hint="default" w:ascii="Times New Roman" w:hAnsi="Times New Roman" w:eastAsia="宋体" w:cs="Times New Roman"/>
                <w:color w:val="auto"/>
                <w:sz w:val="24"/>
                <w:lang w:val="en-US" w:eastAsia="zh-CN"/>
              </w:rPr>
              <w:t>区</w:t>
            </w:r>
            <w:r>
              <w:rPr>
                <w:rFonts w:hint="eastAsia" w:cs="Times New Roman"/>
                <w:color w:val="auto"/>
                <w:sz w:val="24"/>
                <w:lang w:val="en-US" w:eastAsia="zh-CN"/>
              </w:rPr>
              <w:t>现有</w:t>
            </w:r>
            <w:r>
              <w:rPr>
                <w:rFonts w:hint="default" w:ascii="Times New Roman" w:hAnsi="Times New Roman" w:eastAsia="宋体" w:cs="Times New Roman"/>
                <w:color w:val="auto"/>
                <w:sz w:val="24"/>
              </w:rPr>
              <w:t>化粪池处理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达到《污水综合排放标准》（GB8978-1996）中的三级标准</w:t>
            </w:r>
            <w:r>
              <w:rPr>
                <w:rFonts w:hint="default" w:ascii="Times New Roman" w:hAnsi="Times New Roman" w:eastAsia="宋体" w:cs="Times New Roman"/>
                <w:color w:val="auto"/>
                <w:sz w:val="24"/>
                <w:lang w:val="en-US" w:eastAsia="zh-CN"/>
              </w:rPr>
              <w:t>以及</w:t>
            </w:r>
            <w:r>
              <w:rPr>
                <w:rFonts w:hint="default" w:ascii="Times New Roman" w:hAnsi="Times New Roman" w:eastAsia="宋体" w:cs="Times New Roman"/>
                <w:color w:val="auto"/>
                <w:sz w:val="24"/>
              </w:rPr>
              <w:t>《污水排入城镇下水道水质标准》(GB/T31962-2015)中</w:t>
            </w:r>
            <w:r>
              <w:rPr>
                <w:rFonts w:hint="default" w:ascii="Times New Roman" w:hAnsi="Times New Roman" w:eastAsia="宋体" w:cs="Times New Roman"/>
                <w:color w:val="auto"/>
                <w:sz w:val="24"/>
                <w:lang w:val="en-US" w:eastAsia="zh-CN"/>
              </w:rPr>
              <w:t>B</w:t>
            </w:r>
            <w:r>
              <w:rPr>
                <w:rFonts w:hint="default" w:ascii="Times New Roman" w:hAnsi="Times New Roman" w:eastAsia="宋体" w:cs="Times New Roman"/>
                <w:color w:val="auto"/>
                <w:sz w:val="24"/>
              </w:rPr>
              <w:t>级标准</w:t>
            </w:r>
            <w:r>
              <w:rPr>
                <w:rFonts w:hint="default" w:ascii="Times New Roman" w:hAnsi="Times New Roman" w:eastAsia="宋体" w:cs="Times New Roman"/>
                <w:color w:val="auto"/>
                <w:sz w:val="24"/>
                <w:lang w:val="en-US" w:eastAsia="zh-CN"/>
              </w:rPr>
              <w:t>后</w:t>
            </w:r>
            <w:r>
              <w:rPr>
                <w:rFonts w:hint="default" w:ascii="Times New Roman" w:hAnsi="Times New Roman" w:eastAsia="宋体" w:cs="Times New Roman"/>
                <w:color w:val="auto"/>
                <w:sz w:val="24"/>
              </w:rPr>
              <w:t>经</w:t>
            </w:r>
            <w:r>
              <w:rPr>
                <w:rFonts w:hint="default" w:ascii="Times New Roman" w:hAnsi="Times New Roman" w:eastAsia="宋体" w:cs="Times New Roman"/>
                <w:color w:val="auto"/>
                <w:sz w:val="24"/>
                <w:lang w:val="en-US" w:eastAsia="zh-CN"/>
              </w:rPr>
              <w:t>市政</w:t>
            </w:r>
            <w:r>
              <w:rPr>
                <w:rFonts w:hint="default" w:ascii="Times New Roman" w:hAnsi="Times New Roman" w:eastAsia="宋体" w:cs="Times New Roman"/>
                <w:color w:val="auto"/>
                <w:sz w:val="24"/>
              </w:rPr>
              <w:t>污水管网排至</w:t>
            </w:r>
            <w:r>
              <w:rPr>
                <w:rFonts w:hint="eastAsia" w:cs="Times New Roman"/>
                <w:color w:val="auto"/>
                <w:kern w:val="0"/>
                <w:sz w:val="24"/>
                <w:lang w:val="en-US" w:eastAsia="zh-CN"/>
              </w:rPr>
              <w:t>沣西新城沣河</w:t>
            </w:r>
            <w:r>
              <w:rPr>
                <w:rFonts w:hint="default" w:ascii="Times New Roman" w:hAnsi="Times New Roman" w:cs="Times New Roman"/>
                <w:color w:val="auto"/>
                <w:kern w:val="0"/>
                <w:sz w:val="24"/>
                <w:lang w:val="en-US" w:eastAsia="zh-CN"/>
              </w:rPr>
              <w:t>污水处理厂</w:t>
            </w:r>
            <w:r>
              <w:rPr>
                <w:rFonts w:hint="default" w:ascii="Times New Roman" w:hAnsi="Times New Roman" w:eastAsia="宋体" w:cs="Times New Roman"/>
                <w:color w:val="auto"/>
                <w:sz w:val="24"/>
              </w:rPr>
              <w:t>，年废水排放量为</w:t>
            </w:r>
            <w:r>
              <w:rPr>
                <w:rFonts w:hint="eastAsia" w:cs="Times New Roman"/>
                <w:color w:val="auto"/>
                <w:sz w:val="24"/>
                <w:lang w:val="en-US" w:eastAsia="zh-CN"/>
              </w:rPr>
              <w:t>68</w:t>
            </w:r>
            <w:r>
              <w:rPr>
                <w:rFonts w:hint="default" w:ascii="Times New Roman" w:hAnsi="Times New Roman" w:eastAsia="宋体" w:cs="Times New Roman"/>
                <w:color w:val="auto"/>
                <w:sz w:val="24"/>
                <w:lang w:val="en-US" w:eastAsia="zh-CN"/>
              </w:rPr>
              <w:t>t</w:t>
            </w:r>
            <w:r>
              <w:rPr>
                <w:rFonts w:hint="default" w:ascii="Times New Roman" w:hAnsi="Times New Roman" w:eastAsia="宋体" w:cs="Times New Roman"/>
                <w:color w:val="auto"/>
                <w:sz w:val="24"/>
              </w:rPr>
              <w:t>/a。本项目废水中污染物排放浓度及污染物排放量见表</w:t>
            </w:r>
            <w:r>
              <w:rPr>
                <w:rFonts w:hint="default" w:ascii="Times New Roman" w:hAnsi="Times New Roman" w:eastAsia="宋体" w:cs="Times New Roman"/>
                <w:color w:val="auto"/>
                <w:sz w:val="24"/>
                <w:lang w:val="en-US" w:eastAsia="zh-CN"/>
              </w:rPr>
              <w:t>4-</w:t>
            </w:r>
            <w:r>
              <w:rPr>
                <w:rFonts w:hint="eastAsia" w:cs="Times New Roman"/>
                <w:color w:val="auto"/>
                <w:sz w:val="24"/>
                <w:lang w:val="en-US" w:eastAsia="zh-CN"/>
              </w:rPr>
              <w:t>6</w:t>
            </w:r>
            <w:r>
              <w:rPr>
                <w:rFonts w:hint="default" w:ascii="Times New Roman" w:hAnsi="Times New Roman" w:eastAsia="宋体" w:cs="Times New Roman"/>
                <w:color w:val="auto"/>
                <w:sz w:val="24"/>
              </w:rPr>
              <w:t>。</w:t>
            </w:r>
          </w:p>
          <w:p w14:paraId="1D0CA27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lang w:val="en-US" w:eastAsia="zh-CN"/>
              </w:rPr>
              <w:t>2</w:t>
            </w:r>
            <w:r>
              <w:rPr>
                <w:rFonts w:hint="default" w:ascii="Times New Roman" w:hAnsi="Times New Roman" w:cs="Times New Roman"/>
                <w:color w:val="auto"/>
                <w:kern w:val="0"/>
                <w:sz w:val="24"/>
                <w:lang w:eastAsia="zh-CN"/>
              </w:rPr>
              <w:t>）</w:t>
            </w:r>
            <w:r>
              <w:rPr>
                <w:rFonts w:hint="eastAsia" w:cs="Times New Roman"/>
                <w:color w:val="auto"/>
                <w:kern w:val="0"/>
                <w:sz w:val="24"/>
                <w:lang w:val="en-US" w:eastAsia="zh-CN"/>
              </w:rPr>
              <w:t>实验</w:t>
            </w:r>
            <w:r>
              <w:rPr>
                <w:rFonts w:hint="default" w:ascii="Times New Roman" w:hAnsi="Times New Roman" w:cs="Times New Roman"/>
                <w:color w:val="auto"/>
                <w:kern w:val="0"/>
                <w:sz w:val="24"/>
                <w:lang w:val="en-US" w:eastAsia="zh-CN"/>
              </w:rPr>
              <w:t>废水</w:t>
            </w:r>
          </w:p>
          <w:p w14:paraId="11E875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宋体" w:hAnsi="宋体" w:eastAsia="宋体" w:cs="宋体"/>
                <w:color w:val="auto"/>
                <w:kern w:val="0"/>
                <w:sz w:val="24"/>
                <w:szCs w:val="24"/>
                <w:lang w:val="en-US" w:eastAsia="zh-CN" w:bidi="ar"/>
              </w:rPr>
              <w:t>本</w:t>
            </w:r>
            <w:r>
              <w:rPr>
                <w:rFonts w:hint="eastAsia" w:ascii="Times New Roman" w:hAnsi="Times New Roman" w:eastAsia="宋体" w:cs="Times New Roman"/>
                <w:color w:val="auto"/>
                <w:sz w:val="24"/>
                <w:lang w:val="en-US" w:eastAsia="zh-CN"/>
              </w:rPr>
              <w:t>项目检测试剂中不含砷镉铬等重金属物质，故实验室废水中不含重金属类污染物，项目检验实验残液全部作为危废处理，且器皿清洗头道废水作为危废处理，清洗废水中剩余试剂量大约不足</w:t>
            </w:r>
            <w:r>
              <w:rPr>
                <w:rFonts w:hint="default" w:ascii="Times New Roman" w:hAnsi="Times New Roman" w:eastAsia="宋体" w:cs="Times New Roman"/>
                <w:color w:val="auto"/>
                <w:sz w:val="24"/>
                <w:lang w:val="en-US" w:eastAsia="zh-CN"/>
              </w:rPr>
              <w:t>0.1</w:t>
            </w:r>
            <w:r>
              <w:rPr>
                <w:rFonts w:hint="eastAsia" w:ascii="Times New Roman" w:hAnsi="Times New Roman" w:eastAsia="宋体" w:cs="Times New Roman"/>
                <w:color w:val="auto"/>
                <w:sz w:val="24"/>
                <w:lang w:val="en-US" w:eastAsia="zh-CN"/>
              </w:rPr>
              <w:t>‰。</w:t>
            </w:r>
          </w:p>
          <w:p w14:paraId="17580B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ascii="Times New Roman" w:hAnsi="Times New Roman" w:eastAsia="宋体" w:cs="Times New Roman"/>
                <w:color w:val="auto"/>
                <w:sz w:val="24"/>
                <w:lang w:val="en-US" w:eastAsia="zh-CN"/>
              </w:rPr>
              <w:t>项目实验室废水主要为药材洗润、浸泡、蒸煮废水，实验器皿清洗废水，设备清洗废水、纯水制备产生的浓水、实验台及地面清洗用水。</w:t>
            </w:r>
            <w:r>
              <w:rPr>
                <w:rFonts w:hint="eastAsia" w:cs="Times New Roman"/>
                <w:color w:val="auto"/>
                <w:sz w:val="24"/>
                <w:lang w:val="en-US" w:eastAsia="zh-CN"/>
              </w:rPr>
              <w:t>根据水平衡计算，项目药</w:t>
            </w:r>
            <w:r>
              <w:rPr>
                <w:rFonts w:hint="eastAsia" w:ascii="宋体" w:hAnsi="宋体" w:eastAsia="宋体" w:cs="宋体"/>
                <w:color w:val="auto"/>
                <w:kern w:val="0"/>
                <w:sz w:val="24"/>
                <w:szCs w:val="24"/>
                <w:lang w:val="en-US" w:eastAsia="zh-CN" w:bidi="ar"/>
              </w:rPr>
              <w:t>材</w:t>
            </w:r>
            <w:r>
              <w:rPr>
                <w:rFonts w:hint="eastAsia" w:cs="Times New Roman"/>
                <w:color w:val="auto"/>
                <w:kern w:val="0"/>
                <w:sz w:val="24"/>
                <w:lang w:val="en-US" w:eastAsia="zh-CN"/>
              </w:rPr>
              <w:t>洗润、浸泡、</w:t>
            </w:r>
            <w:r>
              <w:rPr>
                <w:rFonts w:hint="eastAsia" w:ascii="Times New Roman" w:hAnsi="Times New Roman" w:cs="Times New Roman"/>
                <w:color w:val="auto"/>
                <w:kern w:val="0"/>
                <w:sz w:val="24"/>
                <w:lang w:val="en-US" w:eastAsia="zh-CN"/>
              </w:rPr>
              <w:t>蒸煮</w:t>
            </w:r>
            <w:r>
              <w:rPr>
                <w:rFonts w:hint="eastAsia" w:ascii="Times New Roman" w:hAnsi="Times New Roman" w:eastAsia="宋体" w:cs="Times New Roman"/>
                <w:color w:val="auto"/>
                <w:sz w:val="24"/>
                <w:lang w:val="en-US" w:eastAsia="zh-CN"/>
              </w:rPr>
              <w:t>废水</w:t>
            </w:r>
            <w:r>
              <w:rPr>
                <w:rFonts w:hint="eastAsia" w:cs="Times New Roman"/>
                <w:color w:val="auto"/>
                <w:kern w:val="0"/>
                <w:sz w:val="24"/>
                <w:lang w:val="en-US" w:eastAsia="zh-CN"/>
              </w:rPr>
              <w:t>产生量约1.95t</w:t>
            </w:r>
            <w:r>
              <w:rPr>
                <w:rFonts w:hint="default" w:ascii="Times New Roman" w:hAnsi="Times New Roman" w:cs="Times New Roman"/>
                <w:color w:val="auto"/>
                <w:kern w:val="0"/>
                <w:sz w:val="24"/>
                <w:lang w:val="en-US" w:eastAsia="zh-CN"/>
              </w:rPr>
              <w:t>/a</w:t>
            </w:r>
            <w:r>
              <w:rPr>
                <w:rFonts w:hint="eastAsia" w:cs="Times New Roman"/>
                <w:color w:val="auto"/>
                <w:kern w:val="0"/>
                <w:sz w:val="24"/>
                <w:lang w:val="en-US" w:eastAsia="zh-CN"/>
              </w:rPr>
              <w:t>，</w:t>
            </w:r>
            <w:r>
              <w:rPr>
                <w:rFonts w:hint="eastAsia" w:ascii="宋体" w:hAnsi="宋体" w:eastAsia="宋体" w:cs="宋体"/>
                <w:color w:val="auto"/>
                <w:kern w:val="0"/>
                <w:sz w:val="24"/>
                <w:szCs w:val="24"/>
                <w:lang w:val="en-US" w:eastAsia="zh-CN" w:bidi="ar"/>
              </w:rPr>
              <w:t>器皿清洗废水产生量约</w:t>
            </w:r>
            <w:r>
              <w:rPr>
                <w:rFonts w:hint="eastAsia" w:ascii="Times New Roman" w:hAnsi="Times New Roman" w:eastAsia="宋体" w:cs="Times New Roman"/>
                <w:color w:val="auto"/>
                <w:kern w:val="0"/>
                <w:sz w:val="24"/>
                <w:szCs w:val="24"/>
                <w:lang w:val="en-US" w:eastAsia="zh-CN" w:bidi="ar"/>
              </w:rPr>
              <w:t>1.8</w:t>
            </w:r>
            <w:r>
              <w:rPr>
                <w:rFonts w:hint="eastAsia" w:cs="Times New Roman"/>
                <w:color w:val="auto"/>
                <w:kern w:val="0"/>
                <w:sz w:val="24"/>
                <w:lang w:val="en-US" w:eastAsia="zh-CN"/>
              </w:rPr>
              <w:t>t</w:t>
            </w:r>
            <w:r>
              <w:rPr>
                <w:rFonts w:hint="eastAsia" w:ascii="Times New Roman" w:hAnsi="Times New Roman" w:cs="Times New Roman"/>
                <w:color w:val="auto"/>
                <w:kern w:val="0"/>
                <w:sz w:val="24"/>
                <w:lang w:val="en-US" w:eastAsia="zh-CN"/>
              </w:rPr>
              <w:t>/a</w:t>
            </w:r>
            <w:r>
              <w:rPr>
                <w:rFonts w:hint="eastAsia" w:cs="Times New Roman"/>
                <w:color w:val="auto"/>
                <w:kern w:val="0"/>
                <w:sz w:val="24"/>
                <w:lang w:val="en-US" w:eastAsia="zh-CN"/>
              </w:rPr>
              <w:t>，</w:t>
            </w:r>
            <w:r>
              <w:rPr>
                <w:rFonts w:hint="eastAsia" w:ascii="宋体" w:hAnsi="宋体" w:eastAsia="宋体" w:cs="宋体"/>
                <w:color w:val="auto"/>
                <w:kern w:val="0"/>
                <w:sz w:val="24"/>
                <w:szCs w:val="24"/>
                <w:lang w:val="en-US" w:eastAsia="zh-CN" w:bidi="ar"/>
              </w:rPr>
              <w:t>设备清洗用水产</w:t>
            </w:r>
            <w:r>
              <w:rPr>
                <w:rFonts w:hint="eastAsia" w:ascii="Times New Roman" w:hAnsi="Times New Roman" w:eastAsia="宋体" w:cs="Times New Roman"/>
                <w:color w:val="auto"/>
                <w:kern w:val="0"/>
                <w:sz w:val="24"/>
                <w:szCs w:val="24"/>
                <w:lang w:val="en-US" w:eastAsia="zh-CN" w:bidi="ar"/>
              </w:rPr>
              <w:t>生量约为0.36</w:t>
            </w:r>
            <w:r>
              <w:rPr>
                <w:rFonts w:hint="eastAsia" w:cs="Times New Roman"/>
                <w:color w:val="auto"/>
                <w:kern w:val="0"/>
                <w:sz w:val="24"/>
                <w:lang w:val="en-US" w:eastAsia="zh-CN"/>
              </w:rPr>
              <w:t>t</w:t>
            </w:r>
            <w:r>
              <w:rPr>
                <w:rFonts w:hint="eastAsia" w:ascii="Times New Roman" w:hAnsi="Times New Roman" w:eastAsia="宋体" w:cs="Times New Roman"/>
                <w:color w:val="auto"/>
                <w:kern w:val="0"/>
                <w:sz w:val="24"/>
                <w:szCs w:val="24"/>
                <w:lang w:val="en-US" w:eastAsia="zh-CN" w:bidi="ar"/>
              </w:rPr>
              <w:t>/a；浓水产生量为1.29</w:t>
            </w:r>
            <w:r>
              <w:rPr>
                <w:rFonts w:hint="eastAsia" w:cs="Times New Roman"/>
                <w:color w:val="auto"/>
                <w:kern w:val="0"/>
                <w:sz w:val="24"/>
                <w:lang w:val="en-US" w:eastAsia="zh-CN"/>
              </w:rPr>
              <w:t>t</w:t>
            </w:r>
            <w:r>
              <w:rPr>
                <w:rFonts w:hint="eastAsia" w:ascii="Times New Roman" w:hAnsi="Times New Roman" w:eastAsia="宋体" w:cs="Times New Roman"/>
                <w:color w:val="auto"/>
                <w:kern w:val="0"/>
                <w:sz w:val="24"/>
                <w:szCs w:val="24"/>
                <w:lang w:val="en-US" w:eastAsia="zh-CN" w:bidi="ar"/>
              </w:rPr>
              <w:t>/a，实验台及地面清洗用水36</w:t>
            </w:r>
            <w:r>
              <w:rPr>
                <w:rFonts w:hint="eastAsia" w:cs="Times New Roman"/>
                <w:color w:val="auto"/>
                <w:kern w:val="0"/>
                <w:sz w:val="24"/>
                <w:lang w:val="en-US" w:eastAsia="zh-CN"/>
              </w:rPr>
              <w:t>t</w:t>
            </w:r>
            <w:r>
              <w:rPr>
                <w:rFonts w:hint="eastAsia" w:ascii="Times New Roman" w:hAnsi="Times New Roman" w:eastAsia="宋体" w:cs="Times New Roman"/>
                <w:color w:val="auto"/>
                <w:kern w:val="0"/>
                <w:sz w:val="24"/>
                <w:szCs w:val="24"/>
                <w:lang w:val="en-US" w:eastAsia="zh-CN" w:bidi="ar"/>
              </w:rPr>
              <w:t>/a</w:t>
            </w:r>
            <w:r>
              <w:rPr>
                <w:rFonts w:hint="eastAsia"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lang w:val="en-US" w:eastAsia="zh-CN"/>
              </w:rPr>
              <w:t>合计产生量</w:t>
            </w:r>
            <w:r>
              <w:rPr>
                <w:rFonts w:hint="eastAsia" w:cs="Times New Roman"/>
                <w:color w:val="auto"/>
                <w:sz w:val="24"/>
                <w:lang w:val="en-US" w:eastAsia="zh-CN"/>
              </w:rPr>
              <w:t>41.4t</w:t>
            </w:r>
            <w:r>
              <w:rPr>
                <w:rFonts w:hint="eastAsia" w:ascii="Times New Roman" w:hAnsi="Times New Roman" w:eastAsia="宋体" w:cs="Times New Roman"/>
                <w:color w:val="auto"/>
                <w:kern w:val="0"/>
                <w:sz w:val="24"/>
                <w:lang w:val="en-US" w:eastAsia="zh-CN"/>
              </w:rPr>
              <w:t>/a</w:t>
            </w:r>
            <w:r>
              <w:rPr>
                <w:rFonts w:hint="eastAsia" w:eastAsia="宋体" w:cs="Times New Roman"/>
                <w:color w:val="auto"/>
                <w:kern w:val="0"/>
                <w:sz w:val="24"/>
                <w:lang w:val="en-US" w:eastAsia="zh-CN"/>
              </w:rPr>
              <w:t>。</w:t>
            </w:r>
            <w:r>
              <w:rPr>
                <w:rFonts w:hint="eastAsia" w:ascii="宋体" w:hAnsi="宋体" w:eastAsia="宋体" w:cs="宋体"/>
                <w:color w:val="auto"/>
                <w:kern w:val="0"/>
                <w:sz w:val="24"/>
                <w:szCs w:val="24"/>
                <w:lang w:val="en-US" w:eastAsia="zh-CN" w:bidi="ar"/>
              </w:rPr>
              <w:t>该类废水含有少量酸、碱及其他无机离子等，主要污染物及产生浓度约为</w:t>
            </w:r>
            <w:r>
              <w:rPr>
                <w:rFonts w:hint="default" w:ascii="Times New Roman" w:hAnsi="Times New Roman" w:eastAsia="宋体" w:cs="Times New Roman"/>
                <w:color w:val="auto"/>
                <w:kern w:val="0"/>
                <w:sz w:val="24"/>
                <w:szCs w:val="24"/>
                <w:lang w:val="en-US" w:eastAsia="zh-CN" w:bidi="ar"/>
              </w:rPr>
              <w:t>COD</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400mg/L</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BOD</w:t>
            </w:r>
            <w:r>
              <w:rPr>
                <w:rFonts w:hint="default" w:ascii="Times New Roman" w:hAnsi="Times New Roman" w:eastAsia="宋体" w:cs="Times New Roman"/>
                <w:color w:val="auto"/>
                <w:kern w:val="0"/>
                <w:sz w:val="15"/>
                <w:szCs w:val="15"/>
                <w:lang w:val="en-US" w:eastAsia="zh-CN" w:bidi="ar"/>
              </w:rPr>
              <w:t>5</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300mg/L</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NH</w:t>
            </w:r>
            <w:r>
              <w:rPr>
                <w:rFonts w:hint="default" w:ascii="Times New Roman" w:hAnsi="Times New Roman" w:eastAsia="宋体" w:cs="Times New Roman"/>
                <w:color w:val="auto"/>
                <w:kern w:val="0"/>
                <w:sz w:val="15"/>
                <w:szCs w:val="15"/>
                <w:lang w:val="en-US" w:eastAsia="zh-CN" w:bidi="ar"/>
              </w:rPr>
              <w:t>3</w:t>
            </w:r>
            <w:r>
              <w:rPr>
                <w:rFonts w:hint="default" w:ascii="Times New Roman" w:hAnsi="Times New Roman" w:eastAsia="宋体" w:cs="Times New Roman"/>
                <w:color w:val="auto"/>
                <w:kern w:val="0"/>
                <w:sz w:val="24"/>
                <w:szCs w:val="24"/>
                <w:lang w:val="en-US" w:eastAsia="zh-CN" w:bidi="ar"/>
              </w:rPr>
              <w:t>-N</w:t>
            </w:r>
            <w:r>
              <w:rPr>
                <w:rFonts w:hint="eastAsia" w:ascii="宋体" w:hAnsi="宋体" w:eastAsia="宋体" w:cs="宋体"/>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30</w:t>
            </w:r>
            <w:r>
              <w:rPr>
                <w:rFonts w:hint="default" w:ascii="Times New Roman" w:hAnsi="Times New Roman" w:eastAsia="宋体" w:cs="Times New Roman"/>
                <w:color w:val="auto"/>
                <w:kern w:val="0"/>
                <w:sz w:val="24"/>
                <w:szCs w:val="24"/>
                <w:lang w:val="en-US" w:eastAsia="zh-CN" w:bidi="ar"/>
              </w:rPr>
              <w:t>mg/L</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SS</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350mg/L</w:t>
            </w:r>
            <w:r>
              <w:rPr>
                <w:rFonts w:hint="eastAsia" w:ascii="宋体" w:hAnsi="宋体" w:eastAsia="宋体" w:cs="宋体"/>
                <w:color w:val="auto"/>
                <w:kern w:val="0"/>
                <w:sz w:val="24"/>
                <w:szCs w:val="24"/>
                <w:lang w:val="en-US" w:eastAsia="zh-CN" w:bidi="ar"/>
              </w:rPr>
              <w:t>。</w:t>
            </w:r>
          </w:p>
          <w:p w14:paraId="50A743E3">
            <w:pPr>
              <w:pStyle w:val="101"/>
              <w:keepNext w:val="0"/>
              <w:keepLines w:val="0"/>
              <w:suppressLineNumbers w:val="0"/>
              <w:spacing w:before="0" w:beforeLines="0" w:beforeAutospacing="0" w:after="0" w:afterAutospacing="0"/>
              <w:ind w:left="0" w:right="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表</w:t>
            </w:r>
            <w:r>
              <w:rPr>
                <w:rFonts w:hint="eastAsia" w:ascii="Times New Roman" w:hAnsi="Times New Roman" w:eastAsia="宋体" w:cs="Times New Roman"/>
                <w:b/>
                <w:color w:val="auto"/>
                <w:sz w:val="21"/>
                <w:szCs w:val="21"/>
                <w:lang w:val="en-US" w:eastAsia="zh-CN"/>
              </w:rPr>
              <w:t>4-6</w:t>
            </w:r>
            <w:r>
              <w:rPr>
                <w:rFonts w:hint="eastAsia" w:cs="Times New Roman"/>
                <w:b/>
                <w:color w:val="auto"/>
                <w:sz w:val="21"/>
                <w:szCs w:val="21"/>
                <w:lang w:val="en-US" w:eastAsia="zh-CN"/>
              </w:rPr>
              <w:t xml:space="preserve">  </w:t>
            </w:r>
            <w:r>
              <w:rPr>
                <w:rFonts w:hint="default" w:ascii="Times New Roman" w:hAnsi="Times New Roman" w:eastAsia="宋体" w:cs="Times New Roman"/>
                <w:b/>
                <w:color w:val="auto"/>
                <w:sz w:val="21"/>
                <w:szCs w:val="21"/>
              </w:rPr>
              <w:t>项目废水产排情况一览表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48"/>
              <w:gridCol w:w="1675"/>
              <w:gridCol w:w="1120"/>
              <w:gridCol w:w="171"/>
              <w:gridCol w:w="2"/>
              <w:gridCol w:w="953"/>
              <w:gridCol w:w="336"/>
              <w:gridCol w:w="3"/>
              <w:gridCol w:w="1011"/>
              <w:gridCol w:w="277"/>
              <w:gridCol w:w="5"/>
              <w:gridCol w:w="1299"/>
            </w:tblGrid>
            <w:tr w14:paraId="3E0420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6C2D4A4A">
                  <w:pPr>
                    <w:jc w:val="center"/>
                    <w:rPr>
                      <w:rFonts w:hint="default" w:ascii="Times New Roman" w:hAnsi="Times New Roman" w:cs="Times New Roman"/>
                      <w:color w:val="auto"/>
                      <w:szCs w:val="21"/>
                    </w:rPr>
                  </w:pPr>
                  <w:r>
                    <w:rPr>
                      <w:rFonts w:hint="default" w:ascii="Times New Roman" w:hAnsi="Times New Roman" w:cs="Times New Roman"/>
                      <w:color w:val="auto"/>
                      <w:szCs w:val="21"/>
                    </w:rPr>
                    <w:t>产污环节</w:t>
                  </w:r>
                </w:p>
              </w:tc>
              <w:tc>
                <w:tcPr>
                  <w:tcW w:w="3124" w:type="pct"/>
                  <w:gridSpan w:val="10"/>
                  <w:tcBorders>
                    <w:tl2br w:val="nil"/>
                    <w:tr2bl w:val="nil"/>
                  </w:tcBorders>
                  <w:noWrap w:val="0"/>
                  <w:vAlign w:val="center"/>
                </w:tcPr>
                <w:p w14:paraId="53B174A0">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生活、办公、纯水制备、实验过程</w:t>
                  </w:r>
                </w:p>
              </w:tc>
            </w:tr>
            <w:tr w14:paraId="5618C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7844C442">
                  <w:pPr>
                    <w:jc w:val="center"/>
                    <w:rPr>
                      <w:rFonts w:hint="default" w:ascii="Times New Roman" w:hAnsi="Times New Roman" w:cs="Times New Roman"/>
                      <w:color w:val="auto"/>
                      <w:szCs w:val="21"/>
                    </w:rPr>
                  </w:pPr>
                  <w:r>
                    <w:rPr>
                      <w:rFonts w:hint="default" w:ascii="Times New Roman" w:hAnsi="Times New Roman" w:cs="Times New Roman"/>
                      <w:color w:val="auto"/>
                      <w:szCs w:val="21"/>
                    </w:rPr>
                    <w:t>类别</w:t>
                  </w:r>
                </w:p>
              </w:tc>
              <w:tc>
                <w:tcPr>
                  <w:tcW w:w="3124" w:type="pct"/>
                  <w:gridSpan w:val="10"/>
                  <w:tcBorders>
                    <w:tl2br w:val="nil"/>
                    <w:tr2bl w:val="nil"/>
                  </w:tcBorders>
                  <w:noWrap w:val="0"/>
                  <w:vAlign w:val="center"/>
                </w:tcPr>
                <w:p w14:paraId="117B6265">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生活污水和纯水机浓水</w:t>
                  </w:r>
                  <w:r>
                    <w:rPr>
                      <w:rFonts w:hint="eastAsia" w:cs="Times New Roman"/>
                      <w:color w:val="auto"/>
                      <w:szCs w:val="21"/>
                      <w:lang w:eastAsia="zh-CN"/>
                    </w:rPr>
                    <w:t>，</w:t>
                  </w:r>
                  <w:r>
                    <w:rPr>
                      <w:rFonts w:hint="default" w:ascii="Times New Roman" w:hAnsi="Times New Roman" w:cs="Times New Roman"/>
                      <w:color w:val="auto"/>
                      <w:szCs w:val="21"/>
                    </w:rPr>
                    <w:t>实验器皿</w:t>
                  </w:r>
                  <w:r>
                    <w:rPr>
                      <w:rFonts w:hint="default" w:ascii="Times New Roman" w:hAnsi="Times New Roman" w:cs="Times New Roman"/>
                      <w:color w:val="auto"/>
                      <w:szCs w:val="21"/>
                      <w:lang w:val="en-US" w:eastAsia="zh-CN"/>
                    </w:rPr>
                    <w:t>后续</w:t>
                  </w:r>
                  <w:r>
                    <w:rPr>
                      <w:rFonts w:hint="default" w:ascii="Times New Roman" w:hAnsi="Times New Roman" w:cs="Times New Roman"/>
                      <w:color w:val="auto"/>
                      <w:szCs w:val="21"/>
                    </w:rPr>
                    <w:t>清洗废水</w:t>
                  </w:r>
                  <w:r>
                    <w:rPr>
                      <w:rFonts w:hint="eastAsia" w:cs="Times New Roman"/>
                      <w:color w:val="auto"/>
                      <w:szCs w:val="21"/>
                      <w:lang w:eastAsia="zh-CN"/>
                    </w:rPr>
                    <w:t>，</w:t>
                  </w:r>
                  <w:r>
                    <w:rPr>
                      <w:rFonts w:hint="eastAsia" w:cs="Times New Roman"/>
                      <w:color w:val="auto"/>
                      <w:szCs w:val="21"/>
                      <w:lang w:val="en-US" w:eastAsia="zh-CN"/>
                    </w:rPr>
                    <w:t>实验台及地面清洗废水，</w:t>
                  </w:r>
                  <w:r>
                    <w:rPr>
                      <w:rFonts w:hint="eastAsia" w:ascii="Times New Roman" w:hAnsi="Times New Roman" w:eastAsia="宋体" w:cs="Times New Roman"/>
                      <w:color w:val="auto"/>
                      <w:szCs w:val="21"/>
                      <w:lang w:val="en-US" w:eastAsia="zh-CN"/>
                    </w:rPr>
                    <w:t>药材洗润</w:t>
                  </w:r>
                  <w:r>
                    <w:rPr>
                      <w:rFonts w:hint="eastAsia"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浸泡</w:t>
                  </w:r>
                  <w:r>
                    <w:rPr>
                      <w:rFonts w:hint="eastAsia"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蒸煮废水</w:t>
                  </w:r>
                </w:p>
              </w:tc>
            </w:tr>
            <w:tr w14:paraId="027D01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restart"/>
                  <w:tcBorders>
                    <w:tl2br w:val="nil"/>
                    <w:tr2bl w:val="nil"/>
                  </w:tcBorders>
                  <w:noWrap w:val="0"/>
                  <w:vAlign w:val="center"/>
                </w:tcPr>
                <w:p w14:paraId="7E983C6A">
                  <w:pPr>
                    <w:jc w:val="center"/>
                    <w:rPr>
                      <w:rFonts w:hint="default" w:ascii="Times New Roman" w:hAnsi="Times New Roman" w:cs="Times New Roman"/>
                      <w:i/>
                      <w:iCs/>
                      <w:color w:val="auto"/>
                      <w:szCs w:val="21"/>
                    </w:rPr>
                  </w:pPr>
                  <w:r>
                    <w:rPr>
                      <w:rFonts w:hint="default" w:ascii="Times New Roman" w:hAnsi="Times New Roman" w:cs="Times New Roman"/>
                      <w:color w:val="auto"/>
                      <w:szCs w:val="21"/>
                    </w:rPr>
                    <w:t>实验器皿</w:t>
                  </w:r>
                  <w:r>
                    <w:rPr>
                      <w:rFonts w:hint="default" w:ascii="Times New Roman" w:hAnsi="Times New Roman" w:cs="Times New Roman"/>
                      <w:color w:val="auto"/>
                      <w:szCs w:val="21"/>
                      <w:lang w:val="en-US" w:eastAsia="zh-CN"/>
                    </w:rPr>
                    <w:t>后续</w:t>
                  </w:r>
                  <w:r>
                    <w:rPr>
                      <w:rFonts w:hint="default" w:ascii="Times New Roman" w:hAnsi="Times New Roman" w:cs="Times New Roman"/>
                      <w:color w:val="auto"/>
                      <w:szCs w:val="21"/>
                    </w:rPr>
                    <w:t>清洗废水</w:t>
                  </w:r>
                  <w:r>
                    <w:rPr>
                      <w:rFonts w:hint="eastAsia" w:cs="Times New Roman"/>
                      <w:color w:val="auto"/>
                      <w:szCs w:val="21"/>
                      <w:lang w:eastAsia="zh-CN"/>
                    </w:rPr>
                    <w:t>，</w:t>
                  </w:r>
                  <w:r>
                    <w:rPr>
                      <w:rFonts w:hint="eastAsia" w:cs="Times New Roman"/>
                      <w:color w:val="auto"/>
                      <w:szCs w:val="21"/>
                      <w:lang w:val="en-US" w:eastAsia="zh-CN"/>
                    </w:rPr>
                    <w:t>实验台及地面清洗废水，</w:t>
                  </w:r>
                  <w:r>
                    <w:rPr>
                      <w:rFonts w:hint="eastAsia" w:ascii="Times New Roman" w:hAnsi="Times New Roman" w:eastAsia="宋体" w:cs="Times New Roman"/>
                      <w:color w:val="auto"/>
                      <w:szCs w:val="21"/>
                      <w:lang w:val="en-US" w:eastAsia="zh-CN"/>
                    </w:rPr>
                    <w:t>药材洗润</w:t>
                  </w:r>
                  <w:r>
                    <w:rPr>
                      <w:rFonts w:hint="eastAsia"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浸泡</w:t>
                  </w:r>
                  <w:r>
                    <w:rPr>
                      <w:rFonts w:hint="eastAsia"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蒸煮废水</w:t>
                  </w:r>
                  <w:r>
                    <w:rPr>
                      <w:rFonts w:hint="eastAsia" w:eastAsia="宋体" w:cs="Times New Roman"/>
                      <w:color w:val="auto"/>
                      <w:szCs w:val="21"/>
                      <w:lang w:val="en-US" w:eastAsia="zh-CN"/>
                    </w:rPr>
                    <w:t>，</w:t>
                  </w:r>
                  <w:r>
                    <w:rPr>
                      <w:rFonts w:hint="eastAsia" w:ascii="Times New Roman" w:hAnsi="Times New Roman" w:cs="Times New Roman"/>
                      <w:color w:val="auto"/>
                      <w:szCs w:val="21"/>
                      <w:lang w:val="en-US" w:eastAsia="zh-CN"/>
                    </w:rPr>
                    <w:t>合计</w:t>
                  </w:r>
                  <w:r>
                    <w:rPr>
                      <w:rFonts w:hint="eastAsia" w:cs="Times New Roman"/>
                      <w:color w:val="auto"/>
                      <w:szCs w:val="21"/>
                      <w:lang w:val="en-US" w:eastAsia="zh-CN"/>
                    </w:rPr>
                    <w:t>41.4</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/a</w:t>
                  </w:r>
                </w:p>
              </w:tc>
              <w:tc>
                <w:tcPr>
                  <w:tcW w:w="1161" w:type="pct"/>
                  <w:gridSpan w:val="2"/>
                  <w:tcBorders>
                    <w:tl2br w:val="nil"/>
                    <w:tr2bl w:val="nil"/>
                  </w:tcBorders>
                  <w:noWrap w:val="0"/>
                  <w:vAlign w:val="center"/>
                </w:tcPr>
                <w:p w14:paraId="6D3039A3">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污染物种类</w:t>
                  </w:r>
                </w:p>
              </w:tc>
              <w:tc>
                <w:tcPr>
                  <w:tcW w:w="779" w:type="pct"/>
                  <w:gridSpan w:val="2"/>
                  <w:tcBorders>
                    <w:tl2br w:val="nil"/>
                    <w:tr2bl w:val="nil"/>
                  </w:tcBorders>
                  <w:noWrap w:val="0"/>
                  <w:vAlign w:val="center"/>
                </w:tcPr>
                <w:p w14:paraId="0E8AFABC">
                  <w:pPr>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779" w:type="pct"/>
                  <w:gridSpan w:val="3"/>
                  <w:tcBorders>
                    <w:tl2br w:val="nil"/>
                    <w:tr2bl w:val="nil"/>
                  </w:tcBorders>
                  <w:noWrap w:val="0"/>
                  <w:vAlign w:val="center"/>
                </w:tcPr>
                <w:p w14:paraId="477B2C0E">
                  <w:pPr>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779" w:type="pct"/>
                  <w:gridSpan w:val="3"/>
                  <w:tcBorders>
                    <w:tl2br w:val="nil"/>
                    <w:tr2bl w:val="nil"/>
                  </w:tcBorders>
                  <w:noWrap w:val="0"/>
                  <w:vAlign w:val="center"/>
                </w:tcPr>
                <w:p w14:paraId="1855C1B0">
                  <w:pPr>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785" w:type="pct"/>
                  <w:gridSpan w:val="2"/>
                  <w:tcBorders>
                    <w:tl2br w:val="nil"/>
                    <w:tr2bl w:val="nil"/>
                  </w:tcBorders>
                  <w:noWrap w:val="0"/>
                  <w:vAlign w:val="center"/>
                </w:tcPr>
                <w:p w14:paraId="07599AED">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氨氮</w:t>
                  </w:r>
                </w:p>
              </w:tc>
            </w:tr>
            <w:tr w14:paraId="0DFC5B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continue"/>
                  <w:tcBorders>
                    <w:tl2br w:val="nil"/>
                    <w:tr2bl w:val="nil"/>
                  </w:tcBorders>
                  <w:noWrap w:val="0"/>
                  <w:vAlign w:val="center"/>
                </w:tcPr>
                <w:p w14:paraId="69A44DE4">
                  <w:pPr>
                    <w:jc w:val="center"/>
                    <w:rPr>
                      <w:rFonts w:hint="default" w:ascii="Times New Roman" w:hAnsi="Times New Roman" w:cs="Times New Roman"/>
                      <w:i/>
                      <w:iCs/>
                      <w:color w:val="auto"/>
                      <w:szCs w:val="21"/>
                    </w:rPr>
                  </w:pPr>
                </w:p>
              </w:tc>
              <w:tc>
                <w:tcPr>
                  <w:tcW w:w="1161" w:type="pct"/>
                  <w:gridSpan w:val="2"/>
                  <w:tcBorders>
                    <w:tl2br w:val="nil"/>
                    <w:tr2bl w:val="nil"/>
                  </w:tcBorders>
                  <w:noWrap w:val="0"/>
                  <w:vAlign w:val="center"/>
                </w:tcPr>
                <w:p w14:paraId="0F889D8F">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混合后</w:t>
                  </w:r>
                  <w:r>
                    <w:rPr>
                      <w:rFonts w:hint="default" w:ascii="Times New Roman" w:hAnsi="Times New Roman" w:cs="Times New Roman"/>
                      <w:color w:val="auto"/>
                      <w:szCs w:val="21"/>
                    </w:rPr>
                    <w:t>污染物产生浓度（mg/L）</w:t>
                  </w:r>
                </w:p>
              </w:tc>
              <w:tc>
                <w:tcPr>
                  <w:tcW w:w="779" w:type="pct"/>
                  <w:gridSpan w:val="2"/>
                  <w:tcBorders>
                    <w:tl2br w:val="nil"/>
                    <w:tr2bl w:val="nil"/>
                  </w:tcBorders>
                  <w:noWrap w:val="0"/>
                  <w:vAlign w:val="center"/>
                </w:tcPr>
                <w:p w14:paraId="2D330BA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400</w:t>
                  </w:r>
                </w:p>
              </w:tc>
              <w:tc>
                <w:tcPr>
                  <w:tcW w:w="779" w:type="pct"/>
                  <w:gridSpan w:val="3"/>
                  <w:tcBorders>
                    <w:tl2br w:val="nil"/>
                    <w:tr2bl w:val="nil"/>
                  </w:tcBorders>
                  <w:noWrap w:val="0"/>
                  <w:vAlign w:val="center"/>
                </w:tcPr>
                <w:p w14:paraId="6FF668D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779" w:type="pct"/>
                  <w:gridSpan w:val="3"/>
                  <w:tcBorders>
                    <w:tl2br w:val="nil"/>
                    <w:tr2bl w:val="nil"/>
                  </w:tcBorders>
                  <w:noWrap w:val="0"/>
                  <w:vAlign w:val="center"/>
                </w:tcPr>
                <w:p w14:paraId="1874831A">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350</w:t>
                  </w:r>
                </w:p>
              </w:tc>
              <w:tc>
                <w:tcPr>
                  <w:tcW w:w="785" w:type="pct"/>
                  <w:gridSpan w:val="2"/>
                  <w:tcBorders>
                    <w:tl2br w:val="nil"/>
                    <w:tr2bl w:val="nil"/>
                  </w:tcBorders>
                  <w:noWrap w:val="0"/>
                  <w:vAlign w:val="center"/>
                </w:tcPr>
                <w:p w14:paraId="1DA292B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0</w:t>
                  </w:r>
                </w:p>
              </w:tc>
            </w:tr>
            <w:tr w14:paraId="7DC1A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continue"/>
                  <w:tcBorders>
                    <w:tl2br w:val="nil"/>
                    <w:tr2bl w:val="nil"/>
                  </w:tcBorders>
                  <w:noWrap w:val="0"/>
                  <w:vAlign w:val="center"/>
                </w:tcPr>
                <w:p w14:paraId="5F0015A6">
                  <w:pPr>
                    <w:jc w:val="center"/>
                    <w:rPr>
                      <w:rFonts w:hint="default" w:ascii="Times New Roman" w:hAnsi="Times New Roman" w:cs="Times New Roman"/>
                      <w:i/>
                      <w:iCs/>
                      <w:color w:val="auto"/>
                      <w:szCs w:val="21"/>
                    </w:rPr>
                  </w:pPr>
                </w:p>
              </w:tc>
              <w:tc>
                <w:tcPr>
                  <w:tcW w:w="1161" w:type="pct"/>
                  <w:gridSpan w:val="2"/>
                  <w:tcBorders>
                    <w:tl2br w:val="nil"/>
                    <w:tr2bl w:val="nil"/>
                  </w:tcBorders>
                  <w:noWrap w:val="0"/>
                  <w:vAlign w:val="center"/>
                </w:tcPr>
                <w:p w14:paraId="41FDD730">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污染物产生量（t/a）</w:t>
                  </w:r>
                </w:p>
              </w:tc>
              <w:tc>
                <w:tcPr>
                  <w:tcW w:w="779" w:type="pct"/>
                  <w:gridSpan w:val="2"/>
                  <w:tcBorders>
                    <w:tl2br w:val="nil"/>
                    <w:tr2bl w:val="nil"/>
                  </w:tcBorders>
                  <w:noWrap w:val="0"/>
                  <w:vAlign w:val="center"/>
                </w:tcPr>
                <w:p w14:paraId="0E92B37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0.017</w:t>
                  </w:r>
                </w:p>
              </w:tc>
              <w:tc>
                <w:tcPr>
                  <w:tcW w:w="779" w:type="pct"/>
                  <w:gridSpan w:val="3"/>
                  <w:tcBorders>
                    <w:tl2br w:val="nil"/>
                    <w:tr2bl w:val="nil"/>
                  </w:tcBorders>
                  <w:noWrap w:val="0"/>
                  <w:vAlign w:val="center"/>
                </w:tcPr>
                <w:p w14:paraId="7F48A9D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0.012</w:t>
                  </w:r>
                </w:p>
              </w:tc>
              <w:tc>
                <w:tcPr>
                  <w:tcW w:w="779" w:type="pct"/>
                  <w:gridSpan w:val="3"/>
                  <w:tcBorders>
                    <w:tl2br w:val="nil"/>
                    <w:tr2bl w:val="nil"/>
                  </w:tcBorders>
                  <w:noWrap w:val="0"/>
                  <w:vAlign w:val="center"/>
                </w:tcPr>
                <w:p w14:paraId="54EBFE7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0.014</w:t>
                  </w:r>
                </w:p>
              </w:tc>
              <w:tc>
                <w:tcPr>
                  <w:tcW w:w="785" w:type="pct"/>
                  <w:gridSpan w:val="2"/>
                  <w:tcBorders>
                    <w:tl2br w:val="nil"/>
                    <w:tr2bl w:val="nil"/>
                  </w:tcBorders>
                  <w:noWrap w:val="0"/>
                  <w:vAlign w:val="center"/>
                </w:tcPr>
                <w:p w14:paraId="0849E35A">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eastAsia="宋体" w:cs="Times New Roman"/>
                      <w:i w:val="0"/>
                      <w:iCs w:val="0"/>
                      <w:color w:val="auto"/>
                      <w:kern w:val="0"/>
                      <w:sz w:val="21"/>
                      <w:szCs w:val="21"/>
                      <w:u w:val="none"/>
                      <w:lang w:val="en-US" w:eastAsia="zh-CN" w:bidi="ar"/>
                    </w:rPr>
                    <w:t>1</w:t>
                  </w:r>
                </w:p>
              </w:tc>
            </w:tr>
            <w:tr w14:paraId="46F89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14" w:type="pct"/>
                  <w:vMerge w:val="continue"/>
                  <w:tcBorders>
                    <w:tl2br w:val="nil"/>
                    <w:tr2bl w:val="nil"/>
                  </w:tcBorders>
                  <w:noWrap w:val="0"/>
                  <w:vAlign w:val="center"/>
                </w:tcPr>
                <w:p w14:paraId="2FD5CC46">
                  <w:pPr>
                    <w:jc w:val="center"/>
                    <w:rPr>
                      <w:rFonts w:hint="default" w:ascii="Times New Roman" w:hAnsi="Times New Roman" w:cs="Times New Roman"/>
                      <w:i/>
                      <w:iCs/>
                      <w:color w:val="auto"/>
                      <w:szCs w:val="21"/>
                    </w:rPr>
                  </w:pPr>
                </w:p>
              </w:tc>
              <w:tc>
                <w:tcPr>
                  <w:tcW w:w="1161" w:type="pct"/>
                  <w:gridSpan w:val="2"/>
                  <w:tcBorders>
                    <w:tl2br w:val="nil"/>
                    <w:tr2bl w:val="nil"/>
                  </w:tcBorders>
                  <w:noWrap w:val="0"/>
                  <w:vAlign w:val="center"/>
                </w:tcPr>
                <w:p w14:paraId="0FAEC85C">
                  <w:pPr>
                    <w:jc w:val="center"/>
                    <w:rPr>
                      <w:rFonts w:hint="default" w:ascii="Times New Roman" w:hAnsi="Times New Roman" w:cs="Times New Roman"/>
                      <w:color w:val="auto"/>
                      <w:szCs w:val="21"/>
                    </w:rPr>
                  </w:pPr>
                  <w:r>
                    <w:rPr>
                      <w:rFonts w:hint="default" w:ascii="Times New Roman" w:hAnsi="Times New Roman" w:cs="Times New Roman"/>
                      <w:color w:val="auto"/>
                      <w:szCs w:val="21"/>
                    </w:rPr>
                    <w:t>治理工艺</w:t>
                  </w:r>
                </w:p>
              </w:tc>
              <w:tc>
                <w:tcPr>
                  <w:tcW w:w="3124" w:type="pct"/>
                  <w:gridSpan w:val="10"/>
                  <w:tcBorders>
                    <w:tl2br w:val="nil"/>
                    <w:tr2bl w:val="nil"/>
                  </w:tcBorders>
                  <w:noWrap w:val="0"/>
                  <w:vAlign w:val="center"/>
                </w:tcPr>
                <w:p w14:paraId="0738910C">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自建</w:t>
                  </w:r>
                  <w:r>
                    <w:rPr>
                      <w:rFonts w:hint="default" w:ascii="Times New Roman" w:hAnsi="Times New Roman" w:cs="Times New Roman"/>
                      <w:color w:val="auto"/>
                      <w:szCs w:val="21"/>
                    </w:rPr>
                    <w:t>污水处理设</w:t>
                  </w:r>
                  <w:r>
                    <w:rPr>
                      <w:rFonts w:hint="eastAsia" w:ascii="Times New Roman" w:hAnsi="Times New Roman" w:cs="Times New Roman"/>
                      <w:color w:val="auto"/>
                      <w:szCs w:val="21"/>
                      <w:lang w:val="en-US" w:eastAsia="zh-CN"/>
                    </w:rPr>
                    <w:t>施</w:t>
                  </w:r>
                  <w:r>
                    <w:rPr>
                      <w:rFonts w:hint="default" w:ascii="Times New Roman" w:hAnsi="Times New Roman" w:cs="Times New Roman"/>
                      <w:color w:val="auto"/>
                      <w:szCs w:val="21"/>
                    </w:rPr>
                    <w:t>（</w:t>
                  </w:r>
                  <w:r>
                    <w:rPr>
                      <w:rFonts w:hint="default" w:ascii="Times New Roman" w:hAnsi="Times New Roman" w:cs="Times New Roman"/>
                      <w:color w:val="auto"/>
                      <w:szCs w:val="21"/>
                      <w:lang w:eastAsia="zh-CN"/>
                    </w:rPr>
                    <w:t>调节+</w:t>
                  </w:r>
                  <w:r>
                    <w:rPr>
                      <w:rFonts w:hint="eastAsia" w:ascii="Times New Roman" w:hAnsi="Times New Roman" w:cs="Times New Roman"/>
                      <w:color w:val="auto"/>
                      <w:szCs w:val="21"/>
                      <w:lang w:eastAsia="zh-CN"/>
                    </w:rPr>
                    <w:t>混凝沉淀+消毒</w:t>
                  </w:r>
                  <w:r>
                    <w:rPr>
                      <w:rFonts w:hint="default" w:ascii="Times New Roman" w:hAnsi="Times New Roman" w:cs="Times New Roman"/>
                      <w:color w:val="auto"/>
                      <w:szCs w:val="21"/>
                    </w:rPr>
                    <w:t>工艺）</w:t>
                  </w:r>
                  <w:r>
                    <w:rPr>
                      <w:rFonts w:hint="eastAsia" w:ascii="Times New Roman" w:hAnsi="Times New Roman" w:cs="Times New Roman"/>
                      <w:color w:val="auto"/>
                      <w:szCs w:val="21"/>
                      <w:lang w:val="en-US" w:eastAsia="zh-CN"/>
                    </w:rPr>
                    <w:t>处理后依托</w:t>
                  </w:r>
                  <w:r>
                    <w:rPr>
                      <w:rFonts w:hint="eastAsia" w:cs="Times New Roman"/>
                      <w:color w:val="auto"/>
                      <w:szCs w:val="21"/>
                      <w:lang w:val="en-US" w:eastAsia="zh-CN"/>
                    </w:rPr>
                    <w:t>小区化粪池</w:t>
                  </w:r>
                </w:p>
              </w:tc>
            </w:tr>
            <w:tr w14:paraId="0DDDB9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continue"/>
                  <w:tcBorders>
                    <w:tl2br w:val="nil"/>
                    <w:tr2bl w:val="nil"/>
                  </w:tcBorders>
                  <w:noWrap w:val="0"/>
                  <w:vAlign w:val="center"/>
                </w:tcPr>
                <w:p w14:paraId="5E5E8519">
                  <w:pPr>
                    <w:jc w:val="center"/>
                    <w:rPr>
                      <w:rFonts w:hint="default" w:ascii="Times New Roman" w:hAnsi="Times New Roman" w:cs="Times New Roman"/>
                      <w:i/>
                      <w:iCs/>
                      <w:color w:val="auto"/>
                      <w:szCs w:val="21"/>
                    </w:rPr>
                  </w:pPr>
                </w:p>
              </w:tc>
              <w:tc>
                <w:tcPr>
                  <w:tcW w:w="1161" w:type="pct"/>
                  <w:gridSpan w:val="2"/>
                  <w:tcBorders>
                    <w:tl2br w:val="nil"/>
                    <w:tr2bl w:val="nil"/>
                  </w:tcBorders>
                  <w:noWrap w:val="0"/>
                  <w:vAlign w:val="center"/>
                </w:tcPr>
                <w:p w14:paraId="73511852">
                  <w:pPr>
                    <w:jc w:val="center"/>
                    <w:rPr>
                      <w:rFonts w:hint="default" w:ascii="Times New Roman" w:hAnsi="Times New Roman" w:cs="Times New Roman"/>
                      <w:color w:val="auto"/>
                      <w:szCs w:val="21"/>
                    </w:rPr>
                  </w:pPr>
                  <w:r>
                    <w:rPr>
                      <w:rFonts w:hint="default" w:ascii="Times New Roman" w:hAnsi="Times New Roman" w:cs="Times New Roman"/>
                      <w:color w:val="auto"/>
                      <w:szCs w:val="21"/>
                    </w:rPr>
                    <w:t>治理效率（%）</w:t>
                  </w:r>
                </w:p>
              </w:tc>
              <w:tc>
                <w:tcPr>
                  <w:tcW w:w="780" w:type="pct"/>
                  <w:gridSpan w:val="3"/>
                  <w:tcBorders>
                    <w:tl2br w:val="nil"/>
                    <w:tr2bl w:val="nil"/>
                  </w:tcBorders>
                  <w:noWrap w:val="0"/>
                  <w:vAlign w:val="center"/>
                </w:tcPr>
                <w:p w14:paraId="5FE61E30">
                  <w:pPr>
                    <w:jc w:val="center"/>
                    <w:rPr>
                      <w:rFonts w:hint="default" w:ascii="Times New Roman" w:hAnsi="Times New Roman" w:eastAsia="宋体" w:cs="Times New Roman"/>
                      <w:color w:val="auto"/>
                      <w:szCs w:val="21"/>
                      <w:lang w:val="en-US" w:eastAsia="zh-CN"/>
                    </w:rPr>
                  </w:pPr>
                  <w:r>
                    <w:rPr>
                      <w:rFonts w:hint="eastAsia" w:cs="Times New Roman"/>
                      <w:smallCaps/>
                      <w:color w:val="auto"/>
                      <w:szCs w:val="21"/>
                      <w:lang w:val="en-US" w:eastAsia="zh-CN"/>
                    </w:rPr>
                    <w:t>50</w:t>
                  </w:r>
                </w:p>
              </w:tc>
              <w:tc>
                <w:tcPr>
                  <w:tcW w:w="780" w:type="pct"/>
                  <w:gridSpan w:val="3"/>
                  <w:tcBorders>
                    <w:tl2br w:val="nil"/>
                    <w:tr2bl w:val="nil"/>
                  </w:tcBorders>
                  <w:noWrap w:val="0"/>
                  <w:vAlign w:val="center"/>
                </w:tcPr>
                <w:p w14:paraId="41808207">
                  <w:pPr>
                    <w:jc w:val="center"/>
                    <w:rPr>
                      <w:rFonts w:hint="default" w:ascii="Times New Roman" w:hAnsi="Times New Roman" w:eastAsia="宋体" w:cs="Times New Roman"/>
                      <w:color w:val="auto"/>
                      <w:szCs w:val="21"/>
                      <w:lang w:val="en-US" w:eastAsia="zh-CN"/>
                    </w:rPr>
                  </w:pPr>
                  <w:r>
                    <w:rPr>
                      <w:rFonts w:hint="eastAsia" w:cs="Times New Roman"/>
                      <w:smallCaps/>
                      <w:color w:val="auto"/>
                      <w:szCs w:val="21"/>
                      <w:lang w:val="en-US" w:eastAsia="zh-CN"/>
                    </w:rPr>
                    <w:t>4</w:t>
                  </w:r>
                  <w:r>
                    <w:rPr>
                      <w:rFonts w:hint="eastAsia" w:ascii="Times New Roman" w:hAnsi="Times New Roman" w:cs="Times New Roman"/>
                      <w:smallCaps/>
                      <w:color w:val="auto"/>
                      <w:szCs w:val="21"/>
                      <w:lang w:val="en-US" w:eastAsia="zh-CN"/>
                    </w:rPr>
                    <w:t>0</w:t>
                  </w:r>
                </w:p>
              </w:tc>
              <w:tc>
                <w:tcPr>
                  <w:tcW w:w="780" w:type="pct"/>
                  <w:gridSpan w:val="3"/>
                  <w:tcBorders>
                    <w:tl2br w:val="nil"/>
                    <w:tr2bl w:val="nil"/>
                  </w:tcBorders>
                  <w:noWrap w:val="0"/>
                  <w:vAlign w:val="center"/>
                </w:tcPr>
                <w:p w14:paraId="5AC2676C">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smallCaps/>
                      <w:color w:val="auto"/>
                      <w:szCs w:val="21"/>
                      <w:lang w:val="en-US" w:eastAsia="zh-CN"/>
                    </w:rPr>
                    <w:t>70</w:t>
                  </w:r>
                </w:p>
              </w:tc>
              <w:tc>
                <w:tcPr>
                  <w:tcW w:w="783" w:type="pct"/>
                  <w:tcBorders>
                    <w:tl2br w:val="nil"/>
                    <w:tr2bl w:val="nil"/>
                  </w:tcBorders>
                  <w:noWrap w:val="0"/>
                  <w:vAlign w:val="center"/>
                </w:tcPr>
                <w:p w14:paraId="3101917C">
                  <w:pPr>
                    <w:jc w:val="center"/>
                    <w:rPr>
                      <w:rFonts w:hint="default" w:ascii="Times New Roman" w:hAnsi="Times New Roman" w:eastAsia="宋体" w:cs="Times New Roman"/>
                      <w:color w:val="auto"/>
                      <w:szCs w:val="21"/>
                      <w:lang w:val="en-US" w:eastAsia="zh-CN"/>
                    </w:rPr>
                  </w:pPr>
                  <w:r>
                    <w:rPr>
                      <w:rFonts w:hint="eastAsia" w:cs="Times New Roman"/>
                      <w:smallCaps/>
                      <w:color w:val="auto"/>
                      <w:szCs w:val="21"/>
                      <w:lang w:val="en-US" w:eastAsia="zh-CN"/>
                    </w:rPr>
                    <w:t>0</w:t>
                  </w:r>
                </w:p>
              </w:tc>
            </w:tr>
            <w:tr w14:paraId="2E013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pct"/>
                  <w:vMerge w:val="continue"/>
                  <w:tcBorders>
                    <w:tl2br w:val="nil"/>
                    <w:tr2bl w:val="nil"/>
                  </w:tcBorders>
                  <w:noWrap w:val="0"/>
                  <w:vAlign w:val="center"/>
                </w:tcPr>
                <w:p w14:paraId="080E504D">
                  <w:pPr>
                    <w:jc w:val="center"/>
                    <w:rPr>
                      <w:rFonts w:hint="default" w:ascii="Times New Roman" w:hAnsi="Times New Roman" w:cs="Times New Roman"/>
                      <w:i/>
                      <w:iCs/>
                      <w:color w:val="auto"/>
                      <w:szCs w:val="21"/>
                    </w:rPr>
                  </w:pPr>
                </w:p>
              </w:tc>
              <w:tc>
                <w:tcPr>
                  <w:tcW w:w="1161" w:type="pct"/>
                  <w:gridSpan w:val="2"/>
                  <w:tcBorders>
                    <w:tl2br w:val="nil"/>
                    <w:tr2bl w:val="nil"/>
                  </w:tcBorders>
                  <w:noWrap w:val="0"/>
                  <w:vAlign w:val="center"/>
                </w:tcPr>
                <w:p w14:paraId="2B01FBDE">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处理后浓度（mg/L）</w:t>
                  </w:r>
                </w:p>
              </w:tc>
              <w:tc>
                <w:tcPr>
                  <w:tcW w:w="780" w:type="pct"/>
                  <w:gridSpan w:val="3"/>
                  <w:tcBorders>
                    <w:tl2br w:val="nil"/>
                    <w:tr2bl w:val="nil"/>
                  </w:tcBorders>
                  <w:noWrap w:val="0"/>
                  <w:vAlign w:val="center"/>
                </w:tcPr>
                <w:p w14:paraId="4E2E6045">
                  <w:pPr>
                    <w:keepNext w:val="0"/>
                    <w:keepLines w:val="0"/>
                    <w:widowControl/>
                    <w:suppressLineNumbers w:val="0"/>
                    <w:jc w:val="center"/>
                    <w:textAlignment w:val="center"/>
                    <w:rPr>
                      <w:rFonts w:hint="default" w:ascii="Times New Roman" w:hAnsi="Times New Roman" w:cs="Times New Roman"/>
                      <w:smallCaps/>
                      <w:color w:val="auto"/>
                      <w:szCs w:val="21"/>
                      <w:lang w:val="en-US"/>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780" w:type="pct"/>
                  <w:gridSpan w:val="3"/>
                  <w:tcBorders>
                    <w:tl2br w:val="nil"/>
                    <w:tr2bl w:val="nil"/>
                  </w:tcBorders>
                  <w:noWrap w:val="0"/>
                  <w:vAlign w:val="center"/>
                </w:tcPr>
                <w:p w14:paraId="39FE2625">
                  <w:pPr>
                    <w:keepNext w:val="0"/>
                    <w:keepLines w:val="0"/>
                    <w:widowControl/>
                    <w:suppressLineNumbers w:val="0"/>
                    <w:jc w:val="center"/>
                    <w:textAlignment w:val="center"/>
                    <w:rPr>
                      <w:rFonts w:hint="default" w:ascii="Times New Roman" w:hAnsi="Times New Roman" w:eastAsia="宋体" w:cs="Times New Roman"/>
                      <w:smallCaps/>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180</w:t>
                  </w:r>
                </w:p>
              </w:tc>
              <w:tc>
                <w:tcPr>
                  <w:tcW w:w="780" w:type="pct"/>
                  <w:gridSpan w:val="3"/>
                  <w:tcBorders>
                    <w:tl2br w:val="nil"/>
                    <w:tr2bl w:val="nil"/>
                  </w:tcBorders>
                  <w:noWrap w:val="0"/>
                  <w:vAlign w:val="center"/>
                </w:tcPr>
                <w:p w14:paraId="3B5F0202">
                  <w:pPr>
                    <w:keepNext w:val="0"/>
                    <w:keepLines w:val="0"/>
                    <w:widowControl/>
                    <w:suppressLineNumbers w:val="0"/>
                    <w:jc w:val="center"/>
                    <w:textAlignment w:val="center"/>
                    <w:rPr>
                      <w:rFonts w:hint="default" w:ascii="Times New Roman" w:hAnsi="Times New Roman" w:eastAsia="宋体" w:cs="Times New Roman"/>
                      <w:smallCaps/>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783" w:type="pct"/>
                  <w:tcBorders>
                    <w:tl2br w:val="nil"/>
                    <w:tr2bl w:val="nil"/>
                  </w:tcBorders>
                  <w:noWrap w:val="0"/>
                  <w:vAlign w:val="center"/>
                </w:tcPr>
                <w:p w14:paraId="2C460F4C">
                  <w:pPr>
                    <w:keepNext w:val="0"/>
                    <w:keepLines w:val="0"/>
                    <w:widowControl/>
                    <w:suppressLineNumbers w:val="0"/>
                    <w:jc w:val="center"/>
                    <w:textAlignment w:val="center"/>
                    <w:rPr>
                      <w:rFonts w:hint="default" w:ascii="Times New Roman" w:hAnsi="Times New Roman" w:eastAsia="宋体" w:cs="Times New Roman"/>
                      <w:smallCaps/>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w:t>
                  </w:r>
                </w:p>
              </w:tc>
            </w:tr>
            <w:tr w14:paraId="60F9FE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restart"/>
                  <w:tcBorders>
                    <w:tl2br w:val="nil"/>
                    <w:tr2bl w:val="nil"/>
                  </w:tcBorders>
                  <w:noWrap w:val="0"/>
                  <w:vAlign w:val="center"/>
                </w:tcPr>
                <w:p w14:paraId="48179E2F">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w:t>
                  </w:r>
                  <w:r>
                    <w:rPr>
                      <w:rFonts w:hint="eastAsia" w:cs="Times New Roman"/>
                      <w:color w:val="auto"/>
                      <w:szCs w:val="21"/>
                      <w:lang w:val="en-US" w:eastAsia="zh-CN"/>
                    </w:rPr>
                    <w:t>68</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/a</w:t>
                  </w:r>
                </w:p>
              </w:tc>
              <w:tc>
                <w:tcPr>
                  <w:tcW w:w="1161" w:type="pct"/>
                  <w:gridSpan w:val="2"/>
                  <w:tcBorders>
                    <w:tl2br w:val="nil"/>
                    <w:tr2bl w:val="nil"/>
                  </w:tcBorders>
                  <w:noWrap w:val="0"/>
                  <w:vAlign w:val="center"/>
                </w:tcPr>
                <w:p w14:paraId="720E0665">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污染物种类</w:t>
                  </w:r>
                </w:p>
              </w:tc>
              <w:tc>
                <w:tcPr>
                  <w:tcW w:w="780" w:type="pct"/>
                  <w:gridSpan w:val="3"/>
                  <w:tcBorders>
                    <w:tl2br w:val="nil"/>
                    <w:tr2bl w:val="nil"/>
                  </w:tcBorders>
                  <w:noWrap w:val="0"/>
                  <w:vAlign w:val="center"/>
                </w:tcPr>
                <w:p w14:paraId="323EB551">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COD</w:t>
                  </w:r>
                </w:p>
              </w:tc>
              <w:tc>
                <w:tcPr>
                  <w:tcW w:w="780" w:type="pct"/>
                  <w:gridSpan w:val="3"/>
                  <w:tcBorders>
                    <w:tl2br w:val="nil"/>
                    <w:tr2bl w:val="nil"/>
                  </w:tcBorders>
                  <w:noWrap w:val="0"/>
                  <w:vAlign w:val="center"/>
                </w:tcPr>
                <w:p w14:paraId="2617800D">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780" w:type="pct"/>
                  <w:gridSpan w:val="3"/>
                  <w:tcBorders>
                    <w:tl2br w:val="nil"/>
                    <w:tr2bl w:val="nil"/>
                  </w:tcBorders>
                  <w:noWrap w:val="0"/>
                  <w:vAlign w:val="center"/>
                </w:tcPr>
                <w:p w14:paraId="6F95114C">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SS</w:t>
                  </w:r>
                </w:p>
              </w:tc>
              <w:tc>
                <w:tcPr>
                  <w:tcW w:w="783" w:type="pct"/>
                  <w:tcBorders>
                    <w:tl2br w:val="nil"/>
                    <w:tr2bl w:val="nil"/>
                  </w:tcBorders>
                  <w:noWrap w:val="0"/>
                  <w:vAlign w:val="center"/>
                </w:tcPr>
                <w:p w14:paraId="10B4A59C">
                  <w:pPr>
                    <w:keepNext w:val="0"/>
                    <w:keepLines w:val="0"/>
                    <w:widowControl/>
                    <w:suppressLineNumbers w:val="0"/>
                    <w:jc w:val="center"/>
                    <w:textAlignment w:val="center"/>
                    <w:rPr>
                      <w:rFonts w:hint="default" w:ascii="Times New Roman" w:hAnsi="Times New Roman" w:cs="Times New Roman"/>
                      <w:color w:val="auto"/>
                      <w:szCs w:val="21"/>
                    </w:rPr>
                  </w:pPr>
                  <w:r>
                    <w:rPr>
                      <w:rFonts w:hint="eastAsia" w:ascii="宋体" w:hAnsi="宋体" w:eastAsia="宋体" w:cs="宋体"/>
                      <w:i w:val="0"/>
                      <w:iCs w:val="0"/>
                      <w:color w:val="auto"/>
                      <w:kern w:val="0"/>
                      <w:sz w:val="21"/>
                      <w:szCs w:val="21"/>
                      <w:u w:val="none"/>
                      <w:lang w:val="en-US" w:eastAsia="zh-CN" w:bidi="ar"/>
                    </w:rPr>
                    <w:t>氨氮</w:t>
                  </w:r>
                </w:p>
              </w:tc>
            </w:tr>
            <w:tr w14:paraId="724E71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pct"/>
                  <w:vMerge w:val="continue"/>
                  <w:tcBorders>
                    <w:tl2br w:val="nil"/>
                    <w:tr2bl w:val="nil"/>
                  </w:tcBorders>
                  <w:noWrap w:val="0"/>
                  <w:vAlign w:val="center"/>
                </w:tcPr>
                <w:p w14:paraId="75F0218F">
                  <w:pPr>
                    <w:jc w:val="center"/>
                    <w:rPr>
                      <w:rFonts w:hint="default" w:ascii="Times New Roman" w:hAnsi="Times New Roman" w:cs="Times New Roman"/>
                      <w:color w:val="auto"/>
                      <w:szCs w:val="21"/>
                    </w:rPr>
                  </w:pPr>
                </w:p>
              </w:tc>
              <w:tc>
                <w:tcPr>
                  <w:tcW w:w="1161" w:type="pct"/>
                  <w:gridSpan w:val="2"/>
                  <w:tcBorders>
                    <w:tl2br w:val="nil"/>
                    <w:tr2bl w:val="nil"/>
                  </w:tcBorders>
                  <w:noWrap w:val="0"/>
                  <w:vAlign w:val="center"/>
                </w:tcPr>
                <w:p w14:paraId="4C256065">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污染物产生浓度（mg/L）</w:t>
                  </w:r>
                </w:p>
              </w:tc>
              <w:tc>
                <w:tcPr>
                  <w:tcW w:w="780" w:type="pct"/>
                  <w:gridSpan w:val="3"/>
                  <w:tcBorders>
                    <w:tl2br w:val="nil"/>
                    <w:tr2bl w:val="nil"/>
                  </w:tcBorders>
                  <w:noWrap w:val="0"/>
                  <w:vAlign w:val="center"/>
                </w:tcPr>
                <w:p w14:paraId="29836E58">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350</w:t>
                  </w:r>
                </w:p>
              </w:tc>
              <w:tc>
                <w:tcPr>
                  <w:tcW w:w="780" w:type="pct"/>
                  <w:gridSpan w:val="3"/>
                  <w:tcBorders>
                    <w:tl2br w:val="nil"/>
                    <w:tr2bl w:val="nil"/>
                  </w:tcBorders>
                  <w:noWrap w:val="0"/>
                  <w:vAlign w:val="center"/>
                </w:tcPr>
                <w:p w14:paraId="25705843">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780" w:type="pct"/>
                  <w:gridSpan w:val="3"/>
                  <w:tcBorders>
                    <w:tl2br w:val="nil"/>
                    <w:tr2bl w:val="nil"/>
                  </w:tcBorders>
                  <w:noWrap w:val="0"/>
                  <w:vAlign w:val="center"/>
                </w:tcPr>
                <w:p w14:paraId="12C72598">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783" w:type="pct"/>
                  <w:tcBorders>
                    <w:tl2br w:val="nil"/>
                    <w:tr2bl w:val="nil"/>
                  </w:tcBorders>
                  <w:noWrap w:val="0"/>
                  <w:vAlign w:val="center"/>
                </w:tcPr>
                <w:p w14:paraId="0CDAC2D5">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25</w:t>
                  </w:r>
                </w:p>
              </w:tc>
            </w:tr>
            <w:tr w14:paraId="43F02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continue"/>
                  <w:tcBorders>
                    <w:tl2br w:val="nil"/>
                    <w:tr2bl w:val="nil"/>
                  </w:tcBorders>
                  <w:noWrap w:val="0"/>
                  <w:vAlign w:val="center"/>
                </w:tcPr>
                <w:p w14:paraId="4C849EDB">
                  <w:pPr>
                    <w:jc w:val="center"/>
                    <w:rPr>
                      <w:rFonts w:hint="default" w:ascii="Times New Roman" w:hAnsi="Times New Roman" w:cs="Times New Roman"/>
                      <w:color w:val="auto"/>
                      <w:szCs w:val="21"/>
                    </w:rPr>
                  </w:pPr>
                </w:p>
              </w:tc>
              <w:tc>
                <w:tcPr>
                  <w:tcW w:w="1161" w:type="pct"/>
                  <w:gridSpan w:val="2"/>
                  <w:tcBorders>
                    <w:tl2br w:val="nil"/>
                    <w:tr2bl w:val="nil"/>
                  </w:tcBorders>
                  <w:noWrap w:val="0"/>
                  <w:vAlign w:val="center"/>
                </w:tcPr>
                <w:p w14:paraId="72B9F40B">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污染物产生量（t/a）</w:t>
                  </w:r>
                </w:p>
              </w:tc>
              <w:tc>
                <w:tcPr>
                  <w:tcW w:w="780" w:type="pct"/>
                  <w:gridSpan w:val="3"/>
                  <w:tcBorders>
                    <w:tl2br w:val="nil"/>
                    <w:tr2bl w:val="nil"/>
                  </w:tcBorders>
                  <w:noWrap w:val="0"/>
                  <w:vAlign w:val="center"/>
                </w:tcPr>
                <w:p w14:paraId="3EA009F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0.024</w:t>
                  </w:r>
                </w:p>
              </w:tc>
              <w:tc>
                <w:tcPr>
                  <w:tcW w:w="780" w:type="pct"/>
                  <w:gridSpan w:val="3"/>
                  <w:tcBorders>
                    <w:tl2br w:val="nil"/>
                    <w:tr2bl w:val="nil"/>
                  </w:tcBorders>
                  <w:noWrap w:val="0"/>
                  <w:vAlign w:val="center"/>
                </w:tcPr>
                <w:p w14:paraId="11A3E0C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0.014</w:t>
                  </w:r>
                </w:p>
              </w:tc>
              <w:tc>
                <w:tcPr>
                  <w:tcW w:w="780" w:type="pct"/>
                  <w:gridSpan w:val="3"/>
                  <w:tcBorders>
                    <w:tl2br w:val="nil"/>
                    <w:tr2bl w:val="nil"/>
                  </w:tcBorders>
                  <w:noWrap w:val="0"/>
                  <w:vAlign w:val="center"/>
                </w:tcPr>
                <w:p w14:paraId="225DA7D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0.014</w:t>
                  </w:r>
                </w:p>
              </w:tc>
              <w:tc>
                <w:tcPr>
                  <w:tcW w:w="783" w:type="pct"/>
                  <w:tcBorders>
                    <w:tl2br w:val="nil"/>
                    <w:tr2bl w:val="nil"/>
                  </w:tcBorders>
                  <w:noWrap w:val="0"/>
                  <w:vAlign w:val="center"/>
                </w:tcPr>
                <w:p w14:paraId="1C331A7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0.002</w:t>
                  </w:r>
                </w:p>
              </w:tc>
            </w:tr>
            <w:tr w14:paraId="163FC8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continue"/>
                  <w:tcBorders>
                    <w:tl2br w:val="nil"/>
                    <w:tr2bl w:val="nil"/>
                  </w:tcBorders>
                  <w:noWrap w:val="0"/>
                  <w:vAlign w:val="center"/>
                </w:tcPr>
                <w:p w14:paraId="5F06594B">
                  <w:pPr>
                    <w:jc w:val="center"/>
                    <w:rPr>
                      <w:rFonts w:hint="default" w:ascii="Times New Roman" w:hAnsi="Times New Roman" w:cs="Times New Roman"/>
                      <w:color w:val="auto"/>
                      <w:szCs w:val="21"/>
                    </w:rPr>
                  </w:pPr>
                </w:p>
              </w:tc>
              <w:tc>
                <w:tcPr>
                  <w:tcW w:w="1161" w:type="pct"/>
                  <w:gridSpan w:val="2"/>
                  <w:tcBorders>
                    <w:tl2br w:val="nil"/>
                    <w:tr2bl w:val="nil"/>
                  </w:tcBorders>
                  <w:noWrap w:val="0"/>
                  <w:vAlign w:val="center"/>
                </w:tcPr>
                <w:p w14:paraId="6516A2E8">
                  <w:pPr>
                    <w:jc w:val="center"/>
                    <w:rPr>
                      <w:rFonts w:hint="default" w:ascii="Times New Roman" w:hAnsi="Times New Roman" w:cs="Times New Roman"/>
                      <w:color w:val="auto"/>
                      <w:szCs w:val="21"/>
                    </w:rPr>
                  </w:pPr>
                  <w:r>
                    <w:rPr>
                      <w:rFonts w:hint="default" w:ascii="Times New Roman" w:hAnsi="Times New Roman" w:cs="Times New Roman"/>
                      <w:color w:val="auto"/>
                      <w:szCs w:val="21"/>
                    </w:rPr>
                    <w:t>治理工艺</w:t>
                  </w:r>
                </w:p>
              </w:tc>
              <w:tc>
                <w:tcPr>
                  <w:tcW w:w="3124" w:type="pct"/>
                  <w:gridSpan w:val="10"/>
                  <w:tcBorders>
                    <w:tl2br w:val="nil"/>
                    <w:tr2bl w:val="nil"/>
                  </w:tcBorders>
                  <w:noWrap w:val="0"/>
                  <w:vAlign w:val="center"/>
                </w:tcPr>
                <w:p w14:paraId="51AF9D81">
                  <w:pPr>
                    <w:keepNext w:val="0"/>
                    <w:keepLines w:val="0"/>
                    <w:widowControl/>
                    <w:suppressLineNumbers w:val="0"/>
                    <w:jc w:val="center"/>
                    <w:textAlignment w:val="center"/>
                    <w:rPr>
                      <w:rFonts w:hint="default" w:ascii="Times New Roman" w:hAnsi="Times New Roman" w:eastAsia="宋体" w:cs="Times New Roman"/>
                      <w:color w:val="auto"/>
                      <w:szCs w:val="21"/>
                      <w:lang w:eastAsia="zh-CN"/>
                    </w:rPr>
                  </w:pPr>
                  <w:r>
                    <w:rPr>
                      <w:rFonts w:hint="eastAsia" w:ascii="宋体" w:hAnsi="宋体" w:eastAsia="宋体" w:cs="宋体"/>
                      <w:i w:val="0"/>
                      <w:iCs w:val="0"/>
                      <w:color w:val="auto"/>
                      <w:kern w:val="0"/>
                      <w:sz w:val="21"/>
                      <w:szCs w:val="21"/>
                      <w:u w:val="none"/>
                      <w:lang w:val="en-US" w:eastAsia="zh-CN" w:bidi="ar"/>
                    </w:rPr>
                    <w:t>化粪池（依托</w:t>
                  </w:r>
                  <w:bookmarkStart w:id="12" w:name="OLE_LINK10"/>
                  <w:r>
                    <w:rPr>
                      <w:rFonts w:hint="eastAsia" w:ascii="宋体" w:hAnsi="宋体" w:eastAsia="宋体" w:cs="宋体"/>
                      <w:i w:val="0"/>
                      <w:iCs w:val="0"/>
                      <w:color w:val="auto"/>
                      <w:kern w:val="0"/>
                      <w:sz w:val="21"/>
                      <w:szCs w:val="21"/>
                      <w:u w:val="none"/>
                      <w:lang w:val="en-US" w:eastAsia="zh-CN" w:bidi="ar"/>
                    </w:rPr>
                    <w:t>隆桥瑞苑小区</w:t>
                  </w:r>
                  <w:bookmarkEnd w:id="12"/>
                  <w:r>
                    <w:rPr>
                      <w:rFonts w:hint="eastAsia" w:ascii="宋体" w:hAnsi="宋体" w:eastAsia="宋体" w:cs="宋体"/>
                      <w:i w:val="0"/>
                      <w:iCs w:val="0"/>
                      <w:color w:val="auto"/>
                      <w:kern w:val="0"/>
                      <w:sz w:val="21"/>
                      <w:szCs w:val="21"/>
                      <w:u w:val="none"/>
                      <w:lang w:val="en-US" w:eastAsia="zh-CN" w:bidi="ar"/>
                    </w:rPr>
                    <w:t>）</w:t>
                  </w:r>
                </w:p>
              </w:tc>
            </w:tr>
            <w:tr w14:paraId="2B6FA3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continue"/>
                  <w:tcBorders>
                    <w:tl2br w:val="nil"/>
                    <w:tr2bl w:val="nil"/>
                  </w:tcBorders>
                  <w:noWrap w:val="0"/>
                  <w:vAlign w:val="center"/>
                </w:tcPr>
                <w:p w14:paraId="5F531F26">
                  <w:pPr>
                    <w:jc w:val="center"/>
                    <w:rPr>
                      <w:rFonts w:hint="default" w:ascii="Times New Roman" w:hAnsi="Times New Roman" w:cs="Times New Roman"/>
                      <w:color w:val="auto"/>
                      <w:szCs w:val="21"/>
                    </w:rPr>
                  </w:pPr>
                </w:p>
              </w:tc>
              <w:tc>
                <w:tcPr>
                  <w:tcW w:w="1161" w:type="pct"/>
                  <w:gridSpan w:val="2"/>
                  <w:tcBorders>
                    <w:tl2br w:val="nil"/>
                    <w:tr2bl w:val="nil"/>
                  </w:tcBorders>
                  <w:noWrap w:val="0"/>
                  <w:vAlign w:val="center"/>
                </w:tcPr>
                <w:p w14:paraId="5C5721B4">
                  <w:pPr>
                    <w:jc w:val="center"/>
                    <w:rPr>
                      <w:rFonts w:hint="default" w:ascii="Times New Roman" w:hAnsi="Times New Roman" w:cs="Times New Roman"/>
                      <w:color w:val="auto"/>
                      <w:szCs w:val="21"/>
                    </w:rPr>
                  </w:pPr>
                  <w:r>
                    <w:rPr>
                      <w:rFonts w:hint="default" w:ascii="Times New Roman" w:hAnsi="Times New Roman" w:cs="Times New Roman"/>
                      <w:color w:val="auto"/>
                      <w:szCs w:val="21"/>
                    </w:rPr>
                    <w:t>治理效率（%）</w:t>
                  </w:r>
                </w:p>
              </w:tc>
              <w:tc>
                <w:tcPr>
                  <w:tcW w:w="780" w:type="pct"/>
                  <w:gridSpan w:val="3"/>
                  <w:tcBorders>
                    <w:tl2br w:val="nil"/>
                    <w:tr2bl w:val="nil"/>
                  </w:tcBorders>
                  <w:noWrap w:val="0"/>
                  <w:vAlign w:val="center"/>
                </w:tcPr>
                <w:p w14:paraId="448B7181">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15.5</w:t>
                  </w:r>
                </w:p>
              </w:tc>
              <w:tc>
                <w:tcPr>
                  <w:tcW w:w="780" w:type="pct"/>
                  <w:gridSpan w:val="3"/>
                  <w:tcBorders>
                    <w:tl2br w:val="nil"/>
                    <w:tr2bl w:val="nil"/>
                  </w:tcBorders>
                  <w:noWrap w:val="0"/>
                  <w:vAlign w:val="center"/>
                </w:tcPr>
                <w:p w14:paraId="5D9F9625">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9</w:t>
                  </w:r>
                </w:p>
              </w:tc>
              <w:tc>
                <w:tcPr>
                  <w:tcW w:w="780" w:type="pct"/>
                  <w:gridSpan w:val="3"/>
                  <w:tcBorders>
                    <w:tl2br w:val="nil"/>
                    <w:tr2bl w:val="nil"/>
                  </w:tcBorders>
                  <w:noWrap w:val="0"/>
                  <w:vAlign w:val="center"/>
                </w:tcPr>
                <w:p w14:paraId="77C1C2F6">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50</w:t>
                  </w:r>
                </w:p>
              </w:tc>
              <w:tc>
                <w:tcPr>
                  <w:tcW w:w="783" w:type="pct"/>
                  <w:tcBorders>
                    <w:tl2br w:val="nil"/>
                    <w:tr2bl w:val="nil"/>
                  </w:tcBorders>
                  <w:noWrap w:val="0"/>
                  <w:vAlign w:val="center"/>
                </w:tcPr>
                <w:p w14:paraId="73881038">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r>
            <w:tr w14:paraId="09489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Merge w:val="continue"/>
                  <w:tcBorders>
                    <w:tl2br w:val="nil"/>
                    <w:tr2bl w:val="nil"/>
                  </w:tcBorders>
                  <w:noWrap w:val="0"/>
                  <w:vAlign w:val="center"/>
                </w:tcPr>
                <w:p w14:paraId="7FC13A89">
                  <w:pPr>
                    <w:jc w:val="center"/>
                    <w:rPr>
                      <w:rFonts w:hint="default" w:ascii="Times New Roman" w:hAnsi="Times New Roman" w:cs="Times New Roman"/>
                      <w:color w:val="auto"/>
                      <w:szCs w:val="21"/>
                    </w:rPr>
                  </w:pPr>
                </w:p>
              </w:tc>
              <w:tc>
                <w:tcPr>
                  <w:tcW w:w="1161" w:type="pct"/>
                  <w:gridSpan w:val="2"/>
                  <w:tcBorders>
                    <w:tl2br w:val="nil"/>
                    <w:tr2bl w:val="nil"/>
                  </w:tcBorders>
                  <w:noWrap w:val="0"/>
                  <w:vAlign w:val="center"/>
                </w:tcPr>
                <w:p w14:paraId="1474D5AC">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处理后浓度（mg/L）</w:t>
                  </w:r>
                </w:p>
              </w:tc>
              <w:tc>
                <w:tcPr>
                  <w:tcW w:w="780" w:type="pct"/>
                  <w:gridSpan w:val="3"/>
                  <w:tcBorders>
                    <w:tl2br w:val="nil"/>
                    <w:tr2bl w:val="nil"/>
                  </w:tcBorders>
                  <w:noWrap w:val="0"/>
                  <w:vAlign w:val="center"/>
                </w:tcPr>
                <w:p w14:paraId="358B6DD2">
                  <w:pPr>
                    <w:keepNext w:val="0"/>
                    <w:keepLines w:val="0"/>
                    <w:widowControl/>
                    <w:suppressLineNumbers w:val="0"/>
                    <w:jc w:val="center"/>
                    <w:textAlignment w:val="center"/>
                    <w:rPr>
                      <w:rFonts w:hint="default" w:ascii="Times New Roman" w:hAnsi="Times New Roman" w:cs="Times New Roman"/>
                      <w:smallCaps/>
                      <w:color w:val="auto"/>
                      <w:szCs w:val="21"/>
                    </w:rPr>
                  </w:pPr>
                  <w:r>
                    <w:rPr>
                      <w:rFonts w:hint="default" w:ascii="Times New Roman" w:hAnsi="Times New Roman" w:eastAsia="宋体" w:cs="Times New Roman"/>
                      <w:i w:val="0"/>
                      <w:iCs w:val="0"/>
                      <w:color w:val="auto"/>
                      <w:kern w:val="0"/>
                      <w:sz w:val="21"/>
                      <w:szCs w:val="21"/>
                      <w:u w:val="none"/>
                      <w:lang w:val="en-US" w:eastAsia="zh-CN" w:bidi="ar"/>
                    </w:rPr>
                    <w:t>295.75</w:t>
                  </w:r>
                </w:p>
              </w:tc>
              <w:tc>
                <w:tcPr>
                  <w:tcW w:w="780" w:type="pct"/>
                  <w:gridSpan w:val="3"/>
                  <w:tcBorders>
                    <w:tl2br w:val="nil"/>
                    <w:tr2bl w:val="nil"/>
                  </w:tcBorders>
                  <w:noWrap w:val="0"/>
                  <w:vAlign w:val="center"/>
                </w:tcPr>
                <w:p w14:paraId="64FCC560">
                  <w:pPr>
                    <w:keepNext w:val="0"/>
                    <w:keepLines w:val="0"/>
                    <w:widowControl/>
                    <w:suppressLineNumbers w:val="0"/>
                    <w:jc w:val="center"/>
                    <w:textAlignment w:val="center"/>
                    <w:rPr>
                      <w:rFonts w:hint="default" w:ascii="Times New Roman" w:hAnsi="Times New Roman" w:cs="Times New Roman"/>
                      <w:smallCaps/>
                      <w:color w:val="auto"/>
                      <w:szCs w:val="21"/>
                    </w:rPr>
                  </w:pPr>
                  <w:r>
                    <w:rPr>
                      <w:rFonts w:hint="default" w:ascii="Times New Roman" w:hAnsi="Times New Roman" w:eastAsia="宋体" w:cs="Times New Roman"/>
                      <w:i w:val="0"/>
                      <w:iCs w:val="0"/>
                      <w:color w:val="auto"/>
                      <w:kern w:val="0"/>
                      <w:sz w:val="21"/>
                      <w:szCs w:val="21"/>
                      <w:u w:val="none"/>
                      <w:lang w:val="en-US" w:eastAsia="zh-CN" w:bidi="ar"/>
                    </w:rPr>
                    <w:t>182</w:t>
                  </w:r>
                </w:p>
              </w:tc>
              <w:tc>
                <w:tcPr>
                  <w:tcW w:w="780" w:type="pct"/>
                  <w:gridSpan w:val="3"/>
                  <w:tcBorders>
                    <w:tl2br w:val="nil"/>
                    <w:tr2bl w:val="nil"/>
                  </w:tcBorders>
                  <w:noWrap w:val="0"/>
                  <w:vAlign w:val="center"/>
                </w:tcPr>
                <w:p w14:paraId="03BBD552">
                  <w:pPr>
                    <w:keepNext w:val="0"/>
                    <w:keepLines w:val="0"/>
                    <w:widowControl/>
                    <w:suppressLineNumbers w:val="0"/>
                    <w:jc w:val="center"/>
                    <w:textAlignment w:val="center"/>
                    <w:rPr>
                      <w:rFonts w:hint="default" w:ascii="Times New Roman" w:hAnsi="Times New Roman" w:cs="Times New Roman"/>
                      <w:smallCaps/>
                      <w:color w:val="auto"/>
                      <w:szCs w:val="21"/>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783" w:type="pct"/>
                  <w:tcBorders>
                    <w:tl2br w:val="nil"/>
                    <w:tr2bl w:val="nil"/>
                  </w:tcBorders>
                  <w:noWrap w:val="0"/>
                  <w:vAlign w:val="center"/>
                </w:tcPr>
                <w:p w14:paraId="3672767E">
                  <w:pPr>
                    <w:keepNext w:val="0"/>
                    <w:keepLines w:val="0"/>
                    <w:widowControl/>
                    <w:suppressLineNumbers w:val="0"/>
                    <w:jc w:val="center"/>
                    <w:textAlignment w:val="center"/>
                    <w:rPr>
                      <w:rFonts w:hint="default" w:ascii="Times New Roman" w:hAnsi="Times New Roman" w:cs="Times New Roman"/>
                      <w:smallCaps/>
                      <w:color w:val="auto"/>
                      <w:szCs w:val="21"/>
                    </w:rPr>
                  </w:pPr>
                  <w:r>
                    <w:rPr>
                      <w:rFonts w:hint="default" w:ascii="Times New Roman" w:hAnsi="Times New Roman" w:eastAsia="宋体" w:cs="Times New Roman"/>
                      <w:i w:val="0"/>
                      <w:iCs w:val="0"/>
                      <w:color w:val="auto"/>
                      <w:kern w:val="0"/>
                      <w:sz w:val="21"/>
                      <w:szCs w:val="21"/>
                      <w:u w:val="none"/>
                      <w:lang w:val="en-US" w:eastAsia="zh-CN" w:bidi="ar"/>
                    </w:rPr>
                    <w:t>25</w:t>
                  </w:r>
                </w:p>
              </w:tc>
            </w:tr>
            <w:tr w14:paraId="459B6F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0A1FB5E2">
                  <w:pPr>
                    <w:jc w:val="center"/>
                    <w:rPr>
                      <w:rFonts w:hint="default" w:ascii="Times New Roman" w:hAnsi="Times New Roman" w:cs="Times New Roman"/>
                      <w:color w:val="auto"/>
                      <w:szCs w:val="21"/>
                    </w:rPr>
                  </w:pPr>
                  <w:r>
                    <w:rPr>
                      <w:rFonts w:hint="default" w:ascii="Times New Roman" w:hAnsi="Times New Roman" w:cs="Times New Roman"/>
                      <w:color w:val="auto"/>
                      <w:szCs w:val="21"/>
                    </w:rPr>
                    <w:t>综合废水排放量（t/a）</w:t>
                  </w:r>
                </w:p>
              </w:tc>
              <w:tc>
                <w:tcPr>
                  <w:tcW w:w="3124" w:type="pct"/>
                  <w:gridSpan w:val="10"/>
                  <w:tcBorders>
                    <w:tl2br w:val="nil"/>
                    <w:tr2bl w:val="nil"/>
                  </w:tcBorders>
                  <w:noWrap w:val="0"/>
                  <w:vAlign w:val="center"/>
                </w:tcPr>
                <w:p w14:paraId="2153A15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109.4</w:t>
                  </w:r>
                </w:p>
              </w:tc>
            </w:tr>
            <w:tr w14:paraId="04E6F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37C35E05">
                  <w:pPr>
                    <w:jc w:val="center"/>
                    <w:rPr>
                      <w:rFonts w:hint="default" w:ascii="Times New Roman" w:hAnsi="Times New Roman" w:cs="Times New Roman"/>
                      <w:color w:val="auto"/>
                      <w:szCs w:val="21"/>
                    </w:rPr>
                  </w:pPr>
                  <w:r>
                    <w:rPr>
                      <w:rFonts w:hint="default" w:ascii="Times New Roman" w:hAnsi="Times New Roman" w:cs="Times New Roman"/>
                      <w:color w:val="auto"/>
                      <w:szCs w:val="21"/>
                    </w:rPr>
                    <w:t>综合废水污染物排放种类（mg/L）</w:t>
                  </w:r>
                </w:p>
              </w:tc>
              <w:tc>
                <w:tcPr>
                  <w:tcW w:w="780" w:type="pct"/>
                  <w:gridSpan w:val="3"/>
                  <w:tcBorders>
                    <w:tl2br w:val="nil"/>
                    <w:tr2bl w:val="nil"/>
                  </w:tcBorders>
                  <w:noWrap w:val="0"/>
                  <w:vAlign w:val="center"/>
                </w:tcPr>
                <w:p w14:paraId="1045520E">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COD</w:t>
                  </w:r>
                </w:p>
              </w:tc>
              <w:tc>
                <w:tcPr>
                  <w:tcW w:w="780" w:type="pct"/>
                  <w:gridSpan w:val="3"/>
                  <w:tcBorders>
                    <w:tl2br w:val="nil"/>
                    <w:tr2bl w:val="nil"/>
                  </w:tcBorders>
                  <w:noWrap w:val="0"/>
                  <w:vAlign w:val="center"/>
                </w:tcPr>
                <w:p w14:paraId="66AE7BFD">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780" w:type="pct"/>
                  <w:gridSpan w:val="3"/>
                  <w:tcBorders>
                    <w:tl2br w:val="nil"/>
                    <w:tr2bl w:val="nil"/>
                  </w:tcBorders>
                  <w:noWrap w:val="0"/>
                  <w:vAlign w:val="center"/>
                </w:tcPr>
                <w:p w14:paraId="2978974D">
                  <w:pPr>
                    <w:keepNext w:val="0"/>
                    <w:keepLines w:val="0"/>
                    <w:widowControl/>
                    <w:suppressLineNumbers w:val="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SS</w:t>
                  </w:r>
                </w:p>
              </w:tc>
              <w:tc>
                <w:tcPr>
                  <w:tcW w:w="782" w:type="pct"/>
                  <w:tcBorders>
                    <w:tl2br w:val="nil"/>
                    <w:tr2bl w:val="nil"/>
                  </w:tcBorders>
                  <w:noWrap w:val="0"/>
                  <w:vAlign w:val="center"/>
                </w:tcPr>
                <w:p w14:paraId="3E121802">
                  <w:pPr>
                    <w:keepNext w:val="0"/>
                    <w:keepLines w:val="0"/>
                    <w:widowControl/>
                    <w:suppressLineNumbers w:val="0"/>
                    <w:jc w:val="center"/>
                    <w:textAlignment w:val="center"/>
                    <w:rPr>
                      <w:rFonts w:hint="default" w:ascii="Times New Roman" w:hAnsi="Times New Roman" w:cs="Times New Roman"/>
                      <w:color w:val="auto"/>
                      <w:szCs w:val="21"/>
                    </w:rPr>
                  </w:pPr>
                  <w:r>
                    <w:rPr>
                      <w:rFonts w:hint="eastAsia" w:ascii="宋体" w:hAnsi="宋体" w:eastAsia="宋体" w:cs="宋体"/>
                      <w:i w:val="0"/>
                      <w:iCs w:val="0"/>
                      <w:color w:val="auto"/>
                      <w:kern w:val="0"/>
                      <w:sz w:val="21"/>
                      <w:szCs w:val="21"/>
                      <w:u w:val="none"/>
                      <w:lang w:val="en-US" w:eastAsia="zh-CN" w:bidi="ar"/>
                    </w:rPr>
                    <w:t>氨氮</w:t>
                  </w:r>
                </w:p>
              </w:tc>
            </w:tr>
            <w:tr w14:paraId="1512D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5A2CCE6D">
                  <w:pPr>
                    <w:jc w:val="center"/>
                    <w:rPr>
                      <w:rFonts w:hint="default" w:ascii="Times New Roman" w:hAnsi="Times New Roman" w:cs="Times New Roman"/>
                      <w:color w:val="auto"/>
                      <w:szCs w:val="21"/>
                    </w:rPr>
                  </w:pPr>
                  <w:r>
                    <w:rPr>
                      <w:rFonts w:hint="default" w:ascii="Times New Roman" w:hAnsi="Times New Roman" w:cs="Times New Roman"/>
                      <w:color w:val="auto"/>
                      <w:szCs w:val="21"/>
                    </w:rPr>
                    <w:t>综合废水污染物排放浓度（mg/L）</w:t>
                  </w:r>
                </w:p>
              </w:tc>
              <w:tc>
                <w:tcPr>
                  <w:tcW w:w="780" w:type="pct"/>
                  <w:gridSpan w:val="3"/>
                  <w:tcBorders>
                    <w:tl2br w:val="nil"/>
                    <w:tr2bl w:val="nil"/>
                  </w:tcBorders>
                  <w:noWrap w:val="0"/>
                  <w:vAlign w:val="center"/>
                </w:tcPr>
                <w:p w14:paraId="2B26F54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259.52</w:t>
                  </w:r>
                </w:p>
              </w:tc>
              <w:tc>
                <w:tcPr>
                  <w:tcW w:w="780" w:type="pct"/>
                  <w:gridSpan w:val="3"/>
                  <w:tcBorders>
                    <w:tl2br w:val="nil"/>
                    <w:tr2bl w:val="nil"/>
                  </w:tcBorders>
                  <w:noWrap w:val="0"/>
                  <w:vAlign w:val="center"/>
                </w:tcPr>
                <w:p w14:paraId="6F40F54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181.24</w:t>
                  </w:r>
                </w:p>
              </w:tc>
              <w:tc>
                <w:tcPr>
                  <w:tcW w:w="780" w:type="pct"/>
                  <w:gridSpan w:val="3"/>
                  <w:tcBorders>
                    <w:tl2br w:val="nil"/>
                    <w:tr2bl w:val="nil"/>
                  </w:tcBorders>
                  <w:noWrap w:val="0"/>
                  <w:vAlign w:val="center"/>
                </w:tcPr>
                <w:p w14:paraId="7DD43A1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101.89</w:t>
                  </w:r>
                </w:p>
              </w:tc>
              <w:tc>
                <w:tcPr>
                  <w:tcW w:w="782" w:type="pct"/>
                  <w:tcBorders>
                    <w:tl2br w:val="nil"/>
                    <w:tr2bl w:val="nil"/>
                  </w:tcBorders>
                  <w:noWrap w:val="0"/>
                  <w:vAlign w:val="center"/>
                </w:tcPr>
                <w:p w14:paraId="3B80865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26.89</w:t>
                  </w:r>
                </w:p>
              </w:tc>
            </w:tr>
            <w:tr w14:paraId="67EAC1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5FD382E3">
                  <w:pPr>
                    <w:jc w:val="center"/>
                    <w:rPr>
                      <w:rFonts w:hint="default" w:ascii="Times New Roman" w:hAnsi="Times New Roman" w:cs="Times New Roman"/>
                      <w:color w:val="auto"/>
                      <w:szCs w:val="21"/>
                    </w:rPr>
                  </w:pPr>
                  <w:r>
                    <w:rPr>
                      <w:rFonts w:hint="default" w:ascii="Times New Roman" w:hAnsi="Times New Roman" w:cs="Times New Roman"/>
                      <w:color w:val="auto"/>
                      <w:szCs w:val="21"/>
                    </w:rPr>
                    <w:t>综合废水污染物排放量（t/a）</w:t>
                  </w:r>
                </w:p>
              </w:tc>
              <w:tc>
                <w:tcPr>
                  <w:tcW w:w="780" w:type="pct"/>
                  <w:gridSpan w:val="3"/>
                  <w:tcBorders>
                    <w:tl2br w:val="nil"/>
                    <w:tr2bl w:val="nil"/>
                  </w:tcBorders>
                  <w:noWrap w:val="0"/>
                  <w:vAlign w:val="center"/>
                </w:tcPr>
                <w:p w14:paraId="054E765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0.028</w:t>
                  </w:r>
                </w:p>
              </w:tc>
              <w:tc>
                <w:tcPr>
                  <w:tcW w:w="780" w:type="pct"/>
                  <w:gridSpan w:val="3"/>
                  <w:tcBorders>
                    <w:tl2br w:val="nil"/>
                    <w:tr2bl w:val="nil"/>
                  </w:tcBorders>
                  <w:noWrap w:val="0"/>
                  <w:vAlign w:val="center"/>
                </w:tcPr>
                <w:p w14:paraId="6F41C4D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0.020</w:t>
                  </w:r>
                </w:p>
              </w:tc>
              <w:tc>
                <w:tcPr>
                  <w:tcW w:w="780" w:type="pct"/>
                  <w:gridSpan w:val="3"/>
                  <w:tcBorders>
                    <w:tl2br w:val="nil"/>
                    <w:tr2bl w:val="nil"/>
                  </w:tcBorders>
                  <w:noWrap w:val="0"/>
                  <w:vAlign w:val="center"/>
                </w:tcPr>
                <w:p w14:paraId="5A9A475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0.011</w:t>
                  </w:r>
                </w:p>
              </w:tc>
              <w:tc>
                <w:tcPr>
                  <w:tcW w:w="782" w:type="pct"/>
                  <w:tcBorders>
                    <w:tl2br w:val="nil"/>
                    <w:tr2bl w:val="nil"/>
                  </w:tcBorders>
                  <w:noWrap w:val="0"/>
                  <w:vAlign w:val="center"/>
                </w:tcPr>
                <w:p w14:paraId="47EE2A7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w:t>
                  </w:r>
                </w:p>
              </w:tc>
            </w:tr>
            <w:tr w14:paraId="0A35D0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5" w:type="pct"/>
                  <w:gridSpan w:val="3"/>
                  <w:tcBorders>
                    <w:tl2br w:val="nil"/>
                    <w:tr2bl w:val="nil"/>
                  </w:tcBorders>
                  <w:noWrap w:val="0"/>
                  <w:vAlign w:val="center"/>
                </w:tcPr>
                <w:p w14:paraId="4D23822E">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排放方式</w:t>
                  </w:r>
                </w:p>
              </w:tc>
              <w:tc>
                <w:tcPr>
                  <w:tcW w:w="3124" w:type="pct"/>
                  <w:gridSpan w:val="10"/>
                  <w:tcBorders>
                    <w:tl2br w:val="nil"/>
                    <w:tr2bl w:val="nil"/>
                  </w:tcBorders>
                  <w:noWrap w:val="0"/>
                  <w:vAlign w:val="center"/>
                </w:tcPr>
                <w:p w14:paraId="3502C9B3">
                  <w:pPr>
                    <w:jc w:val="center"/>
                    <w:rPr>
                      <w:rFonts w:hint="default" w:ascii="Times New Roman" w:hAnsi="Times New Roman" w:cs="Times New Roman"/>
                      <w:color w:val="auto"/>
                      <w:szCs w:val="21"/>
                    </w:rPr>
                  </w:pPr>
                  <w:r>
                    <w:rPr>
                      <w:rFonts w:hint="default" w:ascii="Times New Roman" w:hAnsi="Times New Roman" w:cs="Times New Roman"/>
                      <w:color w:val="auto"/>
                      <w:szCs w:val="21"/>
                    </w:rPr>
                    <w:t>间接排放</w:t>
                  </w:r>
                </w:p>
              </w:tc>
            </w:tr>
            <w:tr w14:paraId="1ACA19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442AF596">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排放去向</w:t>
                  </w:r>
                </w:p>
              </w:tc>
              <w:tc>
                <w:tcPr>
                  <w:tcW w:w="3124" w:type="pct"/>
                  <w:gridSpan w:val="10"/>
                  <w:tcBorders>
                    <w:tl2br w:val="nil"/>
                    <w:tr2bl w:val="nil"/>
                  </w:tcBorders>
                  <w:noWrap w:val="0"/>
                  <w:vAlign w:val="center"/>
                </w:tcPr>
                <w:p w14:paraId="0FFE9B1A">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smallCaps/>
                      <w:color w:val="auto"/>
                      <w:szCs w:val="21"/>
                      <w:lang w:eastAsia="zh-CN"/>
                    </w:rPr>
                    <w:t>沣西新城</w:t>
                  </w:r>
                  <w:r>
                    <w:rPr>
                      <w:rFonts w:hint="eastAsia" w:cs="Times New Roman"/>
                      <w:smallCaps/>
                      <w:color w:val="auto"/>
                      <w:szCs w:val="21"/>
                      <w:lang w:val="en-US" w:eastAsia="zh-CN"/>
                    </w:rPr>
                    <w:t>沣</w:t>
                  </w:r>
                  <w:r>
                    <w:rPr>
                      <w:rFonts w:hint="eastAsia" w:ascii="Times New Roman" w:hAnsi="Times New Roman" w:cs="Times New Roman"/>
                      <w:smallCaps/>
                      <w:color w:val="auto"/>
                      <w:szCs w:val="21"/>
                      <w:lang w:eastAsia="zh-CN"/>
                    </w:rPr>
                    <w:t>河污水处理厂</w:t>
                  </w:r>
                </w:p>
              </w:tc>
            </w:tr>
            <w:tr w14:paraId="4DF999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3D62F1B5">
                  <w:pPr>
                    <w:jc w:val="center"/>
                    <w:rPr>
                      <w:rFonts w:hint="default" w:ascii="Times New Roman" w:hAnsi="Times New Roman" w:cs="Times New Roman"/>
                      <w:smallCaps/>
                      <w:color w:val="auto"/>
                      <w:szCs w:val="21"/>
                    </w:rPr>
                  </w:pPr>
                  <w:r>
                    <w:rPr>
                      <w:rFonts w:hint="default" w:ascii="Times New Roman" w:hAnsi="Times New Roman" w:cs="Times New Roman"/>
                      <w:smallCaps/>
                      <w:color w:val="auto"/>
                      <w:szCs w:val="21"/>
                    </w:rPr>
                    <w:t>排放规律</w:t>
                  </w:r>
                </w:p>
              </w:tc>
              <w:tc>
                <w:tcPr>
                  <w:tcW w:w="3124" w:type="pct"/>
                  <w:gridSpan w:val="10"/>
                  <w:tcBorders>
                    <w:tl2br w:val="nil"/>
                    <w:tr2bl w:val="nil"/>
                  </w:tcBorders>
                  <w:noWrap w:val="0"/>
                  <w:vAlign w:val="center"/>
                </w:tcPr>
                <w:p w14:paraId="17D365E8">
                  <w:pPr>
                    <w:jc w:val="center"/>
                    <w:rPr>
                      <w:rFonts w:hint="default" w:ascii="Times New Roman" w:hAnsi="Times New Roman" w:cs="Times New Roman"/>
                      <w:smallCaps/>
                      <w:color w:val="auto"/>
                      <w:szCs w:val="21"/>
                    </w:rPr>
                  </w:pPr>
                  <w:r>
                    <w:rPr>
                      <w:rFonts w:hint="default" w:ascii="Times New Roman" w:hAnsi="Times New Roman" w:eastAsia="宋体" w:cs="Times New Roman"/>
                      <w:smallCaps/>
                      <w:color w:val="auto"/>
                      <w:szCs w:val="21"/>
                      <w:lang w:val="en-US" w:eastAsia="zh-CN"/>
                    </w:rPr>
                    <w:t>间断排放，排放期间流量不稳定且无规律，但不属于冲击性排放</w:t>
                  </w:r>
                </w:p>
              </w:tc>
            </w:tr>
            <w:tr w14:paraId="7AE79B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gridSpan w:val="2"/>
                  <w:vMerge w:val="restart"/>
                  <w:tcBorders>
                    <w:tl2br w:val="nil"/>
                    <w:tr2bl w:val="nil"/>
                  </w:tcBorders>
                  <w:noWrap w:val="0"/>
                  <w:vAlign w:val="center"/>
                </w:tcPr>
                <w:p w14:paraId="0AE8C75F">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排放口基本情况</w:t>
                  </w:r>
                </w:p>
              </w:tc>
              <w:tc>
                <w:tcPr>
                  <w:tcW w:w="1011" w:type="pct"/>
                  <w:tcBorders>
                    <w:tl2br w:val="nil"/>
                    <w:tr2bl w:val="nil"/>
                  </w:tcBorders>
                  <w:noWrap w:val="0"/>
                  <w:vAlign w:val="center"/>
                </w:tcPr>
                <w:p w14:paraId="1219B561">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编号及名称</w:t>
                  </w:r>
                </w:p>
              </w:tc>
              <w:tc>
                <w:tcPr>
                  <w:tcW w:w="3124" w:type="pct"/>
                  <w:gridSpan w:val="10"/>
                  <w:tcBorders>
                    <w:tl2br w:val="nil"/>
                    <w:tr2bl w:val="nil"/>
                  </w:tcBorders>
                  <w:noWrap w:val="0"/>
                  <w:vAlign w:val="center"/>
                </w:tcPr>
                <w:p w14:paraId="5AFC62D4">
                  <w:pPr>
                    <w:jc w:val="center"/>
                    <w:rPr>
                      <w:rFonts w:hint="default" w:ascii="Times New Roman" w:hAnsi="Times New Roman" w:cs="Times New Roman"/>
                      <w:color w:val="auto"/>
                      <w:szCs w:val="21"/>
                    </w:rPr>
                  </w:pPr>
                  <w:r>
                    <w:rPr>
                      <w:rFonts w:hint="default" w:ascii="Times New Roman" w:hAnsi="Times New Roman" w:cs="Times New Roman"/>
                      <w:color w:val="auto"/>
                      <w:szCs w:val="21"/>
                    </w:rPr>
                    <w:t>依托</w:t>
                  </w:r>
                  <w:r>
                    <w:rPr>
                      <w:rFonts w:hint="eastAsia" w:cs="Times New Roman"/>
                      <w:smallCaps/>
                      <w:color w:val="auto"/>
                      <w:szCs w:val="21"/>
                      <w:lang w:val="en-US" w:eastAsia="zh-CN"/>
                    </w:rPr>
                    <w:t>隆桥瑞苑小区</w:t>
                  </w:r>
                  <w:r>
                    <w:rPr>
                      <w:rFonts w:hint="default" w:ascii="Times New Roman" w:hAnsi="Times New Roman" w:cs="Times New Roman"/>
                      <w:color w:val="auto"/>
                      <w:szCs w:val="21"/>
                    </w:rPr>
                    <w:t>排放口</w:t>
                  </w:r>
                </w:p>
              </w:tc>
            </w:tr>
            <w:tr w14:paraId="5C0077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gridSpan w:val="2"/>
                  <w:vMerge w:val="continue"/>
                  <w:tcBorders>
                    <w:tl2br w:val="nil"/>
                    <w:tr2bl w:val="nil"/>
                  </w:tcBorders>
                  <w:noWrap w:val="0"/>
                  <w:vAlign w:val="center"/>
                </w:tcPr>
                <w:p w14:paraId="00C10288">
                  <w:pPr>
                    <w:jc w:val="center"/>
                    <w:rPr>
                      <w:rFonts w:hint="default" w:ascii="Times New Roman" w:hAnsi="Times New Roman" w:cs="Times New Roman"/>
                      <w:color w:val="auto"/>
                      <w:szCs w:val="21"/>
                    </w:rPr>
                  </w:pPr>
                </w:p>
              </w:tc>
              <w:tc>
                <w:tcPr>
                  <w:tcW w:w="1011" w:type="pct"/>
                  <w:tcBorders>
                    <w:tl2br w:val="nil"/>
                    <w:tr2bl w:val="nil"/>
                  </w:tcBorders>
                  <w:noWrap w:val="0"/>
                  <w:vAlign w:val="center"/>
                </w:tcPr>
                <w:p w14:paraId="69B2EBED">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类型</w:t>
                  </w:r>
                </w:p>
              </w:tc>
              <w:tc>
                <w:tcPr>
                  <w:tcW w:w="3124" w:type="pct"/>
                  <w:gridSpan w:val="10"/>
                  <w:tcBorders>
                    <w:tl2br w:val="nil"/>
                    <w:tr2bl w:val="nil"/>
                  </w:tcBorders>
                  <w:noWrap w:val="0"/>
                  <w:vAlign w:val="center"/>
                </w:tcPr>
                <w:p w14:paraId="65D1111F">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一般排放口</w:t>
                  </w:r>
                </w:p>
              </w:tc>
            </w:tr>
            <w:tr w14:paraId="595B10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gridSpan w:val="2"/>
                  <w:vMerge w:val="continue"/>
                  <w:tcBorders>
                    <w:tl2br w:val="nil"/>
                    <w:tr2bl w:val="nil"/>
                  </w:tcBorders>
                  <w:noWrap w:val="0"/>
                  <w:vAlign w:val="center"/>
                </w:tcPr>
                <w:p w14:paraId="441744C2">
                  <w:pPr>
                    <w:jc w:val="center"/>
                    <w:rPr>
                      <w:rFonts w:hint="default" w:ascii="Times New Roman" w:hAnsi="Times New Roman" w:cs="Times New Roman"/>
                      <w:color w:val="auto"/>
                      <w:szCs w:val="21"/>
                    </w:rPr>
                  </w:pPr>
                </w:p>
              </w:tc>
              <w:tc>
                <w:tcPr>
                  <w:tcW w:w="1011" w:type="pct"/>
                  <w:tcBorders>
                    <w:tl2br w:val="nil"/>
                    <w:tr2bl w:val="nil"/>
                  </w:tcBorders>
                  <w:noWrap w:val="0"/>
                  <w:vAlign w:val="center"/>
                </w:tcPr>
                <w:p w14:paraId="29DDA972">
                  <w:pPr>
                    <w:jc w:val="center"/>
                    <w:rPr>
                      <w:rFonts w:hint="default" w:ascii="Times New Roman" w:hAnsi="Times New Roman" w:cs="Times New Roman"/>
                      <w:smallCaps/>
                      <w:color w:val="auto"/>
                      <w:szCs w:val="21"/>
                    </w:rPr>
                  </w:pPr>
                  <w:r>
                    <w:rPr>
                      <w:rFonts w:hint="default" w:ascii="Times New Roman" w:hAnsi="Times New Roman" w:cs="Times New Roman"/>
                      <w:smallCaps/>
                      <w:color w:val="auto"/>
                      <w:szCs w:val="21"/>
                    </w:rPr>
                    <w:t>地理坐标</w:t>
                  </w:r>
                </w:p>
              </w:tc>
              <w:tc>
                <w:tcPr>
                  <w:tcW w:w="3124" w:type="pct"/>
                  <w:gridSpan w:val="10"/>
                  <w:tcBorders>
                    <w:tl2br w:val="nil"/>
                    <w:tr2bl w:val="nil"/>
                  </w:tcBorders>
                  <w:noWrap w:val="0"/>
                  <w:vAlign w:val="center"/>
                </w:tcPr>
                <w:p w14:paraId="27532D23">
                  <w:pPr>
                    <w:jc w:val="center"/>
                    <w:textAlignment w:val="baseline"/>
                    <w:rPr>
                      <w:rFonts w:hint="default" w:ascii="Times New Roman" w:hAnsi="Times New Roman" w:eastAsia="宋体" w:cs="Times New Roman"/>
                      <w:smallCaps/>
                      <w:color w:val="auto"/>
                      <w:szCs w:val="21"/>
                      <w:lang w:val="en-US" w:eastAsia="zh-CN"/>
                    </w:rPr>
                  </w:pPr>
                  <w:r>
                    <w:rPr>
                      <w:rFonts w:hint="default" w:ascii="Times New Roman" w:hAnsi="Times New Roman" w:cs="Times New Roman"/>
                      <w:smallCaps/>
                      <w:color w:val="auto"/>
                      <w:szCs w:val="21"/>
                    </w:rPr>
                    <w:t>E</w:t>
                  </w:r>
                  <w:r>
                    <w:rPr>
                      <w:rFonts w:hint="eastAsia" w:cs="Times New Roman"/>
                      <w:smallCaps/>
                      <w:color w:val="auto"/>
                      <w:szCs w:val="21"/>
                      <w:lang w:eastAsia="zh-CN"/>
                    </w:rPr>
                    <w:t>：</w:t>
                  </w:r>
                  <w:r>
                    <w:rPr>
                      <w:rFonts w:hint="default" w:ascii="Times New Roman" w:hAnsi="Times New Roman" w:cs="Times New Roman"/>
                      <w:color w:val="auto"/>
                      <w:szCs w:val="21"/>
                    </w:rPr>
                    <w:t>108°4</w:t>
                  </w:r>
                  <w:r>
                    <w:rPr>
                      <w:rFonts w:hint="eastAsia" w:cs="Times New Roman"/>
                      <w:color w:val="auto"/>
                      <w:szCs w:val="21"/>
                      <w:lang w:val="en-US" w:eastAsia="zh-CN"/>
                    </w:rPr>
                    <w:t>4</w:t>
                  </w:r>
                  <w:r>
                    <w:rPr>
                      <w:rFonts w:hint="default" w:ascii="Times New Roman" w:hAnsi="Times New Roman" w:cs="Times New Roman"/>
                      <w:color w:val="auto"/>
                      <w:szCs w:val="21"/>
                    </w:rPr>
                    <w:t>′</w:t>
                  </w:r>
                  <w:r>
                    <w:rPr>
                      <w:rFonts w:hint="eastAsia" w:cs="Times New Roman"/>
                      <w:color w:val="auto"/>
                      <w:szCs w:val="21"/>
                      <w:lang w:val="en-US" w:eastAsia="zh-CN"/>
                    </w:rPr>
                    <w:t>02.79</w:t>
                  </w:r>
                  <w:r>
                    <w:rPr>
                      <w:rFonts w:hint="default" w:ascii="Times New Roman" w:hAnsi="Times New Roman" w:cs="Times New Roman"/>
                      <w:color w:val="auto"/>
                      <w:szCs w:val="21"/>
                    </w:rPr>
                    <w:t>″</w:t>
                  </w:r>
                  <w:r>
                    <w:rPr>
                      <w:rFonts w:hint="eastAsia" w:cs="Times New Roman"/>
                      <w:color w:val="auto"/>
                      <w:szCs w:val="21"/>
                      <w:lang w:eastAsia="zh-CN"/>
                    </w:rPr>
                    <w:t>，</w:t>
                  </w:r>
                  <w:r>
                    <w:rPr>
                      <w:rFonts w:hint="default" w:ascii="Times New Roman" w:hAnsi="Times New Roman" w:cs="Times New Roman"/>
                      <w:smallCaps/>
                      <w:color w:val="auto"/>
                      <w:szCs w:val="21"/>
                    </w:rPr>
                    <w:t>N</w:t>
                  </w:r>
                  <w:r>
                    <w:rPr>
                      <w:rFonts w:hint="eastAsia" w:cs="Times New Roman"/>
                      <w:smallCaps/>
                      <w:color w:val="auto"/>
                      <w:szCs w:val="21"/>
                      <w:lang w:eastAsia="zh-CN"/>
                    </w:rPr>
                    <w:t>：</w:t>
                  </w:r>
                  <w:r>
                    <w:rPr>
                      <w:rFonts w:hint="default" w:ascii="Times New Roman" w:hAnsi="Times New Roman" w:cs="Times New Roman"/>
                      <w:color w:val="auto"/>
                      <w:szCs w:val="21"/>
                    </w:rPr>
                    <w:t>34°17′</w:t>
                  </w:r>
                  <w:r>
                    <w:rPr>
                      <w:rFonts w:hint="eastAsia" w:cs="Times New Roman"/>
                      <w:color w:val="auto"/>
                      <w:szCs w:val="21"/>
                      <w:lang w:val="en-US" w:eastAsia="zh-CN"/>
                    </w:rPr>
                    <w:t>29.14</w:t>
                  </w:r>
                  <w:r>
                    <w:rPr>
                      <w:rFonts w:hint="default" w:ascii="Times New Roman" w:hAnsi="Times New Roman" w:cs="Times New Roman"/>
                      <w:color w:val="auto"/>
                      <w:szCs w:val="21"/>
                    </w:rPr>
                    <w:t>″</w:t>
                  </w:r>
                </w:p>
              </w:tc>
            </w:tr>
            <w:tr w14:paraId="2C4CFD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gridSpan w:val="2"/>
                  <w:tcBorders>
                    <w:tl2br w:val="nil"/>
                    <w:tr2bl w:val="nil"/>
                  </w:tcBorders>
                  <w:noWrap w:val="0"/>
                  <w:vAlign w:val="center"/>
                </w:tcPr>
                <w:p w14:paraId="779A310A">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排放标准</w:t>
                  </w:r>
                </w:p>
              </w:tc>
              <w:tc>
                <w:tcPr>
                  <w:tcW w:w="1011" w:type="pct"/>
                  <w:tcBorders>
                    <w:tl2br w:val="nil"/>
                    <w:tr2bl w:val="nil"/>
                  </w:tcBorders>
                  <w:noWrap w:val="0"/>
                  <w:vAlign w:val="center"/>
                </w:tcPr>
                <w:p w14:paraId="196DEB89">
                  <w:pPr>
                    <w:jc w:val="center"/>
                    <w:rPr>
                      <w:rFonts w:hint="default" w:ascii="Times New Roman" w:hAnsi="Times New Roman" w:cs="Times New Roman"/>
                      <w:smallCaps/>
                      <w:color w:val="auto"/>
                      <w:szCs w:val="21"/>
                    </w:rPr>
                  </w:pPr>
                  <w:r>
                    <w:rPr>
                      <w:rFonts w:hint="default" w:ascii="Times New Roman" w:hAnsi="Times New Roman" w:cs="Times New Roman"/>
                      <w:smallCaps/>
                      <w:color w:val="auto"/>
                      <w:szCs w:val="21"/>
                    </w:rPr>
                    <w:t>标准限值（</w:t>
                  </w:r>
                  <w:r>
                    <w:rPr>
                      <w:rFonts w:hint="default" w:ascii="Times New Roman" w:hAnsi="Times New Roman" w:cs="Times New Roman"/>
                      <w:color w:val="auto"/>
                      <w:szCs w:val="21"/>
                    </w:rPr>
                    <w:t>mg/L</w:t>
                  </w:r>
                  <w:r>
                    <w:rPr>
                      <w:rFonts w:hint="default" w:ascii="Times New Roman" w:hAnsi="Times New Roman" w:cs="Times New Roman"/>
                      <w:smallCaps/>
                      <w:color w:val="auto"/>
                      <w:szCs w:val="21"/>
                    </w:rPr>
                    <w:t>)</w:t>
                  </w:r>
                </w:p>
              </w:tc>
              <w:tc>
                <w:tcPr>
                  <w:tcW w:w="676" w:type="pct"/>
                  <w:tcBorders>
                    <w:tl2br w:val="nil"/>
                    <w:tr2bl w:val="nil"/>
                  </w:tcBorders>
                  <w:noWrap w:val="0"/>
                  <w:vAlign w:val="center"/>
                </w:tcPr>
                <w:p w14:paraId="49D1C46B">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500</w:t>
                  </w:r>
                </w:p>
              </w:tc>
              <w:tc>
                <w:tcPr>
                  <w:tcW w:w="679" w:type="pct"/>
                  <w:gridSpan w:val="3"/>
                  <w:tcBorders>
                    <w:tl2br w:val="nil"/>
                    <w:tr2bl w:val="nil"/>
                  </w:tcBorders>
                  <w:noWrap w:val="0"/>
                  <w:vAlign w:val="center"/>
                </w:tcPr>
                <w:p w14:paraId="404C5BA2">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300</w:t>
                  </w:r>
                </w:p>
              </w:tc>
              <w:tc>
                <w:tcPr>
                  <w:tcW w:w="815" w:type="pct"/>
                  <w:gridSpan w:val="3"/>
                  <w:tcBorders>
                    <w:tl2br w:val="nil"/>
                    <w:tr2bl w:val="nil"/>
                  </w:tcBorders>
                  <w:noWrap w:val="0"/>
                  <w:vAlign w:val="center"/>
                </w:tcPr>
                <w:p w14:paraId="5D3A63FF">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400</w:t>
                  </w:r>
                </w:p>
              </w:tc>
              <w:tc>
                <w:tcPr>
                  <w:tcW w:w="953" w:type="pct"/>
                  <w:gridSpan w:val="3"/>
                  <w:tcBorders>
                    <w:tl2br w:val="nil"/>
                    <w:tr2bl w:val="nil"/>
                  </w:tcBorders>
                  <w:noWrap w:val="0"/>
                  <w:vAlign w:val="center"/>
                </w:tcPr>
                <w:p w14:paraId="2DA3401A">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45</w:t>
                  </w:r>
                </w:p>
              </w:tc>
            </w:tr>
            <w:tr w14:paraId="0BA7CD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pct"/>
                  <w:gridSpan w:val="3"/>
                  <w:tcBorders>
                    <w:tl2br w:val="nil"/>
                    <w:tr2bl w:val="nil"/>
                  </w:tcBorders>
                  <w:noWrap w:val="0"/>
                  <w:vAlign w:val="center"/>
                </w:tcPr>
                <w:p w14:paraId="1E3EEF92">
                  <w:pPr>
                    <w:jc w:val="center"/>
                    <w:rPr>
                      <w:rFonts w:hint="default" w:ascii="Times New Roman" w:hAnsi="Times New Roman" w:cs="Times New Roman"/>
                      <w:smallCaps/>
                      <w:color w:val="auto"/>
                      <w:szCs w:val="21"/>
                    </w:rPr>
                  </w:pPr>
                  <w:r>
                    <w:rPr>
                      <w:rFonts w:hint="default" w:ascii="Times New Roman" w:hAnsi="Times New Roman" w:cs="Times New Roman"/>
                      <w:smallCaps/>
                      <w:color w:val="auto"/>
                      <w:szCs w:val="21"/>
                    </w:rPr>
                    <w:t>标准来源</w:t>
                  </w:r>
                </w:p>
              </w:tc>
              <w:tc>
                <w:tcPr>
                  <w:tcW w:w="3124" w:type="pct"/>
                  <w:gridSpan w:val="10"/>
                  <w:tcBorders>
                    <w:tl2br w:val="nil"/>
                    <w:tr2bl w:val="nil"/>
                  </w:tcBorders>
                  <w:noWrap w:val="0"/>
                  <w:vAlign w:val="center"/>
                </w:tcPr>
                <w:p w14:paraId="7C72946E">
                  <w:pPr>
                    <w:jc w:val="center"/>
                    <w:rPr>
                      <w:rFonts w:hint="default" w:ascii="Times New Roman" w:hAnsi="Times New Roman" w:cs="Times New Roman"/>
                      <w:color w:val="auto"/>
                      <w:szCs w:val="21"/>
                    </w:rPr>
                  </w:pPr>
                  <w:r>
                    <w:rPr>
                      <w:rFonts w:hint="default" w:ascii="Times New Roman" w:hAnsi="Times New Roman" w:cs="Times New Roman"/>
                      <w:smallCaps/>
                      <w:color w:val="auto"/>
                      <w:szCs w:val="21"/>
                    </w:rPr>
                    <w:t>《污水综合排放标准》(GB8978-1996)三级标准和《污水排入城镇下水道水质标准》（GB/T31962-2015）</w:t>
                  </w:r>
                  <w:r>
                    <w:rPr>
                      <w:rFonts w:hint="eastAsia" w:ascii="Times New Roman" w:hAnsi="Times New Roman" w:cs="Times New Roman"/>
                      <w:smallCaps/>
                      <w:color w:val="auto"/>
                      <w:szCs w:val="21"/>
                      <w:lang w:val="en-US" w:eastAsia="zh-CN"/>
                    </w:rPr>
                    <w:t>B</w:t>
                  </w:r>
                  <w:r>
                    <w:rPr>
                      <w:rFonts w:hint="default" w:ascii="Times New Roman" w:hAnsi="Times New Roman" w:cs="Times New Roman"/>
                      <w:smallCaps/>
                      <w:color w:val="auto"/>
                      <w:szCs w:val="21"/>
                    </w:rPr>
                    <w:t>级标准</w:t>
                  </w:r>
                </w:p>
              </w:tc>
            </w:tr>
          </w:tbl>
          <w:p w14:paraId="38B6D3BF">
            <w:pPr>
              <w:keepNext w:val="0"/>
              <w:keepLines w:val="0"/>
              <w:pageBreakBefore w:val="0"/>
              <w:widowControl w:val="0"/>
              <w:suppressLineNumbers w:val="0"/>
              <w:kinsoku/>
              <w:wordWrap/>
              <w:overflowPunct/>
              <w:topLinePunct w:val="0"/>
              <w:autoSpaceDE/>
              <w:autoSpaceDN/>
              <w:bidi w:val="0"/>
              <w:adjustRightInd w:val="0"/>
              <w:snapToGrid/>
              <w:spacing w:before="157" w:beforeLines="50" w:beforeAutospacing="0" w:after="0" w:afterAutospacing="0" w:line="360" w:lineRule="auto"/>
              <w:ind w:left="0" w:right="0" w:firstLine="482" w:firstLineChars="200"/>
              <w:textAlignment w:val="auto"/>
              <w:outlineLvl w:val="9"/>
              <w:rPr>
                <w:rFonts w:hint="default" w:ascii="Times New Roman" w:hAnsi="Times New Roman" w:eastAsia="宋体" w:cs="Times New Roman"/>
                <w:b/>
                <w:bCs/>
                <w:color w:val="auto"/>
                <w:sz w:val="24"/>
                <w:u w:val="none"/>
                <w:lang w:val="en-US" w:eastAsia="zh-CN"/>
              </w:rPr>
            </w:pPr>
            <w:bookmarkStart w:id="13" w:name="BIAO13FSBJ"/>
            <w:bookmarkEnd w:id="13"/>
            <w:r>
              <w:rPr>
                <w:rFonts w:hint="eastAsia" w:cs="Times New Roman"/>
                <w:b/>
                <w:bCs/>
                <w:color w:val="auto"/>
                <w:sz w:val="24"/>
                <w:u w:val="none"/>
                <w:lang w:val="en-US" w:eastAsia="zh-CN"/>
              </w:rPr>
              <w:t>2</w:t>
            </w:r>
            <w:r>
              <w:rPr>
                <w:rFonts w:hint="default" w:ascii="Times New Roman" w:hAnsi="Times New Roman" w:eastAsia="宋体" w:cs="Times New Roman"/>
                <w:b/>
                <w:bCs/>
                <w:color w:val="auto"/>
                <w:sz w:val="24"/>
                <w:u w:val="none"/>
                <w:lang w:val="en-US" w:eastAsia="zh-CN"/>
              </w:rPr>
              <w:t>、达标性分析</w:t>
            </w:r>
          </w:p>
          <w:p w14:paraId="6E91E36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药材洗润、浸泡、蒸煮废水，实验玻璃器皿清洗废水，设备清洗废水</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纯水制备产生的浓水</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实验台及地面清洗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水</w:t>
            </w:r>
            <w:r>
              <w:rPr>
                <w:rFonts w:hint="eastAsia" w:cs="Times New Roman"/>
                <w:i w:val="0"/>
                <w:iCs w:val="0"/>
                <w:color w:val="auto"/>
                <w:kern w:val="0"/>
                <w:sz w:val="24"/>
                <w:szCs w:val="24"/>
                <w:u w:val="none"/>
                <w:lang w:val="en-US" w:eastAsia="zh-CN" w:bidi="ar"/>
              </w:rPr>
              <w:t>经</w:t>
            </w:r>
            <w:r>
              <w:rPr>
                <w:rFonts w:hint="eastAsia" w:cs="Times New Roman"/>
                <w:color w:val="auto"/>
                <w:kern w:val="0"/>
                <w:sz w:val="24"/>
                <w:szCs w:val="24"/>
                <w:lang w:val="en-US" w:eastAsia="zh-CN"/>
              </w:rPr>
              <w:t>污水处理设施</w:t>
            </w:r>
            <w:r>
              <w:rPr>
                <w:rFonts w:hint="default" w:ascii="Times New Roman" w:hAnsi="Times New Roman" w:cs="Times New Roman"/>
                <w:color w:val="auto"/>
                <w:kern w:val="0"/>
                <w:sz w:val="24"/>
                <w:szCs w:val="24"/>
                <w:lang w:val="en-US" w:eastAsia="zh-CN"/>
              </w:rPr>
              <w:t>处理后与生活污水一并经化粪池处理后排入</w:t>
            </w:r>
            <w:r>
              <w:rPr>
                <w:rFonts w:hint="default" w:ascii="Times New Roman" w:hAnsi="Times New Roman" w:eastAsia="宋体" w:cs="Times New Roman"/>
                <w:color w:val="auto"/>
                <w:kern w:val="0"/>
                <w:sz w:val="24"/>
                <w:szCs w:val="24"/>
                <w:lang w:val="en-US" w:eastAsia="zh-CN" w:bidi="ar"/>
              </w:rPr>
              <w:t>市政污水管网</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sz w:val="24"/>
                <w:lang w:val="en-US" w:eastAsia="zh-CN"/>
              </w:rPr>
              <w:t>污染物</w:t>
            </w:r>
            <w:r>
              <w:rPr>
                <w:rFonts w:hint="default" w:ascii="Times New Roman" w:hAnsi="Times New Roman" w:cs="Times New Roman"/>
                <w:color w:val="auto"/>
                <w:sz w:val="24"/>
                <w:lang w:val="en-US" w:eastAsia="zh-CN"/>
              </w:rPr>
              <w:t>排放</w:t>
            </w:r>
            <w:r>
              <w:rPr>
                <w:rFonts w:hint="default" w:ascii="Times New Roman" w:hAnsi="Times New Roman" w:eastAsia="宋体" w:cs="Times New Roman"/>
                <w:color w:val="auto"/>
                <w:sz w:val="24"/>
                <w:lang w:val="en-US" w:eastAsia="zh-CN"/>
              </w:rPr>
              <w:t>浓度满足《污水综合排放标准》（GB8978-1996）中的三级标准以及《污水排入城镇下水道水质标准》(GB/T31962-2015)中B级标准。</w:t>
            </w:r>
          </w:p>
          <w:p w14:paraId="475739E6">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360" w:lineRule="auto"/>
              <w:ind w:left="0" w:right="0" w:firstLine="482" w:firstLineChars="200"/>
              <w:textAlignment w:val="auto"/>
              <w:outlineLvl w:val="9"/>
              <w:rPr>
                <w:rFonts w:hint="default" w:ascii="Times New Roman" w:hAnsi="Times New Roman" w:eastAsia="宋体" w:cs="Times New Roman"/>
                <w:b/>
                <w:bCs/>
                <w:color w:val="auto"/>
                <w:sz w:val="24"/>
                <w:u w:val="none"/>
                <w:lang w:val="en-US" w:eastAsia="zh-CN"/>
              </w:rPr>
            </w:pPr>
            <w:r>
              <w:rPr>
                <w:rFonts w:hint="eastAsia" w:ascii="Times New Roman" w:hAnsi="Times New Roman" w:eastAsia="宋体" w:cs="Times New Roman"/>
                <w:b/>
                <w:bCs/>
                <w:color w:val="auto"/>
                <w:sz w:val="24"/>
                <w:u w:val="none"/>
                <w:lang w:val="en-US" w:eastAsia="zh-CN"/>
              </w:rPr>
              <w:t>3</w:t>
            </w:r>
            <w:r>
              <w:rPr>
                <w:rFonts w:hint="default" w:ascii="Times New Roman" w:hAnsi="Times New Roman" w:eastAsia="宋体" w:cs="Times New Roman"/>
                <w:b/>
                <w:bCs/>
                <w:color w:val="auto"/>
                <w:sz w:val="24"/>
                <w:u w:val="none"/>
                <w:lang w:val="en-US" w:eastAsia="zh-CN"/>
              </w:rPr>
              <w:t>、废水污染治理设施可行性分析</w:t>
            </w:r>
          </w:p>
          <w:p w14:paraId="7554B0D4">
            <w:pPr>
              <w:adjustRightInd w:val="0"/>
              <w:snapToGrid w:val="0"/>
              <w:spacing w:line="360" w:lineRule="auto"/>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本项目</w:t>
            </w:r>
            <w:r>
              <w:rPr>
                <w:rFonts w:hint="eastAsia" w:ascii="Times New Roman" w:hAnsi="Times New Roman" w:eastAsia="宋体" w:cs="Times New Roman"/>
                <w:color w:val="auto"/>
                <w:sz w:val="24"/>
                <w:lang w:val="en-US" w:eastAsia="zh-CN"/>
              </w:rPr>
              <w:t>药材洗润、浸泡、蒸煮废水，实验器皿清洗废水，设备清洗废水</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纯水制备产生的浓水</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实验台及地面清洗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水</w:t>
            </w:r>
            <w:r>
              <w:rPr>
                <w:rFonts w:hint="default" w:ascii="Times New Roman" w:hAnsi="Times New Roman" w:cs="Times New Roman"/>
                <w:color w:val="auto"/>
                <w:sz w:val="24"/>
              </w:rPr>
              <w:t>一起经污水处理设备</w:t>
            </w:r>
            <w:r>
              <w:rPr>
                <w:rFonts w:hint="eastAsia" w:ascii="Times New Roman" w:hAnsi="Times New Roman" w:cs="Times New Roman"/>
                <w:color w:val="auto"/>
                <w:sz w:val="24"/>
                <w:lang w:val="en-US" w:eastAsia="zh-CN"/>
              </w:rPr>
              <w:t>处理</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污水站处理工艺：</w:t>
            </w:r>
            <w:r>
              <w:rPr>
                <w:rFonts w:hint="eastAsia" w:cs="Times New Roman"/>
                <w:color w:val="auto"/>
                <w:sz w:val="24"/>
                <w:lang w:val="en-US" w:eastAsia="zh-CN"/>
              </w:rPr>
              <w:t>pH</w:t>
            </w:r>
            <w:r>
              <w:rPr>
                <w:rFonts w:hint="default" w:ascii="Times New Roman" w:hAnsi="Times New Roman" w:cs="Times New Roman"/>
                <w:color w:val="auto"/>
                <w:sz w:val="24"/>
                <w:lang w:eastAsia="zh-CN"/>
              </w:rPr>
              <w:t>调节+</w:t>
            </w:r>
            <w:r>
              <w:rPr>
                <w:rFonts w:hint="eastAsia" w:ascii="Times New Roman" w:hAnsi="Times New Roman" w:cs="Times New Roman"/>
                <w:color w:val="auto"/>
                <w:sz w:val="24"/>
                <w:lang w:eastAsia="zh-CN"/>
              </w:rPr>
              <w:t>沉淀+消毒</w:t>
            </w:r>
            <w:r>
              <w:rPr>
                <w:rFonts w:hint="default" w:ascii="Times New Roman" w:hAnsi="Times New Roman" w:cs="Times New Roman"/>
                <w:color w:val="auto"/>
                <w:sz w:val="24"/>
              </w:rPr>
              <w:t>工艺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处理规模</w:t>
            </w:r>
            <w:r>
              <w:rPr>
                <w:rFonts w:hint="eastAsia" w:cs="Times New Roman"/>
                <w:color w:val="auto"/>
                <w:sz w:val="24"/>
                <w:lang w:val="en-US" w:eastAsia="zh-CN"/>
              </w:rPr>
              <w:t>1.6</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本项目生产</w:t>
            </w:r>
            <w:r>
              <w:rPr>
                <w:rFonts w:hint="default" w:ascii="Times New Roman" w:hAnsi="Times New Roman" w:cs="Times New Roman"/>
                <w:color w:val="auto"/>
                <w:sz w:val="24"/>
                <w:lang w:val="en-US" w:eastAsia="zh-CN"/>
              </w:rPr>
              <w:t>废水</w:t>
            </w:r>
            <w:r>
              <w:rPr>
                <w:rFonts w:hint="eastAsia" w:ascii="Times New Roman" w:hAnsi="Times New Roman" w:cs="Times New Roman"/>
                <w:color w:val="auto"/>
                <w:sz w:val="24"/>
                <w:lang w:val="en-US" w:eastAsia="zh-CN"/>
              </w:rPr>
              <w:t>合计产生量</w:t>
            </w:r>
            <w:r>
              <w:rPr>
                <w:rFonts w:hint="eastAsia" w:cs="Times New Roman"/>
                <w:color w:val="auto"/>
                <w:sz w:val="24"/>
                <w:lang w:val="en-US" w:eastAsia="zh-CN"/>
              </w:rPr>
              <w:t>0.5468</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污水站处理设计规模满足处理要求</w:t>
            </w:r>
            <w:r>
              <w:rPr>
                <w:rFonts w:hint="eastAsia" w:cs="Times New Roman"/>
                <w:color w:val="auto"/>
                <w:sz w:val="24"/>
                <w:lang w:val="en-US" w:eastAsia="zh-CN"/>
              </w:rPr>
              <w:t>。</w:t>
            </w:r>
            <w:r>
              <w:rPr>
                <w:rFonts w:hint="eastAsia" w:ascii="Times New Roman" w:hAnsi="Times New Roman" w:cs="Times New Roman"/>
                <w:color w:val="auto"/>
                <w:sz w:val="24"/>
                <w:lang w:val="en-US" w:eastAsia="zh-CN"/>
              </w:rPr>
              <w:t>本项目</w:t>
            </w:r>
            <w:r>
              <w:rPr>
                <w:rFonts w:hint="default" w:ascii="Times New Roman" w:hAnsi="Times New Roman" w:cs="Times New Roman"/>
                <w:bCs/>
                <w:color w:val="auto"/>
                <w:sz w:val="24"/>
                <w:lang w:val="en-US" w:eastAsia="zh-CN"/>
              </w:rPr>
              <w:t>废水中</w:t>
            </w:r>
            <w:r>
              <w:rPr>
                <w:rFonts w:hint="eastAsia" w:ascii="Times New Roman" w:hAnsi="Times New Roman" w:cs="Times New Roman"/>
                <w:bCs/>
                <w:color w:val="auto"/>
                <w:sz w:val="24"/>
                <w:lang w:val="en-US" w:eastAsia="zh-CN"/>
              </w:rPr>
              <w:t>主要污染物有</w:t>
            </w:r>
            <w:r>
              <w:rPr>
                <w:rFonts w:hint="default" w:ascii="Times New Roman" w:hAnsi="Times New Roman" w:cs="Times New Roman"/>
                <w:color w:val="auto"/>
                <w:sz w:val="24"/>
                <w:lang w:eastAsia="zh-CN"/>
              </w:rPr>
              <w:t>pH</w:t>
            </w:r>
            <w:r>
              <w:rPr>
                <w:rFonts w:hint="eastAsia" w:ascii="Times New Roman" w:hAnsi="Times New Roman" w:cs="Times New Roman"/>
                <w:color w:val="auto"/>
                <w:sz w:val="24"/>
                <w:lang w:eastAsia="zh-CN"/>
              </w:rPr>
              <w:t>、</w:t>
            </w:r>
            <w:r>
              <w:rPr>
                <w:rFonts w:hint="default" w:ascii="Times New Roman" w:hAnsi="Times New Roman" w:cs="Times New Roman"/>
                <w:bCs/>
                <w:color w:val="auto"/>
                <w:sz w:val="24"/>
                <w:lang w:val="en-US" w:eastAsia="zh-CN"/>
              </w:rPr>
              <w:t>COD、BOD</w:t>
            </w:r>
            <w:r>
              <w:rPr>
                <w:rFonts w:hint="default" w:ascii="Times New Roman" w:hAnsi="Times New Roman" w:cs="Times New Roman"/>
                <w:bCs/>
                <w:color w:val="auto"/>
                <w:sz w:val="24"/>
                <w:vertAlign w:val="subscript"/>
                <w:lang w:val="en-US" w:eastAsia="zh-CN"/>
              </w:rPr>
              <w:t>5</w:t>
            </w:r>
            <w:r>
              <w:rPr>
                <w:rFonts w:hint="default" w:ascii="Times New Roman" w:hAnsi="Times New Roman" w:cs="Times New Roman"/>
                <w:bCs/>
                <w:color w:val="auto"/>
                <w:sz w:val="24"/>
                <w:lang w:val="en-US" w:eastAsia="zh-CN"/>
              </w:rPr>
              <w:t>、SS</w:t>
            </w:r>
            <w:r>
              <w:rPr>
                <w:rFonts w:hint="eastAsia" w:ascii="Times New Roman" w:hAnsi="Times New Roman" w:cs="Times New Roman"/>
                <w:bCs/>
                <w:color w:val="auto"/>
                <w:sz w:val="24"/>
                <w:lang w:val="en-US" w:eastAsia="zh-CN"/>
              </w:rPr>
              <w:t>，污染物</w:t>
            </w:r>
            <w:r>
              <w:rPr>
                <w:rFonts w:hint="default" w:ascii="Times New Roman" w:hAnsi="Times New Roman" w:cs="Times New Roman"/>
                <w:bCs/>
                <w:color w:val="auto"/>
                <w:sz w:val="24"/>
                <w:lang w:val="en-US" w:eastAsia="zh-CN"/>
              </w:rPr>
              <w:t>浓度较低，由于污水中含有酸、碱类物质，需对废水进行酸碱中和处理</w:t>
            </w:r>
            <w:r>
              <w:rPr>
                <w:rFonts w:hint="eastAsia" w:ascii="Times New Roman" w:hAnsi="Times New Roman" w:cs="Times New Roman"/>
                <w:bCs/>
                <w:color w:val="auto"/>
                <w:sz w:val="24"/>
                <w:lang w:val="en-US" w:eastAsia="zh-CN"/>
              </w:rPr>
              <w:t>，中和处理后投加絮凝剂进行絮凝沉淀最后采用</w:t>
            </w:r>
            <w:r>
              <w:rPr>
                <w:rFonts w:hint="eastAsia" w:cs="Times New Roman"/>
                <w:bCs/>
                <w:color w:val="auto"/>
                <w:sz w:val="24"/>
                <w:lang w:val="en-US" w:eastAsia="zh-CN"/>
              </w:rPr>
              <w:t>“</w:t>
            </w:r>
            <w:r>
              <w:rPr>
                <w:rFonts w:hint="eastAsia"/>
                <w:color w:val="auto"/>
                <w:sz w:val="24"/>
              </w:rPr>
              <w:t>缓释氯片</w:t>
            </w:r>
            <w:r>
              <w:rPr>
                <w:rFonts w:hint="eastAsia" w:cs="Times New Roman"/>
                <w:bCs/>
                <w:color w:val="auto"/>
                <w:sz w:val="24"/>
                <w:lang w:val="en-US" w:eastAsia="zh-CN"/>
              </w:rPr>
              <w:t>”</w:t>
            </w:r>
            <w:r>
              <w:rPr>
                <w:rFonts w:hint="eastAsia" w:ascii="Times New Roman" w:hAnsi="Times New Roman" w:cs="Times New Roman"/>
                <w:bCs/>
                <w:color w:val="auto"/>
                <w:sz w:val="24"/>
                <w:lang w:val="en-US" w:eastAsia="zh-CN"/>
              </w:rPr>
              <w:t>进行消毒</w:t>
            </w:r>
            <w:r>
              <w:rPr>
                <w:rFonts w:hint="default" w:ascii="Times New Roman" w:hAnsi="Times New Roman" w:cs="Times New Roman"/>
                <w:bCs/>
                <w:color w:val="auto"/>
                <w:sz w:val="24"/>
                <w:lang w:val="en-US" w:eastAsia="zh-CN"/>
              </w:rPr>
              <w:t>。</w:t>
            </w:r>
            <w:r>
              <w:rPr>
                <w:rFonts w:hint="eastAsia" w:ascii="Times New Roman" w:hAnsi="Times New Roman" w:cs="Times New Roman"/>
                <w:bCs/>
                <w:color w:val="auto"/>
                <w:sz w:val="24"/>
                <w:lang w:val="en-US" w:eastAsia="zh-CN"/>
              </w:rPr>
              <w:t>项目采用的废水处理工艺、规模及消毒方式可行。</w:t>
            </w:r>
          </w:p>
          <w:p w14:paraId="69685C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outlineLvl w:val="9"/>
              <w:rPr>
                <w:rFonts w:hint="default" w:ascii="Times New Roman" w:hAnsi="Times New Roman" w:eastAsia="宋体" w:cs="Times New Roman"/>
                <w:b/>
                <w:bCs/>
                <w:color w:val="auto"/>
                <w:sz w:val="24"/>
              </w:rPr>
            </w:pPr>
            <w:r>
              <w:rPr>
                <w:rFonts w:hint="eastAsia" w:cs="Times New Roman"/>
                <w:b/>
                <w:bCs/>
                <w:color w:val="auto"/>
                <w:sz w:val="24"/>
                <w:lang w:val="en-US" w:eastAsia="zh-CN"/>
              </w:rPr>
              <w:t>4、</w:t>
            </w:r>
            <w:r>
              <w:rPr>
                <w:rFonts w:hint="default" w:ascii="Times New Roman" w:hAnsi="Times New Roman" w:eastAsia="宋体" w:cs="Times New Roman"/>
                <w:b/>
                <w:bCs/>
                <w:color w:val="auto"/>
                <w:sz w:val="24"/>
              </w:rPr>
              <w:t>依托</w:t>
            </w:r>
            <w:r>
              <w:rPr>
                <w:rFonts w:hint="default" w:ascii="Times New Roman" w:hAnsi="Times New Roman" w:eastAsia="宋体" w:cs="Times New Roman"/>
                <w:b/>
                <w:bCs/>
                <w:color w:val="auto"/>
                <w:sz w:val="24"/>
                <w:lang w:val="en-US" w:eastAsia="zh-CN"/>
              </w:rPr>
              <w:t>污水</w:t>
            </w:r>
            <w:r>
              <w:rPr>
                <w:rFonts w:hint="eastAsia" w:cs="Times New Roman"/>
                <w:b/>
                <w:bCs/>
                <w:color w:val="auto"/>
                <w:sz w:val="24"/>
                <w:lang w:val="en-US" w:eastAsia="zh-CN"/>
              </w:rPr>
              <w:t>处理设施</w:t>
            </w:r>
            <w:r>
              <w:rPr>
                <w:rFonts w:hint="default" w:ascii="Times New Roman" w:hAnsi="Times New Roman" w:eastAsia="宋体" w:cs="Times New Roman"/>
                <w:b/>
                <w:bCs/>
                <w:color w:val="auto"/>
                <w:sz w:val="24"/>
                <w:lang w:val="en-US" w:eastAsia="zh-CN"/>
              </w:rPr>
              <w:t>的可行性分析</w:t>
            </w:r>
          </w:p>
          <w:p w14:paraId="30B044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w:t>
            </w:r>
            <w:r>
              <w:rPr>
                <w:rFonts w:hint="default" w:ascii="Times New Roman" w:hAnsi="Times New Roman" w:eastAsia="宋体" w:cs="Times New Roman"/>
                <w:color w:val="auto"/>
                <w:sz w:val="24"/>
                <w:lang w:val="en-US" w:eastAsia="zh-CN"/>
              </w:rPr>
              <w:t>1）</w:t>
            </w:r>
            <w:r>
              <w:rPr>
                <w:rFonts w:hint="eastAsia" w:cs="Times New Roman"/>
                <w:color w:val="auto"/>
                <w:sz w:val="24"/>
                <w:lang w:val="en-US" w:eastAsia="zh-CN"/>
              </w:rPr>
              <w:t>依托沣西新城</w:t>
            </w:r>
            <w:r>
              <w:rPr>
                <w:rFonts w:hint="eastAsia" w:ascii="Times New Roman" w:hAnsi="Times New Roman" w:eastAsia="宋体" w:cs="Times New Roman"/>
                <w:color w:val="auto"/>
                <w:sz w:val="24"/>
                <w:lang w:val="en-US" w:eastAsia="zh-CN"/>
              </w:rPr>
              <w:t>沣河污水</w:t>
            </w:r>
            <w:r>
              <w:rPr>
                <w:rFonts w:hint="eastAsia" w:eastAsia="宋体" w:cs="Times New Roman"/>
                <w:color w:val="auto"/>
                <w:sz w:val="24"/>
                <w:lang w:val="en-US" w:eastAsia="zh-CN"/>
              </w:rPr>
              <w:t>可行性分析</w:t>
            </w:r>
          </w:p>
          <w:p w14:paraId="0F56512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宋体"/>
                <w:color w:val="auto"/>
                <w:sz w:val="24"/>
                <w:szCs w:val="24"/>
              </w:rPr>
            </w:pPr>
            <w:r>
              <w:rPr>
                <w:rFonts w:hint="eastAsia" w:cs="Times New Roman"/>
                <w:color w:val="auto"/>
                <w:sz w:val="24"/>
                <w:lang w:val="en-US" w:eastAsia="zh-CN"/>
              </w:rPr>
              <w:t>沣西新城</w:t>
            </w:r>
            <w:r>
              <w:rPr>
                <w:rFonts w:ascii="宋体" w:hAnsi="宋体" w:eastAsia="宋体" w:cs="宋体"/>
                <w:color w:val="auto"/>
                <w:spacing w:val="-3"/>
                <w:sz w:val="24"/>
                <w:szCs w:val="24"/>
              </w:rPr>
              <w:t>沣河污水处理厂位于沣西新城沣柳路以西，韩非路以东，</w:t>
            </w:r>
            <w:r>
              <w:rPr>
                <w:rFonts w:ascii="宋体" w:hAnsi="宋体" w:eastAsia="宋体" w:cs="宋体"/>
                <w:color w:val="auto"/>
                <w:spacing w:val="-4"/>
                <w:sz w:val="24"/>
                <w:szCs w:val="24"/>
              </w:rPr>
              <w:t>统一路以南，康定</w:t>
            </w:r>
            <w:r>
              <w:rPr>
                <w:rFonts w:ascii="宋体" w:hAnsi="宋体" w:eastAsia="宋体" w:cs="宋体"/>
                <w:color w:val="auto"/>
                <w:spacing w:val="-1"/>
                <w:sz w:val="24"/>
                <w:szCs w:val="24"/>
              </w:rPr>
              <w:t>路以北区域，总占地</w:t>
            </w:r>
            <w:r>
              <w:rPr>
                <w:rFonts w:ascii="Times New Roman" w:hAnsi="Times New Roman" w:eastAsia="Times New Roman" w:cs="Times New Roman"/>
                <w:color w:val="auto"/>
                <w:spacing w:val="-1"/>
                <w:sz w:val="24"/>
                <w:szCs w:val="24"/>
              </w:rPr>
              <w:t>62.13</w:t>
            </w:r>
            <w:r>
              <w:rPr>
                <w:rFonts w:ascii="宋体" w:hAnsi="宋体" w:eastAsia="宋体" w:cs="宋体"/>
                <w:color w:val="auto"/>
                <w:spacing w:val="-1"/>
                <w:sz w:val="24"/>
                <w:szCs w:val="24"/>
              </w:rPr>
              <w:t>亩。</w:t>
            </w:r>
            <w:r>
              <w:rPr>
                <w:rFonts w:ascii="宋体" w:hAnsi="宋体" w:eastAsia="宋体" w:cs="宋体"/>
                <w:color w:val="auto"/>
                <w:spacing w:val="-3"/>
                <w:sz w:val="24"/>
                <w:szCs w:val="24"/>
              </w:rPr>
              <w:t>收水范围为西宝</w:t>
            </w:r>
            <w:r>
              <w:rPr>
                <w:rFonts w:ascii="宋体" w:hAnsi="宋体" w:eastAsia="宋体" w:cs="宋体"/>
                <w:color w:val="auto"/>
                <w:spacing w:val="4"/>
                <w:sz w:val="24"/>
                <w:szCs w:val="24"/>
              </w:rPr>
              <w:t>高速南线与北线之间，秦皇大道以东至沣河的围合区域，服务面积</w:t>
            </w:r>
            <w:r>
              <w:rPr>
                <w:rFonts w:ascii="Times New Roman" w:hAnsi="Times New Roman" w:eastAsia="Times New Roman" w:cs="Times New Roman"/>
                <w:color w:val="auto"/>
                <w:spacing w:val="-2"/>
                <w:sz w:val="24"/>
                <w:szCs w:val="24"/>
              </w:rPr>
              <w:t>15.91km</w:t>
            </w:r>
            <w:r>
              <w:rPr>
                <w:rFonts w:ascii="Times New Roman" w:hAnsi="Times New Roman" w:eastAsia="Times New Roman" w:cs="Times New Roman"/>
                <w:color w:val="auto"/>
                <w:spacing w:val="-2"/>
                <w:position w:val="7"/>
                <w:sz w:val="15"/>
                <w:szCs w:val="15"/>
              </w:rPr>
              <w:t>2</w:t>
            </w:r>
            <w:r>
              <w:rPr>
                <w:rFonts w:ascii="宋体" w:hAnsi="宋体" w:eastAsia="宋体" w:cs="宋体"/>
                <w:color w:val="auto"/>
                <w:spacing w:val="-2"/>
                <w:sz w:val="24"/>
                <w:szCs w:val="24"/>
              </w:rPr>
              <w:t>。</w:t>
            </w:r>
          </w:p>
          <w:p w14:paraId="2DA8AF2D">
            <w:pPr>
              <w:spacing w:before="2" w:line="365" w:lineRule="auto"/>
              <w:ind w:left="22" w:right="80" w:firstLine="482"/>
              <w:jc w:val="both"/>
              <w:rPr>
                <w:rFonts w:ascii="宋体" w:hAnsi="宋体" w:eastAsia="宋体" w:cs="宋体"/>
                <w:color w:val="auto"/>
                <w:sz w:val="24"/>
                <w:szCs w:val="24"/>
              </w:rPr>
            </w:pPr>
            <w:r>
              <w:rPr>
                <w:rFonts w:hint="eastAsia" w:ascii="宋体" w:hAnsi="宋体" w:cs="宋体"/>
                <w:color w:val="auto"/>
                <w:spacing w:val="-1"/>
                <w:sz w:val="24"/>
                <w:szCs w:val="24"/>
                <w:lang w:val="en-US" w:eastAsia="zh-CN"/>
              </w:rPr>
              <w:t>沣河污水厂现状</w:t>
            </w:r>
            <w:r>
              <w:rPr>
                <w:rFonts w:ascii="宋体" w:hAnsi="宋体" w:eastAsia="宋体" w:cs="宋体"/>
                <w:color w:val="auto"/>
                <w:spacing w:val="-2"/>
                <w:sz w:val="24"/>
                <w:szCs w:val="24"/>
              </w:rPr>
              <w:t>处理规模</w:t>
            </w:r>
            <w:r>
              <w:rPr>
                <w:rFonts w:ascii="Times New Roman" w:hAnsi="Times New Roman" w:eastAsia="Times New Roman" w:cs="Times New Roman"/>
                <w:color w:val="auto"/>
                <w:spacing w:val="-2"/>
                <w:sz w:val="24"/>
                <w:szCs w:val="24"/>
              </w:rPr>
              <w:t>3</w:t>
            </w:r>
            <w:r>
              <w:rPr>
                <w:rFonts w:ascii="宋体" w:hAnsi="宋体" w:eastAsia="宋体" w:cs="宋体"/>
                <w:color w:val="auto"/>
                <w:spacing w:val="-2"/>
                <w:sz w:val="24"/>
                <w:szCs w:val="24"/>
              </w:rPr>
              <w:t>万</w:t>
            </w:r>
            <w:r>
              <w:rPr>
                <w:rFonts w:ascii="Times New Roman" w:hAnsi="Times New Roman" w:eastAsia="Times New Roman" w:cs="Times New Roman"/>
                <w:color w:val="auto"/>
                <w:spacing w:val="-2"/>
                <w:sz w:val="24"/>
                <w:szCs w:val="24"/>
              </w:rPr>
              <w:t>m</w:t>
            </w:r>
            <w:r>
              <w:rPr>
                <w:rFonts w:ascii="Times New Roman" w:hAnsi="Times New Roman" w:eastAsia="Times New Roman" w:cs="Times New Roman"/>
                <w:color w:val="auto"/>
                <w:spacing w:val="-2"/>
                <w:position w:val="7"/>
                <w:sz w:val="15"/>
                <w:szCs w:val="15"/>
              </w:rPr>
              <w:t>3</w:t>
            </w:r>
            <w:r>
              <w:rPr>
                <w:rFonts w:ascii="Times New Roman" w:hAnsi="Times New Roman" w:eastAsia="Times New Roman" w:cs="Times New Roman"/>
                <w:color w:val="auto"/>
                <w:spacing w:val="-2"/>
                <w:sz w:val="24"/>
                <w:szCs w:val="24"/>
              </w:rPr>
              <w:t>/d</w:t>
            </w:r>
            <w:r>
              <w:rPr>
                <w:rFonts w:hint="eastAsia" w:ascii="宋体" w:hAnsi="宋体" w:cs="宋体"/>
                <w:color w:val="auto"/>
                <w:spacing w:val="-2"/>
                <w:sz w:val="24"/>
                <w:szCs w:val="24"/>
                <w:lang w:eastAsia="zh-CN"/>
              </w:rPr>
              <w:t>，</w:t>
            </w:r>
            <w:r>
              <w:rPr>
                <w:rFonts w:ascii="宋体" w:hAnsi="宋体" w:eastAsia="宋体" w:cs="宋体"/>
                <w:color w:val="auto"/>
                <w:spacing w:val="-3"/>
                <w:sz w:val="24"/>
                <w:szCs w:val="24"/>
              </w:rPr>
              <w:t>污水处理工艺采用</w:t>
            </w:r>
            <w:r>
              <w:rPr>
                <w:rFonts w:ascii="Times New Roman" w:hAnsi="Times New Roman" w:eastAsia="Times New Roman" w:cs="Times New Roman"/>
                <w:color w:val="auto"/>
                <w:spacing w:val="-3"/>
                <w:sz w:val="24"/>
                <w:szCs w:val="24"/>
              </w:rPr>
              <w:t>A</w:t>
            </w:r>
            <w:r>
              <w:rPr>
                <w:rFonts w:ascii="Times New Roman" w:hAnsi="Times New Roman" w:eastAsia="Times New Roman" w:cs="Times New Roman"/>
                <w:color w:val="auto"/>
                <w:spacing w:val="-3"/>
                <w:position w:val="7"/>
                <w:sz w:val="15"/>
                <w:szCs w:val="15"/>
              </w:rPr>
              <w:t>2</w:t>
            </w:r>
            <w:r>
              <w:rPr>
                <w:rFonts w:ascii="Times New Roman" w:hAnsi="Times New Roman" w:eastAsia="Times New Roman" w:cs="Times New Roman"/>
                <w:color w:val="auto"/>
                <w:spacing w:val="-3"/>
                <w:sz w:val="24"/>
                <w:szCs w:val="24"/>
              </w:rPr>
              <w:t>O+MBR</w:t>
            </w:r>
            <w:r>
              <w:rPr>
                <w:rFonts w:ascii="宋体" w:hAnsi="宋体" w:eastAsia="宋体" w:cs="宋体"/>
                <w:color w:val="auto"/>
                <w:spacing w:val="-3"/>
                <w:sz w:val="24"/>
                <w:szCs w:val="24"/>
              </w:rPr>
              <w:t>处理工艺，</w:t>
            </w:r>
            <w:r>
              <w:rPr>
                <w:color w:val="auto"/>
              </w:rPr>
              <w:fldChar w:fldCharType="begin"/>
            </w:r>
            <w:r>
              <w:rPr>
                <w:color w:val="auto"/>
              </w:rPr>
              <w:instrText xml:space="preserve"> HYPERLINK "http://sthjt.shaanxi.gov.cn/d/file/standard/dfbz/20190114/1547449189198118.pdf" </w:instrText>
            </w:r>
            <w:r>
              <w:rPr>
                <w:color w:val="auto"/>
              </w:rPr>
              <w:fldChar w:fldCharType="separate"/>
            </w:r>
            <w:r>
              <w:rPr>
                <w:rFonts w:ascii="宋体" w:hAnsi="宋体" w:eastAsia="宋体" w:cs="宋体"/>
                <w:color w:val="auto"/>
                <w:spacing w:val="-3"/>
                <w:sz w:val="24"/>
                <w:szCs w:val="24"/>
              </w:rPr>
              <w:t>设计出水</w:t>
            </w:r>
            <w:r>
              <w:rPr>
                <w:rFonts w:ascii="宋体" w:hAnsi="宋体" w:eastAsia="宋体" w:cs="宋体"/>
                <w:color w:val="auto"/>
                <w:spacing w:val="-4"/>
                <w:sz w:val="24"/>
                <w:szCs w:val="24"/>
              </w:rPr>
              <w:t>水质达到《陕西省黄河流</w:t>
            </w:r>
            <w:r>
              <w:rPr>
                <w:rFonts w:ascii="宋体" w:hAnsi="宋体" w:eastAsia="宋体" w:cs="宋体"/>
                <w:color w:val="auto"/>
                <w:spacing w:val="-4"/>
                <w:sz w:val="24"/>
                <w:szCs w:val="24"/>
              </w:rPr>
              <w:fldChar w:fldCharType="end"/>
            </w:r>
            <w:r>
              <w:rPr>
                <w:rFonts w:ascii="宋体" w:hAnsi="宋体" w:eastAsia="宋体" w:cs="宋体"/>
                <w:color w:val="auto"/>
                <w:sz w:val="24"/>
                <w:szCs w:val="24"/>
              </w:rPr>
              <w:t>域污水综合排放标准》（</w:t>
            </w:r>
            <w:r>
              <w:rPr>
                <w:rFonts w:ascii="Times New Roman" w:hAnsi="Times New Roman" w:eastAsia="Times New Roman" w:cs="Times New Roman"/>
                <w:color w:val="auto"/>
                <w:sz w:val="24"/>
                <w:szCs w:val="24"/>
              </w:rPr>
              <w:t>DB61/224-2018</w:t>
            </w:r>
            <w:r>
              <w:rPr>
                <w:rFonts w:ascii="宋体" w:hAnsi="宋体" w:eastAsia="宋体" w:cs="宋体"/>
                <w:color w:val="auto"/>
                <w:sz w:val="24"/>
                <w:szCs w:val="24"/>
              </w:rPr>
              <w:t>）表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中</w:t>
            </w:r>
            <w:r>
              <w:rPr>
                <w:rFonts w:ascii="Times New Roman" w:hAnsi="Times New Roman" w:eastAsia="Times New Roman" w:cs="Times New Roman"/>
                <w:color w:val="auto"/>
                <w:sz w:val="24"/>
                <w:szCs w:val="24"/>
              </w:rPr>
              <w:t>A</w:t>
            </w:r>
            <w:r>
              <w:rPr>
                <w:rFonts w:ascii="宋体" w:hAnsi="宋体" w:eastAsia="宋体" w:cs="宋体"/>
                <w:color w:val="auto"/>
                <w:sz w:val="24"/>
                <w:szCs w:val="24"/>
              </w:rPr>
              <w:t>标准</w:t>
            </w:r>
            <w:r>
              <w:rPr>
                <w:rFonts w:hint="eastAsia" w:ascii="宋体" w:hAnsi="宋体" w:cs="宋体"/>
                <w:color w:val="auto"/>
                <w:sz w:val="24"/>
                <w:szCs w:val="24"/>
                <w:lang w:val="en-US" w:eastAsia="zh-CN"/>
              </w:rPr>
              <w:t>后排入沣河</w:t>
            </w:r>
            <w:r>
              <w:rPr>
                <w:rFonts w:ascii="宋体" w:hAnsi="宋体" w:eastAsia="宋体" w:cs="宋体"/>
                <w:color w:val="auto"/>
                <w:spacing w:val="-3"/>
                <w:sz w:val="24"/>
                <w:szCs w:val="24"/>
              </w:rPr>
              <w:t>。</w:t>
            </w:r>
          </w:p>
          <w:p w14:paraId="211EE11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本项目位于</w:t>
            </w:r>
            <w:r>
              <w:rPr>
                <w:rFonts w:hint="eastAsia" w:cs="Times New Roman"/>
                <w:color w:val="auto"/>
                <w:sz w:val="24"/>
                <w:lang w:val="en-US" w:eastAsia="zh-CN"/>
              </w:rPr>
              <w:t>沣西新城</w:t>
            </w:r>
            <w:r>
              <w:rPr>
                <w:rFonts w:ascii="宋体" w:hAnsi="宋体" w:eastAsia="宋体" w:cs="宋体"/>
                <w:color w:val="auto"/>
                <w:spacing w:val="-3"/>
                <w:sz w:val="24"/>
                <w:szCs w:val="24"/>
              </w:rPr>
              <w:t>沣河污水处理厂</w:t>
            </w:r>
            <w:r>
              <w:rPr>
                <w:rFonts w:hint="default" w:ascii="Times New Roman" w:hAnsi="Times New Roman" w:eastAsia="宋体" w:cs="Times New Roman"/>
                <w:color w:val="auto"/>
                <w:sz w:val="24"/>
                <w:lang w:val="en-US" w:eastAsia="zh-CN"/>
              </w:rPr>
              <w:t>的收水范围内，目前市政污水管网已铺设到位，项目污水经处理后水质满足排放标准要求，</w:t>
            </w:r>
            <w:r>
              <w:rPr>
                <w:rFonts w:hint="eastAsia" w:cs="Times New Roman"/>
                <w:color w:val="auto"/>
                <w:sz w:val="24"/>
                <w:lang w:val="en-US" w:eastAsia="zh-CN"/>
              </w:rPr>
              <w:t>本项目废水的排放量为0.5468</w:t>
            </w:r>
            <w:r>
              <w:rPr>
                <w:rFonts w:ascii="Times New Roman" w:hAnsi="Times New Roman" w:eastAsia="Times New Roman" w:cs="Times New Roman"/>
                <w:color w:val="auto"/>
                <w:spacing w:val="-2"/>
                <w:sz w:val="24"/>
                <w:szCs w:val="24"/>
              </w:rPr>
              <w:t>m</w:t>
            </w:r>
            <w:r>
              <w:rPr>
                <w:rFonts w:ascii="Times New Roman" w:hAnsi="Times New Roman" w:eastAsia="Times New Roman" w:cs="Times New Roman"/>
                <w:color w:val="auto"/>
                <w:spacing w:val="-2"/>
                <w:position w:val="7"/>
                <w:sz w:val="15"/>
                <w:szCs w:val="15"/>
              </w:rPr>
              <w:t>3</w:t>
            </w:r>
            <w:r>
              <w:rPr>
                <w:rFonts w:ascii="Times New Roman" w:hAnsi="Times New Roman" w:eastAsia="Times New Roman" w:cs="Times New Roman"/>
                <w:color w:val="auto"/>
                <w:spacing w:val="-2"/>
                <w:sz w:val="24"/>
                <w:szCs w:val="24"/>
              </w:rPr>
              <w:t>/d</w:t>
            </w:r>
            <w:r>
              <w:rPr>
                <w:rFonts w:hint="eastAsia" w:eastAsia="宋体" w:cs="Times New Roman"/>
                <w:color w:val="auto"/>
                <w:spacing w:val="-2"/>
                <w:sz w:val="24"/>
                <w:szCs w:val="24"/>
                <w:lang w:eastAsia="zh-CN"/>
              </w:rPr>
              <w:t>，</w:t>
            </w:r>
            <w:r>
              <w:rPr>
                <w:rFonts w:hint="default" w:ascii="Times New Roman" w:hAnsi="Times New Roman" w:eastAsia="宋体" w:cs="Times New Roman"/>
                <w:color w:val="auto"/>
                <w:sz w:val="24"/>
                <w:lang w:val="en-US" w:eastAsia="zh-CN"/>
              </w:rPr>
              <w:t>项目污水排放量占污水处理厂设计处理水量份额较小，</w:t>
            </w:r>
            <w:r>
              <w:rPr>
                <w:rFonts w:hint="eastAsia" w:cs="Times New Roman"/>
                <w:color w:val="auto"/>
                <w:sz w:val="24"/>
                <w:lang w:val="en-US" w:eastAsia="zh-CN"/>
              </w:rPr>
              <w:t>对污水处理厂的冲击负荷较小，且</w:t>
            </w:r>
            <w:r>
              <w:rPr>
                <w:rFonts w:hint="default" w:ascii="Times New Roman" w:hAnsi="Times New Roman" w:eastAsia="宋体" w:cs="Times New Roman"/>
                <w:color w:val="auto"/>
                <w:sz w:val="24"/>
                <w:lang w:val="en-US" w:eastAsia="zh-CN"/>
              </w:rPr>
              <w:t>废水水质简单，废水可生化降解性较好，故依托</w:t>
            </w:r>
            <w:r>
              <w:rPr>
                <w:rFonts w:hint="eastAsia" w:cs="Times New Roman"/>
                <w:color w:val="auto"/>
                <w:sz w:val="24"/>
                <w:lang w:val="en-US" w:eastAsia="zh-CN"/>
              </w:rPr>
              <w:t>沣西新城</w:t>
            </w:r>
            <w:r>
              <w:rPr>
                <w:rFonts w:ascii="宋体" w:hAnsi="宋体" w:eastAsia="宋体" w:cs="宋体"/>
                <w:color w:val="auto"/>
                <w:spacing w:val="-3"/>
                <w:sz w:val="24"/>
                <w:szCs w:val="24"/>
              </w:rPr>
              <w:t>沣河污水处理厂</w:t>
            </w:r>
            <w:r>
              <w:rPr>
                <w:rFonts w:hint="default" w:ascii="Times New Roman" w:hAnsi="Times New Roman" w:eastAsia="宋体" w:cs="Times New Roman"/>
                <w:color w:val="auto"/>
                <w:sz w:val="24"/>
                <w:lang w:val="en-US" w:eastAsia="zh-CN"/>
              </w:rPr>
              <w:t>处理可行。</w:t>
            </w:r>
          </w:p>
          <w:p w14:paraId="5164593F">
            <w:pPr>
              <w:keepNext w:val="0"/>
              <w:keepLines w:val="0"/>
              <w:pageBreakBefore w:val="0"/>
              <w:widowControl w:val="0"/>
              <w:numPr>
                <w:ilvl w:val="0"/>
                <w:numId w:val="7"/>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textAlignment w:val="auto"/>
              <w:outlineLvl w:val="9"/>
              <w:rPr>
                <w:rFonts w:hint="default" w:cs="Times New Roman"/>
                <w:smallCaps/>
                <w:color w:val="auto"/>
                <w:sz w:val="24"/>
                <w:szCs w:val="24"/>
                <w:lang w:val="en-US" w:eastAsia="zh-CN"/>
              </w:rPr>
            </w:pPr>
            <w:r>
              <w:rPr>
                <w:rFonts w:hint="eastAsia" w:cs="Times New Roman"/>
                <w:color w:val="auto"/>
                <w:sz w:val="24"/>
                <w:szCs w:val="24"/>
                <w:lang w:val="en-US" w:eastAsia="zh-CN"/>
              </w:rPr>
              <w:t>依托</w:t>
            </w:r>
            <w:r>
              <w:rPr>
                <w:rFonts w:hint="eastAsia" w:cs="Times New Roman"/>
                <w:smallCaps/>
                <w:color w:val="auto"/>
                <w:sz w:val="24"/>
                <w:szCs w:val="24"/>
                <w:lang w:val="en-US" w:eastAsia="zh-CN"/>
              </w:rPr>
              <w:t>化粪池可行性分析</w:t>
            </w:r>
          </w:p>
          <w:p w14:paraId="5B7E821D">
            <w:pPr>
              <w:adjustRightInd w:val="0"/>
              <w:snapToGrid w:val="0"/>
              <w:spacing w:line="360" w:lineRule="auto"/>
              <w:ind w:firstLine="480" w:firstLineChars="200"/>
              <w:rPr>
                <w:rFonts w:hint="eastAsia"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本项目经过处理后的</w:t>
            </w:r>
            <w:r>
              <w:rPr>
                <w:rFonts w:hint="eastAsia" w:cs="Times New Roman"/>
                <w:color w:val="auto"/>
                <w:sz w:val="24"/>
                <w:lang w:val="en-US" w:eastAsia="zh-CN"/>
              </w:rPr>
              <w:t>实</w:t>
            </w:r>
            <w:r>
              <w:rPr>
                <w:rFonts w:hint="eastAsia" w:ascii="Times New Roman" w:hAnsi="Times New Roman" w:eastAsia="宋体" w:cs="Times New Roman"/>
                <w:color w:val="auto"/>
                <w:sz w:val="24"/>
                <w:lang w:val="en-US" w:eastAsia="zh-CN"/>
              </w:rPr>
              <w:t>验废水及生活污水经隆桥瑞苑小区现有的化粪池收集处理后排放，现有化粪池容积为100</w:t>
            </w:r>
            <w:r>
              <w:rPr>
                <w:rFonts w:ascii="Times New Roman" w:hAnsi="Times New Roman" w:eastAsia="Times New Roman" w:cs="Times New Roman"/>
                <w:color w:val="auto"/>
                <w:spacing w:val="-2"/>
                <w:sz w:val="24"/>
                <w:szCs w:val="24"/>
              </w:rPr>
              <w:t>m</w:t>
            </w:r>
            <w:r>
              <w:rPr>
                <w:rFonts w:hint="eastAsia" w:eastAsia="宋体" w:cs="Times New Roman"/>
                <w:color w:val="auto"/>
                <w:spacing w:val="-2"/>
                <w:position w:val="7"/>
                <w:sz w:val="15"/>
                <w:szCs w:val="15"/>
                <w:vertAlign w:val="baseline"/>
                <w:lang w:val="en-US" w:eastAsia="zh-CN"/>
              </w:rPr>
              <w:t>3</w:t>
            </w:r>
            <w:r>
              <w:rPr>
                <w:rFonts w:hint="eastAsia" w:ascii="Times New Roman" w:hAnsi="Times New Roman" w:eastAsia="宋体" w:cs="Times New Roman"/>
                <w:color w:val="auto"/>
                <w:sz w:val="24"/>
                <w:lang w:val="en-US" w:eastAsia="zh-CN"/>
              </w:rPr>
              <w:t>，本项目</w:t>
            </w:r>
            <w:r>
              <w:rPr>
                <w:rFonts w:hint="eastAsia" w:eastAsia="宋体" w:cs="Times New Roman"/>
                <w:color w:val="auto"/>
                <w:sz w:val="24"/>
                <w:lang w:val="en-US" w:eastAsia="zh-CN"/>
              </w:rPr>
              <w:t>废水</w:t>
            </w:r>
            <w:r>
              <w:rPr>
                <w:rFonts w:hint="eastAsia" w:ascii="Times New Roman" w:hAnsi="Times New Roman" w:eastAsia="宋体" w:cs="Times New Roman"/>
                <w:color w:val="auto"/>
                <w:sz w:val="24"/>
                <w:lang w:val="en-US" w:eastAsia="zh-CN"/>
              </w:rPr>
              <w:t>产生</w:t>
            </w:r>
            <w:r>
              <w:rPr>
                <w:rFonts w:hint="eastAsia" w:eastAsia="宋体" w:cs="Times New Roman"/>
                <w:color w:val="auto"/>
                <w:sz w:val="24"/>
                <w:lang w:val="en-US" w:eastAsia="zh-CN"/>
              </w:rPr>
              <w:t>量为</w:t>
            </w:r>
            <w:r>
              <w:rPr>
                <w:rFonts w:hint="eastAsia" w:cs="Times New Roman"/>
                <w:color w:val="auto"/>
                <w:sz w:val="24"/>
                <w:lang w:val="en-US" w:eastAsia="zh-CN"/>
              </w:rPr>
              <w:t>0.5468</w:t>
            </w:r>
            <w:r>
              <w:rPr>
                <w:rFonts w:ascii="Times New Roman" w:hAnsi="Times New Roman" w:eastAsia="Times New Roman" w:cs="Times New Roman"/>
                <w:color w:val="auto"/>
                <w:spacing w:val="-2"/>
                <w:sz w:val="24"/>
                <w:szCs w:val="24"/>
              </w:rPr>
              <w:t>m</w:t>
            </w:r>
            <w:r>
              <w:rPr>
                <w:rFonts w:ascii="Times New Roman" w:hAnsi="Times New Roman" w:eastAsia="Times New Roman" w:cs="Times New Roman"/>
                <w:color w:val="auto"/>
                <w:spacing w:val="-2"/>
                <w:position w:val="7"/>
                <w:sz w:val="15"/>
                <w:szCs w:val="15"/>
              </w:rPr>
              <w:t>3</w:t>
            </w:r>
            <w:r>
              <w:rPr>
                <w:rFonts w:ascii="Times New Roman" w:hAnsi="Times New Roman" w:eastAsia="Times New Roman" w:cs="Times New Roman"/>
                <w:color w:val="auto"/>
                <w:spacing w:val="-2"/>
                <w:sz w:val="24"/>
                <w:szCs w:val="24"/>
              </w:rPr>
              <w:t>/d</w:t>
            </w:r>
            <w:r>
              <w:rPr>
                <w:rFonts w:hint="eastAsia" w:eastAsia="宋体" w:cs="Times New Roman"/>
                <w:color w:val="auto"/>
                <w:spacing w:val="-2"/>
                <w:sz w:val="24"/>
                <w:szCs w:val="24"/>
                <w:lang w:eastAsia="zh-CN"/>
              </w:rPr>
              <w:t>，</w:t>
            </w:r>
            <w:r>
              <w:rPr>
                <w:rFonts w:hint="eastAsia" w:eastAsia="宋体" w:cs="Times New Roman"/>
                <w:color w:val="auto"/>
                <w:spacing w:val="-2"/>
                <w:sz w:val="24"/>
                <w:szCs w:val="24"/>
                <w:lang w:val="en-US" w:eastAsia="zh-CN"/>
              </w:rPr>
              <w:t>产生量较小，占现有化粪池份额较小，依托</w:t>
            </w:r>
            <w:r>
              <w:rPr>
                <w:rFonts w:ascii="Times New Roman" w:hAnsi="Times New Roman" w:eastAsia="宋体"/>
                <w:color w:val="auto"/>
                <w:sz w:val="24"/>
                <w:lang w:val="en-US"/>
              </w:rPr>
              <w:t>现有</w:t>
            </w:r>
            <w:r>
              <w:rPr>
                <w:rFonts w:hint="eastAsia" w:ascii="Times New Roman" w:hAnsi="Times New Roman" w:eastAsia="宋体"/>
                <w:color w:val="auto"/>
                <w:sz w:val="24"/>
                <w:lang w:val="en-US"/>
              </w:rPr>
              <w:t>化粪池可满足本项目需求</w:t>
            </w:r>
            <w:r>
              <w:rPr>
                <w:rFonts w:hint="eastAsia" w:ascii="Times New Roman" w:hAnsi="Times New Roman" w:eastAsia="宋体"/>
                <w:color w:val="auto"/>
                <w:sz w:val="24"/>
                <w:lang w:val="en-US" w:eastAsia="zh-CN"/>
              </w:rPr>
              <w:t>。</w:t>
            </w:r>
          </w:p>
          <w:p w14:paraId="77F2C65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outlineLvl w:val="9"/>
              <w:rPr>
                <w:rFonts w:hint="default" w:ascii="Times New Roman" w:hAnsi="Times New Roman" w:eastAsia="宋体" w:cs="Times New Roman"/>
                <w:b/>
                <w:bCs/>
                <w:color w:val="auto"/>
                <w:sz w:val="24"/>
                <w:lang w:val="en-US" w:eastAsia="zh-CN"/>
              </w:rPr>
            </w:pPr>
            <w:r>
              <w:rPr>
                <w:rFonts w:hint="eastAsia" w:cs="Times New Roman"/>
                <w:b/>
                <w:bCs/>
                <w:color w:val="auto"/>
                <w:sz w:val="24"/>
                <w:lang w:val="en-US" w:eastAsia="zh-CN"/>
              </w:rPr>
              <w:t>5</w:t>
            </w:r>
            <w:r>
              <w:rPr>
                <w:rFonts w:hint="default" w:ascii="Times New Roman" w:hAnsi="Times New Roman" w:cs="Times New Roman"/>
                <w:b/>
                <w:bCs/>
                <w:color w:val="auto"/>
                <w:sz w:val="24"/>
                <w:lang w:val="en-US" w:eastAsia="zh-CN"/>
              </w:rPr>
              <w:t>、</w:t>
            </w:r>
            <w:r>
              <w:rPr>
                <w:rFonts w:hint="default" w:ascii="Times New Roman" w:hAnsi="Times New Roman" w:eastAsia="宋体" w:cs="Times New Roman"/>
                <w:b/>
                <w:bCs/>
                <w:color w:val="auto"/>
                <w:sz w:val="24"/>
                <w:lang w:val="en-US" w:eastAsia="zh-CN"/>
              </w:rPr>
              <w:t>监测计划</w:t>
            </w:r>
          </w:p>
          <w:p w14:paraId="199F53C2">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w:t>
            </w:r>
            <w:r>
              <w:rPr>
                <w:rFonts w:hint="eastAsia" w:ascii="Times New Roman" w:hAnsi="Times New Roman" w:eastAsia="宋体" w:cs="Times New Roman"/>
                <w:color w:val="auto"/>
                <w:sz w:val="24"/>
                <w:lang w:val="en-US" w:eastAsia="zh-CN"/>
              </w:rPr>
              <w:t>依托的隆桥瑞苑小区化粪池收集小区内生活污水及商业服务产生的废水，污水来源比较复杂，故本次评价废水例行监测点位设置于污水处理设施的排放口</w:t>
            </w:r>
            <w:r>
              <w:rPr>
                <w:rFonts w:hint="default" w:ascii="Times New Roman" w:hAnsi="Times New Roman" w:eastAsia="宋体" w:cs="Times New Roman"/>
                <w:color w:val="auto"/>
                <w:sz w:val="24"/>
                <w:lang w:val="en-US" w:eastAsia="zh-CN"/>
              </w:rPr>
              <w:t>，废水监测计划如下。</w:t>
            </w:r>
          </w:p>
          <w:p w14:paraId="3A58DF7C">
            <w:pPr>
              <w:keepNext w:val="0"/>
              <w:keepLines w:val="0"/>
              <w:pageBreakBefore w:val="0"/>
              <w:widowControl w:val="0"/>
              <w:kinsoku/>
              <w:wordWrap/>
              <w:overflowPunct/>
              <w:topLinePunct w:val="0"/>
              <w:autoSpaceDE/>
              <w:autoSpaceDN/>
              <w:bidi w:val="0"/>
              <w:adjustRightInd w:val="0"/>
              <w:snapToGrid w:val="0"/>
              <w:spacing w:before="157" w:beforeLines="50"/>
              <w:ind w:firstLine="0" w:firstLineChars="0"/>
              <w:jc w:val="center"/>
              <w:textAlignment w:val="auto"/>
              <w:rPr>
                <w:rFonts w:hint="default" w:ascii="Times New Roman" w:hAnsi="Times New Roman" w:cs="Times New Roman"/>
                <w:b/>
                <w:bCs/>
                <w:snapToGrid w:val="0"/>
                <w:color w:val="auto"/>
                <w:kern w:val="0"/>
                <w:szCs w:val="21"/>
              </w:rPr>
            </w:pPr>
            <w:r>
              <w:rPr>
                <w:rFonts w:hint="default" w:ascii="Times New Roman" w:hAnsi="Times New Roman" w:cs="Times New Roman"/>
                <w:b/>
                <w:bCs/>
                <w:snapToGrid w:val="0"/>
                <w:color w:val="auto"/>
                <w:kern w:val="0"/>
                <w:szCs w:val="21"/>
              </w:rPr>
              <w:t>表4-</w:t>
            </w:r>
            <w:r>
              <w:rPr>
                <w:rFonts w:hint="eastAsia" w:cs="Times New Roman"/>
                <w:b/>
                <w:bCs/>
                <w:snapToGrid w:val="0"/>
                <w:color w:val="auto"/>
                <w:kern w:val="0"/>
                <w:szCs w:val="21"/>
                <w:lang w:val="en-US" w:eastAsia="zh-CN"/>
              </w:rPr>
              <w:t xml:space="preserve">7  </w:t>
            </w:r>
            <w:r>
              <w:rPr>
                <w:rFonts w:hint="default" w:ascii="Times New Roman" w:hAnsi="Times New Roman" w:cs="Times New Roman"/>
                <w:b/>
                <w:bCs/>
                <w:snapToGrid w:val="0"/>
                <w:color w:val="auto"/>
                <w:kern w:val="0"/>
                <w:szCs w:val="21"/>
              </w:rPr>
              <w:t>项目废水监测要求</w:t>
            </w:r>
          </w:p>
          <w:tbl>
            <w:tblPr>
              <w:tblStyle w:val="28"/>
              <w:tblW w:w="823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05"/>
              <w:gridCol w:w="1565"/>
              <w:gridCol w:w="1281"/>
              <w:gridCol w:w="3984"/>
            </w:tblGrid>
            <w:tr w14:paraId="246426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5" w:type="dxa"/>
                  <w:vAlign w:val="center"/>
                </w:tcPr>
                <w:p w14:paraId="67F834CE">
                  <w:pPr>
                    <w:jc w:val="center"/>
                    <w:rPr>
                      <w:rFonts w:hint="eastAsia" w:ascii="Times New Roman" w:hAnsi="Times New Roman" w:eastAsia="宋体" w:cs="Times New Roman"/>
                      <w:b/>
                      <w:bCs/>
                      <w:color w:val="auto"/>
                      <w:szCs w:val="21"/>
                      <w:lang w:eastAsia="zh-CN"/>
                    </w:rPr>
                  </w:pPr>
                  <w:r>
                    <w:rPr>
                      <w:rFonts w:hint="eastAsia" w:cs="Times New Roman"/>
                      <w:b/>
                      <w:bCs/>
                      <w:color w:val="auto"/>
                      <w:szCs w:val="21"/>
                      <w:lang w:val="en-US" w:eastAsia="zh-CN"/>
                    </w:rPr>
                    <w:t>检测位置</w:t>
                  </w:r>
                </w:p>
              </w:tc>
              <w:tc>
                <w:tcPr>
                  <w:tcW w:w="1565" w:type="dxa"/>
                  <w:vAlign w:val="center"/>
                </w:tcPr>
                <w:p w14:paraId="1375780D">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污染物名称</w:t>
                  </w:r>
                </w:p>
              </w:tc>
              <w:tc>
                <w:tcPr>
                  <w:tcW w:w="1281" w:type="dxa"/>
                  <w:vAlign w:val="center"/>
                </w:tcPr>
                <w:p w14:paraId="48514406">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监测频率</w:t>
                  </w:r>
                </w:p>
              </w:tc>
              <w:tc>
                <w:tcPr>
                  <w:tcW w:w="3984" w:type="dxa"/>
                  <w:vAlign w:val="center"/>
                </w:tcPr>
                <w:p w14:paraId="7B72D8AF">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执行标准</w:t>
                  </w:r>
                </w:p>
              </w:tc>
            </w:tr>
            <w:tr w14:paraId="2FD848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5" w:type="dxa"/>
                  <w:vMerge w:val="restart"/>
                  <w:vAlign w:val="center"/>
                </w:tcPr>
                <w:p w14:paraId="4B66C61C">
                  <w:pPr>
                    <w:jc w:val="center"/>
                    <w:rPr>
                      <w:rFonts w:hint="default" w:ascii="Times New Roman" w:hAnsi="Times New Roman" w:cs="Times New Roman"/>
                      <w:color w:val="auto"/>
                      <w:szCs w:val="21"/>
                    </w:rPr>
                  </w:pPr>
                  <w:r>
                    <w:rPr>
                      <w:rFonts w:hint="eastAsia" w:ascii="Times New Roman" w:hAnsi="Times New Roman" w:eastAsia="宋体" w:cs="Times New Roman"/>
                      <w:color w:val="auto"/>
                      <w:sz w:val="24"/>
                      <w:lang w:val="en-US" w:eastAsia="zh-CN"/>
                    </w:rPr>
                    <w:t>一体化污水处理设施的排放口</w:t>
                  </w:r>
                </w:p>
              </w:tc>
              <w:tc>
                <w:tcPr>
                  <w:tcW w:w="1565" w:type="dxa"/>
                  <w:vAlign w:val="center"/>
                </w:tcPr>
                <w:p w14:paraId="17C580EC">
                  <w:pPr>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1281" w:type="dxa"/>
                  <w:vMerge w:val="restart"/>
                  <w:vAlign w:val="center"/>
                </w:tcPr>
                <w:p w14:paraId="13346B7C">
                  <w:pPr>
                    <w:jc w:val="center"/>
                    <w:rPr>
                      <w:rFonts w:hint="default" w:ascii="Times New Roman" w:hAnsi="Times New Roman" w:cs="Times New Roman"/>
                      <w:color w:val="auto"/>
                      <w:szCs w:val="21"/>
                    </w:rPr>
                  </w:pPr>
                  <w:r>
                    <w:rPr>
                      <w:rFonts w:hint="default" w:ascii="Times New Roman" w:hAnsi="Times New Roman" w:cs="Times New Roman"/>
                      <w:color w:val="auto"/>
                      <w:szCs w:val="21"/>
                    </w:rPr>
                    <w:t>1次/年</w:t>
                  </w:r>
                </w:p>
              </w:tc>
              <w:tc>
                <w:tcPr>
                  <w:tcW w:w="3984" w:type="dxa"/>
                  <w:vMerge w:val="restart"/>
                  <w:vAlign w:val="center"/>
                </w:tcPr>
                <w:p w14:paraId="6F3A409C">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《污水综合排放标准》(GB8978-1996)中的三级标准和《污水排入城镇下水道水质标准》（GB/T31962-2015）B级标准</w:t>
                  </w:r>
                </w:p>
              </w:tc>
            </w:tr>
            <w:tr w14:paraId="24E3D3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5" w:type="dxa"/>
                  <w:vMerge w:val="continue"/>
                  <w:vAlign w:val="center"/>
                </w:tcPr>
                <w:p w14:paraId="6E598B0A">
                  <w:pPr>
                    <w:jc w:val="center"/>
                    <w:rPr>
                      <w:rFonts w:hint="default" w:ascii="Times New Roman" w:hAnsi="Times New Roman" w:cs="Times New Roman"/>
                      <w:color w:val="auto"/>
                      <w:szCs w:val="21"/>
                    </w:rPr>
                  </w:pPr>
                </w:p>
              </w:tc>
              <w:tc>
                <w:tcPr>
                  <w:tcW w:w="1565" w:type="dxa"/>
                  <w:vAlign w:val="center"/>
                </w:tcPr>
                <w:p w14:paraId="18022C09">
                  <w:pPr>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1281" w:type="dxa"/>
                  <w:vMerge w:val="continue"/>
                  <w:vAlign w:val="center"/>
                </w:tcPr>
                <w:p w14:paraId="02FE655E">
                  <w:pPr>
                    <w:jc w:val="center"/>
                    <w:rPr>
                      <w:rFonts w:hint="default" w:ascii="Times New Roman" w:hAnsi="Times New Roman" w:cs="Times New Roman"/>
                      <w:color w:val="auto"/>
                      <w:szCs w:val="21"/>
                    </w:rPr>
                  </w:pPr>
                </w:p>
              </w:tc>
              <w:tc>
                <w:tcPr>
                  <w:tcW w:w="3984" w:type="dxa"/>
                  <w:vMerge w:val="continue"/>
                  <w:vAlign w:val="center"/>
                </w:tcPr>
                <w:p w14:paraId="6D61E41A">
                  <w:pPr>
                    <w:jc w:val="center"/>
                    <w:rPr>
                      <w:rFonts w:hint="default" w:ascii="Times New Roman" w:hAnsi="Times New Roman" w:cs="Times New Roman"/>
                      <w:color w:val="auto"/>
                      <w:szCs w:val="21"/>
                    </w:rPr>
                  </w:pPr>
                </w:p>
              </w:tc>
            </w:tr>
            <w:tr w14:paraId="34AD0A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5" w:type="dxa"/>
                  <w:vMerge w:val="continue"/>
                  <w:vAlign w:val="center"/>
                </w:tcPr>
                <w:p w14:paraId="62899D96">
                  <w:pPr>
                    <w:jc w:val="center"/>
                    <w:rPr>
                      <w:rFonts w:hint="default" w:ascii="Times New Roman" w:hAnsi="Times New Roman" w:cs="Times New Roman"/>
                      <w:color w:val="auto"/>
                      <w:szCs w:val="21"/>
                    </w:rPr>
                  </w:pPr>
                </w:p>
              </w:tc>
              <w:tc>
                <w:tcPr>
                  <w:tcW w:w="1565" w:type="dxa"/>
                  <w:vAlign w:val="center"/>
                </w:tcPr>
                <w:p w14:paraId="42ECFC12">
                  <w:pPr>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1281" w:type="dxa"/>
                  <w:vMerge w:val="continue"/>
                  <w:vAlign w:val="center"/>
                </w:tcPr>
                <w:p w14:paraId="18168B33">
                  <w:pPr>
                    <w:jc w:val="center"/>
                    <w:rPr>
                      <w:rFonts w:hint="default" w:ascii="Times New Roman" w:hAnsi="Times New Roman" w:cs="Times New Roman"/>
                      <w:color w:val="auto"/>
                      <w:szCs w:val="21"/>
                    </w:rPr>
                  </w:pPr>
                </w:p>
              </w:tc>
              <w:tc>
                <w:tcPr>
                  <w:tcW w:w="3984" w:type="dxa"/>
                  <w:vMerge w:val="continue"/>
                  <w:vAlign w:val="center"/>
                </w:tcPr>
                <w:p w14:paraId="251C6B03">
                  <w:pPr>
                    <w:jc w:val="center"/>
                    <w:rPr>
                      <w:rFonts w:hint="default" w:ascii="Times New Roman" w:hAnsi="Times New Roman" w:cs="Times New Roman"/>
                      <w:color w:val="auto"/>
                      <w:szCs w:val="21"/>
                    </w:rPr>
                  </w:pPr>
                </w:p>
              </w:tc>
            </w:tr>
            <w:tr w14:paraId="709D5C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5" w:type="dxa"/>
                  <w:vMerge w:val="continue"/>
                  <w:vAlign w:val="center"/>
                </w:tcPr>
                <w:p w14:paraId="05E22A55">
                  <w:pPr>
                    <w:jc w:val="center"/>
                    <w:rPr>
                      <w:rFonts w:hint="default" w:ascii="Times New Roman" w:hAnsi="Times New Roman" w:cs="Times New Roman"/>
                      <w:color w:val="auto"/>
                      <w:szCs w:val="21"/>
                    </w:rPr>
                  </w:pPr>
                </w:p>
              </w:tc>
              <w:tc>
                <w:tcPr>
                  <w:tcW w:w="1565" w:type="dxa"/>
                  <w:vAlign w:val="center"/>
                </w:tcPr>
                <w:p w14:paraId="09ACDEF7">
                  <w:pPr>
                    <w:jc w:val="center"/>
                    <w:rPr>
                      <w:rFonts w:hint="default" w:ascii="Times New Roman" w:hAnsi="Times New Roman" w:cs="Times New Roman"/>
                      <w:color w:val="auto"/>
                      <w:szCs w:val="21"/>
                    </w:rPr>
                  </w:pPr>
                  <w:r>
                    <w:rPr>
                      <w:rFonts w:hint="default" w:ascii="Times New Roman" w:hAnsi="Times New Roman" w:cs="Times New Roman"/>
                      <w:color w:val="auto"/>
                      <w:szCs w:val="21"/>
                    </w:rPr>
                    <w:t>NH</w:t>
                  </w:r>
                  <w:r>
                    <w:rPr>
                      <w:rFonts w:hint="default" w:ascii="Times New Roman" w:hAnsi="Times New Roman" w:cs="Times New Roman"/>
                      <w:color w:val="auto"/>
                      <w:szCs w:val="21"/>
                      <w:vertAlign w:val="subscript"/>
                    </w:rPr>
                    <w:t>3</w:t>
                  </w:r>
                  <w:r>
                    <w:rPr>
                      <w:rFonts w:hint="default" w:ascii="Times New Roman" w:hAnsi="Times New Roman" w:cs="Times New Roman"/>
                      <w:color w:val="auto"/>
                      <w:szCs w:val="21"/>
                    </w:rPr>
                    <w:t>-N</w:t>
                  </w:r>
                </w:p>
              </w:tc>
              <w:tc>
                <w:tcPr>
                  <w:tcW w:w="1281" w:type="dxa"/>
                  <w:vMerge w:val="continue"/>
                  <w:vAlign w:val="center"/>
                </w:tcPr>
                <w:p w14:paraId="69F445FE">
                  <w:pPr>
                    <w:jc w:val="center"/>
                    <w:rPr>
                      <w:rFonts w:hint="default" w:ascii="Times New Roman" w:hAnsi="Times New Roman" w:cs="Times New Roman"/>
                      <w:color w:val="auto"/>
                      <w:szCs w:val="21"/>
                    </w:rPr>
                  </w:pPr>
                </w:p>
              </w:tc>
              <w:tc>
                <w:tcPr>
                  <w:tcW w:w="3984" w:type="dxa"/>
                  <w:vMerge w:val="continue"/>
                  <w:vAlign w:val="center"/>
                </w:tcPr>
                <w:p w14:paraId="38DA016C">
                  <w:pPr>
                    <w:jc w:val="center"/>
                    <w:rPr>
                      <w:rFonts w:hint="default" w:ascii="Times New Roman" w:hAnsi="Times New Roman" w:cs="Times New Roman"/>
                      <w:color w:val="auto"/>
                      <w:szCs w:val="21"/>
                    </w:rPr>
                  </w:pPr>
                </w:p>
              </w:tc>
            </w:tr>
          </w:tbl>
          <w:p w14:paraId="11F6B95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2"/>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三、噪声</w:t>
            </w:r>
          </w:p>
          <w:p w14:paraId="1A212667">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200"/>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（1）噪声源</w:t>
            </w:r>
          </w:p>
          <w:p w14:paraId="450F4E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本项目运营期实验设备全部位于</w:t>
            </w:r>
            <w:r>
              <w:rPr>
                <w:rFonts w:hint="default" w:ascii="Times New Roman" w:hAnsi="Times New Roman" w:eastAsia="宋体" w:cs="Times New Roman"/>
                <w:color w:val="auto"/>
                <w:sz w:val="24"/>
                <w:lang w:val="en-US" w:eastAsia="zh-CN"/>
              </w:rPr>
              <w:t>室内，</w:t>
            </w:r>
            <w:r>
              <w:rPr>
                <w:rFonts w:hint="eastAsia" w:ascii="Times New Roman" w:hAnsi="Times New Roman" w:eastAsia="宋体" w:cs="Times New Roman"/>
                <w:color w:val="auto"/>
                <w:sz w:val="24"/>
                <w:lang w:val="en-US" w:eastAsia="zh-CN"/>
              </w:rPr>
              <w:t>且</w:t>
            </w:r>
            <w:r>
              <w:rPr>
                <w:rFonts w:hint="eastAsia" w:cs="Times New Roman"/>
                <w:color w:val="auto"/>
                <w:sz w:val="24"/>
                <w:lang w:val="en-US" w:eastAsia="zh-CN"/>
              </w:rPr>
              <w:t>源强比较小，对周围环境的影响较小。项目噪声影响主要是</w:t>
            </w:r>
            <w:r>
              <w:rPr>
                <w:rFonts w:hint="default" w:ascii="Times New Roman" w:hAnsi="Times New Roman" w:cs="Times New Roman"/>
                <w:smallCaps/>
                <w:color w:val="auto"/>
                <w:sz w:val="24"/>
              </w:rPr>
              <w:t>由风机、</w:t>
            </w:r>
            <w:r>
              <w:rPr>
                <w:rFonts w:hint="eastAsia" w:ascii="Times New Roman" w:hAnsi="Times New Roman" w:cs="Times New Roman"/>
                <w:smallCaps/>
                <w:color w:val="auto"/>
                <w:sz w:val="24"/>
                <w:lang w:val="en-US" w:eastAsia="zh-CN"/>
              </w:rPr>
              <w:t>中央空调外机</w:t>
            </w:r>
            <w:r>
              <w:rPr>
                <w:rFonts w:hint="default" w:ascii="Times New Roman" w:hAnsi="Times New Roman" w:cs="Times New Roman"/>
                <w:smallCaps/>
                <w:color w:val="auto"/>
                <w:sz w:val="24"/>
              </w:rPr>
              <w:t>等</w:t>
            </w:r>
            <w:r>
              <w:rPr>
                <w:rFonts w:hint="eastAsia" w:cs="Times New Roman"/>
                <w:smallCaps/>
                <w:color w:val="auto"/>
                <w:sz w:val="24"/>
                <w:lang w:val="en-US" w:eastAsia="zh-CN"/>
              </w:rPr>
              <w:t>设备</w:t>
            </w:r>
            <w:r>
              <w:rPr>
                <w:rFonts w:hint="default" w:ascii="Times New Roman" w:hAnsi="Times New Roman" w:cs="Times New Roman"/>
                <w:smallCaps/>
                <w:color w:val="auto"/>
                <w:sz w:val="24"/>
              </w:rPr>
              <w:t>产生，声源强度在70-</w:t>
            </w:r>
            <w:r>
              <w:rPr>
                <w:rFonts w:hint="eastAsia" w:ascii="Times New Roman" w:hAnsi="Times New Roman" w:cs="Times New Roman"/>
                <w:smallCaps/>
                <w:color w:val="auto"/>
                <w:sz w:val="24"/>
                <w:lang w:val="en-US" w:eastAsia="zh-CN"/>
              </w:rPr>
              <w:t>90</w:t>
            </w:r>
            <w:r>
              <w:rPr>
                <w:rFonts w:hint="default" w:ascii="Times New Roman" w:hAnsi="Times New Roman" w:cs="Times New Roman"/>
                <w:color w:val="auto"/>
                <w:sz w:val="24"/>
              </w:rPr>
              <w:t>dB</w:t>
            </w:r>
            <w:r>
              <w:rPr>
                <w:rFonts w:hint="default" w:ascii="Times New Roman" w:hAnsi="Times New Roman" w:cs="Times New Roman"/>
                <w:smallCaps/>
                <w:color w:val="auto"/>
                <w:sz w:val="24"/>
              </w:rPr>
              <w:t>（A）</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企业尽量选用低噪声设备，并对其设减震基座</w:t>
            </w:r>
            <w:r>
              <w:rPr>
                <w:rFonts w:hint="eastAsia" w:cs="Times New Roman"/>
                <w:color w:val="auto"/>
                <w:sz w:val="24"/>
                <w:lang w:val="en-US" w:eastAsia="zh-CN"/>
              </w:rPr>
              <w:t>、加装隔声罩、安装消音器等措施</w:t>
            </w:r>
            <w:r>
              <w:rPr>
                <w:rFonts w:hint="default" w:ascii="Times New Roman" w:hAnsi="Times New Roman" w:eastAsia="宋体" w:cs="Times New Roman"/>
                <w:color w:val="auto"/>
                <w:sz w:val="24"/>
                <w:lang w:val="en-US" w:eastAsia="zh-CN"/>
              </w:rPr>
              <w:t>，可将噪声源强降低约15dB(A)。生产设备噪声声级值如表4-</w:t>
            </w:r>
            <w:r>
              <w:rPr>
                <w:rFonts w:hint="eastAsia" w:cs="Times New Roman"/>
                <w:color w:val="auto"/>
                <w:sz w:val="24"/>
                <w:lang w:val="en-US" w:eastAsia="zh-CN"/>
              </w:rPr>
              <w:t>8</w:t>
            </w:r>
            <w:r>
              <w:rPr>
                <w:rFonts w:hint="default" w:ascii="Times New Roman" w:hAnsi="Times New Roman" w:eastAsia="宋体" w:cs="Times New Roman"/>
                <w:color w:val="auto"/>
                <w:sz w:val="24"/>
                <w:lang w:val="en-US" w:eastAsia="zh-CN"/>
              </w:rPr>
              <w:t>所示。</w:t>
            </w:r>
          </w:p>
          <w:p w14:paraId="38F5A73B">
            <w:pPr>
              <w:pStyle w:val="17"/>
              <w:adjustRightInd w:val="0"/>
              <w:spacing w:line="240" w:lineRule="auto"/>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表4-</w:t>
            </w:r>
            <w:r>
              <w:rPr>
                <w:rFonts w:hint="eastAsia" w:cs="Times New Roman"/>
                <w:b/>
                <w:color w:val="auto"/>
                <w:sz w:val="21"/>
                <w:szCs w:val="21"/>
                <w:lang w:val="en-US" w:eastAsia="zh-CN"/>
              </w:rPr>
              <w:t xml:space="preserve">8  </w:t>
            </w:r>
            <w:r>
              <w:rPr>
                <w:rFonts w:hint="default" w:ascii="Times New Roman" w:hAnsi="Times New Roman" w:eastAsia="宋体" w:cs="Times New Roman"/>
                <w:b/>
                <w:color w:val="auto"/>
                <w:sz w:val="21"/>
                <w:szCs w:val="21"/>
                <w:lang w:val="en-US" w:eastAsia="zh-CN"/>
              </w:rPr>
              <w:t>室外噪声源强调查清单单位：dB(A)</w:t>
            </w:r>
          </w:p>
          <w:tbl>
            <w:tblPr>
              <w:tblStyle w:val="28"/>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711"/>
              <w:gridCol w:w="773"/>
              <w:gridCol w:w="738"/>
              <w:gridCol w:w="1424"/>
              <w:gridCol w:w="2464"/>
              <w:gridCol w:w="968"/>
            </w:tblGrid>
            <w:tr w14:paraId="17C4F6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8" w:type="pct"/>
                  <w:vMerge w:val="restart"/>
                  <w:tcBorders>
                    <w:tl2br w:val="nil"/>
                    <w:tr2bl w:val="nil"/>
                  </w:tcBorders>
                  <w:noWrap w:val="0"/>
                  <w:vAlign w:val="center"/>
                </w:tcPr>
                <w:p w14:paraId="25651250">
                  <w:pPr>
                    <w:pStyle w:val="85"/>
                    <w:rPr>
                      <w:rFonts w:hint="default" w:ascii="Times New Roman" w:hAnsi="Times New Roman" w:cs="Times New Roman"/>
                      <w:color w:val="auto"/>
                    </w:rPr>
                  </w:pPr>
                  <w:r>
                    <w:rPr>
                      <w:rFonts w:hint="default" w:ascii="Times New Roman" w:hAnsi="Times New Roman" w:cs="Times New Roman"/>
                      <w:color w:val="auto"/>
                    </w:rPr>
                    <w:t>声源名称</w:t>
                  </w:r>
                </w:p>
              </w:tc>
              <w:tc>
                <w:tcPr>
                  <w:tcW w:w="1340" w:type="pct"/>
                  <w:gridSpan w:val="3"/>
                  <w:tcBorders>
                    <w:tl2br w:val="nil"/>
                    <w:tr2bl w:val="nil"/>
                  </w:tcBorders>
                  <w:noWrap w:val="0"/>
                  <w:vAlign w:val="center"/>
                </w:tcPr>
                <w:p w14:paraId="62C01780">
                  <w:pPr>
                    <w:pStyle w:val="85"/>
                    <w:rPr>
                      <w:rFonts w:hint="default" w:ascii="Times New Roman" w:hAnsi="Times New Roman" w:cs="Times New Roman"/>
                      <w:color w:val="auto"/>
                    </w:rPr>
                  </w:pPr>
                  <w:r>
                    <w:rPr>
                      <w:rFonts w:hint="default" w:ascii="Times New Roman" w:hAnsi="Times New Roman" w:cs="Times New Roman"/>
                      <w:color w:val="auto"/>
                    </w:rPr>
                    <w:t>空间相对位置/m</w:t>
                  </w:r>
                </w:p>
              </w:tc>
              <w:tc>
                <w:tcPr>
                  <w:tcW w:w="859" w:type="pct"/>
                  <w:vMerge w:val="restart"/>
                  <w:tcBorders>
                    <w:tl2br w:val="nil"/>
                    <w:tr2bl w:val="nil"/>
                  </w:tcBorders>
                  <w:noWrap w:val="0"/>
                  <w:vAlign w:val="center"/>
                </w:tcPr>
                <w:p w14:paraId="3219D41B">
                  <w:pPr>
                    <w:pStyle w:val="85"/>
                    <w:rPr>
                      <w:rFonts w:hint="default" w:ascii="Times New Roman" w:hAnsi="Times New Roman" w:cs="Times New Roman"/>
                      <w:color w:val="auto"/>
                    </w:rPr>
                  </w:pPr>
                  <w:r>
                    <w:rPr>
                      <w:rFonts w:hint="default" w:ascii="Times New Roman" w:hAnsi="Times New Roman" w:cs="Times New Roman"/>
                      <w:color w:val="auto"/>
                    </w:rPr>
                    <w:t>声功率级/dB(A)</w:t>
                  </w:r>
                </w:p>
              </w:tc>
              <w:tc>
                <w:tcPr>
                  <w:tcW w:w="1486" w:type="pct"/>
                  <w:vMerge w:val="restart"/>
                  <w:tcBorders>
                    <w:tl2br w:val="nil"/>
                    <w:tr2bl w:val="nil"/>
                  </w:tcBorders>
                  <w:noWrap w:val="0"/>
                  <w:vAlign w:val="center"/>
                </w:tcPr>
                <w:p w14:paraId="639305DA">
                  <w:pPr>
                    <w:pStyle w:val="85"/>
                    <w:rPr>
                      <w:rFonts w:hint="default" w:ascii="Times New Roman" w:hAnsi="Times New Roman" w:cs="Times New Roman"/>
                      <w:color w:val="auto"/>
                    </w:rPr>
                  </w:pPr>
                  <w:r>
                    <w:rPr>
                      <w:rFonts w:hint="default" w:ascii="Times New Roman" w:hAnsi="Times New Roman" w:cs="Times New Roman"/>
                      <w:color w:val="auto"/>
                    </w:rPr>
                    <w:t>声源控制措施</w:t>
                  </w:r>
                </w:p>
              </w:tc>
              <w:tc>
                <w:tcPr>
                  <w:tcW w:w="584" w:type="pct"/>
                  <w:vMerge w:val="restart"/>
                  <w:tcBorders>
                    <w:tl2br w:val="nil"/>
                    <w:tr2bl w:val="nil"/>
                  </w:tcBorders>
                  <w:noWrap w:val="0"/>
                  <w:vAlign w:val="center"/>
                </w:tcPr>
                <w:p w14:paraId="426D5A7B">
                  <w:pPr>
                    <w:pStyle w:val="85"/>
                    <w:rPr>
                      <w:rFonts w:hint="default" w:ascii="Times New Roman" w:hAnsi="Times New Roman" w:cs="Times New Roman"/>
                      <w:color w:val="auto"/>
                    </w:rPr>
                  </w:pPr>
                  <w:r>
                    <w:rPr>
                      <w:rFonts w:hint="default" w:ascii="Times New Roman" w:hAnsi="Times New Roman" w:cs="Times New Roman"/>
                      <w:color w:val="auto"/>
                    </w:rPr>
                    <w:t>运行</w:t>
                  </w:r>
                </w:p>
                <w:p w14:paraId="771401DD">
                  <w:pPr>
                    <w:pStyle w:val="85"/>
                    <w:rPr>
                      <w:rFonts w:hint="default" w:ascii="Times New Roman" w:hAnsi="Times New Roman" w:cs="Times New Roman"/>
                      <w:color w:val="auto"/>
                    </w:rPr>
                  </w:pPr>
                  <w:r>
                    <w:rPr>
                      <w:rFonts w:hint="default" w:ascii="Times New Roman" w:hAnsi="Times New Roman" w:cs="Times New Roman"/>
                      <w:color w:val="auto"/>
                    </w:rPr>
                    <w:t>时段</w:t>
                  </w:r>
                </w:p>
              </w:tc>
            </w:tr>
            <w:tr w14:paraId="21ECC1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8" w:type="pct"/>
                  <w:vMerge w:val="continue"/>
                  <w:tcBorders>
                    <w:tl2br w:val="nil"/>
                    <w:tr2bl w:val="nil"/>
                  </w:tcBorders>
                  <w:noWrap w:val="0"/>
                  <w:vAlign w:val="center"/>
                </w:tcPr>
                <w:p w14:paraId="23D59AE0">
                  <w:pPr>
                    <w:pStyle w:val="85"/>
                    <w:rPr>
                      <w:rFonts w:hint="default" w:ascii="Times New Roman" w:hAnsi="Times New Roman" w:cs="Times New Roman"/>
                      <w:color w:val="auto"/>
                    </w:rPr>
                  </w:pPr>
                </w:p>
              </w:tc>
              <w:tc>
                <w:tcPr>
                  <w:tcW w:w="429" w:type="pct"/>
                  <w:tcBorders>
                    <w:tl2br w:val="nil"/>
                    <w:tr2bl w:val="nil"/>
                  </w:tcBorders>
                  <w:noWrap w:val="0"/>
                  <w:vAlign w:val="center"/>
                </w:tcPr>
                <w:p w14:paraId="6C3F0673">
                  <w:pPr>
                    <w:pStyle w:val="85"/>
                    <w:rPr>
                      <w:rFonts w:hint="default" w:ascii="Times New Roman" w:hAnsi="Times New Roman" w:cs="Times New Roman"/>
                      <w:color w:val="auto"/>
                    </w:rPr>
                  </w:pPr>
                  <w:r>
                    <w:rPr>
                      <w:rFonts w:hint="default" w:ascii="Times New Roman" w:hAnsi="Times New Roman" w:cs="Times New Roman"/>
                      <w:color w:val="auto"/>
                    </w:rPr>
                    <w:t>X</w:t>
                  </w:r>
                </w:p>
              </w:tc>
              <w:tc>
                <w:tcPr>
                  <w:tcW w:w="466" w:type="pct"/>
                  <w:tcBorders>
                    <w:tl2br w:val="nil"/>
                    <w:tr2bl w:val="nil"/>
                  </w:tcBorders>
                  <w:noWrap w:val="0"/>
                  <w:vAlign w:val="center"/>
                </w:tcPr>
                <w:p w14:paraId="3D672AB2">
                  <w:pPr>
                    <w:pStyle w:val="85"/>
                    <w:rPr>
                      <w:rFonts w:hint="default" w:ascii="Times New Roman" w:hAnsi="Times New Roman" w:cs="Times New Roman"/>
                      <w:color w:val="auto"/>
                    </w:rPr>
                  </w:pPr>
                  <w:r>
                    <w:rPr>
                      <w:rFonts w:hint="default" w:ascii="Times New Roman" w:hAnsi="Times New Roman" w:cs="Times New Roman"/>
                      <w:color w:val="auto"/>
                    </w:rPr>
                    <w:t>Y</w:t>
                  </w:r>
                </w:p>
              </w:tc>
              <w:tc>
                <w:tcPr>
                  <w:tcW w:w="445" w:type="pct"/>
                  <w:tcBorders>
                    <w:tl2br w:val="nil"/>
                    <w:tr2bl w:val="nil"/>
                  </w:tcBorders>
                  <w:noWrap w:val="0"/>
                  <w:vAlign w:val="center"/>
                </w:tcPr>
                <w:p w14:paraId="763DDD3E">
                  <w:pPr>
                    <w:pStyle w:val="85"/>
                    <w:rPr>
                      <w:rFonts w:hint="default" w:ascii="Times New Roman" w:hAnsi="Times New Roman" w:cs="Times New Roman"/>
                      <w:color w:val="auto"/>
                    </w:rPr>
                  </w:pPr>
                  <w:r>
                    <w:rPr>
                      <w:rFonts w:hint="default" w:ascii="Times New Roman" w:hAnsi="Times New Roman" w:cs="Times New Roman"/>
                      <w:color w:val="auto"/>
                    </w:rPr>
                    <w:t>Z</w:t>
                  </w:r>
                </w:p>
              </w:tc>
              <w:tc>
                <w:tcPr>
                  <w:tcW w:w="859" w:type="pct"/>
                  <w:vMerge w:val="continue"/>
                  <w:tcBorders>
                    <w:tl2br w:val="nil"/>
                    <w:tr2bl w:val="nil"/>
                  </w:tcBorders>
                  <w:noWrap w:val="0"/>
                  <w:vAlign w:val="center"/>
                </w:tcPr>
                <w:p w14:paraId="11321ED4">
                  <w:pPr>
                    <w:pStyle w:val="85"/>
                    <w:rPr>
                      <w:rFonts w:hint="default" w:ascii="Times New Roman" w:hAnsi="Times New Roman" w:cs="Times New Roman"/>
                      <w:color w:val="auto"/>
                    </w:rPr>
                  </w:pPr>
                </w:p>
              </w:tc>
              <w:tc>
                <w:tcPr>
                  <w:tcW w:w="1486" w:type="pct"/>
                  <w:vMerge w:val="continue"/>
                  <w:tcBorders>
                    <w:tl2br w:val="nil"/>
                    <w:tr2bl w:val="nil"/>
                  </w:tcBorders>
                  <w:noWrap w:val="0"/>
                  <w:vAlign w:val="center"/>
                </w:tcPr>
                <w:p w14:paraId="78CD9C0D">
                  <w:pPr>
                    <w:pStyle w:val="85"/>
                    <w:rPr>
                      <w:rFonts w:hint="default" w:ascii="Times New Roman" w:hAnsi="Times New Roman" w:cs="Times New Roman"/>
                      <w:color w:val="auto"/>
                    </w:rPr>
                  </w:pPr>
                </w:p>
              </w:tc>
              <w:tc>
                <w:tcPr>
                  <w:tcW w:w="584" w:type="pct"/>
                  <w:vMerge w:val="continue"/>
                  <w:tcBorders>
                    <w:tl2br w:val="nil"/>
                    <w:tr2bl w:val="nil"/>
                  </w:tcBorders>
                  <w:noWrap w:val="0"/>
                  <w:vAlign w:val="center"/>
                </w:tcPr>
                <w:p w14:paraId="4AA01F44">
                  <w:pPr>
                    <w:pStyle w:val="85"/>
                    <w:rPr>
                      <w:rFonts w:hint="default" w:ascii="Times New Roman" w:hAnsi="Times New Roman" w:cs="Times New Roman"/>
                      <w:color w:val="auto"/>
                    </w:rPr>
                  </w:pPr>
                </w:p>
              </w:tc>
            </w:tr>
            <w:tr w14:paraId="507AA0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28" w:type="pct"/>
                  <w:tcBorders>
                    <w:tl2br w:val="nil"/>
                    <w:tr2bl w:val="nil"/>
                  </w:tcBorders>
                  <w:noWrap/>
                  <w:vAlign w:val="center"/>
                </w:tcPr>
                <w:p w14:paraId="72832577">
                  <w:pPr>
                    <w:pStyle w:val="85"/>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风机</w:t>
                  </w:r>
                </w:p>
              </w:tc>
              <w:tc>
                <w:tcPr>
                  <w:tcW w:w="429" w:type="pct"/>
                  <w:tcBorders>
                    <w:tl2br w:val="nil"/>
                    <w:tr2bl w:val="nil"/>
                  </w:tcBorders>
                  <w:noWrap/>
                  <w:vAlign w:val="center"/>
                </w:tcPr>
                <w:p w14:paraId="19D94AC8">
                  <w:pPr>
                    <w:pStyle w:val="85"/>
                    <w:rPr>
                      <w:rFonts w:hint="default" w:ascii="Times New Roman" w:hAnsi="Times New Roman" w:cs="Times New Roman"/>
                      <w:color w:val="auto"/>
                      <w:lang w:val="en-US" w:eastAsia="zh-CN"/>
                    </w:rPr>
                  </w:pPr>
                  <w:r>
                    <w:rPr>
                      <w:rFonts w:hint="eastAsia" w:cs="Times New Roman"/>
                      <w:color w:val="auto"/>
                      <w:lang w:val="en-US" w:eastAsia="zh-CN"/>
                    </w:rPr>
                    <w:t>5</w:t>
                  </w:r>
                </w:p>
              </w:tc>
              <w:tc>
                <w:tcPr>
                  <w:tcW w:w="466" w:type="pct"/>
                  <w:tcBorders>
                    <w:tl2br w:val="nil"/>
                    <w:tr2bl w:val="nil"/>
                  </w:tcBorders>
                  <w:noWrap/>
                  <w:vAlign w:val="center"/>
                </w:tcPr>
                <w:p w14:paraId="62BF3B9F">
                  <w:pPr>
                    <w:pStyle w:val="85"/>
                    <w:rPr>
                      <w:rFonts w:hint="default" w:ascii="Times New Roman" w:hAnsi="Times New Roman" w:cs="Times New Roman"/>
                      <w:color w:val="auto"/>
                      <w:lang w:val="en-US" w:eastAsia="zh-CN"/>
                    </w:rPr>
                  </w:pPr>
                  <w:r>
                    <w:rPr>
                      <w:rFonts w:hint="eastAsia" w:cs="Times New Roman"/>
                      <w:color w:val="auto"/>
                      <w:lang w:val="en-US" w:eastAsia="zh-CN"/>
                    </w:rPr>
                    <w:t>-28</w:t>
                  </w:r>
                </w:p>
              </w:tc>
              <w:tc>
                <w:tcPr>
                  <w:tcW w:w="445" w:type="pct"/>
                  <w:tcBorders>
                    <w:tl2br w:val="nil"/>
                    <w:tr2bl w:val="nil"/>
                  </w:tcBorders>
                  <w:noWrap w:val="0"/>
                  <w:vAlign w:val="center"/>
                </w:tcPr>
                <w:p w14:paraId="4D0438F6">
                  <w:pPr>
                    <w:pStyle w:val="85"/>
                    <w:rPr>
                      <w:rFonts w:hint="default" w:ascii="Times New Roman" w:hAnsi="Times New Roman" w:cs="Times New Roman"/>
                      <w:color w:val="auto"/>
                      <w:lang w:val="en-US" w:eastAsia="zh-CN"/>
                    </w:rPr>
                  </w:pPr>
                  <w:r>
                    <w:rPr>
                      <w:rFonts w:hint="eastAsia" w:cs="Times New Roman"/>
                      <w:color w:val="auto"/>
                      <w:lang w:val="en-US" w:eastAsia="zh-CN"/>
                    </w:rPr>
                    <w:t>12.4</w:t>
                  </w:r>
                </w:p>
              </w:tc>
              <w:tc>
                <w:tcPr>
                  <w:tcW w:w="859" w:type="pct"/>
                  <w:tcBorders>
                    <w:tl2br w:val="nil"/>
                    <w:tr2bl w:val="nil"/>
                  </w:tcBorders>
                  <w:noWrap w:val="0"/>
                  <w:vAlign w:val="center"/>
                </w:tcPr>
                <w:p w14:paraId="7A824011">
                  <w:pPr>
                    <w:pStyle w:val="8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85</w:t>
                  </w:r>
                </w:p>
              </w:tc>
              <w:tc>
                <w:tcPr>
                  <w:tcW w:w="1486" w:type="pct"/>
                  <w:vMerge w:val="restart"/>
                  <w:tcBorders>
                    <w:tl2br w:val="nil"/>
                    <w:tr2bl w:val="nil"/>
                  </w:tcBorders>
                  <w:noWrap w:val="0"/>
                  <w:vAlign w:val="center"/>
                </w:tcPr>
                <w:p w14:paraId="0BFF53B5">
                  <w:pPr>
                    <w:pStyle w:val="85"/>
                    <w:rPr>
                      <w:rFonts w:hint="default" w:ascii="Times New Roman" w:hAnsi="Times New Roman" w:eastAsia="宋体" w:cs="Times New Roman"/>
                      <w:color w:val="auto"/>
                      <w:lang w:val="en-US" w:eastAsia="zh-CN"/>
                    </w:rPr>
                  </w:pPr>
                  <w:r>
                    <w:rPr>
                      <w:rFonts w:hint="default" w:ascii="Times New Roman" w:hAnsi="Times New Roman" w:cs="Times New Roman"/>
                      <w:color w:val="auto"/>
                    </w:rPr>
                    <w:t>选用低噪声设备、基础减振、</w:t>
                  </w:r>
                  <w:r>
                    <w:rPr>
                      <w:rFonts w:hint="eastAsia" w:cs="Times New Roman"/>
                      <w:color w:val="auto"/>
                      <w:lang w:val="en-US" w:eastAsia="zh-CN"/>
                    </w:rPr>
                    <w:t>风机</w:t>
                  </w:r>
                  <w:r>
                    <w:rPr>
                      <w:rFonts w:hint="default" w:ascii="Times New Roman" w:hAnsi="Times New Roman" w:cs="Times New Roman"/>
                      <w:color w:val="auto"/>
                      <w:lang w:val="en-US" w:eastAsia="zh-CN"/>
                    </w:rPr>
                    <w:t>加装</w:t>
                  </w:r>
                  <w:r>
                    <w:rPr>
                      <w:rFonts w:hint="default" w:ascii="Times New Roman" w:hAnsi="Times New Roman" w:cs="Times New Roman"/>
                      <w:color w:val="auto"/>
                    </w:rPr>
                    <w:t>隔声</w:t>
                  </w:r>
                  <w:r>
                    <w:rPr>
                      <w:rFonts w:hint="default" w:ascii="Times New Roman" w:hAnsi="Times New Roman" w:cs="Times New Roman"/>
                      <w:color w:val="auto"/>
                      <w:lang w:val="en-US" w:eastAsia="zh-CN"/>
                    </w:rPr>
                    <w:t>罩</w:t>
                  </w:r>
                </w:p>
              </w:tc>
              <w:tc>
                <w:tcPr>
                  <w:tcW w:w="584" w:type="pct"/>
                  <w:vMerge w:val="restart"/>
                  <w:tcBorders>
                    <w:tl2br w:val="nil"/>
                    <w:tr2bl w:val="nil"/>
                  </w:tcBorders>
                  <w:noWrap w:val="0"/>
                  <w:vAlign w:val="center"/>
                </w:tcPr>
                <w:p w14:paraId="7B35BF09">
                  <w:pPr>
                    <w:pStyle w:val="85"/>
                    <w:rPr>
                      <w:rFonts w:hint="default" w:ascii="Times New Roman" w:hAnsi="Times New Roman" w:cs="Times New Roman"/>
                      <w:color w:val="auto"/>
                    </w:rPr>
                  </w:pPr>
                  <w:r>
                    <w:rPr>
                      <w:rFonts w:hint="default" w:ascii="Times New Roman" w:hAnsi="Times New Roman" w:cs="Times New Roman"/>
                      <w:color w:val="auto"/>
                    </w:rPr>
                    <w:t>昼间</w:t>
                  </w:r>
                </w:p>
              </w:tc>
            </w:tr>
            <w:tr w14:paraId="44C6BF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8" w:type="pct"/>
                  <w:tcBorders>
                    <w:tl2br w:val="nil"/>
                    <w:tr2bl w:val="nil"/>
                  </w:tcBorders>
                  <w:noWrap/>
                  <w:vAlign w:val="center"/>
                </w:tcPr>
                <w:p w14:paraId="7525B39A">
                  <w:pPr>
                    <w:pStyle w:val="85"/>
                    <w:rPr>
                      <w:rFonts w:hint="default" w:ascii="Times New Roman" w:hAnsi="Times New Roman" w:cs="Times New Roman"/>
                      <w:color w:val="auto"/>
                    </w:rPr>
                  </w:pPr>
                  <w:r>
                    <w:rPr>
                      <w:rFonts w:hint="default" w:ascii="Times New Roman" w:hAnsi="Times New Roman" w:cs="Times New Roman"/>
                      <w:color w:val="auto"/>
                      <w:lang w:val="en-US" w:eastAsia="zh-CN"/>
                    </w:rPr>
                    <w:t>风机</w:t>
                  </w:r>
                </w:p>
              </w:tc>
              <w:tc>
                <w:tcPr>
                  <w:tcW w:w="429" w:type="pct"/>
                  <w:tcBorders>
                    <w:tl2br w:val="nil"/>
                    <w:tr2bl w:val="nil"/>
                  </w:tcBorders>
                  <w:noWrap/>
                  <w:vAlign w:val="center"/>
                </w:tcPr>
                <w:p w14:paraId="7E15D66A">
                  <w:pPr>
                    <w:pStyle w:val="85"/>
                    <w:rPr>
                      <w:rFonts w:hint="default" w:ascii="Times New Roman" w:hAnsi="Times New Roman" w:cs="Times New Roman"/>
                      <w:color w:val="auto"/>
                      <w:lang w:val="en-US" w:eastAsia="zh-CN"/>
                    </w:rPr>
                  </w:pPr>
                  <w:r>
                    <w:rPr>
                      <w:rFonts w:hint="eastAsia" w:cs="Times New Roman"/>
                      <w:color w:val="auto"/>
                      <w:lang w:val="en-US" w:eastAsia="zh-CN"/>
                    </w:rPr>
                    <w:t>5</w:t>
                  </w:r>
                </w:p>
              </w:tc>
              <w:tc>
                <w:tcPr>
                  <w:tcW w:w="466" w:type="pct"/>
                  <w:tcBorders>
                    <w:tl2br w:val="nil"/>
                    <w:tr2bl w:val="nil"/>
                  </w:tcBorders>
                  <w:noWrap/>
                  <w:vAlign w:val="center"/>
                </w:tcPr>
                <w:p w14:paraId="0228DBF5">
                  <w:pPr>
                    <w:pStyle w:val="85"/>
                    <w:rPr>
                      <w:rFonts w:hint="default" w:ascii="Times New Roman" w:hAnsi="Times New Roman" w:cs="Times New Roman"/>
                      <w:color w:val="auto"/>
                      <w:lang w:val="en-US" w:eastAsia="zh-CN"/>
                    </w:rPr>
                  </w:pPr>
                  <w:r>
                    <w:rPr>
                      <w:rFonts w:hint="eastAsia" w:cs="Times New Roman"/>
                      <w:color w:val="auto"/>
                      <w:lang w:val="en-US" w:eastAsia="zh-CN"/>
                    </w:rPr>
                    <w:t>-30</w:t>
                  </w:r>
                </w:p>
              </w:tc>
              <w:tc>
                <w:tcPr>
                  <w:tcW w:w="445" w:type="pct"/>
                  <w:tcBorders>
                    <w:tl2br w:val="nil"/>
                    <w:tr2bl w:val="nil"/>
                  </w:tcBorders>
                  <w:noWrap/>
                  <w:vAlign w:val="center"/>
                </w:tcPr>
                <w:p w14:paraId="5CE6955E">
                  <w:pPr>
                    <w:pStyle w:val="85"/>
                    <w:rPr>
                      <w:rFonts w:hint="default" w:ascii="Times New Roman" w:hAnsi="Times New Roman" w:cs="Times New Roman"/>
                      <w:color w:val="auto"/>
                      <w:lang w:val="en-US" w:eastAsia="zh-CN"/>
                    </w:rPr>
                  </w:pPr>
                  <w:r>
                    <w:rPr>
                      <w:rFonts w:hint="eastAsia" w:cs="Times New Roman"/>
                      <w:color w:val="auto"/>
                      <w:lang w:val="en-US" w:eastAsia="zh-CN"/>
                    </w:rPr>
                    <w:t>12.4</w:t>
                  </w:r>
                </w:p>
              </w:tc>
              <w:tc>
                <w:tcPr>
                  <w:tcW w:w="859" w:type="pct"/>
                  <w:tcBorders>
                    <w:tl2br w:val="nil"/>
                    <w:tr2bl w:val="nil"/>
                  </w:tcBorders>
                  <w:noWrap/>
                  <w:vAlign w:val="center"/>
                </w:tcPr>
                <w:p w14:paraId="3A35F1EA">
                  <w:pPr>
                    <w:pStyle w:val="8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85</w:t>
                  </w:r>
                </w:p>
              </w:tc>
              <w:tc>
                <w:tcPr>
                  <w:tcW w:w="1486" w:type="pct"/>
                  <w:vMerge w:val="continue"/>
                  <w:tcBorders>
                    <w:tl2br w:val="nil"/>
                    <w:tr2bl w:val="nil"/>
                  </w:tcBorders>
                  <w:noWrap w:val="0"/>
                  <w:vAlign w:val="center"/>
                </w:tcPr>
                <w:p w14:paraId="73B23C1B">
                  <w:pPr>
                    <w:pStyle w:val="85"/>
                    <w:rPr>
                      <w:rFonts w:hint="default" w:ascii="Times New Roman" w:hAnsi="Times New Roman" w:cs="Times New Roman"/>
                      <w:color w:val="auto"/>
                    </w:rPr>
                  </w:pPr>
                </w:p>
              </w:tc>
              <w:tc>
                <w:tcPr>
                  <w:tcW w:w="584" w:type="pct"/>
                  <w:vMerge w:val="continue"/>
                  <w:tcBorders>
                    <w:tl2br w:val="nil"/>
                    <w:tr2bl w:val="nil"/>
                  </w:tcBorders>
                  <w:noWrap w:val="0"/>
                  <w:vAlign w:val="center"/>
                </w:tcPr>
                <w:p w14:paraId="4F856F53">
                  <w:pPr>
                    <w:pStyle w:val="85"/>
                    <w:rPr>
                      <w:rFonts w:hint="default" w:ascii="Times New Roman" w:hAnsi="Times New Roman" w:cs="Times New Roman"/>
                      <w:color w:val="auto"/>
                    </w:rPr>
                  </w:pPr>
                </w:p>
              </w:tc>
            </w:tr>
            <w:tr w14:paraId="697AA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8" w:type="pct"/>
                  <w:tcBorders>
                    <w:tl2br w:val="nil"/>
                    <w:tr2bl w:val="nil"/>
                  </w:tcBorders>
                  <w:noWrap/>
                  <w:vAlign w:val="center"/>
                </w:tcPr>
                <w:p w14:paraId="17BFCF6D">
                  <w:pPr>
                    <w:pStyle w:val="85"/>
                    <w:rPr>
                      <w:rFonts w:hint="default" w:ascii="Times New Roman" w:hAnsi="Times New Roman" w:cs="Times New Roman"/>
                      <w:color w:val="auto"/>
                      <w:lang w:val="en-US" w:eastAsia="zh-CN"/>
                    </w:rPr>
                  </w:pPr>
                  <w:r>
                    <w:rPr>
                      <w:rFonts w:hint="eastAsia" w:cs="Times New Roman"/>
                      <w:color w:val="auto"/>
                      <w:lang w:val="en-US" w:eastAsia="zh-CN"/>
                    </w:rPr>
                    <w:t>空调外机</w:t>
                  </w:r>
                </w:p>
              </w:tc>
              <w:tc>
                <w:tcPr>
                  <w:tcW w:w="429" w:type="pct"/>
                  <w:tcBorders>
                    <w:tl2br w:val="nil"/>
                    <w:tr2bl w:val="nil"/>
                  </w:tcBorders>
                  <w:noWrap/>
                  <w:vAlign w:val="center"/>
                </w:tcPr>
                <w:p w14:paraId="060F0EE4">
                  <w:pPr>
                    <w:pStyle w:val="85"/>
                    <w:rPr>
                      <w:rFonts w:hint="default" w:cs="Times New Roman"/>
                      <w:color w:val="auto"/>
                      <w:lang w:val="en-US" w:eastAsia="zh-CN"/>
                    </w:rPr>
                  </w:pPr>
                  <w:r>
                    <w:rPr>
                      <w:rFonts w:hint="eastAsia" w:cs="Times New Roman"/>
                      <w:color w:val="auto"/>
                      <w:lang w:val="en-US" w:eastAsia="zh-CN"/>
                    </w:rPr>
                    <w:t>5</w:t>
                  </w:r>
                </w:p>
              </w:tc>
              <w:tc>
                <w:tcPr>
                  <w:tcW w:w="466" w:type="pct"/>
                  <w:tcBorders>
                    <w:tl2br w:val="nil"/>
                    <w:tr2bl w:val="nil"/>
                  </w:tcBorders>
                  <w:noWrap/>
                  <w:vAlign w:val="center"/>
                </w:tcPr>
                <w:p w14:paraId="5D3165BB">
                  <w:pPr>
                    <w:pStyle w:val="85"/>
                    <w:rPr>
                      <w:rFonts w:hint="default" w:cs="Times New Roman"/>
                      <w:color w:val="auto"/>
                      <w:lang w:val="en-US" w:eastAsia="zh-CN"/>
                    </w:rPr>
                  </w:pPr>
                  <w:r>
                    <w:rPr>
                      <w:rFonts w:hint="eastAsia" w:cs="Times New Roman"/>
                      <w:color w:val="auto"/>
                      <w:lang w:val="en-US" w:eastAsia="zh-CN"/>
                    </w:rPr>
                    <w:t>20</w:t>
                  </w:r>
                </w:p>
              </w:tc>
              <w:tc>
                <w:tcPr>
                  <w:tcW w:w="445" w:type="pct"/>
                  <w:tcBorders>
                    <w:tl2br w:val="nil"/>
                    <w:tr2bl w:val="nil"/>
                  </w:tcBorders>
                  <w:noWrap/>
                  <w:vAlign w:val="center"/>
                </w:tcPr>
                <w:p w14:paraId="5AC0C2D2">
                  <w:pPr>
                    <w:pStyle w:val="85"/>
                    <w:rPr>
                      <w:rFonts w:hint="default" w:cs="Times New Roman"/>
                      <w:color w:val="auto"/>
                      <w:lang w:val="en-US" w:eastAsia="zh-CN"/>
                    </w:rPr>
                  </w:pPr>
                  <w:r>
                    <w:rPr>
                      <w:rFonts w:hint="eastAsia" w:cs="Times New Roman"/>
                      <w:color w:val="auto"/>
                      <w:lang w:val="en-US" w:eastAsia="zh-CN"/>
                    </w:rPr>
                    <w:t>12.4</w:t>
                  </w:r>
                </w:p>
              </w:tc>
              <w:tc>
                <w:tcPr>
                  <w:tcW w:w="859" w:type="pct"/>
                  <w:tcBorders>
                    <w:tl2br w:val="nil"/>
                    <w:tr2bl w:val="nil"/>
                  </w:tcBorders>
                  <w:noWrap/>
                  <w:vAlign w:val="center"/>
                </w:tcPr>
                <w:p w14:paraId="60445764">
                  <w:pPr>
                    <w:pStyle w:val="85"/>
                    <w:rPr>
                      <w:rFonts w:hint="default" w:ascii="Times New Roman" w:hAnsi="Times New Roman" w:cs="Times New Roman"/>
                      <w:color w:val="auto"/>
                      <w:lang w:val="en-US" w:eastAsia="zh-CN"/>
                    </w:rPr>
                  </w:pPr>
                  <w:r>
                    <w:rPr>
                      <w:rFonts w:hint="eastAsia" w:cs="Times New Roman"/>
                      <w:color w:val="auto"/>
                      <w:lang w:val="en-US" w:eastAsia="zh-CN"/>
                    </w:rPr>
                    <w:t>62</w:t>
                  </w:r>
                </w:p>
              </w:tc>
              <w:tc>
                <w:tcPr>
                  <w:tcW w:w="1486" w:type="pct"/>
                  <w:vMerge w:val="continue"/>
                  <w:tcBorders>
                    <w:tl2br w:val="nil"/>
                    <w:tr2bl w:val="nil"/>
                  </w:tcBorders>
                  <w:noWrap w:val="0"/>
                  <w:vAlign w:val="center"/>
                </w:tcPr>
                <w:p w14:paraId="63ABD12B">
                  <w:pPr>
                    <w:pStyle w:val="85"/>
                    <w:rPr>
                      <w:rFonts w:hint="default" w:ascii="Times New Roman" w:hAnsi="Times New Roman" w:cs="Times New Roman"/>
                      <w:color w:val="auto"/>
                    </w:rPr>
                  </w:pPr>
                </w:p>
              </w:tc>
              <w:tc>
                <w:tcPr>
                  <w:tcW w:w="584" w:type="pct"/>
                  <w:vMerge w:val="continue"/>
                  <w:tcBorders>
                    <w:tl2br w:val="nil"/>
                    <w:tr2bl w:val="nil"/>
                  </w:tcBorders>
                  <w:noWrap w:val="0"/>
                  <w:vAlign w:val="center"/>
                </w:tcPr>
                <w:p w14:paraId="0C185C88">
                  <w:pPr>
                    <w:pStyle w:val="85"/>
                    <w:rPr>
                      <w:rFonts w:hint="default" w:ascii="Times New Roman" w:hAnsi="Times New Roman" w:cs="Times New Roman"/>
                      <w:color w:val="auto"/>
                    </w:rPr>
                  </w:pPr>
                </w:p>
              </w:tc>
            </w:tr>
          </w:tbl>
          <w:p w14:paraId="48C49A0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r>
              <w:rPr>
                <w:rFonts w:hint="default" w:ascii="Times New Roman" w:hAnsi="Times New Roman" w:cs="Times New Roman"/>
                <w:b/>
                <w:bCs/>
                <w:color w:val="auto"/>
              </w:rPr>
              <w:t>以</w:t>
            </w:r>
            <w:r>
              <w:rPr>
                <w:rFonts w:hint="eastAsia" w:cs="Times New Roman"/>
                <w:b/>
                <w:bCs/>
                <w:color w:val="auto"/>
                <w:lang w:val="en-US" w:eastAsia="zh-CN"/>
              </w:rPr>
              <w:t>所在楼层西北角为</w:t>
            </w:r>
            <w:r>
              <w:rPr>
                <w:rFonts w:hint="default" w:ascii="Times New Roman" w:hAnsi="Times New Roman" w:cs="Times New Roman"/>
                <w:b/>
                <w:bCs/>
                <w:color w:val="auto"/>
              </w:rPr>
              <w:t>坐标原点</w:t>
            </w:r>
            <w:r>
              <w:rPr>
                <w:rFonts w:hint="default" w:ascii="Times New Roman" w:hAnsi="Times New Roman" w:cs="Times New Roman"/>
                <w:b/>
                <w:bCs/>
                <w:color w:val="auto"/>
                <w:lang w:eastAsia="zh-CN"/>
              </w:rPr>
              <w:t>。</w:t>
            </w:r>
          </w:p>
          <w:p w14:paraId="22A4D5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）预测点布置</w:t>
            </w:r>
          </w:p>
          <w:p w14:paraId="6DC64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预测点选择在厂址东、南、西、北四个厂界</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西</w:t>
            </w:r>
            <w:r>
              <w:rPr>
                <w:rFonts w:hint="default" w:ascii="Times New Roman" w:hAnsi="Times New Roman" w:cs="Times New Roman"/>
                <w:color w:val="auto"/>
                <w:sz w:val="24"/>
                <w:szCs w:val="24"/>
                <w:lang w:val="en-US" w:eastAsia="zh-CN"/>
              </w:rPr>
              <w:t>侧敏感点</w:t>
            </w:r>
            <w:r>
              <w:rPr>
                <w:rFonts w:hint="eastAsia" w:ascii="Times New Roman" w:hAnsi="Times New Roman" w:eastAsia="宋体" w:cs="Times New Roman"/>
                <w:color w:val="auto"/>
                <w:sz w:val="24"/>
                <w:szCs w:val="24"/>
                <w:highlight w:val="none"/>
                <w:lang w:val="en-US" w:eastAsia="zh-CN"/>
              </w:rPr>
              <w:t>隆桥瑞苑</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共</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个点。</w:t>
            </w:r>
          </w:p>
          <w:p w14:paraId="3A5CAA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厂界噪声预测点坐标如下：</w:t>
            </w:r>
          </w:p>
          <w:p w14:paraId="101C9B05">
            <w:pPr>
              <w:pStyle w:val="84"/>
              <w:ind w:firstLine="420"/>
              <w:rPr>
                <w:rFonts w:hint="default" w:ascii="Times New Roman" w:hAnsi="Times New Roman" w:cs="Times New Roman"/>
                <w:color w:val="auto"/>
              </w:rPr>
            </w:pPr>
            <w:r>
              <w:rPr>
                <w:rStyle w:val="31"/>
                <w:rFonts w:hint="default" w:ascii="Times New Roman" w:hAnsi="Times New Roman" w:cs="Times New Roman"/>
                <w:bCs w:val="0"/>
                <w:color w:val="auto"/>
                <w:sz w:val="21"/>
              </w:rPr>
              <w:t>表4-</w:t>
            </w:r>
            <w:r>
              <w:rPr>
                <w:rStyle w:val="31"/>
                <w:rFonts w:hint="eastAsia" w:cs="Times New Roman"/>
                <w:bCs w:val="0"/>
                <w:color w:val="auto"/>
                <w:sz w:val="21"/>
                <w:lang w:val="en-US" w:eastAsia="zh-CN"/>
              </w:rPr>
              <w:t xml:space="preserve">9  </w:t>
            </w:r>
            <w:r>
              <w:rPr>
                <w:rFonts w:hint="default" w:ascii="Times New Roman" w:hAnsi="Times New Roman" w:cs="Times New Roman"/>
                <w:color w:val="auto"/>
              </w:rPr>
              <w:t>厂界噪声预测点坐标</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461"/>
              <w:gridCol w:w="1466"/>
              <w:gridCol w:w="1466"/>
              <w:gridCol w:w="1466"/>
              <w:gridCol w:w="1478"/>
            </w:tblGrid>
            <w:tr w14:paraId="0FA97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1" w:type="pct"/>
                  <w:vMerge w:val="restart"/>
                  <w:tcBorders>
                    <w:tl2br w:val="nil"/>
                    <w:tr2bl w:val="nil"/>
                  </w:tcBorders>
                  <w:noWrap/>
                  <w:vAlign w:val="center"/>
                </w:tcPr>
                <w:p w14:paraId="25F19ACA">
                  <w:pPr>
                    <w:pStyle w:val="85"/>
                    <w:rPr>
                      <w:rFonts w:hint="default" w:ascii="Times New Roman" w:hAnsi="Times New Roman" w:cs="Times New Roman"/>
                      <w:color w:val="auto"/>
                    </w:rPr>
                  </w:pPr>
                  <w:r>
                    <w:rPr>
                      <w:rFonts w:hint="default" w:ascii="Times New Roman" w:hAnsi="Times New Roman" w:cs="Times New Roman"/>
                      <w:color w:val="auto"/>
                    </w:rPr>
                    <w:t>预测点</w:t>
                  </w:r>
                </w:p>
              </w:tc>
              <w:tc>
                <w:tcPr>
                  <w:tcW w:w="3537" w:type="pct"/>
                  <w:gridSpan w:val="4"/>
                  <w:tcBorders>
                    <w:tl2br w:val="nil"/>
                    <w:tr2bl w:val="nil"/>
                  </w:tcBorders>
                  <w:noWrap/>
                  <w:vAlign w:val="center"/>
                </w:tcPr>
                <w:p w14:paraId="7AF305E9">
                  <w:pPr>
                    <w:pStyle w:val="85"/>
                    <w:rPr>
                      <w:rFonts w:hint="default" w:ascii="Times New Roman" w:hAnsi="Times New Roman" w:cs="Times New Roman"/>
                      <w:color w:val="auto"/>
                    </w:rPr>
                  </w:pPr>
                  <w:r>
                    <w:rPr>
                      <w:rFonts w:hint="default" w:ascii="Times New Roman" w:hAnsi="Times New Roman" w:cs="Times New Roman"/>
                      <w:color w:val="auto"/>
                    </w:rPr>
                    <w:t>厂界</w:t>
                  </w:r>
                </w:p>
              </w:tc>
              <w:tc>
                <w:tcPr>
                  <w:tcW w:w="890" w:type="pct"/>
                  <w:tcBorders>
                    <w:tl2br w:val="nil"/>
                    <w:tr2bl w:val="nil"/>
                  </w:tcBorders>
                  <w:noWrap/>
                  <w:vAlign w:val="center"/>
                </w:tcPr>
                <w:p w14:paraId="7905E312">
                  <w:pPr>
                    <w:pStyle w:val="8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敏感点</w:t>
                  </w:r>
                </w:p>
              </w:tc>
            </w:tr>
            <w:tr w14:paraId="65FCB4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1" w:type="pct"/>
                  <w:vMerge w:val="continue"/>
                  <w:tcBorders>
                    <w:tl2br w:val="nil"/>
                    <w:tr2bl w:val="nil"/>
                  </w:tcBorders>
                  <w:noWrap w:val="0"/>
                  <w:vAlign w:val="center"/>
                </w:tcPr>
                <w:p w14:paraId="7916FFC9">
                  <w:pPr>
                    <w:pStyle w:val="85"/>
                    <w:rPr>
                      <w:rFonts w:hint="default" w:ascii="Times New Roman" w:hAnsi="Times New Roman" w:cs="Times New Roman"/>
                      <w:color w:val="auto"/>
                    </w:rPr>
                  </w:pPr>
                </w:p>
              </w:tc>
              <w:tc>
                <w:tcPr>
                  <w:tcW w:w="882" w:type="pct"/>
                  <w:tcBorders>
                    <w:tl2br w:val="nil"/>
                    <w:tr2bl w:val="nil"/>
                  </w:tcBorders>
                  <w:noWrap/>
                  <w:vAlign w:val="center"/>
                </w:tcPr>
                <w:p w14:paraId="715C2348">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东场界</w:t>
                  </w:r>
                </w:p>
              </w:tc>
              <w:tc>
                <w:tcPr>
                  <w:tcW w:w="885" w:type="pct"/>
                  <w:tcBorders>
                    <w:tl2br w:val="nil"/>
                    <w:tr2bl w:val="nil"/>
                  </w:tcBorders>
                  <w:noWrap/>
                  <w:vAlign w:val="center"/>
                </w:tcPr>
                <w:p w14:paraId="55E44BC7">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南场界</w:t>
                  </w:r>
                </w:p>
              </w:tc>
              <w:tc>
                <w:tcPr>
                  <w:tcW w:w="885" w:type="pct"/>
                  <w:tcBorders>
                    <w:tl2br w:val="nil"/>
                    <w:tr2bl w:val="nil"/>
                  </w:tcBorders>
                  <w:noWrap/>
                  <w:vAlign w:val="center"/>
                </w:tcPr>
                <w:p w14:paraId="3367B5F1">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西厂界</w:t>
                  </w:r>
                </w:p>
              </w:tc>
              <w:tc>
                <w:tcPr>
                  <w:tcW w:w="885" w:type="pct"/>
                  <w:tcBorders>
                    <w:tl2br w:val="nil"/>
                    <w:tr2bl w:val="nil"/>
                  </w:tcBorders>
                  <w:noWrap/>
                  <w:vAlign w:val="center"/>
                </w:tcPr>
                <w:p w14:paraId="1A3AC43D">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rPr>
                    <w:t>北厂界</w:t>
                  </w:r>
                </w:p>
              </w:tc>
              <w:tc>
                <w:tcPr>
                  <w:tcW w:w="890" w:type="pct"/>
                  <w:tcBorders>
                    <w:tl2br w:val="nil"/>
                    <w:tr2bl w:val="nil"/>
                  </w:tcBorders>
                  <w:noWrap/>
                  <w:vAlign w:val="center"/>
                </w:tcPr>
                <w:p w14:paraId="167C7534">
                  <w:pPr>
                    <w:pStyle w:val="85"/>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隆桥瑞苑</w:t>
                  </w:r>
                </w:p>
              </w:tc>
            </w:tr>
            <w:tr w14:paraId="6D15E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1" w:type="pct"/>
                  <w:tcBorders>
                    <w:tl2br w:val="nil"/>
                    <w:tr2bl w:val="nil"/>
                  </w:tcBorders>
                  <w:noWrap/>
                  <w:vAlign w:val="center"/>
                </w:tcPr>
                <w:p w14:paraId="2E0BDE63">
                  <w:pPr>
                    <w:pStyle w:val="85"/>
                    <w:rPr>
                      <w:rFonts w:hint="default" w:ascii="Times New Roman" w:hAnsi="Times New Roman" w:cs="Times New Roman"/>
                      <w:color w:val="auto"/>
                    </w:rPr>
                  </w:pPr>
                  <w:r>
                    <w:rPr>
                      <w:rFonts w:hint="default" w:ascii="Times New Roman" w:hAnsi="Times New Roman" w:cs="Times New Roman"/>
                      <w:color w:val="auto"/>
                    </w:rPr>
                    <w:t>X（m）</w:t>
                  </w:r>
                </w:p>
              </w:tc>
              <w:tc>
                <w:tcPr>
                  <w:tcW w:w="882" w:type="pct"/>
                  <w:tcBorders>
                    <w:tl2br w:val="nil"/>
                    <w:tr2bl w:val="nil"/>
                  </w:tcBorders>
                  <w:noWrap/>
                  <w:vAlign w:val="center"/>
                </w:tcPr>
                <w:p w14:paraId="6444C256">
                  <w:pPr>
                    <w:pStyle w:val="85"/>
                    <w:ind w:firstLine="0" w:firstLineChars="0"/>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color w:val="auto"/>
                      <w:lang w:val="en-US" w:eastAsia="zh-CN"/>
                    </w:rPr>
                    <w:t>-14</w:t>
                  </w:r>
                </w:p>
              </w:tc>
              <w:tc>
                <w:tcPr>
                  <w:tcW w:w="885" w:type="pct"/>
                  <w:tcBorders>
                    <w:tl2br w:val="nil"/>
                    <w:tr2bl w:val="nil"/>
                  </w:tcBorders>
                  <w:noWrap/>
                  <w:vAlign w:val="center"/>
                </w:tcPr>
                <w:p w14:paraId="5FFD5A2D">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7</w:t>
                  </w:r>
                </w:p>
              </w:tc>
              <w:tc>
                <w:tcPr>
                  <w:tcW w:w="885" w:type="pct"/>
                  <w:tcBorders>
                    <w:tl2br w:val="nil"/>
                    <w:tr2bl w:val="nil"/>
                  </w:tcBorders>
                  <w:noWrap/>
                  <w:vAlign w:val="center"/>
                </w:tcPr>
                <w:p w14:paraId="64A49780">
                  <w:pPr>
                    <w:pStyle w:val="85"/>
                    <w:ind w:firstLine="0" w:firstLineChars="0"/>
                    <w:rPr>
                      <w:rFonts w:hint="eastAsia"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0</w:t>
                  </w:r>
                </w:p>
              </w:tc>
              <w:tc>
                <w:tcPr>
                  <w:tcW w:w="885" w:type="pct"/>
                  <w:tcBorders>
                    <w:tl2br w:val="nil"/>
                    <w:tr2bl w:val="nil"/>
                  </w:tcBorders>
                  <w:noWrap/>
                  <w:vAlign w:val="center"/>
                </w:tcPr>
                <w:p w14:paraId="642B9D7F">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7</w:t>
                  </w:r>
                </w:p>
              </w:tc>
              <w:tc>
                <w:tcPr>
                  <w:tcW w:w="890" w:type="pct"/>
                  <w:tcBorders>
                    <w:tl2br w:val="nil"/>
                    <w:tr2bl w:val="nil"/>
                  </w:tcBorders>
                  <w:noWrap/>
                  <w:vAlign w:val="center"/>
                </w:tcPr>
                <w:p w14:paraId="55A69BC4">
                  <w:pPr>
                    <w:pStyle w:val="85"/>
                    <w:rPr>
                      <w:rFonts w:hint="default" w:ascii="Times New Roman" w:hAnsi="Times New Roman" w:eastAsia="宋体" w:cs="Times New Roman"/>
                      <w:color w:val="auto"/>
                      <w:lang w:val="en-US" w:eastAsia="zh-CN"/>
                    </w:rPr>
                  </w:pPr>
                  <w:r>
                    <w:rPr>
                      <w:rFonts w:hint="eastAsia" w:cs="Times New Roman"/>
                      <w:color w:val="auto"/>
                      <w:lang w:val="en-US" w:eastAsia="zh-CN"/>
                    </w:rPr>
                    <w:t>0</w:t>
                  </w:r>
                </w:p>
              </w:tc>
            </w:tr>
            <w:tr w14:paraId="12408E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1" w:type="pct"/>
                  <w:tcBorders>
                    <w:tl2br w:val="nil"/>
                    <w:tr2bl w:val="nil"/>
                  </w:tcBorders>
                  <w:noWrap/>
                  <w:vAlign w:val="center"/>
                </w:tcPr>
                <w:p w14:paraId="38A6128D">
                  <w:pPr>
                    <w:pStyle w:val="85"/>
                    <w:rPr>
                      <w:rFonts w:hint="default" w:ascii="Times New Roman" w:hAnsi="Times New Roman" w:cs="Times New Roman"/>
                      <w:color w:val="auto"/>
                    </w:rPr>
                  </w:pPr>
                  <w:r>
                    <w:rPr>
                      <w:rFonts w:hint="default" w:ascii="Times New Roman" w:hAnsi="Times New Roman" w:cs="Times New Roman"/>
                      <w:color w:val="auto"/>
                    </w:rPr>
                    <w:t>Y（m）</w:t>
                  </w:r>
                </w:p>
              </w:tc>
              <w:tc>
                <w:tcPr>
                  <w:tcW w:w="882" w:type="pct"/>
                  <w:tcBorders>
                    <w:tl2br w:val="nil"/>
                    <w:tr2bl w:val="nil"/>
                  </w:tcBorders>
                  <w:noWrap/>
                  <w:vAlign w:val="center"/>
                </w:tcPr>
                <w:p w14:paraId="7DF931A9">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-23</w:t>
                  </w:r>
                </w:p>
              </w:tc>
              <w:tc>
                <w:tcPr>
                  <w:tcW w:w="885" w:type="pct"/>
                  <w:tcBorders>
                    <w:tl2br w:val="nil"/>
                    <w:tr2bl w:val="nil"/>
                  </w:tcBorders>
                  <w:noWrap/>
                  <w:vAlign w:val="center"/>
                </w:tcPr>
                <w:p w14:paraId="304D5B1A">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-46</w:t>
                  </w:r>
                </w:p>
              </w:tc>
              <w:tc>
                <w:tcPr>
                  <w:tcW w:w="885" w:type="pct"/>
                  <w:tcBorders>
                    <w:tl2br w:val="nil"/>
                    <w:tr2bl w:val="nil"/>
                  </w:tcBorders>
                  <w:noWrap/>
                  <w:vAlign w:val="center"/>
                </w:tcPr>
                <w:p w14:paraId="1159E24A">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-23</w:t>
                  </w:r>
                </w:p>
              </w:tc>
              <w:tc>
                <w:tcPr>
                  <w:tcW w:w="885" w:type="pct"/>
                  <w:tcBorders>
                    <w:tl2br w:val="nil"/>
                    <w:tr2bl w:val="nil"/>
                  </w:tcBorders>
                  <w:noWrap/>
                  <w:vAlign w:val="center"/>
                </w:tcPr>
                <w:p w14:paraId="36355731">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lang w:val="en-US" w:eastAsia="zh-CN"/>
                    </w:rPr>
                    <w:t>0</w:t>
                  </w:r>
                </w:p>
              </w:tc>
              <w:tc>
                <w:tcPr>
                  <w:tcW w:w="890" w:type="pct"/>
                  <w:tcBorders>
                    <w:tl2br w:val="nil"/>
                    <w:tr2bl w:val="nil"/>
                  </w:tcBorders>
                  <w:noWrap/>
                  <w:vAlign w:val="center"/>
                </w:tcPr>
                <w:p w14:paraId="30A77B29">
                  <w:pPr>
                    <w:pStyle w:val="85"/>
                    <w:rPr>
                      <w:rFonts w:hint="default" w:ascii="Times New Roman" w:hAnsi="Times New Roman" w:eastAsia="宋体" w:cs="Times New Roman"/>
                      <w:color w:val="auto"/>
                      <w:lang w:val="en-US" w:eastAsia="zh-CN"/>
                    </w:rPr>
                  </w:pPr>
                  <w:r>
                    <w:rPr>
                      <w:rFonts w:hint="eastAsia" w:cs="Times New Roman"/>
                      <w:color w:val="auto"/>
                      <w:lang w:val="en-US" w:eastAsia="zh-CN"/>
                    </w:rPr>
                    <w:t>-20</w:t>
                  </w:r>
                </w:p>
              </w:tc>
            </w:tr>
            <w:tr w14:paraId="2357BD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tcBorders>
                    <w:tl2br w:val="nil"/>
                    <w:tr2bl w:val="nil"/>
                  </w:tcBorders>
                  <w:noWrap/>
                  <w:vAlign w:val="center"/>
                </w:tcPr>
                <w:p w14:paraId="0724E17E">
                  <w:pPr>
                    <w:pStyle w:val="85"/>
                    <w:rPr>
                      <w:rFonts w:hint="default" w:ascii="Times New Roman" w:hAnsi="Times New Roman" w:cs="Times New Roman"/>
                      <w:color w:val="auto"/>
                    </w:rPr>
                  </w:pPr>
                  <w:r>
                    <w:rPr>
                      <w:rFonts w:hint="default" w:ascii="Times New Roman" w:hAnsi="Times New Roman" w:cs="Times New Roman"/>
                      <w:color w:val="auto"/>
                    </w:rPr>
                    <w:t>备注：以</w:t>
                  </w:r>
                  <w:r>
                    <w:rPr>
                      <w:rFonts w:hint="eastAsia" w:cs="Times New Roman"/>
                      <w:b w:val="0"/>
                      <w:bCs w:val="0"/>
                      <w:color w:val="auto"/>
                      <w:lang w:val="en-US" w:eastAsia="zh-CN"/>
                    </w:rPr>
                    <w:t>所在楼层西北角为</w:t>
                  </w:r>
                  <w:r>
                    <w:rPr>
                      <w:rFonts w:hint="default" w:ascii="Times New Roman" w:hAnsi="Times New Roman" w:cs="Times New Roman"/>
                      <w:b w:val="0"/>
                      <w:bCs w:val="0"/>
                      <w:color w:val="auto"/>
                    </w:rPr>
                    <w:t>坐标原点</w:t>
                  </w:r>
                </w:p>
              </w:tc>
            </w:tr>
          </w:tbl>
          <w:p w14:paraId="443712B9">
            <w:pPr>
              <w:keepNext w:val="0"/>
              <w:keepLines w:val="0"/>
              <w:pageBreakBefore w:val="0"/>
              <w:widowControl w:val="0"/>
              <w:numPr>
                <w:ilvl w:val="0"/>
                <w:numId w:val="7"/>
              </w:numPr>
              <w:kinsoku/>
              <w:wordWrap/>
              <w:overflowPunct/>
              <w:topLinePunct w:val="0"/>
              <w:autoSpaceDE/>
              <w:autoSpaceDN/>
              <w:bidi w:val="0"/>
              <w:adjustRightInd w:val="0"/>
              <w:snapToGrid w:val="0"/>
              <w:spacing w:before="157" w:beforeLines="5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预测模式</w:t>
            </w:r>
          </w:p>
          <w:p w14:paraId="2F624E8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cs="Times New Roman"/>
                <w:color w:val="auto"/>
                <w:spacing w:val="4"/>
                <w:sz w:val="24"/>
                <w:szCs w:val="24"/>
                <w:highlight w:val="none"/>
                <w:lang w:val="en-US" w:eastAsia="zh-CN"/>
              </w:rPr>
              <w:t>①</w:t>
            </w:r>
            <w:r>
              <w:rPr>
                <w:rFonts w:hint="default" w:ascii="Times New Roman" w:hAnsi="Times New Roman" w:eastAsia="宋体" w:cs="Times New Roman"/>
                <w:color w:val="auto"/>
                <w:spacing w:val="4"/>
                <w:sz w:val="24"/>
                <w:szCs w:val="24"/>
                <w:highlight w:val="none"/>
              </w:rPr>
              <w:t>源强叠加</w:t>
            </w:r>
          </w:p>
          <w:p w14:paraId="1994A4BA">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center"/>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drawing>
                <wp:inline distT="0" distB="0" distL="114300" distR="114300">
                  <wp:extent cx="1590040" cy="45720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9"/>
                          <a:stretch>
                            <a:fillRect/>
                          </a:stretch>
                        </pic:blipFill>
                        <pic:spPr>
                          <a:xfrm>
                            <a:off x="0" y="0"/>
                            <a:ext cx="1590040" cy="457200"/>
                          </a:xfrm>
                          <a:prstGeom prst="rect">
                            <a:avLst/>
                          </a:prstGeom>
                          <a:noFill/>
                          <a:ln>
                            <a:noFill/>
                          </a:ln>
                        </pic:spPr>
                      </pic:pic>
                    </a:graphicData>
                  </a:graphic>
                </wp:inline>
              </w:drawing>
            </w:r>
          </w:p>
          <w:p w14:paraId="6EFCED28">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式中：</w:t>
            </w:r>
          </w:p>
          <w:p w14:paraId="2918B4D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drawing>
                <wp:inline distT="0" distB="0" distL="114300" distR="114300">
                  <wp:extent cx="209550" cy="228600"/>
                  <wp:effectExtent l="0" t="0" r="3810" b="0"/>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pic:cNvPicPr>
                            <a:picLocks noChangeAspect="1"/>
                          </pic:cNvPicPr>
                        </pic:nvPicPr>
                        <pic:blipFill>
                          <a:blip r:embed="rId10"/>
                          <a:stretch>
                            <a:fillRect/>
                          </a:stretch>
                        </pic:blipFill>
                        <pic:spPr>
                          <a:xfrm>
                            <a:off x="0" y="0"/>
                            <a:ext cx="209550" cy="228600"/>
                          </a:xfrm>
                          <a:prstGeom prst="rect">
                            <a:avLst/>
                          </a:prstGeom>
                          <a:noFill/>
                          <a:ln>
                            <a:noFill/>
                          </a:ln>
                        </pic:spPr>
                      </pic:pic>
                    </a:graphicData>
                  </a:graphic>
                </wp:inline>
              </w:drawing>
            </w:r>
            <w:r>
              <w:rPr>
                <w:rFonts w:hint="default" w:ascii="Times New Roman" w:hAnsi="Times New Roman" w:eastAsia="宋体" w:cs="Times New Roman"/>
                <w:color w:val="auto"/>
                <w:spacing w:val="4"/>
                <w:sz w:val="24"/>
                <w:szCs w:val="24"/>
                <w:highlight w:val="none"/>
              </w:rPr>
              <w:t>——几个声压级相加后的总声压级，dB(A)；</w:t>
            </w:r>
          </w:p>
          <w:p w14:paraId="67D202D7">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drawing>
                <wp:inline distT="0" distB="0" distL="114300" distR="114300">
                  <wp:extent cx="180975" cy="228600"/>
                  <wp:effectExtent l="0" t="0" r="0" b="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7"/>
                          <pic:cNvPicPr>
                            <a:picLocks noChangeAspect="1"/>
                          </pic:cNvPicPr>
                        </pic:nvPicPr>
                        <pic:blipFill>
                          <a:blip r:embed="rId11"/>
                          <a:stretch>
                            <a:fillRect/>
                          </a:stretch>
                        </pic:blipFill>
                        <pic:spPr>
                          <a:xfrm>
                            <a:off x="0" y="0"/>
                            <a:ext cx="180975" cy="228600"/>
                          </a:xfrm>
                          <a:prstGeom prst="rect">
                            <a:avLst/>
                          </a:prstGeom>
                          <a:noFill/>
                          <a:ln>
                            <a:noFill/>
                          </a:ln>
                        </pic:spPr>
                      </pic:pic>
                    </a:graphicData>
                  </a:graphic>
                </wp:inline>
              </w:drawing>
            </w:r>
            <w:r>
              <w:rPr>
                <w:rFonts w:hint="default" w:ascii="Times New Roman" w:hAnsi="Times New Roman" w:eastAsia="宋体" w:cs="Times New Roman"/>
                <w:color w:val="auto"/>
                <w:spacing w:val="4"/>
                <w:sz w:val="24"/>
                <w:szCs w:val="24"/>
                <w:highlight w:val="none"/>
              </w:rPr>
              <w:t>——某一个声压级，dB(A)。</w:t>
            </w:r>
          </w:p>
          <w:p w14:paraId="5714CE74">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根据计算，治理后噪声源强叠加值为83.6dB(A)。</w:t>
            </w:r>
          </w:p>
          <w:p w14:paraId="0603EF8F">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cs="Times New Roman"/>
                <w:color w:val="auto"/>
                <w:spacing w:val="4"/>
                <w:sz w:val="24"/>
                <w:szCs w:val="24"/>
                <w:highlight w:val="none"/>
                <w:lang w:val="en-US" w:eastAsia="zh-CN"/>
              </w:rPr>
              <w:t>②</w:t>
            </w:r>
            <w:r>
              <w:rPr>
                <w:rFonts w:hint="default" w:ascii="Times New Roman" w:hAnsi="Times New Roman" w:eastAsia="宋体" w:cs="Times New Roman"/>
                <w:color w:val="auto"/>
                <w:spacing w:val="4"/>
                <w:sz w:val="24"/>
                <w:szCs w:val="24"/>
                <w:highlight w:val="none"/>
              </w:rPr>
              <w:t>噪声衰减</w:t>
            </w:r>
          </w:p>
          <w:p w14:paraId="0B0650A7">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center"/>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drawing>
                <wp:inline distT="0" distB="0" distL="114300" distR="114300">
                  <wp:extent cx="1885950" cy="524510"/>
                  <wp:effectExtent l="0" t="0" r="0" b="9525"/>
                  <wp:docPr id="5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8"/>
                          <pic:cNvPicPr>
                            <a:picLocks noChangeAspect="1"/>
                          </pic:cNvPicPr>
                        </pic:nvPicPr>
                        <pic:blipFill>
                          <a:blip r:embed="rId12"/>
                          <a:stretch>
                            <a:fillRect/>
                          </a:stretch>
                        </pic:blipFill>
                        <pic:spPr>
                          <a:xfrm>
                            <a:off x="0" y="0"/>
                            <a:ext cx="1885950" cy="524510"/>
                          </a:xfrm>
                          <a:prstGeom prst="rect">
                            <a:avLst/>
                          </a:prstGeom>
                          <a:noFill/>
                          <a:ln>
                            <a:noFill/>
                          </a:ln>
                        </pic:spPr>
                      </pic:pic>
                    </a:graphicData>
                  </a:graphic>
                </wp:inline>
              </w:drawing>
            </w:r>
          </w:p>
          <w:p w14:paraId="5D76F7CF">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式中：</w:t>
            </w:r>
          </w:p>
          <w:p w14:paraId="078489A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drawing>
                <wp:inline distT="0" distB="0" distL="114300" distR="114300">
                  <wp:extent cx="190500" cy="247650"/>
                  <wp:effectExtent l="0" t="0" r="0" b="12065"/>
                  <wp:docPr id="5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9"/>
                          <pic:cNvPicPr>
                            <a:picLocks noChangeAspect="1"/>
                          </pic:cNvPicPr>
                        </pic:nvPicPr>
                        <pic:blipFill>
                          <a:blip r:embed="rId13"/>
                          <a:stretch>
                            <a:fillRect/>
                          </a:stretch>
                        </pic:blipFill>
                        <pic:spPr>
                          <a:xfrm>
                            <a:off x="0" y="0"/>
                            <a:ext cx="190500" cy="247650"/>
                          </a:xfrm>
                          <a:prstGeom prst="rect">
                            <a:avLst/>
                          </a:prstGeom>
                          <a:noFill/>
                          <a:ln>
                            <a:noFill/>
                          </a:ln>
                        </pic:spPr>
                      </pic:pic>
                    </a:graphicData>
                  </a:graphic>
                </wp:inline>
              </w:drawing>
            </w:r>
            <w:r>
              <w:rPr>
                <w:rFonts w:hint="default" w:ascii="Times New Roman" w:hAnsi="Times New Roman" w:eastAsia="宋体" w:cs="Times New Roman"/>
                <w:color w:val="auto"/>
                <w:spacing w:val="4"/>
                <w:sz w:val="24"/>
                <w:szCs w:val="24"/>
                <w:highlight w:val="none"/>
              </w:rPr>
              <w:t>——距声源r米处的施工噪声预测值，dB(A)；</w:t>
            </w:r>
          </w:p>
          <w:p w14:paraId="361104C9">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drawing>
                <wp:inline distT="0" distB="0" distL="114300" distR="114300">
                  <wp:extent cx="228600" cy="247650"/>
                  <wp:effectExtent l="0" t="0" r="0" b="12065"/>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pic:cNvPicPr>
                        </pic:nvPicPr>
                        <pic:blipFill>
                          <a:blip r:embed="rId14"/>
                          <a:stretch>
                            <a:fillRect/>
                          </a:stretch>
                        </pic:blipFill>
                        <pic:spPr>
                          <a:xfrm>
                            <a:off x="0" y="0"/>
                            <a:ext cx="228600" cy="247650"/>
                          </a:xfrm>
                          <a:prstGeom prst="rect">
                            <a:avLst/>
                          </a:prstGeom>
                          <a:noFill/>
                          <a:ln>
                            <a:noFill/>
                          </a:ln>
                        </pic:spPr>
                      </pic:pic>
                    </a:graphicData>
                  </a:graphic>
                </wp:inline>
              </w:drawing>
            </w:r>
            <w:r>
              <w:rPr>
                <w:rFonts w:hint="default" w:ascii="Times New Roman" w:hAnsi="Times New Roman" w:eastAsia="宋体" w:cs="Times New Roman"/>
                <w:color w:val="auto"/>
                <w:spacing w:val="4"/>
                <w:sz w:val="24"/>
                <w:szCs w:val="24"/>
                <w:highlight w:val="none"/>
              </w:rPr>
              <w:t>——距声源r</w:t>
            </w:r>
            <w:r>
              <w:rPr>
                <w:rFonts w:hint="default" w:ascii="Times New Roman" w:hAnsi="Times New Roman" w:eastAsia="宋体" w:cs="Times New Roman"/>
                <w:color w:val="auto"/>
                <w:spacing w:val="4"/>
                <w:sz w:val="24"/>
                <w:szCs w:val="24"/>
                <w:highlight w:val="none"/>
                <w:vertAlign w:val="subscript"/>
              </w:rPr>
              <w:t>o</w:t>
            </w:r>
            <w:r>
              <w:rPr>
                <w:rFonts w:hint="default" w:ascii="Times New Roman" w:hAnsi="Times New Roman" w:eastAsia="宋体" w:cs="Times New Roman"/>
                <w:color w:val="auto"/>
                <w:spacing w:val="4"/>
                <w:sz w:val="24"/>
                <w:szCs w:val="24"/>
                <w:highlight w:val="none"/>
              </w:rPr>
              <w:t>米处的参考声级，dB(A)；</w:t>
            </w:r>
          </w:p>
          <w:p w14:paraId="1924F150">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drawing>
                <wp:inline distT="0" distB="0" distL="114300" distR="114300">
                  <wp:extent cx="133350" cy="228600"/>
                  <wp:effectExtent l="0" t="0" r="0" b="0"/>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1"/>
                          <pic:cNvPicPr>
                            <a:picLocks noChangeAspect="1"/>
                          </pic:cNvPicPr>
                        </pic:nvPicPr>
                        <pic:blipFill>
                          <a:blip r:embed="rId15"/>
                          <a:stretch>
                            <a:fillRect/>
                          </a:stretch>
                        </pic:blipFill>
                        <pic:spPr>
                          <a:xfrm>
                            <a:off x="0" y="0"/>
                            <a:ext cx="133350" cy="228600"/>
                          </a:xfrm>
                          <a:prstGeom prst="rect">
                            <a:avLst/>
                          </a:prstGeom>
                          <a:noFill/>
                          <a:ln>
                            <a:noFill/>
                          </a:ln>
                        </pic:spPr>
                      </pic:pic>
                    </a:graphicData>
                  </a:graphic>
                </wp:inline>
              </w:drawing>
            </w:r>
            <w:r>
              <w:rPr>
                <w:rFonts w:hint="default" w:ascii="Times New Roman" w:hAnsi="Times New Roman" w:eastAsia="宋体" w:cs="Times New Roman"/>
                <w:color w:val="auto"/>
                <w:spacing w:val="4"/>
                <w:sz w:val="24"/>
                <w:szCs w:val="24"/>
                <w:highlight w:val="none"/>
              </w:rPr>
              <w:t>——</w:t>
            </w:r>
            <w:r>
              <w:rPr>
                <w:rFonts w:hint="default" w:ascii="Times New Roman" w:hAnsi="Times New Roman" w:eastAsia="宋体" w:cs="Times New Roman"/>
                <w:color w:val="auto"/>
                <w:spacing w:val="4"/>
                <w:sz w:val="24"/>
                <w:szCs w:val="24"/>
                <w:highlight w:val="none"/>
              </w:rPr>
              <w:drawing>
                <wp:inline distT="0" distB="0" distL="114300" distR="114300">
                  <wp:extent cx="228600" cy="247650"/>
                  <wp:effectExtent l="0" t="0" r="0" b="12065"/>
                  <wp:docPr id="2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2"/>
                          <pic:cNvPicPr>
                            <a:picLocks noChangeAspect="1"/>
                          </pic:cNvPicPr>
                        </pic:nvPicPr>
                        <pic:blipFill>
                          <a:blip r:embed="rId14"/>
                          <a:stretch>
                            <a:fillRect/>
                          </a:stretch>
                        </pic:blipFill>
                        <pic:spPr>
                          <a:xfrm>
                            <a:off x="0" y="0"/>
                            <a:ext cx="228600" cy="247650"/>
                          </a:xfrm>
                          <a:prstGeom prst="rect">
                            <a:avLst/>
                          </a:prstGeom>
                          <a:noFill/>
                          <a:ln>
                            <a:noFill/>
                          </a:ln>
                        </pic:spPr>
                      </pic:pic>
                    </a:graphicData>
                  </a:graphic>
                </wp:inline>
              </w:drawing>
            </w:r>
            <w:r>
              <w:rPr>
                <w:rFonts w:hint="default" w:ascii="Times New Roman" w:hAnsi="Times New Roman" w:eastAsia="宋体" w:cs="Times New Roman"/>
                <w:color w:val="auto"/>
                <w:spacing w:val="4"/>
                <w:sz w:val="24"/>
                <w:szCs w:val="24"/>
                <w:highlight w:val="none"/>
              </w:rPr>
              <w:t>噪声的测点距离(1m)，m；</w:t>
            </w:r>
          </w:p>
          <w:p w14:paraId="3664D9D8">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highlight w:val="none"/>
              </w:rPr>
              <w:t>△L——采取各种措施后的噪声衰减量，dB(A)。</w:t>
            </w:r>
          </w:p>
          <w:p w14:paraId="6D3F07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）预测方案</w:t>
            </w:r>
          </w:p>
          <w:p w14:paraId="46C432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预测因子为等效连续A声级L</w:t>
            </w:r>
            <w:r>
              <w:rPr>
                <w:rFonts w:hint="default" w:ascii="Times New Roman" w:hAnsi="Times New Roman" w:eastAsia="宋体" w:cs="Times New Roman"/>
                <w:color w:val="auto"/>
                <w:sz w:val="24"/>
                <w:szCs w:val="24"/>
                <w:vertAlign w:val="subscript"/>
              </w:rPr>
              <w:t>eq</w:t>
            </w:r>
            <w:r>
              <w:rPr>
                <w:rFonts w:hint="default" w:ascii="Times New Roman" w:hAnsi="Times New Roman" w:eastAsia="宋体" w:cs="Times New Roman"/>
                <w:color w:val="auto"/>
                <w:sz w:val="24"/>
                <w:szCs w:val="24"/>
              </w:rPr>
              <w:t>(A)。</w:t>
            </w:r>
          </w:p>
          <w:p w14:paraId="251A40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预测内容为厂界噪声贡献值</w:t>
            </w:r>
            <w:r>
              <w:rPr>
                <w:rFonts w:hint="eastAsia" w:cs="Times New Roman"/>
                <w:color w:val="auto"/>
                <w:sz w:val="24"/>
                <w:szCs w:val="24"/>
                <w:lang w:eastAsia="zh-CN"/>
              </w:rPr>
              <w:t>、</w:t>
            </w:r>
            <w:r>
              <w:rPr>
                <w:rFonts w:hint="eastAsia" w:cs="Times New Roman"/>
                <w:color w:val="auto"/>
                <w:sz w:val="24"/>
                <w:szCs w:val="24"/>
                <w:lang w:val="en-US" w:eastAsia="zh-CN"/>
              </w:rPr>
              <w:t>敏感点预测值</w:t>
            </w:r>
            <w:r>
              <w:rPr>
                <w:rFonts w:hint="default" w:ascii="Times New Roman" w:hAnsi="Times New Roman" w:eastAsia="宋体" w:cs="Times New Roman"/>
                <w:color w:val="auto"/>
                <w:sz w:val="24"/>
                <w:szCs w:val="24"/>
              </w:rPr>
              <w:t>。</w:t>
            </w:r>
          </w:p>
          <w:p w14:paraId="484F2C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）预测结果与评价</w:t>
            </w:r>
          </w:p>
          <w:p w14:paraId="5E80ED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cs="Times New Roman"/>
                <w:color w:val="auto"/>
                <w:sz w:val="24"/>
                <w:szCs w:val="24"/>
              </w:rPr>
              <w:t>仅在昼间生产，</w:t>
            </w:r>
            <w:r>
              <w:rPr>
                <w:rFonts w:hint="default" w:ascii="Times New Roman" w:hAnsi="Times New Roman" w:eastAsia="宋体" w:cs="Times New Roman"/>
                <w:color w:val="auto"/>
                <w:sz w:val="24"/>
                <w:szCs w:val="24"/>
                <w:lang w:val="en-US" w:eastAsia="zh-CN"/>
              </w:rPr>
              <w:t>夜间不生产，本次仅对昼间噪声值进行预测，</w:t>
            </w:r>
            <w:r>
              <w:rPr>
                <w:rFonts w:hint="default" w:ascii="Times New Roman" w:hAnsi="Times New Roman" w:eastAsia="宋体" w:cs="Times New Roman"/>
                <w:color w:val="auto"/>
                <w:sz w:val="24"/>
                <w:szCs w:val="24"/>
              </w:rPr>
              <w:t>噪声预测结果见表4-</w:t>
            </w:r>
            <w:r>
              <w:rPr>
                <w:rFonts w:hint="eastAsia" w:cs="Times New Roman"/>
                <w:color w:val="auto"/>
                <w:sz w:val="24"/>
                <w:szCs w:val="24"/>
                <w:lang w:val="en-US" w:eastAsia="zh-CN"/>
              </w:rPr>
              <w:t>10</w:t>
            </w:r>
            <w:r>
              <w:rPr>
                <w:rFonts w:hint="default" w:ascii="Times New Roman" w:hAnsi="Times New Roman" w:eastAsia="宋体" w:cs="Times New Roman"/>
                <w:color w:val="auto"/>
                <w:sz w:val="24"/>
                <w:szCs w:val="24"/>
              </w:rPr>
              <w:t>。</w:t>
            </w:r>
          </w:p>
          <w:p w14:paraId="459363B7">
            <w:pPr>
              <w:pStyle w:val="84"/>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表4</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 xml:space="preserve">10  </w:t>
            </w:r>
            <w:r>
              <w:rPr>
                <w:rFonts w:hint="default" w:ascii="Times New Roman" w:hAnsi="Times New Roman" w:cs="Times New Roman"/>
                <w:color w:val="auto"/>
                <w:sz w:val="21"/>
                <w:szCs w:val="21"/>
              </w:rPr>
              <w:t>噪声预测结果统计单位：dB（A）</w:t>
            </w:r>
          </w:p>
          <w:tbl>
            <w:tblPr>
              <w:tblStyle w:val="28"/>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750"/>
              <w:gridCol w:w="1750"/>
              <w:gridCol w:w="1760"/>
              <w:gridCol w:w="1753"/>
            </w:tblGrid>
            <w:tr w14:paraId="12033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7" w:type="pct"/>
                  <w:vMerge w:val="restart"/>
                  <w:tcBorders>
                    <w:tl2br w:val="nil"/>
                    <w:tr2bl w:val="nil"/>
                  </w:tcBorders>
                  <w:noWrap/>
                  <w:vAlign w:val="center"/>
                </w:tcPr>
                <w:p w14:paraId="374FDAC9">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预测点位</w:t>
                  </w:r>
                </w:p>
              </w:tc>
              <w:tc>
                <w:tcPr>
                  <w:tcW w:w="3174" w:type="pct"/>
                  <w:gridSpan w:val="3"/>
                  <w:tcBorders>
                    <w:tl2br w:val="nil"/>
                    <w:tr2bl w:val="nil"/>
                  </w:tcBorders>
                  <w:noWrap/>
                  <w:vAlign w:val="center"/>
                </w:tcPr>
                <w:p w14:paraId="742A4D34">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c>
                <w:tcPr>
                  <w:tcW w:w="1058" w:type="pct"/>
                  <w:tcBorders>
                    <w:tl2br w:val="nil"/>
                    <w:tr2bl w:val="nil"/>
                  </w:tcBorders>
                  <w:noWrap w:val="0"/>
                  <w:vAlign w:val="center"/>
                </w:tcPr>
                <w:p w14:paraId="5DDF59ED">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标准限值</w:t>
                  </w:r>
                </w:p>
              </w:tc>
            </w:tr>
            <w:tr w14:paraId="12EF5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7" w:type="pct"/>
                  <w:vMerge w:val="continue"/>
                  <w:tcBorders>
                    <w:tl2br w:val="nil"/>
                    <w:tr2bl w:val="nil"/>
                  </w:tcBorders>
                  <w:noWrap w:val="0"/>
                  <w:vAlign w:val="center"/>
                </w:tcPr>
                <w:p w14:paraId="674A8C34">
                  <w:pPr>
                    <w:pStyle w:val="85"/>
                    <w:rPr>
                      <w:rFonts w:hint="default" w:ascii="Times New Roman" w:hAnsi="Times New Roman" w:cs="Times New Roman"/>
                      <w:color w:val="auto"/>
                      <w:sz w:val="21"/>
                      <w:szCs w:val="21"/>
                    </w:rPr>
                  </w:pPr>
                </w:p>
              </w:tc>
              <w:tc>
                <w:tcPr>
                  <w:tcW w:w="1056" w:type="pct"/>
                  <w:tcBorders>
                    <w:tl2br w:val="nil"/>
                    <w:tr2bl w:val="nil"/>
                  </w:tcBorders>
                  <w:noWrap/>
                  <w:vAlign w:val="center"/>
                </w:tcPr>
                <w:p w14:paraId="08380D20">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贡献值</w:t>
                  </w:r>
                </w:p>
              </w:tc>
              <w:tc>
                <w:tcPr>
                  <w:tcW w:w="1056" w:type="pct"/>
                  <w:tcBorders>
                    <w:tl2br w:val="nil"/>
                    <w:tr2bl w:val="nil"/>
                  </w:tcBorders>
                  <w:noWrap w:val="0"/>
                  <w:vAlign w:val="center"/>
                </w:tcPr>
                <w:p w14:paraId="46FE0955">
                  <w:pPr>
                    <w:pStyle w:val="85"/>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背景值</w:t>
                  </w:r>
                </w:p>
              </w:tc>
              <w:tc>
                <w:tcPr>
                  <w:tcW w:w="1062" w:type="pct"/>
                  <w:tcBorders>
                    <w:tl2br w:val="nil"/>
                    <w:tr2bl w:val="nil"/>
                  </w:tcBorders>
                  <w:noWrap w:val="0"/>
                  <w:vAlign w:val="center"/>
                </w:tcPr>
                <w:p w14:paraId="2A17273C">
                  <w:pPr>
                    <w:pStyle w:val="85"/>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预测值</w:t>
                  </w:r>
                </w:p>
              </w:tc>
              <w:tc>
                <w:tcPr>
                  <w:tcW w:w="1058" w:type="pct"/>
                  <w:tcBorders>
                    <w:tl2br w:val="nil"/>
                    <w:tr2bl w:val="nil"/>
                  </w:tcBorders>
                  <w:noWrap w:val="0"/>
                  <w:vAlign w:val="center"/>
                </w:tcPr>
                <w:p w14:paraId="2751F586">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r>
            <w:tr w14:paraId="10C876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7" w:type="pct"/>
                  <w:tcBorders>
                    <w:tl2br w:val="nil"/>
                    <w:tr2bl w:val="nil"/>
                  </w:tcBorders>
                  <w:noWrap/>
                  <w:vAlign w:val="center"/>
                </w:tcPr>
                <w:p w14:paraId="158AB3C8">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东厂界</w:t>
                  </w:r>
                </w:p>
              </w:tc>
              <w:tc>
                <w:tcPr>
                  <w:tcW w:w="1056" w:type="pct"/>
                  <w:tcBorders>
                    <w:tl2br w:val="nil"/>
                    <w:tr2bl w:val="nil"/>
                  </w:tcBorders>
                  <w:noWrap/>
                  <w:vAlign w:val="center"/>
                </w:tcPr>
                <w:p w14:paraId="68990324">
                  <w:pPr>
                    <w:pStyle w:val="85"/>
                    <w:rPr>
                      <w:rFonts w:hint="default" w:ascii="Times New Roman" w:hAnsi="Times New Roman" w:eastAsia="宋体" w:cs="Times New Roman"/>
                      <w:color w:val="auto"/>
                      <w:kern w:val="0"/>
                      <w:sz w:val="21"/>
                      <w:szCs w:val="21"/>
                      <w:lang w:val="en-US" w:eastAsia="zh-CN"/>
                    </w:rPr>
                  </w:pPr>
                  <w:r>
                    <w:rPr>
                      <w:rFonts w:hint="eastAsia" w:cs="Times New Roman"/>
                      <w:color w:val="auto"/>
                      <w:sz w:val="21"/>
                      <w:szCs w:val="21"/>
                      <w:lang w:val="en-US" w:eastAsia="zh-CN"/>
                    </w:rPr>
                    <w:t>51.9</w:t>
                  </w:r>
                </w:p>
              </w:tc>
              <w:tc>
                <w:tcPr>
                  <w:tcW w:w="1056" w:type="pct"/>
                  <w:tcBorders>
                    <w:tl2br w:val="nil"/>
                    <w:tr2bl w:val="nil"/>
                  </w:tcBorders>
                  <w:noWrap w:val="0"/>
                  <w:vAlign w:val="center"/>
                </w:tcPr>
                <w:p w14:paraId="16B14382">
                  <w:pPr>
                    <w:pStyle w:val="85"/>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p>
              </w:tc>
              <w:tc>
                <w:tcPr>
                  <w:tcW w:w="1784" w:type="dxa"/>
                  <w:tcBorders>
                    <w:tl2br w:val="nil"/>
                    <w:tr2bl w:val="nil"/>
                  </w:tcBorders>
                  <w:noWrap w:val="0"/>
                  <w:vAlign w:val="center"/>
                </w:tcPr>
                <w:p w14:paraId="533570DD">
                  <w:pPr>
                    <w:pStyle w:val="85"/>
                    <w:ind w:firstLine="0" w:firstLineChars="0"/>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p>
              </w:tc>
              <w:tc>
                <w:tcPr>
                  <w:tcW w:w="1058" w:type="pct"/>
                  <w:tcBorders>
                    <w:tl2br w:val="nil"/>
                    <w:tr2bl w:val="nil"/>
                  </w:tcBorders>
                  <w:noWrap w:val="0"/>
                  <w:vAlign w:val="center"/>
                </w:tcPr>
                <w:p w14:paraId="2E60F29E">
                  <w:pPr>
                    <w:pStyle w:val="85"/>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en-US" w:eastAsia="zh-CN"/>
                    </w:rPr>
                    <w:t>0</w:t>
                  </w:r>
                </w:p>
              </w:tc>
            </w:tr>
            <w:tr w14:paraId="3F5497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7" w:type="pct"/>
                  <w:tcBorders>
                    <w:tl2br w:val="nil"/>
                    <w:tr2bl w:val="nil"/>
                  </w:tcBorders>
                  <w:noWrap/>
                  <w:vAlign w:val="center"/>
                </w:tcPr>
                <w:p w14:paraId="7E5FD778">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南厂界</w:t>
                  </w:r>
                </w:p>
              </w:tc>
              <w:tc>
                <w:tcPr>
                  <w:tcW w:w="1056" w:type="pct"/>
                  <w:tcBorders>
                    <w:tl2br w:val="nil"/>
                    <w:tr2bl w:val="nil"/>
                  </w:tcBorders>
                  <w:noWrap/>
                  <w:vAlign w:val="center"/>
                </w:tcPr>
                <w:p w14:paraId="73AE41CC">
                  <w:pPr>
                    <w:pStyle w:val="85"/>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44.8</w:t>
                  </w:r>
                </w:p>
              </w:tc>
              <w:tc>
                <w:tcPr>
                  <w:tcW w:w="1056" w:type="pct"/>
                  <w:tcBorders>
                    <w:tl2br w:val="nil"/>
                    <w:tr2bl w:val="nil"/>
                  </w:tcBorders>
                  <w:noWrap w:val="0"/>
                  <w:vAlign w:val="center"/>
                </w:tcPr>
                <w:p w14:paraId="72E1E0C3">
                  <w:pPr>
                    <w:pStyle w:val="85"/>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784" w:type="dxa"/>
                  <w:tcBorders>
                    <w:tl2br w:val="nil"/>
                    <w:tr2bl w:val="nil"/>
                  </w:tcBorders>
                  <w:noWrap w:val="0"/>
                  <w:vAlign w:val="center"/>
                </w:tcPr>
                <w:p w14:paraId="444D1484">
                  <w:pPr>
                    <w:pStyle w:val="85"/>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58" w:type="pct"/>
                  <w:tcBorders>
                    <w:tl2br w:val="nil"/>
                    <w:tr2bl w:val="nil"/>
                  </w:tcBorders>
                  <w:noWrap w:val="0"/>
                  <w:vAlign w:val="center"/>
                </w:tcPr>
                <w:p w14:paraId="242A6D5C">
                  <w:pPr>
                    <w:pStyle w:val="85"/>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en-US" w:eastAsia="zh-CN"/>
                    </w:rPr>
                    <w:t>0</w:t>
                  </w:r>
                </w:p>
              </w:tc>
            </w:tr>
            <w:tr w14:paraId="24EC6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7" w:type="pct"/>
                  <w:tcBorders>
                    <w:tl2br w:val="nil"/>
                    <w:tr2bl w:val="nil"/>
                  </w:tcBorders>
                  <w:noWrap/>
                  <w:vAlign w:val="center"/>
                </w:tcPr>
                <w:p w14:paraId="1DCD84EA">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西厂界</w:t>
                  </w:r>
                </w:p>
              </w:tc>
              <w:tc>
                <w:tcPr>
                  <w:tcW w:w="1056" w:type="pct"/>
                  <w:tcBorders>
                    <w:tl2br w:val="nil"/>
                    <w:tr2bl w:val="nil"/>
                  </w:tcBorders>
                  <w:noWrap/>
                  <w:vAlign w:val="center"/>
                </w:tcPr>
                <w:p w14:paraId="1767D9A9">
                  <w:pPr>
                    <w:pStyle w:val="85"/>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val="en-US" w:eastAsia="zh-CN"/>
                    </w:rPr>
                    <w:t>5</w:t>
                  </w:r>
                  <w:r>
                    <w:rPr>
                      <w:rFonts w:hint="eastAsia" w:cs="Times New Roman"/>
                      <w:color w:val="auto"/>
                      <w:kern w:val="0"/>
                      <w:sz w:val="21"/>
                      <w:szCs w:val="21"/>
                      <w:lang w:val="en-US" w:eastAsia="zh-CN"/>
                    </w:rPr>
                    <w:t>6.1</w:t>
                  </w:r>
                </w:p>
              </w:tc>
              <w:tc>
                <w:tcPr>
                  <w:tcW w:w="1056" w:type="pct"/>
                  <w:tcBorders>
                    <w:tl2br w:val="nil"/>
                    <w:tr2bl w:val="nil"/>
                  </w:tcBorders>
                  <w:noWrap w:val="0"/>
                  <w:vAlign w:val="center"/>
                </w:tcPr>
                <w:p w14:paraId="48A925A7">
                  <w:pPr>
                    <w:pStyle w:val="85"/>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784" w:type="dxa"/>
                  <w:tcBorders>
                    <w:tl2br w:val="nil"/>
                    <w:tr2bl w:val="nil"/>
                  </w:tcBorders>
                  <w:noWrap w:val="0"/>
                  <w:vAlign w:val="center"/>
                </w:tcPr>
                <w:p w14:paraId="67FE4DD3">
                  <w:pPr>
                    <w:pStyle w:val="85"/>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58" w:type="pct"/>
                  <w:tcBorders>
                    <w:tl2br w:val="nil"/>
                    <w:tr2bl w:val="nil"/>
                  </w:tcBorders>
                  <w:noWrap w:val="0"/>
                  <w:vAlign w:val="center"/>
                </w:tcPr>
                <w:p w14:paraId="26FADC4F">
                  <w:pPr>
                    <w:pStyle w:val="85"/>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en-US" w:eastAsia="zh-CN"/>
                    </w:rPr>
                    <w:t>0</w:t>
                  </w:r>
                </w:p>
              </w:tc>
            </w:tr>
            <w:tr w14:paraId="13D733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7" w:type="pct"/>
                  <w:tcBorders>
                    <w:tl2br w:val="nil"/>
                    <w:tr2bl w:val="nil"/>
                  </w:tcBorders>
                  <w:noWrap/>
                  <w:vAlign w:val="center"/>
                </w:tcPr>
                <w:p w14:paraId="6E717EF7">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北厂界</w:t>
                  </w:r>
                </w:p>
              </w:tc>
              <w:tc>
                <w:tcPr>
                  <w:tcW w:w="1056" w:type="pct"/>
                  <w:tcBorders>
                    <w:tl2br w:val="nil"/>
                    <w:tr2bl w:val="nil"/>
                  </w:tcBorders>
                  <w:noWrap/>
                  <w:vAlign w:val="center"/>
                </w:tcPr>
                <w:p w14:paraId="39452279">
                  <w:pPr>
                    <w:pStyle w:val="85"/>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42.1</w:t>
                  </w:r>
                </w:p>
              </w:tc>
              <w:tc>
                <w:tcPr>
                  <w:tcW w:w="1056" w:type="pct"/>
                  <w:tcBorders>
                    <w:tl2br w:val="nil"/>
                    <w:tr2bl w:val="nil"/>
                  </w:tcBorders>
                  <w:noWrap w:val="0"/>
                  <w:vAlign w:val="center"/>
                </w:tcPr>
                <w:p w14:paraId="27C48219">
                  <w:pPr>
                    <w:pStyle w:val="85"/>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784" w:type="dxa"/>
                  <w:tcBorders>
                    <w:tl2br w:val="nil"/>
                    <w:tr2bl w:val="nil"/>
                  </w:tcBorders>
                  <w:noWrap w:val="0"/>
                  <w:vAlign w:val="center"/>
                </w:tcPr>
                <w:p w14:paraId="0D9EA596">
                  <w:pPr>
                    <w:pStyle w:val="85"/>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58" w:type="pct"/>
                  <w:tcBorders>
                    <w:tl2br w:val="nil"/>
                    <w:tr2bl w:val="nil"/>
                  </w:tcBorders>
                  <w:noWrap w:val="0"/>
                  <w:vAlign w:val="center"/>
                </w:tcPr>
                <w:p w14:paraId="71AF2208">
                  <w:pPr>
                    <w:pStyle w:val="85"/>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en-US" w:eastAsia="zh-CN"/>
                    </w:rPr>
                    <w:t>0</w:t>
                  </w:r>
                </w:p>
              </w:tc>
            </w:tr>
            <w:tr w14:paraId="36DDA4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7" w:type="pct"/>
                  <w:tcBorders>
                    <w:tl2br w:val="nil"/>
                    <w:tr2bl w:val="nil"/>
                  </w:tcBorders>
                  <w:noWrap/>
                  <w:vAlign w:val="center"/>
                </w:tcPr>
                <w:p w14:paraId="661E1A36">
                  <w:pPr>
                    <w:pStyle w:val="85"/>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隆桥瑞苑</w:t>
                  </w:r>
                </w:p>
              </w:tc>
              <w:tc>
                <w:tcPr>
                  <w:tcW w:w="1056" w:type="pct"/>
                  <w:tcBorders>
                    <w:tl2br w:val="nil"/>
                    <w:tr2bl w:val="nil"/>
                  </w:tcBorders>
                  <w:noWrap/>
                  <w:vAlign w:val="center"/>
                </w:tcPr>
                <w:p w14:paraId="14EE6603">
                  <w:pPr>
                    <w:pStyle w:val="85"/>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5</w:t>
                  </w:r>
                  <w:r>
                    <w:rPr>
                      <w:rFonts w:hint="eastAsia" w:cs="Times New Roman"/>
                      <w:color w:val="auto"/>
                      <w:kern w:val="0"/>
                      <w:sz w:val="21"/>
                      <w:szCs w:val="21"/>
                      <w:lang w:val="en-US" w:eastAsia="zh-CN"/>
                    </w:rPr>
                    <w:t>6.1</w:t>
                  </w:r>
                </w:p>
              </w:tc>
              <w:tc>
                <w:tcPr>
                  <w:tcW w:w="1056" w:type="pct"/>
                  <w:tcBorders>
                    <w:tl2br w:val="nil"/>
                    <w:tr2bl w:val="nil"/>
                  </w:tcBorders>
                  <w:noWrap w:val="0"/>
                  <w:vAlign w:val="center"/>
                </w:tcPr>
                <w:p w14:paraId="7988AE90">
                  <w:pPr>
                    <w:pStyle w:val="85"/>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48</w:t>
                  </w:r>
                </w:p>
              </w:tc>
              <w:tc>
                <w:tcPr>
                  <w:tcW w:w="1062" w:type="pct"/>
                  <w:tcBorders>
                    <w:tl2br w:val="nil"/>
                    <w:tr2bl w:val="nil"/>
                  </w:tcBorders>
                  <w:noWrap w:val="0"/>
                  <w:vAlign w:val="center"/>
                </w:tcPr>
                <w:p w14:paraId="01CFBA93">
                  <w:pPr>
                    <w:pStyle w:val="85"/>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cs="Times New Roman"/>
                      <w:color w:val="auto"/>
                      <w:sz w:val="21"/>
                      <w:szCs w:val="21"/>
                      <w:lang w:val="en-US" w:eastAsia="zh-CN"/>
                    </w:rPr>
                    <w:t>6.7</w:t>
                  </w:r>
                </w:p>
              </w:tc>
              <w:tc>
                <w:tcPr>
                  <w:tcW w:w="1058" w:type="pct"/>
                  <w:tcBorders>
                    <w:tl2br w:val="nil"/>
                    <w:tr2bl w:val="nil"/>
                  </w:tcBorders>
                  <w:noWrap w:val="0"/>
                  <w:vAlign w:val="center"/>
                </w:tcPr>
                <w:p w14:paraId="511C40C5">
                  <w:pPr>
                    <w:pStyle w:val="85"/>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val="en-US" w:eastAsia="zh-CN"/>
                    </w:rPr>
                    <w:t>0</w:t>
                  </w:r>
                </w:p>
              </w:tc>
            </w:tr>
          </w:tbl>
          <w:p w14:paraId="5E01DA4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根据预测结果，项目运营期东、南、西、北厂界</w:t>
            </w:r>
            <w:r>
              <w:rPr>
                <w:rFonts w:hint="default" w:ascii="Times New Roman" w:hAnsi="Times New Roman" w:cs="Times New Roman"/>
                <w:color w:val="auto"/>
                <w:sz w:val="24"/>
                <w:szCs w:val="24"/>
                <w:lang w:val="en-US" w:eastAsia="zh-CN"/>
              </w:rPr>
              <w:t>昼间</w:t>
            </w:r>
            <w:r>
              <w:rPr>
                <w:rFonts w:hint="default" w:ascii="Times New Roman" w:hAnsi="Times New Roman" w:eastAsia="宋体" w:cs="Times New Roman"/>
                <w:color w:val="auto"/>
                <w:sz w:val="24"/>
                <w:szCs w:val="24"/>
              </w:rPr>
              <w:t>噪声</w:t>
            </w:r>
            <w:r>
              <w:rPr>
                <w:rFonts w:hint="eastAsia" w:cs="Times New Roman"/>
                <w:color w:val="auto"/>
                <w:sz w:val="24"/>
                <w:szCs w:val="24"/>
                <w:lang w:val="en-US" w:eastAsia="zh-CN"/>
              </w:rPr>
              <w:t>贡献值</w:t>
            </w:r>
            <w:r>
              <w:rPr>
                <w:rFonts w:hint="default" w:ascii="Times New Roman" w:hAnsi="Times New Roman" w:eastAsia="宋体" w:cs="Times New Roman"/>
                <w:color w:val="auto"/>
                <w:sz w:val="24"/>
                <w:szCs w:val="24"/>
              </w:rPr>
              <w:t>均满足《工业企业厂界环境噪声排放标准》（GB12348-2008）中的</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类标准</w:t>
            </w:r>
            <w:r>
              <w:rPr>
                <w:rFonts w:hint="eastAsia" w:cs="Times New Roman"/>
                <w:color w:val="auto"/>
                <w:sz w:val="24"/>
                <w:szCs w:val="24"/>
                <w:lang w:val="en-US" w:eastAsia="zh-CN"/>
              </w:rPr>
              <w:t>，</w:t>
            </w:r>
            <w:bookmarkStart w:id="14" w:name="OLE_LINK4"/>
            <w:r>
              <w:rPr>
                <w:rFonts w:hint="eastAsia" w:cs="Times New Roman"/>
                <w:color w:val="auto"/>
                <w:sz w:val="24"/>
                <w:szCs w:val="24"/>
                <w:lang w:val="en-US" w:eastAsia="zh-CN"/>
              </w:rPr>
              <w:t>西侧</w:t>
            </w:r>
            <w:r>
              <w:rPr>
                <w:rFonts w:hint="eastAsia" w:ascii="Times New Roman" w:hAnsi="Times New Roman" w:eastAsia="宋体" w:cs="Times New Roman"/>
                <w:color w:val="auto"/>
                <w:sz w:val="24"/>
                <w:lang w:val="en-US" w:eastAsia="zh-CN"/>
              </w:rPr>
              <w:t>隆桥瑞苑</w:t>
            </w:r>
            <w:bookmarkEnd w:id="14"/>
            <w:r>
              <w:rPr>
                <w:rFonts w:hint="default" w:ascii="Times New Roman" w:hAnsi="Times New Roman" w:eastAsia="宋体" w:cs="Times New Roman"/>
                <w:color w:val="auto"/>
                <w:sz w:val="24"/>
              </w:rPr>
              <w:t>噪声</w:t>
            </w:r>
            <w:r>
              <w:rPr>
                <w:rFonts w:hint="default" w:ascii="Times New Roman" w:hAnsi="Times New Roman" w:cs="Times New Roman"/>
                <w:color w:val="auto"/>
                <w:sz w:val="24"/>
                <w:lang w:val="en-US" w:eastAsia="zh-CN"/>
              </w:rPr>
              <w:t>预测</w:t>
            </w:r>
            <w:r>
              <w:rPr>
                <w:rFonts w:hint="default" w:ascii="Times New Roman" w:hAnsi="Times New Roman" w:eastAsia="宋体" w:cs="Times New Roman"/>
                <w:color w:val="auto"/>
                <w:sz w:val="24"/>
              </w:rPr>
              <w:t>值满足《声环境质量标准》（GB3096-2008）中2类标准要求</w:t>
            </w:r>
            <w:r>
              <w:rPr>
                <w:rFonts w:hint="default" w:ascii="Times New Roman" w:hAnsi="Times New Roman" w:eastAsia="宋体" w:cs="Times New Roman"/>
                <w:color w:val="auto"/>
                <w:sz w:val="24"/>
                <w:szCs w:val="24"/>
              </w:rPr>
              <w:t>。项目建成后对周边声环境影响较小。</w:t>
            </w:r>
          </w:p>
          <w:p w14:paraId="70B997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（4）噪声措施</w:t>
            </w:r>
          </w:p>
          <w:p w14:paraId="79AA12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为了进一步降低噪声污染，建设单位已采取以下防治措施：</w:t>
            </w:r>
          </w:p>
          <w:p w14:paraId="1197A9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①控制设备噪声</w:t>
            </w:r>
          </w:p>
          <w:p w14:paraId="44BE9B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napToGrid w:val="0"/>
                <w:color w:val="auto"/>
                <w:sz w:val="24"/>
                <w:szCs w:val="22"/>
                <w:highlight w:val="none"/>
                <w:lang w:val="en-US" w:eastAsia="zh-CN"/>
              </w:rPr>
            </w:pPr>
            <w:r>
              <w:rPr>
                <w:rFonts w:hint="default" w:ascii="Times New Roman" w:hAnsi="Times New Roman" w:eastAsia="宋体" w:cs="Times New Roman"/>
                <w:color w:val="auto"/>
                <w:sz w:val="24"/>
                <w:szCs w:val="24"/>
              </w:rPr>
              <w:t>设备选型时选用先进低噪声设备，在满足工艺设计的前提下，尽量选用满足国际标准的低噪声、低振动型号的设备，降低噪声源强。</w:t>
            </w:r>
          </w:p>
          <w:p w14:paraId="4D7F2E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②加强建筑物隔声措施</w:t>
            </w:r>
          </w:p>
          <w:p w14:paraId="0CEAFC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室内高噪声设备合理布局，有效利用了建筑隔声，并采取隔声材料制作门窗、墙体等，防止噪声的扩散和传播，正常生产时门窗密闭。</w:t>
            </w:r>
          </w:p>
          <w:p w14:paraId="37A3CF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③强化生产管理：加强对生产设备的保养，保证设备处于良好</w:t>
            </w:r>
            <w:r>
              <w:rPr>
                <w:rFonts w:hint="eastAsia" w:cs="Times New Roman"/>
                <w:color w:val="auto"/>
                <w:sz w:val="24"/>
                <w:szCs w:val="24"/>
                <w:lang w:eastAsia="zh-CN"/>
              </w:rPr>
              <w:t>地</w:t>
            </w:r>
            <w:r>
              <w:rPr>
                <w:rFonts w:hint="default" w:ascii="Times New Roman" w:hAnsi="Times New Roman" w:eastAsia="宋体" w:cs="Times New Roman"/>
                <w:color w:val="auto"/>
                <w:sz w:val="24"/>
                <w:szCs w:val="24"/>
              </w:rPr>
              <w:t>运转状态；加强职工环保意识教育，提倡文明生产，防止人为噪声。</w:t>
            </w:r>
          </w:p>
          <w:p w14:paraId="051420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④风机尽量远离西侧小区布置，</w:t>
            </w:r>
            <w:r>
              <w:rPr>
                <w:rFonts w:hint="eastAsia" w:cs="Times New Roman"/>
                <w:snapToGrid w:val="0"/>
                <w:color w:val="auto"/>
                <w:sz w:val="24"/>
                <w:szCs w:val="22"/>
                <w:highlight w:val="none"/>
                <w:lang w:val="en-US" w:eastAsia="zh-CN"/>
              </w:rPr>
              <w:t>对</w:t>
            </w:r>
            <w:r>
              <w:rPr>
                <w:rFonts w:hint="default" w:ascii="Times New Roman" w:hAnsi="Times New Roman" w:eastAsia="宋体" w:cs="Times New Roman"/>
                <w:snapToGrid w:val="0"/>
                <w:color w:val="auto"/>
                <w:sz w:val="24"/>
                <w:szCs w:val="22"/>
                <w:highlight w:val="none"/>
                <w:lang w:val="en-US" w:eastAsia="zh-CN"/>
              </w:rPr>
              <w:t>风机采取</w:t>
            </w:r>
            <w:r>
              <w:rPr>
                <w:rFonts w:hint="eastAsia" w:cs="Times New Roman"/>
                <w:snapToGrid w:val="0"/>
                <w:color w:val="auto"/>
                <w:sz w:val="24"/>
                <w:szCs w:val="22"/>
                <w:highlight w:val="none"/>
                <w:lang w:val="en-US" w:eastAsia="zh-CN"/>
              </w:rPr>
              <w:t>减振、加装</w:t>
            </w:r>
            <w:r>
              <w:rPr>
                <w:rFonts w:hint="default" w:ascii="Times New Roman" w:hAnsi="Times New Roman" w:eastAsia="宋体" w:cs="Times New Roman"/>
                <w:snapToGrid w:val="0"/>
                <w:color w:val="auto"/>
                <w:sz w:val="24"/>
                <w:szCs w:val="22"/>
                <w:highlight w:val="none"/>
                <w:lang w:val="en-US" w:eastAsia="zh-CN"/>
              </w:rPr>
              <w:t>隔声</w:t>
            </w:r>
            <w:r>
              <w:rPr>
                <w:rFonts w:hint="eastAsia" w:cs="Times New Roman"/>
                <w:snapToGrid w:val="0"/>
                <w:color w:val="auto"/>
                <w:sz w:val="24"/>
                <w:szCs w:val="22"/>
                <w:highlight w:val="none"/>
                <w:lang w:val="en-US" w:eastAsia="zh-CN"/>
              </w:rPr>
              <w:t>罩、安装消音器等措施</w:t>
            </w:r>
            <w:r>
              <w:rPr>
                <w:rFonts w:hint="default" w:ascii="Times New Roman" w:hAnsi="Times New Roman" w:eastAsia="宋体" w:cs="Times New Roman"/>
                <w:snapToGrid w:val="0"/>
                <w:color w:val="auto"/>
                <w:sz w:val="24"/>
                <w:szCs w:val="22"/>
                <w:highlight w:val="none"/>
                <w:lang w:val="en-US" w:eastAsia="zh-CN"/>
              </w:rPr>
              <w:t>。</w:t>
            </w:r>
          </w:p>
          <w:p w14:paraId="75FF39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严格按照上述治理措施降噪后，项目昼间</w:t>
            </w:r>
            <w:r>
              <w:rPr>
                <w:rFonts w:hint="eastAsia" w:cs="Times New Roman"/>
                <w:color w:val="auto"/>
                <w:sz w:val="24"/>
                <w:szCs w:val="24"/>
                <w:lang w:val="en-US" w:eastAsia="zh-CN"/>
              </w:rPr>
              <w:t>厂界</w:t>
            </w:r>
            <w:r>
              <w:rPr>
                <w:rFonts w:hint="default" w:ascii="Times New Roman" w:hAnsi="Times New Roman" w:eastAsia="宋体" w:cs="Times New Roman"/>
                <w:color w:val="auto"/>
                <w:sz w:val="24"/>
                <w:szCs w:val="24"/>
              </w:rPr>
              <w:t>噪声值均满足《工业企业厂界环境噪声排放标准》（GB12348-2008）</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类标准要求，</w:t>
            </w:r>
            <w:r>
              <w:rPr>
                <w:rFonts w:hint="eastAsia" w:cs="Times New Roman"/>
                <w:color w:val="auto"/>
                <w:sz w:val="24"/>
                <w:szCs w:val="24"/>
                <w:lang w:val="en-US" w:eastAsia="zh-CN"/>
              </w:rPr>
              <w:t>西侧</w:t>
            </w:r>
            <w:r>
              <w:rPr>
                <w:rFonts w:hint="eastAsia" w:ascii="Times New Roman" w:hAnsi="Times New Roman" w:eastAsia="宋体" w:cs="Times New Roman"/>
                <w:color w:val="auto"/>
                <w:sz w:val="24"/>
                <w:lang w:val="en-US" w:eastAsia="zh-CN"/>
              </w:rPr>
              <w:t>隆桥瑞苑</w:t>
            </w:r>
            <w:r>
              <w:rPr>
                <w:rFonts w:hint="default" w:ascii="Times New Roman" w:hAnsi="Times New Roman" w:eastAsia="宋体" w:cs="Times New Roman"/>
                <w:color w:val="auto"/>
                <w:sz w:val="24"/>
              </w:rPr>
              <w:t>噪声</w:t>
            </w:r>
            <w:r>
              <w:rPr>
                <w:rFonts w:hint="default" w:ascii="Times New Roman" w:hAnsi="Times New Roman" w:cs="Times New Roman"/>
                <w:color w:val="auto"/>
                <w:sz w:val="24"/>
                <w:lang w:val="en-US" w:eastAsia="zh-CN"/>
              </w:rPr>
              <w:t>预测</w:t>
            </w:r>
            <w:r>
              <w:rPr>
                <w:rFonts w:hint="default" w:ascii="Times New Roman" w:hAnsi="Times New Roman" w:eastAsia="宋体" w:cs="Times New Roman"/>
                <w:color w:val="auto"/>
                <w:sz w:val="24"/>
              </w:rPr>
              <w:t>值满足《声环境质量标准》（GB3096-2008）中2类标准要求</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rPr>
              <w:t>噪声控制措施可行。</w:t>
            </w:r>
          </w:p>
          <w:p w14:paraId="3A4BFD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Style w:val="31"/>
                <w:rFonts w:hint="default" w:ascii="Times New Roman" w:hAnsi="Times New Roman" w:cs="Times New Roman"/>
                <w:color w:val="auto"/>
                <w:sz w:val="24"/>
                <w:szCs w:val="24"/>
              </w:rPr>
              <w:t>（</w:t>
            </w:r>
            <w:r>
              <w:rPr>
                <w:rFonts w:hint="default" w:ascii="Times New Roman" w:hAnsi="Times New Roman" w:eastAsia="宋体" w:cs="Times New Roman"/>
                <w:color w:val="auto"/>
                <w:sz w:val="24"/>
                <w:szCs w:val="24"/>
              </w:rPr>
              <w:t>5）监测要求</w:t>
            </w:r>
          </w:p>
          <w:p w14:paraId="5E0C62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监测要求见表4-</w:t>
            </w:r>
            <w:r>
              <w:rPr>
                <w:rFonts w:hint="default"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w:t>
            </w:r>
          </w:p>
          <w:p w14:paraId="405C6ECC">
            <w:pPr>
              <w:pStyle w:val="84"/>
              <w:ind w:firstLine="48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表4-</w:t>
            </w:r>
            <w:r>
              <w:rPr>
                <w:rFonts w:hint="default"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 xml:space="preserve">1  </w:t>
            </w:r>
            <w:r>
              <w:rPr>
                <w:rFonts w:hint="default" w:ascii="Times New Roman" w:hAnsi="Times New Roman" w:eastAsia="宋体" w:cs="Times New Roman"/>
                <w:color w:val="auto"/>
                <w:sz w:val="21"/>
                <w:szCs w:val="21"/>
              </w:rPr>
              <w:t>噪声监测要求</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3952"/>
              <w:gridCol w:w="1468"/>
              <w:gridCol w:w="1362"/>
            </w:tblGrid>
            <w:tr w14:paraId="4C8D59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pct"/>
                  <w:tcBorders>
                    <w:tl2br w:val="nil"/>
                    <w:tr2bl w:val="nil"/>
                  </w:tcBorders>
                  <w:noWrap/>
                  <w:vAlign w:val="center"/>
                </w:tcPr>
                <w:p w14:paraId="567C2600">
                  <w:pPr>
                    <w:pStyle w:val="86"/>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监测点位</w:t>
                  </w:r>
                </w:p>
              </w:tc>
              <w:tc>
                <w:tcPr>
                  <w:tcW w:w="2385" w:type="pct"/>
                  <w:tcBorders>
                    <w:tl2br w:val="nil"/>
                    <w:tr2bl w:val="nil"/>
                  </w:tcBorders>
                  <w:noWrap/>
                  <w:vAlign w:val="center"/>
                </w:tcPr>
                <w:p w14:paraId="478D7F6A">
                  <w:pPr>
                    <w:pStyle w:val="8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排放标准</w:t>
                  </w:r>
                </w:p>
              </w:tc>
              <w:tc>
                <w:tcPr>
                  <w:tcW w:w="886" w:type="pct"/>
                  <w:tcBorders>
                    <w:tl2br w:val="nil"/>
                    <w:tr2bl w:val="nil"/>
                  </w:tcBorders>
                  <w:noWrap/>
                  <w:vAlign w:val="center"/>
                </w:tcPr>
                <w:p w14:paraId="7E7E47DE">
                  <w:pPr>
                    <w:pStyle w:val="8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监测因子</w:t>
                  </w:r>
                </w:p>
              </w:tc>
              <w:tc>
                <w:tcPr>
                  <w:tcW w:w="822" w:type="pct"/>
                  <w:tcBorders>
                    <w:tl2br w:val="nil"/>
                    <w:tr2bl w:val="nil"/>
                  </w:tcBorders>
                  <w:noWrap/>
                  <w:vAlign w:val="center"/>
                </w:tcPr>
                <w:p w14:paraId="09DEE72C">
                  <w:pPr>
                    <w:pStyle w:val="8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监测频次</w:t>
                  </w:r>
                </w:p>
              </w:tc>
            </w:tr>
            <w:tr w14:paraId="61AB6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05" w:type="pct"/>
                  <w:tcBorders>
                    <w:tl2br w:val="nil"/>
                    <w:tr2bl w:val="nil"/>
                  </w:tcBorders>
                  <w:noWrap w:val="0"/>
                  <w:vAlign w:val="center"/>
                </w:tcPr>
                <w:p w14:paraId="3530E2B0">
                  <w:pPr>
                    <w:pStyle w:val="86"/>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厂界四周</w:t>
                  </w:r>
                </w:p>
              </w:tc>
              <w:tc>
                <w:tcPr>
                  <w:tcW w:w="2385" w:type="pct"/>
                  <w:tcBorders>
                    <w:tl2br w:val="nil"/>
                    <w:tr2bl w:val="nil"/>
                  </w:tcBorders>
                  <w:noWrap w:val="0"/>
                  <w:vAlign w:val="center"/>
                </w:tcPr>
                <w:p w14:paraId="57853D47">
                  <w:pPr>
                    <w:pStyle w:val="8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类标准</w:t>
                  </w:r>
                </w:p>
              </w:tc>
              <w:tc>
                <w:tcPr>
                  <w:tcW w:w="886" w:type="pct"/>
                  <w:vMerge w:val="restart"/>
                  <w:tcBorders>
                    <w:tl2br w:val="nil"/>
                    <w:tr2bl w:val="nil"/>
                  </w:tcBorders>
                  <w:noWrap/>
                  <w:vAlign w:val="center"/>
                </w:tcPr>
                <w:p w14:paraId="533F0A72">
                  <w:pPr>
                    <w:pStyle w:val="8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822" w:type="pct"/>
                  <w:vMerge w:val="restart"/>
                  <w:tcBorders>
                    <w:tl2br w:val="nil"/>
                    <w:tr2bl w:val="nil"/>
                  </w:tcBorders>
                  <w:noWrap w:val="0"/>
                  <w:vAlign w:val="center"/>
                </w:tcPr>
                <w:p w14:paraId="1C871AE2">
                  <w:pPr>
                    <w:pStyle w:val="8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每季度1次</w:t>
                  </w:r>
                </w:p>
              </w:tc>
            </w:tr>
            <w:tr w14:paraId="60EAD3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05" w:type="pct"/>
                  <w:tcBorders>
                    <w:tl2br w:val="nil"/>
                    <w:tr2bl w:val="nil"/>
                  </w:tcBorders>
                  <w:noWrap w:val="0"/>
                  <w:vAlign w:val="center"/>
                </w:tcPr>
                <w:p w14:paraId="4438B3CF">
                  <w:pPr>
                    <w:pStyle w:val="86"/>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sz w:val="21"/>
                      <w:szCs w:val="21"/>
                      <w:lang w:val="en-US" w:eastAsia="zh-CN"/>
                    </w:rPr>
                    <w:t>西侧</w:t>
                  </w:r>
                  <w:r>
                    <w:rPr>
                      <w:rFonts w:hint="eastAsia" w:ascii="Times New Roman" w:hAnsi="Times New Roman" w:eastAsia="宋体" w:cs="Times New Roman"/>
                      <w:color w:val="auto"/>
                      <w:sz w:val="21"/>
                      <w:szCs w:val="18"/>
                      <w:lang w:val="en-US" w:eastAsia="zh-CN"/>
                    </w:rPr>
                    <w:t>隆桥瑞苑</w:t>
                  </w:r>
                </w:p>
              </w:tc>
              <w:tc>
                <w:tcPr>
                  <w:tcW w:w="2385" w:type="pct"/>
                  <w:tcBorders>
                    <w:tl2br w:val="nil"/>
                    <w:tr2bl w:val="nil"/>
                  </w:tcBorders>
                  <w:noWrap w:val="0"/>
                  <w:vAlign w:val="center"/>
                </w:tcPr>
                <w:p w14:paraId="023DE2B3">
                  <w:pPr>
                    <w:pStyle w:val="86"/>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《声环境质量标准》（GB3096-2008）中2类标准</w:t>
                  </w:r>
                </w:p>
              </w:tc>
              <w:tc>
                <w:tcPr>
                  <w:tcW w:w="886" w:type="pct"/>
                  <w:vMerge w:val="continue"/>
                  <w:tcBorders>
                    <w:tl2br w:val="nil"/>
                    <w:tr2bl w:val="nil"/>
                  </w:tcBorders>
                  <w:noWrap/>
                  <w:vAlign w:val="center"/>
                </w:tcPr>
                <w:p w14:paraId="5E70CDB1">
                  <w:pPr>
                    <w:pStyle w:val="86"/>
                    <w:rPr>
                      <w:rFonts w:hint="default" w:ascii="Times New Roman" w:hAnsi="Times New Roman" w:cs="Times New Roman"/>
                      <w:color w:val="auto"/>
                      <w:sz w:val="21"/>
                      <w:szCs w:val="21"/>
                    </w:rPr>
                  </w:pPr>
                </w:p>
              </w:tc>
              <w:tc>
                <w:tcPr>
                  <w:tcW w:w="822" w:type="pct"/>
                  <w:vMerge w:val="continue"/>
                  <w:tcBorders>
                    <w:tl2br w:val="nil"/>
                    <w:tr2bl w:val="nil"/>
                  </w:tcBorders>
                  <w:noWrap w:val="0"/>
                  <w:vAlign w:val="center"/>
                </w:tcPr>
                <w:p w14:paraId="0274F3BE">
                  <w:pPr>
                    <w:pStyle w:val="86"/>
                    <w:rPr>
                      <w:rFonts w:hint="default" w:ascii="Times New Roman" w:hAnsi="Times New Roman" w:cs="Times New Roman"/>
                      <w:color w:val="auto"/>
                      <w:sz w:val="21"/>
                      <w:szCs w:val="21"/>
                    </w:rPr>
                  </w:pPr>
                </w:p>
              </w:tc>
            </w:tr>
          </w:tbl>
          <w:p w14:paraId="4C132430">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由上表可知，本项目运营期设备噪声源强经基础减震、</w:t>
            </w:r>
            <w:r>
              <w:rPr>
                <w:rFonts w:hint="eastAsia" w:cs="Times New Roman"/>
                <w:color w:val="auto"/>
                <w:sz w:val="24"/>
                <w:szCs w:val="24"/>
                <w:lang w:val="en-US" w:eastAsia="zh-CN"/>
              </w:rPr>
              <w:t>局部</w:t>
            </w:r>
            <w:r>
              <w:rPr>
                <w:rFonts w:hint="default" w:ascii="Times New Roman" w:hAnsi="Times New Roman" w:cs="Times New Roman"/>
                <w:color w:val="auto"/>
                <w:sz w:val="24"/>
                <w:szCs w:val="24"/>
              </w:rPr>
              <w:t>隔声以及距离衰减后，项目厂界</w:t>
            </w:r>
            <w:r>
              <w:rPr>
                <w:rFonts w:hint="default" w:ascii="Times New Roman" w:hAnsi="Times New Roman" w:cs="Times New Roman"/>
                <w:color w:val="auto"/>
                <w:sz w:val="24"/>
                <w:szCs w:val="24"/>
                <w:lang w:val="en-US" w:eastAsia="zh-CN"/>
              </w:rPr>
              <w:t>昼间</w:t>
            </w:r>
            <w:r>
              <w:rPr>
                <w:rFonts w:hint="default" w:ascii="Times New Roman" w:hAnsi="Times New Roman" w:cs="Times New Roman"/>
                <w:color w:val="auto"/>
                <w:sz w:val="24"/>
                <w:szCs w:val="24"/>
              </w:rPr>
              <w:t>噪声符合《工业企业厂界环境噪声排放标准》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GB12348-2008</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中的</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类标准</w:t>
            </w:r>
            <w:r>
              <w:rPr>
                <w:rFonts w:hint="eastAsia" w:cs="Times New Roman"/>
                <w:color w:val="auto"/>
                <w:sz w:val="24"/>
                <w:szCs w:val="24"/>
                <w:lang w:eastAsia="zh-CN"/>
              </w:rPr>
              <w:t>，</w:t>
            </w:r>
            <w:r>
              <w:rPr>
                <w:rFonts w:hint="eastAsia" w:cs="Times New Roman"/>
                <w:color w:val="auto"/>
                <w:sz w:val="24"/>
                <w:szCs w:val="24"/>
                <w:lang w:val="en-US" w:eastAsia="zh-CN"/>
              </w:rPr>
              <w:t>西侧</w:t>
            </w:r>
            <w:r>
              <w:rPr>
                <w:rFonts w:hint="eastAsia" w:ascii="Times New Roman" w:hAnsi="Times New Roman" w:eastAsia="宋体" w:cs="Times New Roman"/>
                <w:color w:val="auto"/>
                <w:sz w:val="24"/>
                <w:lang w:val="en-US" w:eastAsia="zh-CN"/>
              </w:rPr>
              <w:t>隆桥瑞苑</w:t>
            </w:r>
            <w:r>
              <w:rPr>
                <w:rFonts w:hint="default" w:ascii="Times New Roman" w:hAnsi="Times New Roman" w:eastAsia="宋体" w:cs="Times New Roman"/>
                <w:color w:val="auto"/>
                <w:sz w:val="24"/>
              </w:rPr>
              <w:t>噪声</w:t>
            </w:r>
            <w:r>
              <w:rPr>
                <w:rFonts w:hint="default" w:ascii="Times New Roman" w:hAnsi="Times New Roman" w:cs="Times New Roman"/>
                <w:color w:val="auto"/>
                <w:sz w:val="24"/>
                <w:lang w:val="en-US" w:eastAsia="zh-CN"/>
              </w:rPr>
              <w:t>预测</w:t>
            </w:r>
            <w:r>
              <w:rPr>
                <w:rFonts w:hint="default" w:ascii="Times New Roman" w:hAnsi="Times New Roman" w:eastAsia="宋体" w:cs="Times New Roman"/>
                <w:color w:val="auto"/>
                <w:sz w:val="24"/>
              </w:rPr>
              <w:t>值满足《声环境质量标准》（GB3096-2008）中2类标准要求</w:t>
            </w:r>
            <w:r>
              <w:rPr>
                <w:rFonts w:hint="default" w:ascii="Times New Roman" w:hAnsi="Times New Roman" w:cs="Times New Roman"/>
                <w:color w:val="auto"/>
                <w:sz w:val="24"/>
                <w:szCs w:val="24"/>
              </w:rPr>
              <w:t>。</w:t>
            </w:r>
          </w:p>
          <w:p w14:paraId="5A92E189">
            <w:pPr>
              <w:adjustRightInd w:val="0"/>
              <w:snapToGrid w:val="0"/>
              <w:spacing w:line="360" w:lineRule="auto"/>
              <w:ind w:firstLine="482" w:firstLineChars="200"/>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四、固体废物</w:t>
            </w:r>
          </w:p>
          <w:p w14:paraId="5E403813">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项目营运期产生废固体废物主要包括实验过程中产生的</w:t>
            </w:r>
            <w:r>
              <w:rPr>
                <w:rFonts w:hint="eastAsia"/>
                <w:color w:val="auto"/>
                <w:kern w:val="0"/>
                <w:sz w:val="24"/>
                <w:szCs w:val="20"/>
              </w:rPr>
              <w:t>废试剂瓶、实验室废液</w:t>
            </w:r>
            <w:r>
              <w:rPr>
                <w:rFonts w:hint="eastAsia"/>
                <w:color w:val="auto"/>
                <w:kern w:val="0"/>
                <w:sz w:val="24"/>
                <w:szCs w:val="20"/>
                <w:lang w:val="en-US" w:eastAsia="zh-CN"/>
              </w:rPr>
              <w:t>及头道器皿清洗</w:t>
            </w:r>
            <w:r>
              <w:rPr>
                <w:rFonts w:hint="eastAsia"/>
                <w:color w:val="auto"/>
                <w:kern w:val="0"/>
                <w:sz w:val="24"/>
                <w:szCs w:val="20"/>
              </w:rPr>
              <w:t>废水、</w:t>
            </w:r>
            <w:r>
              <w:rPr>
                <w:rFonts w:hint="eastAsia"/>
                <w:color w:val="auto"/>
                <w:kern w:val="0"/>
                <w:sz w:val="24"/>
                <w:szCs w:val="20"/>
                <w:lang w:val="en-US" w:eastAsia="zh-CN"/>
              </w:rPr>
              <w:t>废试剂</w:t>
            </w:r>
            <w:r>
              <w:rPr>
                <w:rFonts w:hint="eastAsia"/>
                <w:color w:val="auto"/>
                <w:kern w:val="0"/>
                <w:sz w:val="24"/>
                <w:szCs w:val="20"/>
                <w:lang w:eastAsia="zh-CN"/>
              </w:rPr>
              <w:t>、</w:t>
            </w:r>
            <w:r>
              <w:rPr>
                <w:rFonts w:hint="default" w:ascii="Times New Roman" w:hAnsi="Times New Roman" w:eastAsia="宋体" w:cs="Times New Roman"/>
                <w:color w:val="auto"/>
                <w:sz w:val="24"/>
                <w:szCs w:val="24"/>
                <w:lang w:val="en-US" w:eastAsia="zh-CN"/>
              </w:rPr>
              <w:t>实验检测废弃物</w:t>
            </w:r>
            <w:r>
              <w:rPr>
                <w:rFonts w:hint="eastAsia" w:cs="Times New Roman"/>
                <w:color w:val="auto"/>
                <w:sz w:val="24"/>
                <w:szCs w:val="24"/>
                <w:lang w:val="en-US" w:eastAsia="zh-CN"/>
              </w:rPr>
              <w:t>、</w:t>
            </w:r>
            <w:r>
              <w:rPr>
                <w:rFonts w:hint="eastAsia"/>
                <w:color w:val="auto"/>
                <w:kern w:val="0"/>
                <w:sz w:val="24"/>
                <w:szCs w:val="20"/>
              </w:rPr>
              <w:t>废活性炭</w:t>
            </w:r>
            <w:r>
              <w:rPr>
                <w:rFonts w:hint="eastAsia"/>
                <w:color w:val="auto"/>
                <w:kern w:val="0"/>
                <w:sz w:val="24"/>
                <w:szCs w:val="20"/>
                <w:lang w:val="en-US" w:eastAsia="zh-CN"/>
              </w:rPr>
              <w:t>以及药渣、</w:t>
            </w:r>
            <w:r>
              <w:rPr>
                <w:rFonts w:hint="default" w:ascii="Times New Roman" w:hAnsi="Times New Roman" w:eastAsia="宋体" w:cs="Times New Roman"/>
                <w:color w:val="auto"/>
                <w:sz w:val="24"/>
                <w:szCs w:val="24"/>
                <w:lang w:val="en-US" w:eastAsia="zh-CN"/>
              </w:rPr>
              <w:t>办公生活垃圾。</w:t>
            </w:r>
          </w:p>
          <w:p w14:paraId="1501EF3A">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（1）职工生活垃圾</w:t>
            </w:r>
          </w:p>
          <w:p w14:paraId="3A7DDEBF">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劳动</w:t>
            </w:r>
            <w:r>
              <w:rPr>
                <w:rFonts w:hint="default" w:ascii="Times New Roman" w:hAnsi="Times New Roman" w:eastAsia="宋体" w:cs="Times New Roman"/>
                <w:color w:val="auto"/>
                <w:sz w:val="24"/>
                <w:szCs w:val="24"/>
              </w:rPr>
              <w:t>定员</w:t>
            </w:r>
            <w:r>
              <w:rPr>
                <w:rFonts w:hint="eastAsia" w:cs="Times New Roman"/>
                <w:color w:val="auto"/>
                <w:sz w:val="24"/>
                <w:szCs w:val="24"/>
                <w:lang w:val="en-US" w:eastAsia="zh-CN"/>
              </w:rPr>
              <w:t>17</w:t>
            </w:r>
            <w:r>
              <w:rPr>
                <w:rFonts w:hint="default" w:ascii="Times New Roman" w:hAnsi="Times New Roman" w:eastAsia="宋体" w:cs="Times New Roman"/>
                <w:color w:val="auto"/>
                <w:sz w:val="24"/>
                <w:szCs w:val="24"/>
              </w:rPr>
              <w:t>人，生活垃圾产生量取0.5kg/人·d，年工作日</w:t>
            </w:r>
            <w:r>
              <w:rPr>
                <w:rFonts w:hint="eastAsia" w:cs="Times New Roman"/>
                <w:color w:val="auto"/>
                <w:sz w:val="24"/>
                <w:szCs w:val="24"/>
                <w:lang w:val="en-US" w:eastAsia="zh-CN"/>
              </w:rPr>
              <w:t>200</w:t>
            </w:r>
            <w:r>
              <w:rPr>
                <w:rFonts w:hint="default" w:ascii="Times New Roman" w:hAnsi="Times New Roman" w:eastAsia="宋体" w:cs="Times New Roman"/>
                <w:color w:val="auto"/>
                <w:sz w:val="24"/>
                <w:szCs w:val="24"/>
              </w:rPr>
              <w:t>天，本项目生活垃圾产生量</w:t>
            </w:r>
            <w:r>
              <w:rPr>
                <w:rFonts w:hint="eastAsia" w:cs="Times New Roman"/>
                <w:color w:val="auto"/>
                <w:sz w:val="24"/>
                <w:szCs w:val="24"/>
                <w:lang w:val="en-US" w:eastAsia="zh-CN"/>
              </w:rPr>
              <w:t>1.7</w:t>
            </w:r>
            <w:r>
              <w:rPr>
                <w:rFonts w:hint="default" w:ascii="Times New Roman" w:hAnsi="Times New Roman" w:eastAsia="宋体" w:cs="Times New Roman"/>
                <w:color w:val="auto"/>
                <w:sz w:val="24"/>
                <w:szCs w:val="24"/>
              </w:rPr>
              <w:t>t/a，</w:t>
            </w:r>
            <w:r>
              <w:rPr>
                <w:rFonts w:hint="default" w:ascii="Times New Roman" w:hAnsi="Times New Roman" w:cs="Times New Roman"/>
                <w:color w:val="auto"/>
                <w:sz w:val="24"/>
                <w:szCs w:val="24"/>
                <w:lang w:val="en-US" w:eastAsia="zh-CN"/>
              </w:rPr>
              <w:t>设垃圾桶</w:t>
            </w:r>
            <w:r>
              <w:rPr>
                <w:rFonts w:hint="default" w:ascii="Times New Roman" w:hAnsi="Times New Roman" w:eastAsia="宋体" w:cs="Times New Roman"/>
                <w:color w:val="auto"/>
                <w:sz w:val="24"/>
                <w:szCs w:val="24"/>
              </w:rPr>
              <w:t>分类收集后</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定期交由当地环卫部门处置</w:t>
            </w:r>
            <w:r>
              <w:rPr>
                <w:rFonts w:hint="default" w:ascii="Times New Roman" w:hAnsi="Times New Roman" w:eastAsia="宋体" w:cs="Times New Roman"/>
                <w:color w:val="auto"/>
                <w:sz w:val="24"/>
                <w:szCs w:val="24"/>
              </w:rPr>
              <w:t>。</w:t>
            </w:r>
          </w:p>
          <w:p w14:paraId="3EC0C4CD">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）一般工业固废</w:t>
            </w:r>
          </w:p>
          <w:p w14:paraId="593ED907">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本项目在药品</w:t>
            </w:r>
            <w:r>
              <w:rPr>
                <w:rFonts w:hint="eastAsia" w:cs="Times New Roman"/>
                <w:color w:val="auto"/>
                <w:sz w:val="24"/>
                <w:szCs w:val="24"/>
                <w:lang w:val="en-US" w:eastAsia="zh-CN"/>
              </w:rPr>
              <w:t>实验</w:t>
            </w:r>
            <w:r>
              <w:rPr>
                <w:rFonts w:hint="eastAsia" w:ascii="Times New Roman" w:hAnsi="Times New Roman" w:eastAsia="宋体" w:cs="Times New Roman"/>
                <w:color w:val="auto"/>
                <w:sz w:val="24"/>
                <w:szCs w:val="24"/>
                <w:lang w:val="en-US" w:eastAsia="zh-CN"/>
              </w:rPr>
              <w:t>阶段药品过滤、</w:t>
            </w:r>
            <w:r>
              <w:rPr>
                <w:rFonts w:hint="eastAsia" w:cs="Times New Roman"/>
                <w:color w:val="auto"/>
                <w:sz w:val="24"/>
                <w:szCs w:val="24"/>
                <w:lang w:val="en-US" w:eastAsia="zh-CN"/>
              </w:rPr>
              <w:t>浓缩</w:t>
            </w:r>
            <w:r>
              <w:rPr>
                <w:rFonts w:hint="eastAsia" w:ascii="Times New Roman" w:hAnsi="Times New Roman" w:eastAsia="宋体" w:cs="Times New Roman"/>
                <w:color w:val="auto"/>
                <w:sz w:val="24"/>
                <w:szCs w:val="24"/>
                <w:lang w:val="en-US" w:eastAsia="zh-CN"/>
              </w:rPr>
              <w:t>阶段均会产生药渣，</w:t>
            </w:r>
            <w:r>
              <w:rPr>
                <w:rFonts w:hint="eastAsia" w:cs="Times New Roman"/>
                <w:color w:val="auto"/>
                <w:sz w:val="24"/>
                <w:szCs w:val="24"/>
                <w:lang w:val="en-US" w:eastAsia="zh-CN"/>
              </w:rPr>
              <w:t>考虑到药渣含水，</w:t>
            </w:r>
            <w:r>
              <w:rPr>
                <w:rFonts w:hint="eastAsia" w:ascii="Times New Roman" w:hAnsi="Times New Roman" w:eastAsia="宋体" w:cs="Times New Roman"/>
                <w:color w:val="auto"/>
                <w:sz w:val="24"/>
                <w:szCs w:val="24"/>
                <w:lang w:val="en-US" w:eastAsia="zh-CN"/>
              </w:rPr>
              <w:t>年产生量约</w:t>
            </w:r>
            <w:r>
              <w:rPr>
                <w:rFonts w:hint="eastAsia" w:cs="Times New Roman"/>
                <w:color w:val="auto"/>
                <w:sz w:val="24"/>
                <w:szCs w:val="24"/>
                <w:lang w:val="en-US" w:eastAsia="zh-CN"/>
              </w:rPr>
              <w:t>1.26</w:t>
            </w:r>
            <w:r>
              <w:rPr>
                <w:rFonts w:hint="default" w:ascii="Times New Roman" w:hAnsi="Times New Roman" w:eastAsia="宋体" w:cs="Times New Roman"/>
                <w:color w:val="auto"/>
                <w:sz w:val="24"/>
                <w:szCs w:val="24"/>
                <w:lang w:val="en-US" w:eastAsia="zh-CN"/>
              </w:rPr>
              <w:t>t/a</w:t>
            </w:r>
            <w:r>
              <w:rPr>
                <w:rFonts w:hint="eastAsia" w:ascii="Times New Roman" w:hAnsi="Times New Roman" w:eastAsia="宋体" w:cs="Times New Roman"/>
                <w:color w:val="auto"/>
                <w:sz w:val="24"/>
                <w:szCs w:val="24"/>
                <w:lang w:val="en-US" w:eastAsia="zh-CN"/>
              </w:rPr>
              <w:t>，中药药渣不属于危险废物。根据建设单位提供资料，中药药渣不在厂内暂存，产生后及时清理，同生活垃圾一起</w:t>
            </w:r>
            <w:r>
              <w:rPr>
                <w:rFonts w:hint="eastAsia" w:cs="Times New Roman"/>
                <w:color w:val="auto"/>
                <w:sz w:val="24"/>
                <w:szCs w:val="24"/>
                <w:lang w:val="en-US" w:eastAsia="zh-CN"/>
              </w:rPr>
              <w:t>交</w:t>
            </w:r>
            <w:r>
              <w:rPr>
                <w:rFonts w:hint="eastAsia" w:ascii="Times New Roman" w:hAnsi="Times New Roman" w:eastAsia="宋体" w:cs="Times New Roman"/>
                <w:color w:val="auto"/>
                <w:sz w:val="24"/>
                <w:szCs w:val="24"/>
                <w:lang w:val="en-US" w:eastAsia="zh-CN"/>
              </w:rPr>
              <w:t>由环卫部门处理。</w:t>
            </w:r>
          </w:p>
          <w:p w14:paraId="37015799">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）危险废物</w:t>
            </w:r>
          </w:p>
          <w:p w14:paraId="6D54D3A5">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①废试剂瓶：实验室营运过程中产生废试剂瓶，产生量约0.</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szCs w:val="24"/>
                <w:lang w:val="en-US" w:eastAsia="zh-CN"/>
              </w:rPr>
              <w:t>，根据《国家危险废物名录（202</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年）》，废试剂瓶</w:t>
            </w:r>
            <w:r>
              <w:rPr>
                <w:rFonts w:hint="default" w:ascii="Times New Roman" w:hAnsi="Times New Roman" w:eastAsia="宋体" w:cs="Times New Roman"/>
                <w:color w:val="auto"/>
                <w:sz w:val="24"/>
                <w:szCs w:val="24"/>
                <w:lang w:val="en-US" w:eastAsia="zh-CN"/>
              </w:rPr>
              <w:t>属于危险废物</w:t>
            </w:r>
            <w:r>
              <w:rPr>
                <w:rFonts w:hint="default" w:ascii="Times New Roman" w:hAnsi="Times New Roman" w:cs="Times New Roman"/>
                <w:color w:val="auto"/>
                <w:sz w:val="24"/>
                <w:szCs w:val="24"/>
                <w:lang w:val="en-US" w:eastAsia="zh-CN"/>
              </w:rPr>
              <w:t>中</w:t>
            </w:r>
            <w:r>
              <w:rPr>
                <w:rFonts w:hint="default" w:ascii="Times New Roman" w:hAnsi="Times New Roman" w:eastAsia="宋体" w:cs="Times New Roman"/>
                <w:color w:val="auto"/>
                <w:sz w:val="24"/>
                <w:szCs w:val="24"/>
                <w:lang w:val="en-US" w:eastAsia="zh-CN"/>
              </w:rPr>
              <w:t>HW49其他废物，废物代码为900-04</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-49，委托有资质单位进行处理。</w:t>
            </w:r>
          </w:p>
          <w:p w14:paraId="106D8B22">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②实验废液：实验废液主要包括</w:t>
            </w:r>
            <w:r>
              <w:rPr>
                <w:rFonts w:hint="eastAsia" w:cs="Times New Roman"/>
                <w:color w:val="auto"/>
                <w:sz w:val="24"/>
                <w:szCs w:val="24"/>
                <w:lang w:val="en-US" w:eastAsia="zh-CN"/>
              </w:rPr>
              <w:t>废酸、废碱</w:t>
            </w:r>
            <w:r>
              <w:rPr>
                <w:rFonts w:hint="default" w:ascii="Times New Roman" w:hAnsi="Times New Roman" w:eastAsia="宋体" w:cs="Times New Roman"/>
                <w:color w:val="auto"/>
                <w:sz w:val="24"/>
                <w:szCs w:val="24"/>
                <w:lang w:val="en-US" w:eastAsia="zh-CN"/>
              </w:rPr>
              <w:t>、有机溶剂及含重金属离子的</w:t>
            </w:r>
            <w:r>
              <w:rPr>
                <w:rFonts w:hint="eastAsia" w:cs="Times New Roman"/>
                <w:color w:val="auto"/>
                <w:sz w:val="24"/>
                <w:szCs w:val="24"/>
                <w:lang w:val="en-US" w:eastAsia="zh-CN"/>
              </w:rPr>
              <w:t>废液</w:t>
            </w:r>
            <w:r>
              <w:rPr>
                <w:rFonts w:hint="default" w:ascii="Times New Roman" w:hAnsi="Times New Roman" w:eastAsia="宋体" w:cs="Times New Roman"/>
                <w:color w:val="auto"/>
                <w:sz w:val="24"/>
                <w:szCs w:val="24"/>
                <w:lang w:val="en-US" w:eastAsia="zh-CN"/>
              </w:rPr>
              <w:t>，本项目拟在实验台旁设置专用废液收集装置，将</w:t>
            </w:r>
            <w:r>
              <w:rPr>
                <w:rFonts w:hint="eastAsia" w:cs="Times New Roman"/>
                <w:color w:val="auto"/>
                <w:sz w:val="24"/>
                <w:szCs w:val="24"/>
                <w:lang w:val="en-US" w:eastAsia="zh-CN"/>
              </w:rPr>
              <w:t>化学</w:t>
            </w:r>
            <w:r>
              <w:rPr>
                <w:rFonts w:hint="default" w:ascii="Times New Roman" w:hAnsi="Times New Roman" w:eastAsia="宋体" w:cs="Times New Roman"/>
                <w:color w:val="auto"/>
                <w:sz w:val="24"/>
                <w:szCs w:val="24"/>
                <w:lang w:val="en-US" w:eastAsia="zh-CN"/>
              </w:rPr>
              <w:t>实验过程产生废液</w:t>
            </w:r>
            <w:r>
              <w:rPr>
                <w:rFonts w:hint="eastAsia" w:cs="Times New Roman"/>
                <w:color w:val="auto"/>
                <w:sz w:val="24"/>
                <w:szCs w:val="24"/>
                <w:lang w:val="en-US" w:eastAsia="zh-CN"/>
              </w:rPr>
              <w:t>以及头道清洗废液</w:t>
            </w:r>
            <w:r>
              <w:rPr>
                <w:rFonts w:hint="default" w:ascii="Times New Roman" w:hAnsi="Times New Roman" w:eastAsia="宋体" w:cs="Times New Roman"/>
                <w:color w:val="auto"/>
                <w:sz w:val="24"/>
                <w:szCs w:val="24"/>
                <w:lang w:val="en-US" w:eastAsia="zh-CN"/>
              </w:rPr>
              <w:t>进行收集。此类实验废液产生量约0.</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t/a，根据《国家危险废物名录（202</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年</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w:t>
            </w:r>
            <w:r>
              <w:rPr>
                <w:rFonts w:hint="eastAsia"/>
                <w:color w:val="auto"/>
                <w:sz w:val="24"/>
              </w:rPr>
              <w:t>实验室危险废物污染控制技术规范》</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实验废液属于HW49其他废物，废物</w:t>
            </w:r>
            <w:r>
              <w:rPr>
                <w:rFonts w:hint="default" w:ascii="Times New Roman" w:hAnsi="Times New Roman" w:cs="Times New Roman"/>
                <w:color w:val="auto"/>
                <w:sz w:val="24"/>
                <w:szCs w:val="24"/>
                <w:lang w:val="en-US" w:eastAsia="zh-CN"/>
              </w:rPr>
              <w:t>代码</w:t>
            </w:r>
            <w:r>
              <w:rPr>
                <w:rFonts w:hint="default" w:ascii="Times New Roman" w:hAnsi="Times New Roman" w:eastAsia="宋体" w:cs="Times New Roman"/>
                <w:color w:val="auto"/>
                <w:sz w:val="24"/>
                <w:szCs w:val="24"/>
                <w:lang w:val="en-US" w:eastAsia="zh-CN"/>
              </w:rPr>
              <w:t>为900-047-49，经分类收集后委托</w:t>
            </w:r>
            <w:r>
              <w:rPr>
                <w:rFonts w:hint="default" w:ascii="Times New Roman" w:hAnsi="Times New Roman" w:cs="Times New Roman"/>
                <w:color w:val="auto"/>
                <w:sz w:val="24"/>
                <w:szCs w:val="24"/>
                <w:lang w:val="en-US" w:eastAsia="zh-CN"/>
              </w:rPr>
              <w:t>有资质单位进行</w:t>
            </w:r>
            <w:r>
              <w:rPr>
                <w:rFonts w:hint="default" w:ascii="Times New Roman" w:hAnsi="Times New Roman" w:eastAsia="宋体" w:cs="Times New Roman"/>
                <w:color w:val="auto"/>
                <w:sz w:val="24"/>
                <w:szCs w:val="24"/>
                <w:lang w:val="en-US" w:eastAsia="zh-CN"/>
              </w:rPr>
              <w:t>处置，不得直接倾倒或稀释后倾倒于下水道。</w:t>
            </w:r>
          </w:p>
          <w:p w14:paraId="3F818B5A">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③废试剂：项目实验过程可能会产生一定量的过期废试剂，产生量约0.0</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t/a，根据《国家危险废物名录（202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w:t>
            </w:r>
            <w:r>
              <w:rPr>
                <w:rFonts w:hint="eastAsia"/>
                <w:color w:val="auto"/>
                <w:sz w:val="24"/>
              </w:rPr>
              <w:t>实验室危险废物污染控制技术规范》</w:t>
            </w:r>
            <w:r>
              <w:rPr>
                <w:rFonts w:hint="default" w:ascii="Times New Roman" w:hAnsi="Times New Roman" w:eastAsia="宋体" w:cs="Times New Roman"/>
                <w:color w:val="auto"/>
                <w:sz w:val="24"/>
                <w:szCs w:val="24"/>
                <w:lang w:val="en-US" w:eastAsia="zh-CN"/>
              </w:rPr>
              <w:t>，属于HW03废药物、药品，废物代码为900-002-03，收集后委托有资质单位进行处置。</w:t>
            </w:r>
          </w:p>
          <w:p w14:paraId="1234B982">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④实验检测废弃物：在实验检测过程中会产生一定量的废弃物，如实验试剂一次性手套、废弃过滤试纸</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废过膜板、</w:t>
            </w:r>
            <w:r>
              <w:rPr>
                <w:rFonts w:hint="default" w:ascii="Times New Roman" w:hAnsi="Times New Roman" w:eastAsia="宋体" w:cs="Times New Roman"/>
                <w:color w:val="auto"/>
                <w:sz w:val="24"/>
                <w:szCs w:val="24"/>
                <w:lang w:val="en-US" w:eastAsia="zh-CN"/>
              </w:rPr>
              <w:t>EP</w:t>
            </w:r>
            <w:r>
              <w:rPr>
                <w:rFonts w:hint="eastAsia" w:ascii="Times New Roman" w:hAnsi="Times New Roman" w:eastAsia="宋体" w:cs="Times New Roman"/>
                <w:color w:val="auto"/>
                <w:sz w:val="24"/>
                <w:szCs w:val="24"/>
                <w:lang w:val="en-US" w:eastAsia="zh-CN"/>
              </w:rPr>
              <w:t>管、枪头</w:t>
            </w:r>
            <w:r>
              <w:rPr>
                <w:rFonts w:hint="default" w:ascii="Times New Roman" w:hAnsi="Times New Roman" w:eastAsia="宋体" w:cs="Times New Roman"/>
                <w:color w:val="auto"/>
                <w:sz w:val="24"/>
                <w:szCs w:val="24"/>
                <w:lang w:val="en-US" w:eastAsia="zh-CN"/>
              </w:rPr>
              <w:t>等，年产量约为0.01t/a。根据《国家危险废物名录（202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实验室危险废物污染控制技术规范》</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该类废物</w:t>
            </w:r>
            <w:r>
              <w:rPr>
                <w:rFonts w:hint="default" w:ascii="Times New Roman" w:hAnsi="Times New Roman" w:eastAsia="宋体" w:cs="Times New Roman"/>
                <w:color w:val="auto"/>
                <w:sz w:val="24"/>
                <w:szCs w:val="24"/>
                <w:lang w:val="en-US" w:eastAsia="zh-CN"/>
              </w:rPr>
              <w:t>属于HW49其他废物，废物代码为900-047-49，收集后委托有</w:t>
            </w:r>
            <w:r>
              <w:rPr>
                <w:rFonts w:hint="default" w:ascii="Times New Roman" w:hAnsi="Times New Roman" w:cs="Times New Roman"/>
                <w:color w:val="auto"/>
                <w:sz w:val="24"/>
                <w:szCs w:val="24"/>
                <w:lang w:val="en-US" w:eastAsia="zh-CN"/>
              </w:rPr>
              <w:t>资质单位进行</w:t>
            </w:r>
            <w:r>
              <w:rPr>
                <w:rFonts w:hint="default" w:ascii="Times New Roman" w:hAnsi="Times New Roman" w:eastAsia="宋体" w:cs="Times New Roman"/>
                <w:color w:val="auto"/>
                <w:sz w:val="24"/>
                <w:szCs w:val="24"/>
                <w:lang w:val="en-US" w:eastAsia="zh-CN"/>
              </w:rPr>
              <w:t>处置。</w:t>
            </w:r>
          </w:p>
          <w:p w14:paraId="55B58A93">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⑤废活性炭：项目</w:t>
            </w:r>
            <w:r>
              <w:rPr>
                <w:rFonts w:hint="default" w:ascii="Times New Roman" w:hAnsi="Times New Roman" w:cs="Times New Roman"/>
                <w:color w:val="auto"/>
                <w:sz w:val="24"/>
                <w:szCs w:val="24"/>
                <w:lang w:val="en-US" w:eastAsia="zh-CN"/>
              </w:rPr>
              <w:t>产生的有机</w:t>
            </w:r>
            <w:r>
              <w:rPr>
                <w:rFonts w:hint="default" w:ascii="Times New Roman" w:hAnsi="Times New Roman" w:eastAsia="宋体" w:cs="Times New Roman"/>
                <w:color w:val="auto"/>
                <w:sz w:val="24"/>
                <w:szCs w:val="24"/>
                <w:lang w:val="en-US" w:eastAsia="zh-CN"/>
              </w:rPr>
              <w:t>废气</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异味气体</w:t>
            </w:r>
            <w:r>
              <w:rPr>
                <w:rFonts w:hint="default" w:ascii="Times New Roman" w:hAnsi="Times New Roman" w:eastAsia="宋体" w:cs="Times New Roman"/>
                <w:color w:val="auto"/>
                <w:sz w:val="24"/>
                <w:szCs w:val="24"/>
                <w:lang w:val="en-US" w:eastAsia="zh-CN"/>
              </w:rPr>
              <w:t>采用活性炭进行吸附处理，根据《杨芬，刘品华：活性炭纤维在挥发性有机废气处理中的应用》可知，每100kg活性炭吸附25kg有机物即达到饱和状态。</w:t>
            </w:r>
          </w:p>
          <w:p w14:paraId="29D59696">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活性炭吸附有机废气量为</w:t>
            </w:r>
            <w:r>
              <w:rPr>
                <w:rFonts w:hint="eastAsia" w:cs="Times New Roman"/>
                <w:color w:val="auto"/>
                <w:sz w:val="24"/>
                <w:szCs w:val="24"/>
                <w:lang w:val="en-US" w:eastAsia="zh-CN"/>
              </w:rPr>
              <w:t>0.035t</w:t>
            </w:r>
            <w:r>
              <w:rPr>
                <w:rFonts w:hint="default" w:ascii="Times New Roman" w:hAnsi="Times New Roman" w:eastAsia="宋体" w:cs="Times New Roman"/>
                <w:color w:val="auto"/>
                <w:sz w:val="24"/>
                <w:szCs w:val="24"/>
                <w:lang w:val="en-US" w:eastAsia="zh-CN"/>
              </w:rPr>
              <w:t>/a，则需要活性炭约</w:t>
            </w:r>
            <w:r>
              <w:rPr>
                <w:rFonts w:hint="eastAsia" w:cs="Times New Roman"/>
                <w:color w:val="auto"/>
                <w:sz w:val="24"/>
                <w:szCs w:val="24"/>
                <w:lang w:val="en-US" w:eastAsia="zh-CN"/>
              </w:rPr>
              <w:t>0.14t</w:t>
            </w:r>
            <w:r>
              <w:rPr>
                <w:rFonts w:hint="default" w:ascii="Times New Roman" w:hAnsi="Times New Roman" w:eastAsia="宋体" w:cs="Times New Roman"/>
                <w:color w:val="auto"/>
                <w:sz w:val="24"/>
                <w:szCs w:val="24"/>
                <w:lang w:val="en-US" w:eastAsia="zh-CN"/>
              </w:rPr>
              <w:t>/a。环评要求颗粒碳碘吸附值不低于800mg/g，蜂窝活性炭碘吸附值不低于600mg/g，并按照设计要求足量添加、及时更换。</w:t>
            </w:r>
            <w:r>
              <w:rPr>
                <w:rFonts w:hint="eastAsia" w:ascii="Times New Roman" w:hAnsi="Times New Roman" w:cs="Times New Roman"/>
                <w:color w:val="auto"/>
                <w:sz w:val="24"/>
                <w:szCs w:val="24"/>
                <w:lang w:val="en-US" w:eastAsia="zh-CN"/>
              </w:rPr>
              <w:t>有机废气、</w:t>
            </w:r>
            <w:r>
              <w:rPr>
                <w:rFonts w:hint="eastAsia" w:cs="Times New Roman"/>
                <w:color w:val="auto"/>
                <w:sz w:val="24"/>
                <w:szCs w:val="24"/>
                <w:lang w:val="en-US" w:eastAsia="zh-CN"/>
              </w:rPr>
              <w:t>异味气体</w:t>
            </w:r>
            <w:r>
              <w:rPr>
                <w:rFonts w:hint="eastAsia" w:ascii="Times New Roman" w:hAnsi="Times New Roman" w:cs="Times New Roman"/>
                <w:color w:val="auto"/>
                <w:sz w:val="24"/>
                <w:szCs w:val="24"/>
                <w:lang w:val="en-US" w:eastAsia="zh-CN"/>
              </w:rPr>
              <w:t>活性炭处理措施单次活性炭填充量分别为</w:t>
            </w:r>
            <w:r>
              <w:rPr>
                <w:rFonts w:hint="eastAsia" w:cs="Times New Roman"/>
                <w:color w:val="auto"/>
                <w:sz w:val="24"/>
                <w:szCs w:val="24"/>
                <w:lang w:val="en-US" w:eastAsia="zh-CN"/>
              </w:rPr>
              <w:t>50</w:t>
            </w:r>
            <w:r>
              <w:rPr>
                <w:rFonts w:hint="eastAsia" w:ascii="Times New Roman" w:hAnsi="Times New Roman" w:cs="Times New Roman"/>
                <w:color w:val="auto"/>
                <w:sz w:val="24"/>
                <w:szCs w:val="24"/>
                <w:lang w:val="en-US" w:eastAsia="zh-CN"/>
              </w:rPr>
              <w:t>kg</w:t>
            </w:r>
            <w:r>
              <w:rPr>
                <w:rFonts w:hint="eastAsia" w:cs="Times New Roman"/>
                <w:color w:val="auto"/>
                <w:sz w:val="24"/>
                <w:szCs w:val="24"/>
                <w:lang w:val="en-US" w:eastAsia="zh-CN"/>
              </w:rPr>
              <w:t>、10</w:t>
            </w:r>
            <w:r>
              <w:rPr>
                <w:rFonts w:hint="eastAsia" w:ascii="Times New Roman" w:hAnsi="Times New Roman" w:cs="Times New Roman"/>
                <w:color w:val="auto"/>
                <w:sz w:val="24"/>
                <w:szCs w:val="24"/>
                <w:lang w:val="en-US" w:eastAsia="zh-CN"/>
              </w:rPr>
              <w:t>kg，每季度更换一次</w:t>
            </w:r>
            <w:r>
              <w:rPr>
                <w:rFonts w:hint="eastAsia" w:cs="Times New Roman"/>
                <w:color w:val="auto"/>
                <w:sz w:val="24"/>
                <w:szCs w:val="24"/>
                <w:lang w:val="en-US" w:eastAsia="zh-CN"/>
              </w:rPr>
              <w:t>，则废活性炭产生量为0.24t/a。</w:t>
            </w:r>
            <w:r>
              <w:rPr>
                <w:rFonts w:hint="default" w:ascii="Times New Roman" w:hAnsi="Times New Roman" w:eastAsia="宋体" w:cs="Times New Roman"/>
                <w:color w:val="auto"/>
                <w:sz w:val="24"/>
                <w:szCs w:val="24"/>
                <w:lang w:val="en-US" w:eastAsia="zh-CN"/>
              </w:rPr>
              <w:t>根据《国家危险废物名录（202</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年</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w:t>
            </w:r>
            <w:r>
              <w:rPr>
                <w:rFonts w:hint="eastAsia"/>
                <w:color w:val="auto"/>
                <w:sz w:val="24"/>
              </w:rPr>
              <w:t>实验室危险废物污染控制技术规范》</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废活性炭</w:t>
            </w:r>
            <w:r>
              <w:rPr>
                <w:rFonts w:hint="default" w:ascii="Times New Roman" w:hAnsi="Times New Roman" w:eastAsia="宋体" w:cs="Times New Roman"/>
                <w:color w:val="auto"/>
                <w:sz w:val="24"/>
                <w:szCs w:val="24"/>
                <w:lang w:val="en-US" w:eastAsia="zh-CN"/>
              </w:rPr>
              <w:t>属于危险废物，废物</w:t>
            </w:r>
            <w:r>
              <w:rPr>
                <w:rFonts w:hint="default" w:ascii="Times New Roman" w:hAnsi="Times New Roman" w:cs="Times New Roman"/>
                <w:color w:val="auto"/>
                <w:sz w:val="24"/>
                <w:szCs w:val="24"/>
                <w:lang w:val="en-US" w:eastAsia="zh-CN"/>
              </w:rPr>
              <w:t>代码</w:t>
            </w:r>
            <w:r>
              <w:rPr>
                <w:rFonts w:hint="default" w:ascii="Times New Roman" w:hAnsi="Times New Roman" w:eastAsia="宋体" w:cs="Times New Roman"/>
                <w:color w:val="auto"/>
                <w:sz w:val="24"/>
                <w:szCs w:val="24"/>
                <w:lang w:val="en-US" w:eastAsia="zh-CN"/>
              </w:rPr>
              <w:t>HW49（900-039-49），定期交由有资质单位进行处置。</w:t>
            </w:r>
          </w:p>
          <w:p w14:paraId="41FC6B35">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项目产生的</w:t>
            </w:r>
            <w:r>
              <w:rPr>
                <w:rFonts w:hint="default" w:ascii="Times New Roman" w:hAnsi="Times New Roman" w:eastAsia="宋体" w:cs="Times New Roman"/>
                <w:color w:val="auto"/>
                <w:sz w:val="24"/>
                <w:szCs w:val="24"/>
              </w:rPr>
              <w:t>危险废物经分类收集暂存至</w:t>
            </w:r>
            <w:r>
              <w:rPr>
                <w:rFonts w:hint="default" w:ascii="Times New Roman" w:hAnsi="Times New Roman" w:cs="Times New Roman"/>
                <w:color w:val="auto"/>
                <w:sz w:val="24"/>
                <w:szCs w:val="24"/>
                <w:lang w:eastAsia="zh-CN"/>
              </w:rPr>
              <w:t>危废贮存库</w:t>
            </w:r>
            <w:r>
              <w:rPr>
                <w:rFonts w:hint="default" w:ascii="Times New Roman" w:hAnsi="Times New Roman" w:eastAsia="宋体" w:cs="Times New Roman"/>
                <w:color w:val="auto"/>
                <w:sz w:val="24"/>
                <w:szCs w:val="24"/>
              </w:rPr>
              <w:t>内，定期</w:t>
            </w:r>
            <w:r>
              <w:rPr>
                <w:rFonts w:hint="default" w:ascii="Times New Roman" w:hAnsi="Times New Roman" w:eastAsia="宋体" w:cs="Times New Roman"/>
                <w:color w:val="auto"/>
                <w:sz w:val="24"/>
                <w:szCs w:val="24"/>
                <w:lang w:val="en-US" w:eastAsia="zh-CN"/>
              </w:rPr>
              <w:t>交由有资质</w:t>
            </w:r>
            <w:r>
              <w:rPr>
                <w:rFonts w:hint="default" w:ascii="Times New Roman" w:hAnsi="Times New Roman" w:eastAsia="宋体" w:cs="Times New Roman"/>
                <w:color w:val="auto"/>
                <w:sz w:val="24"/>
                <w:szCs w:val="24"/>
              </w:rPr>
              <w:t>单位处置。</w:t>
            </w:r>
          </w:p>
          <w:p w14:paraId="5D0CE137">
            <w:pPr>
              <w:pStyle w:val="8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表4-</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 xml:space="preserve">2  </w:t>
            </w:r>
            <w:r>
              <w:rPr>
                <w:rFonts w:hint="default" w:ascii="Times New Roman" w:hAnsi="Times New Roman" w:cs="Times New Roman"/>
                <w:color w:val="auto"/>
                <w:sz w:val="21"/>
                <w:szCs w:val="21"/>
              </w:rPr>
              <w:t>固体废物核算统计表</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754"/>
              <w:gridCol w:w="895"/>
              <w:gridCol w:w="879"/>
              <w:gridCol w:w="864"/>
              <w:gridCol w:w="1351"/>
              <w:gridCol w:w="958"/>
              <w:gridCol w:w="1435"/>
            </w:tblGrid>
            <w:tr w14:paraId="2465D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0"/>
                  <w:vAlign w:val="center"/>
                </w:tcPr>
                <w:p w14:paraId="3A093396">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455" w:type="pct"/>
                  <w:tcBorders>
                    <w:tl2br w:val="nil"/>
                    <w:tr2bl w:val="nil"/>
                  </w:tcBorders>
                  <w:noWrap w:val="0"/>
                  <w:vAlign w:val="center"/>
                </w:tcPr>
                <w:p w14:paraId="7EA08385">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产生环节</w:t>
                  </w:r>
                </w:p>
              </w:tc>
              <w:tc>
                <w:tcPr>
                  <w:tcW w:w="540" w:type="pct"/>
                  <w:tcBorders>
                    <w:tl2br w:val="nil"/>
                    <w:tr2bl w:val="nil"/>
                  </w:tcBorders>
                  <w:noWrap w:val="0"/>
                  <w:vAlign w:val="center"/>
                </w:tcPr>
                <w:p w14:paraId="7A887433">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530" w:type="pct"/>
                  <w:tcBorders>
                    <w:tl2br w:val="nil"/>
                    <w:tr2bl w:val="nil"/>
                  </w:tcBorders>
                  <w:noWrap w:val="0"/>
                  <w:vAlign w:val="center"/>
                </w:tcPr>
                <w:p w14:paraId="2F71B97C">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属性</w:t>
                  </w:r>
                </w:p>
              </w:tc>
              <w:tc>
                <w:tcPr>
                  <w:tcW w:w="521" w:type="pct"/>
                  <w:tcBorders>
                    <w:tl2br w:val="nil"/>
                    <w:tr2bl w:val="nil"/>
                  </w:tcBorders>
                  <w:noWrap w:val="0"/>
                  <w:vAlign w:val="center"/>
                </w:tcPr>
                <w:p w14:paraId="3B7F0244">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固废类别</w:t>
                  </w:r>
                </w:p>
              </w:tc>
              <w:tc>
                <w:tcPr>
                  <w:tcW w:w="815" w:type="pct"/>
                  <w:tcBorders>
                    <w:tl2br w:val="nil"/>
                    <w:tr2bl w:val="nil"/>
                  </w:tcBorders>
                  <w:noWrap w:val="0"/>
                  <w:vAlign w:val="center"/>
                </w:tcPr>
                <w:p w14:paraId="15E1C487">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固废代码</w:t>
                  </w:r>
                </w:p>
              </w:tc>
              <w:tc>
                <w:tcPr>
                  <w:tcW w:w="578" w:type="pct"/>
                  <w:tcBorders>
                    <w:tl2br w:val="nil"/>
                    <w:tr2bl w:val="nil"/>
                  </w:tcBorders>
                  <w:noWrap w:val="0"/>
                  <w:vAlign w:val="center"/>
                </w:tcPr>
                <w:p w14:paraId="2326F663">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储存方式</w:t>
                  </w:r>
                </w:p>
              </w:tc>
              <w:tc>
                <w:tcPr>
                  <w:tcW w:w="865" w:type="pct"/>
                  <w:tcBorders>
                    <w:tl2br w:val="nil"/>
                    <w:tr2bl w:val="nil"/>
                  </w:tcBorders>
                  <w:noWrap w:val="0"/>
                  <w:vAlign w:val="center"/>
                </w:tcPr>
                <w:p w14:paraId="4D92E369">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利用处置方式和去向</w:t>
                  </w:r>
                </w:p>
              </w:tc>
            </w:tr>
            <w:tr w14:paraId="74AFA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ign w:val="center"/>
                </w:tcPr>
                <w:p w14:paraId="60E62D0A">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药渣</w:t>
                  </w:r>
                </w:p>
              </w:tc>
              <w:tc>
                <w:tcPr>
                  <w:tcW w:w="455" w:type="pct"/>
                  <w:tcBorders>
                    <w:tl2br w:val="nil"/>
                    <w:tr2bl w:val="nil"/>
                  </w:tcBorders>
                  <w:noWrap/>
                  <w:vAlign w:val="center"/>
                </w:tcPr>
                <w:p w14:paraId="61C12139">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蒸煮浓缩</w:t>
                  </w:r>
                </w:p>
              </w:tc>
              <w:tc>
                <w:tcPr>
                  <w:tcW w:w="540" w:type="pct"/>
                  <w:tcBorders>
                    <w:tl2br w:val="nil"/>
                    <w:tr2bl w:val="nil"/>
                  </w:tcBorders>
                  <w:noWrap w:val="0"/>
                  <w:vAlign w:val="center"/>
                </w:tcPr>
                <w:p w14:paraId="290DC4D4">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sz w:val="21"/>
                      <w:szCs w:val="21"/>
                      <w:lang w:val="en-US" w:eastAsia="zh-CN"/>
                    </w:rPr>
                    <w:t>1.26</w:t>
                  </w:r>
                </w:p>
              </w:tc>
              <w:tc>
                <w:tcPr>
                  <w:tcW w:w="530" w:type="pct"/>
                  <w:tcBorders>
                    <w:tl2br w:val="nil"/>
                    <w:tr2bl w:val="nil"/>
                  </w:tcBorders>
                  <w:noWrap w:val="0"/>
                  <w:vAlign w:val="center"/>
                </w:tcPr>
                <w:p w14:paraId="5A7ACD55">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color w:val="auto"/>
                      <w:sz w:val="21"/>
                      <w:szCs w:val="21"/>
                    </w:rPr>
                    <w:t>一般工业固废</w:t>
                  </w:r>
                </w:p>
              </w:tc>
              <w:tc>
                <w:tcPr>
                  <w:tcW w:w="521" w:type="pct"/>
                  <w:tcBorders>
                    <w:tl2br w:val="nil"/>
                    <w:tr2bl w:val="nil"/>
                  </w:tcBorders>
                  <w:noWrap w:val="0"/>
                  <w:vAlign w:val="center"/>
                </w:tcPr>
                <w:p w14:paraId="63300632">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sz w:val="21"/>
                      <w:szCs w:val="21"/>
                      <w:lang w:val="en-US" w:eastAsia="zh-CN"/>
                    </w:rPr>
                    <w:t>S92</w:t>
                  </w:r>
                </w:p>
              </w:tc>
              <w:tc>
                <w:tcPr>
                  <w:tcW w:w="815" w:type="pct"/>
                  <w:tcBorders>
                    <w:tl2br w:val="nil"/>
                    <w:tr2bl w:val="nil"/>
                  </w:tcBorders>
                  <w:noWrap w:val="0"/>
                  <w:vAlign w:val="center"/>
                </w:tcPr>
                <w:p w14:paraId="35A25BF2">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eastAsia="宋体" w:cs="Times New Roman"/>
                      <w:color w:val="auto"/>
                      <w:lang w:val="en-US" w:eastAsia="zh-CN"/>
                    </w:rPr>
                    <w:t>900-001-S92</w:t>
                  </w:r>
                </w:p>
              </w:tc>
              <w:tc>
                <w:tcPr>
                  <w:tcW w:w="578" w:type="pct"/>
                  <w:vMerge w:val="restart"/>
                  <w:tcBorders>
                    <w:tl2br w:val="nil"/>
                    <w:tr2bl w:val="nil"/>
                  </w:tcBorders>
                  <w:noWrap w:val="0"/>
                  <w:vAlign w:val="center"/>
                </w:tcPr>
                <w:p w14:paraId="01709BCA">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垃圾桶</w:t>
                  </w:r>
                  <w:r>
                    <w:rPr>
                      <w:rFonts w:hint="eastAsia" w:cs="Times New Roman"/>
                      <w:color w:val="auto"/>
                      <w:sz w:val="21"/>
                      <w:szCs w:val="21"/>
                      <w:lang w:val="en-US" w:eastAsia="zh-CN"/>
                    </w:rPr>
                    <w:t>分类</w:t>
                  </w:r>
                  <w:r>
                    <w:rPr>
                      <w:rFonts w:hint="default" w:ascii="Times New Roman" w:hAnsi="Times New Roman" w:cs="Times New Roman"/>
                      <w:color w:val="auto"/>
                      <w:sz w:val="21"/>
                      <w:szCs w:val="21"/>
                    </w:rPr>
                    <w:t>收集</w:t>
                  </w:r>
                </w:p>
              </w:tc>
              <w:tc>
                <w:tcPr>
                  <w:tcW w:w="865" w:type="pct"/>
                  <w:vMerge w:val="restart"/>
                  <w:tcBorders>
                    <w:tl2br w:val="nil"/>
                    <w:tr2bl w:val="nil"/>
                  </w:tcBorders>
                  <w:noWrap w:val="0"/>
                  <w:vAlign w:val="center"/>
                </w:tcPr>
                <w:p w14:paraId="6FF03ECE">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color w:val="auto"/>
                      <w:sz w:val="21"/>
                      <w:szCs w:val="21"/>
                    </w:rPr>
                    <w:t>分类收集后</w:t>
                  </w:r>
                  <w:r>
                    <w:rPr>
                      <w:rFonts w:hint="default" w:ascii="Times New Roman" w:hAnsi="Times New Roman" w:eastAsia="宋体" w:cs="Times New Roman"/>
                      <w:color w:val="auto"/>
                      <w:sz w:val="21"/>
                      <w:szCs w:val="21"/>
                      <w:lang w:val="en-US" w:eastAsia="zh-CN"/>
                    </w:rPr>
                    <w:t>定期交由当地环卫部门</w:t>
                  </w:r>
                  <w:r>
                    <w:rPr>
                      <w:rFonts w:hint="default" w:ascii="Times New Roman" w:hAnsi="Times New Roman" w:eastAsia="宋体" w:cs="Times New Roman"/>
                      <w:color w:val="auto"/>
                      <w:sz w:val="21"/>
                      <w:szCs w:val="21"/>
                    </w:rPr>
                    <w:t>处置</w:t>
                  </w:r>
                </w:p>
              </w:tc>
            </w:tr>
            <w:tr w14:paraId="74C372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ign w:val="center"/>
                </w:tcPr>
                <w:p w14:paraId="2D6EB372">
                  <w:pPr>
                    <w:pStyle w:val="85"/>
                    <w:ind w:firstLine="0" w:firstLineChars="0"/>
                    <w:rPr>
                      <w:rFonts w:hint="eastAsia"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生活垃圾</w:t>
                  </w:r>
                </w:p>
              </w:tc>
              <w:tc>
                <w:tcPr>
                  <w:tcW w:w="455" w:type="pct"/>
                  <w:tcBorders>
                    <w:tl2br w:val="nil"/>
                    <w:tr2bl w:val="nil"/>
                  </w:tcBorders>
                  <w:noWrap/>
                  <w:vAlign w:val="center"/>
                </w:tcPr>
                <w:p w14:paraId="28A7B430">
                  <w:pPr>
                    <w:pStyle w:val="85"/>
                    <w:ind w:firstLine="0" w:firstLineChars="0"/>
                    <w:rPr>
                      <w:rFonts w:hint="eastAsia"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职工</w:t>
                  </w:r>
                  <w:r>
                    <w:rPr>
                      <w:rFonts w:hint="default" w:ascii="Times New Roman" w:hAnsi="Times New Roman" w:cs="Times New Roman"/>
                      <w:color w:val="auto"/>
                      <w:sz w:val="21"/>
                      <w:szCs w:val="21"/>
                    </w:rPr>
                    <w:t>生活</w:t>
                  </w:r>
                </w:p>
              </w:tc>
              <w:tc>
                <w:tcPr>
                  <w:tcW w:w="540" w:type="pct"/>
                  <w:tcBorders>
                    <w:tl2br w:val="nil"/>
                    <w:tr2bl w:val="nil"/>
                  </w:tcBorders>
                  <w:noWrap w:val="0"/>
                  <w:vAlign w:val="center"/>
                </w:tcPr>
                <w:p w14:paraId="04DA0071">
                  <w:pPr>
                    <w:pStyle w:val="85"/>
                    <w:ind w:firstLine="0" w:firstLineChars="0"/>
                    <w:rPr>
                      <w:rFonts w:hint="eastAsia" w:ascii="Times New Roman" w:hAnsi="Times New Roman" w:eastAsia="宋体" w:cs="Times New Roman"/>
                      <w:snapToGrid w:val="0"/>
                      <w:color w:val="auto"/>
                      <w:kern w:val="2"/>
                      <w:sz w:val="21"/>
                      <w:szCs w:val="21"/>
                      <w:lang w:val="en-US" w:eastAsia="zh-CN" w:bidi="ar-SA"/>
                    </w:rPr>
                  </w:pPr>
                  <w:r>
                    <w:rPr>
                      <w:rFonts w:hint="eastAsia" w:cs="Times New Roman"/>
                      <w:color w:val="auto"/>
                      <w:sz w:val="21"/>
                      <w:szCs w:val="21"/>
                      <w:lang w:val="en-US" w:eastAsia="zh-CN"/>
                    </w:rPr>
                    <w:t>1.7</w:t>
                  </w:r>
                </w:p>
              </w:tc>
              <w:tc>
                <w:tcPr>
                  <w:tcW w:w="530" w:type="pct"/>
                  <w:tcBorders>
                    <w:tl2br w:val="nil"/>
                    <w:tr2bl w:val="nil"/>
                  </w:tcBorders>
                  <w:noWrap w:val="0"/>
                  <w:vAlign w:val="center"/>
                </w:tcPr>
                <w:p w14:paraId="688893F5">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生活垃圾</w:t>
                  </w:r>
                </w:p>
              </w:tc>
              <w:tc>
                <w:tcPr>
                  <w:tcW w:w="521" w:type="pct"/>
                  <w:tcBorders>
                    <w:tl2br w:val="nil"/>
                    <w:tr2bl w:val="nil"/>
                  </w:tcBorders>
                  <w:noWrap w:val="0"/>
                  <w:vAlign w:val="center"/>
                </w:tcPr>
                <w:p w14:paraId="56888257">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olor w:val="auto"/>
                      <w:lang w:val="en-US" w:eastAsia="zh-CN"/>
                    </w:rPr>
                    <w:t>S62</w:t>
                  </w:r>
                </w:p>
              </w:tc>
              <w:tc>
                <w:tcPr>
                  <w:tcW w:w="815" w:type="pct"/>
                  <w:tcBorders>
                    <w:tl2br w:val="nil"/>
                    <w:tr2bl w:val="nil"/>
                  </w:tcBorders>
                  <w:noWrap w:val="0"/>
                  <w:vAlign w:val="center"/>
                </w:tcPr>
                <w:p w14:paraId="52E33A01">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olor w:val="auto"/>
                      <w:lang w:val="en-US" w:eastAsia="zh-CN"/>
                    </w:rPr>
                    <w:t>9</w:t>
                  </w:r>
                  <w:r>
                    <w:rPr>
                      <w:rFonts w:hint="default"/>
                      <w:color w:val="auto"/>
                      <w:lang w:val="en-US" w:eastAsia="zh-CN"/>
                    </w:rPr>
                    <w:t>00-001-S62</w:t>
                  </w:r>
                </w:p>
              </w:tc>
              <w:tc>
                <w:tcPr>
                  <w:tcW w:w="578" w:type="pct"/>
                  <w:vMerge w:val="continue"/>
                  <w:tcBorders>
                    <w:tl2br w:val="nil"/>
                    <w:tr2bl w:val="nil"/>
                  </w:tcBorders>
                  <w:noWrap w:val="0"/>
                  <w:vAlign w:val="center"/>
                </w:tcPr>
                <w:p w14:paraId="1FF43D99">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p>
              </w:tc>
              <w:tc>
                <w:tcPr>
                  <w:tcW w:w="865" w:type="pct"/>
                  <w:vMerge w:val="continue"/>
                  <w:tcBorders>
                    <w:tl2br w:val="nil"/>
                    <w:tr2bl w:val="nil"/>
                  </w:tcBorders>
                  <w:noWrap w:val="0"/>
                  <w:vAlign w:val="center"/>
                </w:tcPr>
                <w:p w14:paraId="3FD34D85">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p>
              </w:tc>
            </w:tr>
            <w:tr w14:paraId="232F47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ign w:val="center"/>
                </w:tcPr>
                <w:p w14:paraId="3A641F4B">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废试剂瓶</w:t>
                  </w:r>
                </w:p>
              </w:tc>
              <w:tc>
                <w:tcPr>
                  <w:tcW w:w="455" w:type="pct"/>
                  <w:vMerge w:val="restart"/>
                  <w:tcBorders>
                    <w:tl2br w:val="nil"/>
                    <w:tr2bl w:val="nil"/>
                  </w:tcBorders>
                  <w:noWrap w:val="0"/>
                  <w:vAlign w:val="center"/>
                </w:tcPr>
                <w:p w14:paraId="3A48436B">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化学实验室</w:t>
                  </w:r>
                </w:p>
              </w:tc>
              <w:tc>
                <w:tcPr>
                  <w:tcW w:w="540" w:type="pct"/>
                  <w:tcBorders>
                    <w:tl2br w:val="nil"/>
                    <w:tr2bl w:val="nil"/>
                  </w:tcBorders>
                  <w:noWrap w:val="0"/>
                  <w:vAlign w:val="center"/>
                </w:tcPr>
                <w:p w14:paraId="59F4D976">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0.</w:t>
                  </w:r>
                  <w:r>
                    <w:rPr>
                      <w:rFonts w:hint="eastAsia" w:cs="Times New Roman"/>
                      <w:color w:val="auto"/>
                      <w:sz w:val="21"/>
                      <w:szCs w:val="21"/>
                      <w:lang w:val="en-US" w:eastAsia="zh-CN"/>
                    </w:rPr>
                    <w:t>5</w:t>
                  </w:r>
                </w:p>
              </w:tc>
              <w:tc>
                <w:tcPr>
                  <w:tcW w:w="530" w:type="pct"/>
                  <w:vMerge w:val="restart"/>
                  <w:tcBorders>
                    <w:tl2br w:val="nil"/>
                    <w:tr2bl w:val="nil"/>
                  </w:tcBorders>
                  <w:noWrap w:val="0"/>
                  <w:vAlign w:val="center"/>
                </w:tcPr>
                <w:p w14:paraId="0299412F">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color w:val="auto"/>
                      <w:sz w:val="21"/>
                      <w:szCs w:val="21"/>
                    </w:rPr>
                    <w:t>危险废物</w:t>
                  </w:r>
                </w:p>
              </w:tc>
              <w:tc>
                <w:tcPr>
                  <w:tcW w:w="521" w:type="pct"/>
                  <w:tcBorders>
                    <w:tl2br w:val="nil"/>
                    <w:tr2bl w:val="nil"/>
                  </w:tcBorders>
                  <w:noWrap w:val="0"/>
                  <w:vAlign w:val="center"/>
                </w:tcPr>
                <w:p w14:paraId="31F82516">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HW49</w:t>
                  </w:r>
                </w:p>
              </w:tc>
              <w:tc>
                <w:tcPr>
                  <w:tcW w:w="815" w:type="pct"/>
                  <w:tcBorders>
                    <w:tl2br w:val="nil"/>
                    <w:tr2bl w:val="nil"/>
                  </w:tcBorders>
                  <w:noWrap w:val="0"/>
                  <w:vAlign w:val="center"/>
                </w:tcPr>
                <w:p w14:paraId="53135F22">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900-04</w:t>
                  </w:r>
                  <w:r>
                    <w:rPr>
                      <w:rFonts w:hint="default"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-49</w:t>
                  </w:r>
                </w:p>
              </w:tc>
              <w:tc>
                <w:tcPr>
                  <w:tcW w:w="578" w:type="pct"/>
                  <w:vMerge w:val="restart"/>
                  <w:tcBorders>
                    <w:tl2br w:val="nil"/>
                    <w:tr2bl w:val="nil"/>
                  </w:tcBorders>
                  <w:noWrap w:val="0"/>
                  <w:vAlign w:val="center"/>
                </w:tcPr>
                <w:p w14:paraId="742335E1">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危废贮存库</w:t>
                  </w:r>
                  <w:r>
                    <w:rPr>
                      <w:rFonts w:hint="default" w:ascii="Times New Roman" w:hAnsi="Times New Roman" w:cs="Times New Roman"/>
                      <w:color w:val="auto"/>
                      <w:sz w:val="21"/>
                      <w:szCs w:val="21"/>
                    </w:rPr>
                    <w:t>暂存</w:t>
                  </w:r>
                </w:p>
              </w:tc>
              <w:tc>
                <w:tcPr>
                  <w:tcW w:w="865" w:type="pct"/>
                  <w:vMerge w:val="restart"/>
                  <w:tcBorders>
                    <w:tl2br w:val="nil"/>
                    <w:tr2bl w:val="nil"/>
                  </w:tcBorders>
                  <w:noWrap w:val="0"/>
                  <w:vAlign w:val="center"/>
                </w:tcPr>
                <w:p w14:paraId="2F60081D">
                  <w:pPr>
                    <w:pStyle w:val="85"/>
                    <w:rPr>
                      <w:rFonts w:hint="default" w:ascii="Times New Roman" w:hAnsi="Times New Roman" w:cs="Times New Roman"/>
                      <w:color w:val="auto"/>
                      <w:sz w:val="21"/>
                      <w:szCs w:val="21"/>
                    </w:rPr>
                  </w:pPr>
                  <w:r>
                    <w:rPr>
                      <w:rFonts w:hint="eastAsia" w:cs="Times New Roman"/>
                      <w:color w:val="auto"/>
                      <w:sz w:val="21"/>
                      <w:szCs w:val="21"/>
                      <w:lang w:val="en-US" w:eastAsia="zh-CN"/>
                    </w:rPr>
                    <w:t>分类收集，暂存于危废贮存库，定期</w:t>
                  </w:r>
                  <w:r>
                    <w:rPr>
                      <w:rFonts w:hint="default" w:ascii="Times New Roman" w:hAnsi="Times New Roman" w:cs="Times New Roman"/>
                      <w:color w:val="auto"/>
                      <w:sz w:val="21"/>
                      <w:szCs w:val="21"/>
                    </w:rPr>
                    <w:t>交由有资质单位处置</w:t>
                  </w:r>
                </w:p>
              </w:tc>
            </w:tr>
            <w:tr w14:paraId="284F23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ign w:val="center"/>
                </w:tcPr>
                <w:p w14:paraId="426160EE">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实验废液</w:t>
                  </w:r>
                </w:p>
              </w:tc>
              <w:tc>
                <w:tcPr>
                  <w:tcW w:w="455" w:type="pct"/>
                  <w:vMerge w:val="continue"/>
                  <w:tcBorders>
                    <w:tl2br w:val="nil"/>
                    <w:tr2bl w:val="nil"/>
                  </w:tcBorders>
                  <w:noWrap w:val="0"/>
                  <w:vAlign w:val="center"/>
                </w:tcPr>
                <w:p w14:paraId="0A026804">
                  <w:pPr>
                    <w:pStyle w:val="85"/>
                    <w:ind w:firstLine="0" w:firstLineChars="0"/>
                    <w:rPr>
                      <w:rFonts w:hint="default" w:ascii="Times New Roman" w:hAnsi="Times New Roman" w:cs="Times New Roman"/>
                      <w:snapToGrid w:val="0"/>
                      <w:color w:val="auto"/>
                      <w:kern w:val="2"/>
                      <w:sz w:val="21"/>
                      <w:szCs w:val="21"/>
                      <w:lang w:val="en-US" w:eastAsia="zh-CN" w:bidi="ar-SA"/>
                    </w:rPr>
                  </w:pPr>
                </w:p>
              </w:tc>
              <w:tc>
                <w:tcPr>
                  <w:tcW w:w="540" w:type="pct"/>
                  <w:tcBorders>
                    <w:tl2br w:val="nil"/>
                    <w:tr2bl w:val="nil"/>
                  </w:tcBorders>
                  <w:noWrap w:val="0"/>
                  <w:vAlign w:val="center"/>
                </w:tcPr>
                <w:p w14:paraId="25AB9E6D">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5</w:t>
                  </w:r>
                </w:p>
              </w:tc>
              <w:tc>
                <w:tcPr>
                  <w:tcW w:w="530" w:type="pct"/>
                  <w:vMerge w:val="continue"/>
                  <w:tcBorders>
                    <w:tl2br w:val="nil"/>
                    <w:tr2bl w:val="nil"/>
                  </w:tcBorders>
                  <w:noWrap w:val="0"/>
                  <w:vAlign w:val="center"/>
                </w:tcPr>
                <w:p w14:paraId="1FFF6082">
                  <w:pPr>
                    <w:pStyle w:val="85"/>
                    <w:ind w:firstLine="0" w:firstLineChars="0"/>
                    <w:rPr>
                      <w:rFonts w:hint="default" w:ascii="Times New Roman" w:hAnsi="Times New Roman" w:cs="Times New Roman"/>
                      <w:snapToGrid w:val="0"/>
                      <w:color w:val="auto"/>
                      <w:kern w:val="0"/>
                      <w:sz w:val="21"/>
                      <w:szCs w:val="21"/>
                      <w:lang w:val="en-US" w:eastAsia="zh-CN" w:bidi="ar-SA"/>
                    </w:rPr>
                  </w:pPr>
                </w:p>
              </w:tc>
              <w:tc>
                <w:tcPr>
                  <w:tcW w:w="521" w:type="pct"/>
                  <w:tcBorders>
                    <w:tl2br w:val="nil"/>
                    <w:tr2bl w:val="nil"/>
                  </w:tcBorders>
                  <w:noWrap w:val="0"/>
                  <w:vAlign w:val="center"/>
                </w:tcPr>
                <w:p w14:paraId="4C0AFA86">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val="en-US" w:eastAsia="zh-CN"/>
                    </w:rPr>
                    <w:t>49</w:t>
                  </w:r>
                </w:p>
              </w:tc>
              <w:tc>
                <w:tcPr>
                  <w:tcW w:w="815" w:type="pct"/>
                  <w:tcBorders>
                    <w:tl2br w:val="nil"/>
                    <w:tr2bl w:val="nil"/>
                  </w:tcBorders>
                  <w:noWrap w:val="0"/>
                  <w:vAlign w:val="center"/>
                </w:tcPr>
                <w:p w14:paraId="79CDE408">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color w:val="auto"/>
                      <w:sz w:val="21"/>
                      <w:szCs w:val="21"/>
                    </w:rPr>
                    <w:t>900-04</w:t>
                  </w:r>
                  <w:r>
                    <w:rPr>
                      <w:rFonts w:hint="default"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rPr>
                    <w:t>-49</w:t>
                  </w:r>
                </w:p>
              </w:tc>
              <w:tc>
                <w:tcPr>
                  <w:tcW w:w="578" w:type="pct"/>
                  <w:vMerge w:val="continue"/>
                  <w:tcBorders>
                    <w:tl2br w:val="nil"/>
                    <w:tr2bl w:val="nil"/>
                  </w:tcBorders>
                  <w:noWrap w:val="0"/>
                  <w:vAlign w:val="center"/>
                </w:tcPr>
                <w:p w14:paraId="293F3746">
                  <w:pPr>
                    <w:pStyle w:val="85"/>
                    <w:rPr>
                      <w:rFonts w:hint="default" w:ascii="Times New Roman" w:hAnsi="Times New Roman" w:cs="Times New Roman"/>
                      <w:color w:val="auto"/>
                      <w:sz w:val="21"/>
                      <w:szCs w:val="21"/>
                    </w:rPr>
                  </w:pPr>
                </w:p>
              </w:tc>
              <w:tc>
                <w:tcPr>
                  <w:tcW w:w="865" w:type="pct"/>
                  <w:vMerge w:val="continue"/>
                  <w:tcBorders>
                    <w:tl2br w:val="nil"/>
                    <w:tr2bl w:val="nil"/>
                  </w:tcBorders>
                  <w:noWrap w:val="0"/>
                  <w:vAlign w:val="center"/>
                </w:tcPr>
                <w:p w14:paraId="04AC504F">
                  <w:pPr>
                    <w:pStyle w:val="85"/>
                    <w:rPr>
                      <w:rFonts w:hint="default" w:ascii="Times New Roman" w:hAnsi="Times New Roman" w:cs="Times New Roman"/>
                      <w:color w:val="auto"/>
                      <w:sz w:val="21"/>
                      <w:szCs w:val="21"/>
                    </w:rPr>
                  </w:pPr>
                </w:p>
              </w:tc>
            </w:tr>
            <w:tr w14:paraId="55923B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ign w:val="center"/>
                </w:tcPr>
                <w:p w14:paraId="60A3345A">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废试剂</w:t>
                  </w:r>
                </w:p>
              </w:tc>
              <w:tc>
                <w:tcPr>
                  <w:tcW w:w="455" w:type="pct"/>
                  <w:vMerge w:val="continue"/>
                  <w:tcBorders>
                    <w:tl2br w:val="nil"/>
                    <w:tr2bl w:val="nil"/>
                  </w:tcBorders>
                  <w:noWrap w:val="0"/>
                  <w:vAlign w:val="center"/>
                </w:tcPr>
                <w:p w14:paraId="6CBFAEED">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p>
              </w:tc>
              <w:tc>
                <w:tcPr>
                  <w:tcW w:w="540" w:type="pct"/>
                  <w:tcBorders>
                    <w:tl2br w:val="nil"/>
                    <w:tr2bl w:val="nil"/>
                  </w:tcBorders>
                  <w:noWrap w:val="0"/>
                  <w:vAlign w:val="center"/>
                </w:tcPr>
                <w:p w14:paraId="479A5B08">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0.0</w:t>
                  </w:r>
                  <w:r>
                    <w:rPr>
                      <w:rFonts w:hint="default" w:ascii="Times New Roman" w:hAnsi="Times New Roman" w:cs="Times New Roman"/>
                      <w:color w:val="auto"/>
                      <w:sz w:val="21"/>
                      <w:szCs w:val="21"/>
                      <w:lang w:val="en-US" w:eastAsia="zh-CN"/>
                    </w:rPr>
                    <w:t>1</w:t>
                  </w:r>
                </w:p>
              </w:tc>
              <w:tc>
                <w:tcPr>
                  <w:tcW w:w="530" w:type="pct"/>
                  <w:vMerge w:val="continue"/>
                  <w:tcBorders>
                    <w:tl2br w:val="nil"/>
                    <w:tr2bl w:val="nil"/>
                  </w:tcBorders>
                  <w:noWrap w:val="0"/>
                  <w:vAlign w:val="center"/>
                </w:tcPr>
                <w:p w14:paraId="4D4A36B1">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p>
              </w:tc>
              <w:tc>
                <w:tcPr>
                  <w:tcW w:w="521" w:type="pct"/>
                  <w:tcBorders>
                    <w:tl2br w:val="nil"/>
                    <w:tr2bl w:val="nil"/>
                  </w:tcBorders>
                  <w:noWrap w:val="0"/>
                  <w:vAlign w:val="center"/>
                </w:tcPr>
                <w:p w14:paraId="530C1F3D">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val="en-US" w:eastAsia="zh-CN"/>
                    </w:rPr>
                    <w:t>03</w:t>
                  </w:r>
                </w:p>
              </w:tc>
              <w:tc>
                <w:tcPr>
                  <w:tcW w:w="815" w:type="pct"/>
                  <w:tcBorders>
                    <w:tl2br w:val="nil"/>
                    <w:tr2bl w:val="nil"/>
                  </w:tcBorders>
                  <w:noWrap w:val="0"/>
                  <w:vAlign w:val="center"/>
                </w:tcPr>
                <w:p w14:paraId="682E8FBB">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900-002-03</w:t>
                  </w:r>
                </w:p>
              </w:tc>
              <w:tc>
                <w:tcPr>
                  <w:tcW w:w="578" w:type="pct"/>
                  <w:vMerge w:val="continue"/>
                  <w:tcBorders>
                    <w:tl2br w:val="nil"/>
                    <w:tr2bl w:val="nil"/>
                  </w:tcBorders>
                  <w:noWrap w:val="0"/>
                  <w:vAlign w:val="center"/>
                </w:tcPr>
                <w:p w14:paraId="7B69F68A">
                  <w:pPr>
                    <w:pStyle w:val="85"/>
                    <w:rPr>
                      <w:rFonts w:hint="default" w:ascii="Times New Roman" w:hAnsi="Times New Roman" w:cs="Times New Roman"/>
                      <w:color w:val="auto"/>
                      <w:sz w:val="21"/>
                      <w:szCs w:val="21"/>
                    </w:rPr>
                  </w:pPr>
                </w:p>
              </w:tc>
              <w:tc>
                <w:tcPr>
                  <w:tcW w:w="865" w:type="pct"/>
                  <w:vMerge w:val="continue"/>
                  <w:tcBorders>
                    <w:tl2br w:val="nil"/>
                    <w:tr2bl w:val="nil"/>
                  </w:tcBorders>
                  <w:noWrap w:val="0"/>
                  <w:vAlign w:val="center"/>
                </w:tcPr>
                <w:p w14:paraId="668B59F3">
                  <w:pPr>
                    <w:pStyle w:val="85"/>
                    <w:rPr>
                      <w:rFonts w:hint="default" w:ascii="Times New Roman" w:hAnsi="Times New Roman" w:cs="Times New Roman"/>
                      <w:color w:val="auto"/>
                      <w:sz w:val="21"/>
                      <w:szCs w:val="21"/>
                    </w:rPr>
                  </w:pPr>
                </w:p>
              </w:tc>
            </w:tr>
            <w:tr w14:paraId="50815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ign w:val="center"/>
                </w:tcPr>
                <w:p w14:paraId="0127271A">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实验检测废弃物</w:t>
                  </w:r>
                </w:p>
              </w:tc>
              <w:tc>
                <w:tcPr>
                  <w:tcW w:w="455" w:type="pct"/>
                  <w:vMerge w:val="continue"/>
                  <w:tcBorders>
                    <w:tl2br w:val="nil"/>
                    <w:tr2bl w:val="nil"/>
                  </w:tcBorders>
                  <w:noWrap w:val="0"/>
                  <w:vAlign w:val="center"/>
                </w:tcPr>
                <w:p w14:paraId="533398B5">
                  <w:pPr>
                    <w:pStyle w:val="85"/>
                    <w:ind w:firstLine="0" w:firstLineChars="0"/>
                    <w:rPr>
                      <w:rFonts w:hint="default" w:ascii="Times New Roman" w:hAnsi="Times New Roman" w:cs="Times New Roman"/>
                      <w:snapToGrid w:val="0"/>
                      <w:color w:val="auto"/>
                      <w:kern w:val="2"/>
                      <w:sz w:val="21"/>
                      <w:szCs w:val="21"/>
                      <w:lang w:val="en-US" w:eastAsia="zh-CN" w:bidi="ar-SA"/>
                    </w:rPr>
                  </w:pPr>
                </w:p>
              </w:tc>
              <w:tc>
                <w:tcPr>
                  <w:tcW w:w="540" w:type="pct"/>
                  <w:tcBorders>
                    <w:tl2br w:val="nil"/>
                    <w:tr2bl w:val="nil"/>
                  </w:tcBorders>
                  <w:noWrap w:val="0"/>
                  <w:vAlign w:val="center"/>
                </w:tcPr>
                <w:p w14:paraId="771B35D9">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0.01</w:t>
                  </w:r>
                </w:p>
              </w:tc>
              <w:tc>
                <w:tcPr>
                  <w:tcW w:w="530" w:type="pct"/>
                  <w:vMerge w:val="continue"/>
                  <w:tcBorders>
                    <w:tl2br w:val="nil"/>
                    <w:tr2bl w:val="nil"/>
                  </w:tcBorders>
                  <w:noWrap w:val="0"/>
                  <w:vAlign w:val="center"/>
                </w:tcPr>
                <w:p w14:paraId="4346C418">
                  <w:pPr>
                    <w:pStyle w:val="85"/>
                    <w:ind w:firstLine="0" w:firstLineChars="0"/>
                    <w:rPr>
                      <w:rFonts w:hint="default" w:ascii="Times New Roman" w:hAnsi="Times New Roman" w:cs="Times New Roman"/>
                      <w:snapToGrid w:val="0"/>
                      <w:color w:val="auto"/>
                      <w:kern w:val="2"/>
                      <w:sz w:val="21"/>
                      <w:szCs w:val="21"/>
                      <w:lang w:val="en-US" w:eastAsia="zh-CN" w:bidi="ar-SA"/>
                    </w:rPr>
                  </w:pPr>
                </w:p>
              </w:tc>
              <w:tc>
                <w:tcPr>
                  <w:tcW w:w="521" w:type="pct"/>
                  <w:tcBorders>
                    <w:tl2br w:val="nil"/>
                    <w:tr2bl w:val="nil"/>
                  </w:tcBorders>
                  <w:noWrap w:val="0"/>
                  <w:vAlign w:val="center"/>
                </w:tcPr>
                <w:p w14:paraId="58B597A1">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val="en-US" w:eastAsia="zh-CN"/>
                    </w:rPr>
                    <w:t>49</w:t>
                  </w:r>
                </w:p>
              </w:tc>
              <w:tc>
                <w:tcPr>
                  <w:tcW w:w="815" w:type="pct"/>
                  <w:tcBorders>
                    <w:tl2br w:val="nil"/>
                    <w:tr2bl w:val="nil"/>
                  </w:tcBorders>
                  <w:noWrap w:val="0"/>
                  <w:vAlign w:val="center"/>
                </w:tcPr>
                <w:p w14:paraId="678B6AB8">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900-04</w:t>
                  </w:r>
                  <w:r>
                    <w:rPr>
                      <w:rFonts w:hint="default"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rPr>
                    <w:t>-49</w:t>
                  </w:r>
                </w:p>
              </w:tc>
              <w:tc>
                <w:tcPr>
                  <w:tcW w:w="578" w:type="pct"/>
                  <w:vMerge w:val="continue"/>
                  <w:tcBorders>
                    <w:tl2br w:val="nil"/>
                    <w:tr2bl w:val="nil"/>
                  </w:tcBorders>
                  <w:noWrap w:val="0"/>
                  <w:vAlign w:val="center"/>
                </w:tcPr>
                <w:p w14:paraId="2629AFDF">
                  <w:pPr>
                    <w:pStyle w:val="85"/>
                    <w:rPr>
                      <w:rFonts w:hint="default" w:ascii="Times New Roman" w:hAnsi="Times New Roman" w:cs="Times New Roman"/>
                      <w:color w:val="auto"/>
                      <w:sz w:val="21"/>
                      <w:szCs w:val="21"/>
                    </w:rPr>
                  </w:pPr>
                </w:p>
              </w:tc>
              <w:tc>
                <w:tcPr>
                  <w:tcW w:w="865" w:type="pct"/>
                  <w:vMerge w:val="continue"/>
                  <w:tcBorders>
                    <w:tl2br w:val="nil"/>
                    <w:tr2bl w:val="nil"/>
                  </w:tcBorders>
                  <w:noWrap w:val="0"/>
                  <w:vAlign w:val="center"/>
                </w:tcPr>
                <w:p w14:paraId="595577EA">
                  <w:pPr>
                    <w:pStyle w:val="85"/>
                    <w:rPr>
                      <w:rFonts w:hint="default" w:ascii="Times New Roman" w:hAnsi="Times New Roman" w:cs="Times New Roman"/>
                      <w:color w:val="auto"/>
                      <w:sz w:val="21"/>
                      <w:szCs w:val="21"/>
                    </w:rPr>
                  </w:pPr>
                </w:p>
              </w:tc>
            </w:tr>
            <w:tr w14:paraId="41E6FE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pct"/>
                  <w:tcBorders>
                    <w:tl2br w:val="nil"/>
                    <w:tr2bl w:val="nil"/>
                  </w:tcBorders>
                  <w:noWrap/>
                  <w:vAlign w:val="center"/>
                </w:tcPr>
                <w:p w14:paraId="2DDA909B">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废活性炭</w:t>
                  </w:r>
                </w:p>
              </w:tc>
              <w:tc>
                <w:tcPr>
                  <w:tcW w:w="455" w:type="pct"/>
                  <w:tcBorders>
                    <w:tl2br w:val="nil"/>
                    <w:tr2bl w:val="nil"/>
                  </w:tcBorders>
                  <w:noWrap w:val="0"/>
                  <w:vAlign w:val="center"/>
                </w:tcPr>
                <w:p w14:paraId="1FC6B1A5">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废气处理</w:t>
                  </w:r>
                </w:p>
              </w:tc>
              <w:tc>
                <w:tcPr>
                  <w:tcW w:w="540" w:type="pct"/>
                  <w:tcBorders>
                    <w:tl2br w:val="nil"/>
                    <w:tr2bl w:val="nil"/>
                  </w:tcBorders>
                  <w:noWrap w:val="0"/>
                  <w:vAlign w:val="center"/>
                </w:tcPr>
                <w:p w14:paraId="62A72F2D">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snapToGrid w:val="0"/>
                      <w:color w:val="auto"/>
                      <w:kern w:val="2"/>
                      <w:sz w:val="21"/>
                      <w:szCs w:val="21"/>
                      <w:lang w:val="en-US" w:eastAsia="zh-CN" w:bidi="ar-SA"/>
                    </w:rPr>
                    <w:t>0.</w:t>
                  </w:r>
                  <w:r>
                    <w:rPr>
                      <w:rFonts w:hint="eastAsia" w:cs="Times New Roman"/>
                      <w:snapToGrid w:val="0"/>
                      <w:color w:val="auto"/>
                      <w:kern w:val="2"/>
                      <w:sz w:val="21"/>
                      <w:szCs w:val="21"/>
                      <w:lang w:val="en-US" w:eastAsia="zh-CN" w:bidi="ar-SA"/>
                    </w:rPr>
                    <w:t>24</w:t>
                  </w:r>
                </w:p>
              </w:tc>
              <w:tc>
                <w:tcPr>
                  <w:tcW w:w="530" w:type="pct"/>
                  <w:vMerge w:val="continue"/>
                  <w:tcBorders>
                    <w:tl2br w:val="nil"/>
                    <w:tr2bl w:val="nil"/>
                  </w:tcBorders>
                  <w:noWrap w:val="0"/>
                  <w:vAlign w:val="center"/>
                </w:tcPr>
                <w:p w14:paraId="5B7A2605">
                  <w:pPr>
                    <w:pStyle w:val="85"/>
                    <w:ind w:firstLine="0" w:firstLineChars="0"/>
                    <w:rPr>
                      <w:rFonts w:hint="default" w:ascii="Times New Roman" w:hAnsi="Times New Roman" w:cs="Times New Roman"/>
                      <w:snapToGrid w:val="0"/>
                      <w:color w:val="auto"/>
                      <w:kern w:val="2"/>
                      <w:sz w:val="21"/>
                      <w:szCs w:val="21"/>
                      <w:lang w:val="en-US" w:eastAsia="zh-CN" w:bidi="ar-SA"/>
                    </w:rPr>
                  </w:pPr>
                </w:p>
              </w:tc>
              <w:tc>
                <w:tcPr>
                  <w:tcW w:w="521" w:type="pct"/>
                  <w:tcBorders>
                    <w:tl2br w:val="nil"/>
                    <w:tr2bl w:val="nil"/>
                  </w:tcBorders>
                  <w:noWrap w:val="0"/>
                  <w:vAlign w:val="center"/>
                </w:tcPr>
                <w:p w14:paraId="36E46136">
                  <w:pPr>
                    <w:pStyle w:val="85"/>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val="en-US" w:eastAsia="zh-CN"/>
                    </w:rPr>
                    <w:t>49</w:t>
                  </w:r>
                </w:p>
              </w:tc>
              <w:tc>
                <w:tcPr>
                  <w:tcW w:w="815" w:type="pct"/>
                  <w:tcBorders>
                    <w:tl2br w:val="nil"/>
                    <w:tr2bl w:val="nil"/>
                  </w:tcBorders>
                  <w:noWrap w:val="0"/>
                  <w:vAlign w:val="center"/>
                </w:tcPr>
                <w:p w14:paraId="031C09C7">
                  <w:pPr>
                    <w:pStyle w:val="85"/>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900-0</w:t>
                  </w:r>
                  <w:r>
                    <w:rPr>
                      <w:rFonts w:hint="default" w:ascii="Times New Roman" w:hAnsi="Times New Roman" w:cs="Times New Roman"/>
                      <w:color w:val="auto"/>
                      <w:sz w:val="21"/>
                      <w:szCs w:val="21"/>
                      <w:lang w:val="en-US" w:eastAsia="zh-CN"/>
                    </w:rPr>
                    <w:t>39</w:t>
                  </w:r>
                  <w:r>
                    <w:rPr>
                      <w:rFonts w:hint="default" w:ascii="Times New Roman" w:hAnsi="Times New Roman" w:cs="Times New Roman"/>
                      <w:color w:val="auto"/>
                      <w:sz w:val="21"/>
                      <w:szCs w:val="21"/>
                    </w:rPr>
                    <w:t>-49</w:t>
                  </w:r>
                </w:p>
              </w:tc>
              <w:tc>
                <w:tcPr>
                  <w:tcW w:w="578" w:type="pct"/>
                  <w:vMerge w:val="continue"/>
                  <w:tcBorders>
                    <w:tl2br w:val="nil"/>
                    <w:tr2bl w:val="nil"/>
                  </w:tcBorders>
                  <w:noWrap w:val="0"/>
                  <w:vAlign w:val="center"/>
                </w:tcPr>
                <w:p w14:paraId="62D991C9">
                  <w:pPr>
                    <w:pStyle w:val="85"/>
                    <w:rPr>
                      <w:rFonts w:hint="default" w:ascii="Times New Roman" w:hAnsi="Times New Roman" w:cs="Times New Roman"/>
                      <w:color w:val="auto"/>
                      <w:sz w:val="21"/>
                      <w:szCs w:val="21"/>
                    </w:rPr>
                  </w:pPr>
                </w:p>
              </w:tc>
              <w:tc>
                <w:tcPr>
                  <w:tcW w:w="865" w:type="pct"/>
                  <w:vMerge w:val="continue"/>
                  <w:tcBorders>
                    <w:tl2br w:val="nil"/>
                    <w:tr2bl w:val="nil"/>
                  </w:tcBorders>
                  <w:noWrap w:val="0"/>
                  <w:vAlign w:val="center"/>
                </w:tcPr>
                <w:p w14:paraId="75AFAC65">
                  <w:pPr>
                    <w:pStyle w:val="85"/>
                    <w:rPr>
                      <w:rFonts w:hint="default" w:ascii="Times New Roman" w:hAnsi="Times New Roman" w:cs="Times New Roman"/>
                      <w:color w:val="auto"/>
                      <w:sz w:val="21"/>
                      <w:szCs w:val="21"/>
                    </w:rPr>
                  </w:pPr>
                </w:p>
              </w:tc>
            </w:tr>
          </w:tbl>
          <w:p w14:paraId="05ED2985">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危险废物贮存严格按照《危险废物贮存污染控制标准》（GB18597-2023）中相关规定执行，具体要求如下：</w:t>
            </w:r>
          </w:p>
          <w:p w14:paraId="1D6C4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危险废物统一收集在贮存容器中，贮存容器的选择</w:t>
            </w:r>
            <w:r>
              <w:rPr>
                <w:rFonts w:hint="eastAsia" w:cs="Times New Roman"/>
                <w:color w:val="auto"/>
                <w:sz w:val="24"/>
                <w:szCs w:val="24"/>
                <w:lang w:eastAsia="zh-CN"/>
              </w:rPr>
              <w:t>必须</w:t>
            </w:r>
            <w:r>
              <w:rPr>
                <w:rFonts w:hint="default" w:ascii="Times New Roman" w:hAnsi="Times New Roman" w:cs="Times New Roman"/>
                <w:color w:val="auto"/>
                <w:sz w:val="24"/>
                <w:szCs w:val="24"/>
              </w:rPr>
              <w:t>做到防渗、防雨、防晒的要求：</w:t>
            </w:r>
          </w:p>
          <w:p w14:paraId="2E610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①应当使用符合标准的容器盛装危险废物。</w:t>
            </w:r>
          </w:p>
          <w:p w14:paraId="71828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②装载危险废物的容器及材质要满足相应的强度要求。</w:t>
            </w:r>
          </w:p>
          <w:p w14:paraId="55ED25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③装载危险废物的容器必须完好无损。</w:t>
            </w:r>
          </w:p>
          <w:p w14:paraId="549BD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④盛装危险废物的容器材质和衬里要与危险废物相容（不相互反应）。</w:t>
            </w:r>
          </w:p>
          <w:p w14:paraId="597B9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危险废物</w:t>
            </w:r>
            <w:r>
              <w:rPr>
                <w:rFonts w:hint="default" w:ascii="Times New Roman" w:hAnsi="Times New Roman" w:cs="Times New Roman"/>
                <w:color w:val="auto"/>
                <w:sz w:val="24"/>
                <w:szCs w:val="24"/>
                <w:lang w:eastAsia="zh-CN"/>
              </w:rPr>
              <w:t>贮存库</w:t>
            </w:r>
            <w:r>
              <w:rPr>
                <w:rFonts w:hint="default" w:ascii="Times New Roman" w:hAnsi="Times New Roman" w:cs="Times New Roman"/>
                <w:color w:val="auto"/>
                <w:sz w:val="24"/>
                <w:szCs w:val="24"/>
              </w:rPr>
              <w:t>具体要求：</w:t>
            </w:r>
          </w:p>
          <w:p w14:paraId="1BF3F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①不兼容的危险废物分别单独收集贮存，危险废物容器和包装袋上设立危险废物明显标志。</w:t>
            </w:r>
          </w:p>
          <w:p w14:paraId="2F370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w:t>
            </w:r>
            <w:r>
              <w:rPr>
                <w:rFonts w:hint="default" w:ascii="Times New Roman" w:hAnsi="Times New Roman" w:cs="Times New Roman"/>
                <w:color w:val="auto"/>
                <w:sz w:val="24"/>
                <w:szCs w:val="24"/>
                <w:lang w:val="en-US" w:eastAsia="zh-CN"/>
              </w:rPr>
              <w:t>危废贮存库</w:t>
            </w:r>
            <w:r>
              <w:rPr>
                <w:rFonts w:hint="default" w:ascii="Times New Roman" w:hAnsi="Times New Roman" w:eastAsia="宋体" w:cs="Times New Roman"/>
                <w:color w:val="auto"/>
                <w:sz w:val="24"/>
                <w:szCs w:val="24"/>
                <w:lang w:val="en-US" w:eastAsia="zh-CN"/>
              </w:rPr>
              <w:t>地面与裙脚应采取表面防渗措施；表面防渗材料应与所接触的物料或污染物相容，可采用抗渗混凝土、高密度聚乙烯膜、钠基膨润土防水毯或其他防渗性能等效的材料。</w:t>
            </w:r>
            <w:r>
              <w:rPr>
                <w:rFonts w:hint="eastAsia" w:cs="Times New Roman"/>
                <w:color w:val="auto"/>
                <w:sz w:val="24"/>
                <w:szCs w:val="24"/>
                <w:lang w:val="en-US" w:eastAsia="zh-CN"/>
              </w:rPr>
              <w:t>本项目采用</w:t>
            </w:r>
            <w:r>
              <w:rPr>
                <w:rFonts w:hint="default" w:ascii="Times New Roman" w:hAnsi="Times New Roman" w:eastAsia="宋体" w:cs="Times New Roman"/>
                <w:color w:val="auto"/>
                <w:sz w:val="24"/>
                <w:szCs w:val="24"/>
              </w:rPr>
              <w:t>人工材料</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渗透系数≤10</w:t>
            </w:r>
            <w:r>
              <w:rPr>
                <w:rFonts w:hint="default" w:ascii="Times New Roman" w:hAnsi="Times New Roman" w:eastAsia="宋体" w:cs="Times New Roman"/>
                <w:color w:val="auto"/>
                <w:sz w:val="24"/>
                <w:szCs w:val="24"/>
                <w:vertAlign w:val="superscript"/>
              </w:rPr>
              <w:t>-10</w:t>
            </w:r>
            <w:r>
              <w:rPr>
                <w:rFonts w:hint="default" w:ascii="Times New Roman" w:hAnsi="Times New Roman" w:eastAsia="宋体" w:cs="Times New Roman"/>
                <w:color w:val="auto"/>
                <w:sz w:val="24"/>
                <w:szCs w:val="24"/>
              </w:rPr>
              <w:t>cm/s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或其他防渗性能等效的材料</w:t>
            </w:r>
            <w:r>
              <w:rPr>
                <w:rFonts w:hint="default" w:ascii="Times New Roman" w:hAnsi="Times New Roman" w:eastAsia="宋体" w:cs="Times New Roman"/>
                <w:color w:val="auto"/>
                <w:sz w:val="24"/>
                <w:szCs w:val="24"/>
              </w:rPr>
              <w:t>。</w:t>
            </w:r>
          </w:p>
          <w:p w14:paraId="387A6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③危险废物</w:t>
            </w:r>
            <w:r>
              <w:rPr>
                <w:rFonts w:hint="default" w:ascii="Times New Roman" w:hAnsi="Times New Roman" w:cs="Times New Roman"/>
                <w:color w:val="auto"/>
                <w:sz w:val="24"/>
                <w:szCs w:val="24"/>
                <w:lang w:eastAsia="zh-CN"/>
              </w:rPr>
              <w:t>贮存库</w:t>
            </w:r>
            <w:r>
              <w:rPr>
                <w:rFonts w:hint="default" w:ascii="Times New Roman" w:hAnsi="Times New Roman" w:cs="Times New Roman"/>
                <w:color w:val="auto"/>
                <w:sz w:val="24"/>
                <w:szCs w:val="24"/>
              </w:rPr>
              <w:t>必须有泄漏液体收集装置（比如托盘及防渗围堰等），必须有耐腐蚀的硬化地面，且表面无裂缝。</w:t>
            </w:r>
          </w:p>
          <w:p w14:paraId="41507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④危险废物</w:t>
            </w:r>
            <w:r>
              <w:rPr>
                <w:rFonts w:hint="default" w:ascii="Times New Roman" w:hAnsi="Times New Roman" w:cs="Times New Roman"/>
                <w:color w:val="auto"/>
                <w:sz w:val="24"/>
                <w:szCs w:val="24"/>
                <w:lang w:eastAsia="zh-CN"/>
              </w:rPr>
              <w:t>贮存库</w:t>
            </w:r>
            <w:r>
              <w:rPr>
                <w:rFonts w:hint="default" w:ascii="Times New Roman" w:hAnsi="Times New Roman" w:cs="Times New Roman"/>
                <w:color w:val="auto"/>
                <w:sz w:val="24"/>
                <w:szCs w:val="24"/>
              </w:rPr>
              <w:t>防风、防雨、防晒</w:t>
            </w:r>
            <w:r>
              <w:rPr>
                <w:rFonts w:hint="eastAsia" w:cs="Times New Roman"/>
                <w:color w:val="auto"/>
                <w:sz w:val="24"/>
                <w:szCs w:val="24"/>
                <w:lang w:eastAsia="zh-CN"/>
              </w:rPr>
              <w:t>、</w:t>
            </w:r>
            <w:r>
              <w:rPr>
                <w:rFonts w:hint="eastAsia" w:cs="Times New Roman"/>
                <w:color w:val="auto"/>
                <w:sz w:val="24"/>
                <w:szCs w:val="24"/>
                <w:lang w:val="en-US" w:eastAsia="zh-CN"/>
              </w:rPr>
              <w:t>防渗</w:t>
            </w:r>
            <w:r>
              <w:rPr>
                <w:rFonts w:hint="default" w:ascii="Times New Roman" w:hAnsi="Times New Roman" w:cs="Times New Roman"/>
                <w:color w:val="auto"/>
                <w:sz w:val="24"/>
                <w:szCs w:val="24"/>
              </w:rPr>
              <w:t>。要有安全照明设施和观察窗口，并张贴了标识牌及相关危险废物警示标志。</w:t>
            </w:r>
          </w:p>
          <w:p w14:paraId="23F0E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⑤建立危险废物管理台账。如实记录危险废物贮存、利用、处置相关情况，</w:t>
            </w:r>
            <w:r>
              <w:rPr>
                <w:rFonts w:hint="eastAsia" w:cs="Times New Roman"/>
                <w:color w:val="auto"/>
                <w:sz w:val="24"/>
                <w:szCs w:val="24"/>
                <w:lang w:eastAsia="zh-CN"/>
              </w:rPr>
              <w:t>制定</w:t>
            </w:r>
            <w:r>
              <w:rPr>
                <w:rFonts w:hint="default" w:ascii="Times New Roman" w:hAnsi="Times New Roman" w:cs="Times New Roman"/>
                <w:color w:val="auto"/>
                <w:sz w:val="24"/>
                <w:szCs w:val="24"/>
              </w:rPr>
              <w:t>危险废物管理计划并报生态环境管理部门备案，进行危险废物申报登记，如实申报危险废物种类、产生量、流向、贮存、处置等有关资料；</w:t>
            </w:r>
          </w:p>
          <w:p w14:paraId="18489F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⑥危险废物委托具有相应危险废物经营资质的单位利用处置，危险废物的转运应严格按照《危险废物转移管理办法》（部令第23号）和《陕西省危险废物转移电子联单管理办法（试行）》的有关规定执行，实行电子联单制度，保证危险废物得到安全合理处置。经采取如上措施后，各类固废均可得到有效处置，不会产生二次污染，对周围环境影响较小。</w:t>
            </w:r>
          </w:p>
          <w:p w14:paraId="47424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本项目产生的危险废物为</w:t>
            </w:r>
            <w:r>
              <w:rPr>
                <w:rFonts w:hint="default" w:ascii="Times New Roman" w:hAnsi="Times New Roman" w:cs="Times New Roman"/>
                <w:color w:val="auto"/>
                <w:sz w:val="24"/>
                <w:szCs w:val="24"/>
                <w:lang w:val="en-US" w:eastAsia="zh-CN"/>
              </w:rPr>
              <w:t>废试剂瓶、实验废液、废试剂、实验检测废弃物、废活性炭</w:t>
            </w:r>
            <w:r>
              <w:rPr>
                <w:rFonts w:hint="default" w:ascii="Times New Roman" w:hAnsi="Times New Roman" w:cs="Times New Roman"/>
                <w:color w:val="auto"/>
                <w:sz w:val="24"/>
                <w:szCs w:val="24"/>
              </w:rPr>
              <w:t>。在存储过程中还应采取以下措施：</w:t>
            </w:r>
          </w:p>
          <w:p w14:paraId="74D3F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w:t>
            </w:r>
            <w:r>
              <w:rPr>
                <w:rFonts w:hint="default" w:ascii="Times New Roman" w:hAnsi="Times New Roman" w:cs="Times New Roman"/>
                <w:color w:val="auto"/>
                <w:sz w:val="24"/>
                <w:szCs w:val="24"/>
                <w:lang w:eastAsia="zh-CN"/>
              </w:rPr>
              <w:t>危废贮存库</w:t>
            </w:r>
            <w:r>
              <w:rPr>
                <w:rFonts w:hint="default" w:ascii="Times New Roman" w:hAnsi="Times New Roman" w:cs="Times New Roman"/>
                <w:color w:val="auto"/>
                <w:sz w:val="24"/>
                <w:szCs w:val="24"/>
              </w:rPr>
              <w:t>根据不同类别的危险废物进行分区，建议按照危废代码进行分区；</w:t>
            </w:r>
          </w:p>
          <w:p w14:paraId="70BAF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lang w:val="en-US" w:eastAsia="zh-CN"/>
              </w:rPr>
              <w:t>实验废液、废试剂</w:t>
            </w:r>
            <w:r>
              <w:rPr>
                <w:rFonts w:hint="default" w:ascii="Times New Roman" w:hAnsi="Times New Roman" w:cs="Times New Roman"/>
                <w:color w:val="auto"/>
                <w:sz w:val="24"/>
                <w:szCs w:val="24"/>
              </w:rPr>
              <w:t>暂存于废桶中，废桶下部设置托盘</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托盘</w:t>
            </w:r>
            <w:r>
              <w:rPr>
                <w:rFonts w:hint="default" w:ascii="Times New Roman" w:hAnsi="Times New Roman" w:cs="Times New Roman"/>
                <w:color w:val="auto"/>
                <w:sz w:val="24"/>
                <w:szCs w:val="24"/>
                <w:lang w:val="en-US" w:eastAsia="zh-CN"/>
              </w:rPr>
              <w:t>最小容积应大于实验废液、废试剂贮存量的1/10</w:t>
            </w:r>
            <w:r>
              <w:rPr>
                <w:rFonts w:hint="default" w:ascii="Times New Roman" w:hAnsi="Times New Roman" w:cs="Times New Roman"/>
                <w:color w:val="auto"/>
                <w:sz w:val="24"/>
                <w:szCs w:val="24"/>
              </w:rPr>
              <w:t>；</w:t>
            </w:r>
          </w:p>
          <w:p w14:paraId="11202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zh-CN"/>
              </w:rPr>
              <w:t>公司应建立危险废物</w:t>
            </w:r>
            <w:r>
              <w:rPr>
                <w:rFonts w:hint="eastAsia" w:cs="Times New Roman"/>
                <w:color w:val="auto"/>
                <w:sz w:val="24"/>
                <w:szCs w:val="24"/>
                <w:lang w:val="zh-CN"/>
              </w:rPr>
              <w:t>台账</w:t>
            </w:r>
            <w:r>
              <w:rPr>
                <w:rFonts w:hint="default" w:ascii="Times New Roman" w:hAnsi="Times New Roman" w:eastAsia="宋体" w:cs="Times New Roman"/>
                <w:color w:val="auto"/>
                <w:sz w:val="24"/>
                <w:szCs w:val="24"/>
                <w:lang w:val="zh-CN"/>
              </w:rPr>
              <w:t>管理制度，</w:t>
            </w:r>
            <w:r>
              <w:rPr>
                <w:rFonts w:hint="default" w:ascii="Times New Roman" w:hAnsi="Times New Roman" w:eastAsia="宋体" w:cs="Times New Roman"/>
                <w:color w:val="auto"/>
                <w:sz w:val="24"/>
                <w:szCs w:val="24"/>
              </w:rPr>
              <w:t>危险废物转移处置要委托有资质的单位进行，应采取危险废物转移“五联单”制度，保证运输安全，防止非法转移和非法处置，保证危险废物的安全监控，防止危险废物污染事故发生。</w:t>
            </w:r>
          </w:p>
          <w:p w14:paraId="1DD5C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w:t>
            </w:r>
            <w:r>
              <w:rPr>
                <w:rFonts w:hint="default" w:ascii="Times New Roman" w:hAnsi="Times New Roman" w:cs="Times New Roman"/>
                <w:color w:val="auto"/>
                <w:sz w:val="24"/>
                <w:szCs w:val="24"/>
                <w:lang w:val="en-US" w:eastAsia="zh-CN"/>
              </w:rPr>
              <w:t>危废贮存库</w:t>
            </w:r>
            <w:r>
              <w:rPr>
                <w:rFonts w:hint="default" w:ascii="Times New Roman" w:hAnsi="Times New Roman" w:eastAsia="宋体" w:cs="Times New Roman"/>
                <w:color w:val="auto"/>
                <w:sz w:val="24"/>
                <w:szCs w:val="24"/>
                <w:lang w:val="en-US" w:eastAsia="zh-CN"/>
              </w:rPr>
              <w:t>、容器和包装物应按HJ1276要求设置危险废物贮存设施或场所标志、危险废物贮存分区标志和危险废物标签等危险废物识别标志。</w:t>
            </w:r>
          </w:p>
          <w:p w14:paraId="342CD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按照《建设项目危险废物环境影响评价指南</w:t>
            </w:r>
            <w:r>
              <w:rPr>
                <w:rFonts w:hint="eastAsia" w:cs="Times New Roman"/>
                <w:color w:val="auto"/>
                <w:sz w:val="24"/>
                <w:szCs w:val="24"/>
                <w:lang w:val="zh-CN"/>
              </w:rPr>
              <w:t>》《</w:t>
            </w:r>
            <w:r>
              <w:rPr>
                <w:rFonts w:hint="default" w:ascii="Times New Roman" w:hAnsi="Times New Roman" w:eastAsia="宋体" w:cs="Times New Roman"/>
                <w:color w:val="auto"/>
                <w:sz w:val="24"/>
                <w:szCs w:val="24"/>
                <w:lang w:val="zh-CN"/>
              </w:rPr>
              <w:t>危险废物贮存污染控制标准》（GB18597-20</w:t>
            </w: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lang w:val="zh-CN"/>
              </w:rPr>
              <w:t>）的要求等，对危险废物贮存的运行管理提出要求：建设单位需</w:t>
            </w:r>
            <w:r>
              <w:rPr>
                <w:rFonts w:hint="eastAsia" w:cs="Times New Roman"/>
                <w:color w:val="auto"/>
                <w:sz w:val="24"/>
                <w:szCs w:val="24"/>
                <w:lang w:val="zh-CN"/>
              </w:rPr>
              <w:t>做好</w:t>
            </w:r>
            <w:r>
              <w:rPr>
                <w:rFonts w:hint="default" w:ascii="Times New Roman" w:hAnsi="Times New Roman" w:eastAsia="宋体" w:cs="Times New Roman"/>
                <w:color w:val="auto"/>
                <w:sz w:val="24"/>
                <w:szCs w:val="24"/>
                <w:lang w:val="zh-CN"/>
              </w:rPr>
              <w:t>危险废物情况的记录，记录上须注明危险废物的名称、来源、数量、特性和包装容器的类别、入库日期、存放库位、废物出库日期及接收单位名称。危险废物的记录和货单在危险废物回取后应继续保留</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lang w:val="zh-CN"/>
              </w:rPr>
              <w:t>年。必须定期对所贮存的危险废物包装容器及贮存设施进行检查，发现破损，应及时采取措施清理更换。</w:t>
            </w:r>
          </w:p>
          <w:p w14:paraId="38BF0035">
            <w:pPr>
              <w:tabs>
                <w:tab w:val="left" w:leader="middleDot" w:pos="8399"/>
              </w:tabs>
              <w:ind w:firstLine="1845" w:firstLineChars="875"/>
              <w:rPr>
                <w:rFonts w:hint="default" w:ascii="Times New Roman" w:hAnsi="Times New Roman" w:cs="Times New Roman"/>
                <w:b/>
                <w:color w:val="auto"/>
                <w:sz w:val="24"/>
                <w:szCs w:val="24"/>
              </w:rPr>
            </w:pPr>
            <w:r>
              <w:rPr>
                <w:rFonts w:hint="default" w:ascii="Times New Roman" w:hAnsi="Times New Roman" w:eastAsia="宋体" w:cs="Times New Roman"/>
                <w:b/>
                <w:color w:val="auto"/>
                <w:kern w:val="2"/>
                <w:sz w:val="21"/>
                <w:szCs w:val="21"/>
                <w:lang w:val="en-US" w:eastAsia="zh-CN" w:bidi="ar-SA"/>
              </w:rPr>
              <w:t>表4-1</w:t>
            </w:r>
            <w:r>
              <w:rPr>
                <w:rFonts w:hint="eastAsia" w:cs="Times New Roman"/>
                <w:b/>
                <w:color w:val="auto"/>
                <w:kern w:val="2"/>
                <w:sz w:val="21"/>
                <w:szCs w:val="21"/>
                <w:lang w:val="en-US" w:eastAsia="zh-CN" w:bidi="ar-SA"/>
              </w:rPr>
              <w:t xml:space="preserve">3  </w:t>
            </w:r>
            <w:r>
              <w:rPr>
                <w:rFonts w:hint="default" w:ascii="Times New Roman" w:hAnsi="Times New Roman" w:eastAsia="宋体" w:cs="Times New Roman"/>
                <w:b/>
                <w:color w:val="auto"/>
                <w:kern w:val="2"/>
                <w:sz w:val="21"/>
                <w:szCs w:val="21"/>
                <w:lang w:val="en-US" w:eastAsia="zh-CN" w:bidi="ar-SA"/>
              </w:rPr>
              <w:t>本项目危险废物贮存场所（设施）基本情况表</w:t>
            </w:r>
          </w:p>
          <w:tbl>
            <w:tblPr>
              <w:tblStyle w:val="28"/>
              <w:tblW w:w="822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26"/>
              <w:gridCol w:w="934"/>
              <w:gridCol w:w="1202"/>
              <w:gridCol w:w="956"/>
              <w:gridCol w:w="1227"/>
              <w:gridCol w:w="730"/>
              <w:gridCol w:w="769"/>
              <w:gridCol w:w="661"/>
              <w:gridCol w:w="689"/>
              <w:gridCol w:w="634"/>
            </w:tblGrid>
            <w:tr w14:paraId="382E5F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14:paraId="527D3840">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序号</w:t>
                  </w:r>
                </w:p>
              </w:tc>
              <w:tc>
                <w:tcPr>
                  <w:tcW w:w="934" w:type="dxa"/>
                  <w:noWrap w:val="0"/>
                  <w:vAlign w:val="center"/>
                </w:tcPr>
                <w:p w14:paraId="0882CAA6">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贮存场所（设施）名称</w:t>
                  </w:r>
                </w:p>
              </w:tc>
              <w:tc>
                <w:tcPr>
                  <w:tcW w:w="1202" w:type="dxa"/>
                  <w:noWrap w:val="0"/>
                  <w:vAlign w:val="center"/>
                </w:tcPr>
                <w:p w14:paraId="40A670AD">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危险废物名称</w:t>
                  </w:r>
                </w:p>
              </w:tc>
              <w:tc>
                <w:tcPr>
                  <w:tcW w:w="956" w:type="dxa"/>
                  <w:noWrap w:val="0"/>
                  <w:vAlign w:val="center"/>
                </w:tcPr>
                <w:p w14:paraId="0DFF0F2D">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危险废物类别</w:t>
                  </w:r>
                </w:p>
              </w:tc>
              <w:tc>
                <w:tcPr>
                  <w:tcW w:w="1227" w:type="dxa"/>
                  <w:noWrap w:val="0"/>
                  <w:vAlign w:val="center"/>
                </w:tcPr>
                <w:p w14:paraId="439E1F7C">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危险废物</w:t>
                  </w:r>
                </w:p>
                <w:p w14:paraId="106E7706">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代码</w:t>
                  </w:r>
                </w:p>
              </w:tc>
              <w:tc>
                <w:tcPr>
                  <w:tcW w:w="730" w:type="dxa"/>
                  <w:noWrap w:val="0"/>
                  <w:vAlign w:val="center"/>
                </w:tcPr>
                <w:p w14:paraId="18380166">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位置</w:t>
                  </w:r>
                </w:p>
              </w:tc>
              <w:tc>
                <w:tcPr>
                  <w:tcW w:w="769" w:type="dxa"/>
                  <w:noWrap w:val="0"/>
                  <w:vAlign w:val="center"/>
                </w:tcPr>
                <w:p w14:paraId="26C89CF7">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占地</w:t>
                  </w:r>
                </w:p>
                <w:p w14:paraId="20DCCDBB">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面积</w:t>
                  </w:r>
                </w:p>
              </w:tc>
              <w:tc>
                <w:tcPr>
                  <w:tcW w:w="661" w:type="dxa"/>
                  <w:noWrap w:val="0"/>
                  <w:vAlign w:val="center"/>
                </w:tcPr>
                <w:p w14:paraId="2A469FD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贮存方式</w:t>
                  </w:r>
                </w:p>
              </w:tc>
              <w:tc>
                <w:tcPr>
                  <w:tcW w:w="689" w:type="dxa"/>
                  <w:noWrap w:val="0"/>
                  <w:vAlign w:val="center"/>
                </w:tcPr>
                <w:p w14:paraId="0C040E18">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贮存</w:t>
                  </w:r>
                </w:p>
                <w:p w14:paraId="3FA5FDA8">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能力</w:t>
                  </w:r>
                </w:p>
              </w:tc>
              <w:tc>
                <w:tcPr>
                  <w:tcW w:w="634" w:type="dxa"/>
                  <w:noWrap w:val="0"/>
                  <w:vAlign w:val="center"/>
                </w:tcPr>
                <w:p w14:paraId="11BFC4D4">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贮存</w:t>
                  </w:r>
                </w:p>
                <w:p w14:paraId="1F455BF2">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周期</w:t>
                  </w:r>
                </w:p>
              </w:tc>
            </w:tr>
            <w:tr w14:paraId="7B0A01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restart"/>
                  <w:noWrap w:val="0"/>
                  <w:vAlign w:val="center"/>
                </w:tcPr>
                <w:p w14:paraId="40AAE150">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934" w:type="dxa"/>
                  <w:vMerge w:val="restart"/>
                  <w:noWrap w:val="0"/>
                  <w:vAlign w:val="center"/>
                </w:tcPr>
                <w:p w14:paraId="66C02417">
                  <w:pPr>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危废贮存库</w:t>
                  </w:r>
                </w:p>
              </w:tc>
              <w:tc>
                <w:tcPr>
                  <w:tcW w:w="1202" w:type="dxa"/>
                  <w:noWrap w:val="0"/>
                  <w:vAlign w:val="center"/>
                </w:tcPr>
                <w:p w14:paraId="28897D97">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废试剂瓶</w:t>
                  </w:r>
                </w:p>
              </w:tc>
              <w:tc>
                <w:tcPr>
                  <w:tcW w:w="956" w:type="dxa"/>
                  <w:noWrap w:val="0"/>
                  <w:vAlign w:val="center"/>
                </w:tcPr>
                <w:p w14:paraId="6EBBE098">
                  <w:pPr>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HW49</w:t>
                  </w:r>
                </w:p>
              </w:tc>
              <w:tc>
                <w:tcPr>
                  <w:tcW w:w="1227" w:type="dxa"/>
                  <w:noWrap w:val="0"/>
                  <w:vAlign w:val="center"/>
                </w:tcPr>
                <w:p w14:paraId="42BFF87D">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900-047-49</w:t>
                  </w:r>
                </w:p>
              </w:tc>
              <w:tc>
                <w:tcPr>
                  <w:tcW w:w="730" w:type="dxa"/>
                  <w:vMerge w:val="restart"/>
                  <w:noWrap w:val="0"/>
                  <w:vAlign w:val="center"/>
                </w:tcPr>
                <w:p w14:paraId="1385D2C8">
                  <w:pPr>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w:t>
                  </w:r>
                  <w:r>
                    <w:rPr>
                      <w:rFonts w:hint="default" w:ascii="Times New Roman" w:hAnsi="Times New Roman" w:cs="Times New Roman"/>
                      <w:color w:val="auto"/>
                      <w:kern w:val="0"/>
                      <w:sz w:val="21"/>
                      <w:szCs w:val="21"/>
                      <w:lang w:val="en-US" w:eastAsia="zh-CN"/>
                    </w:rPr>
                    <w:t>层</w:t>
                  </w:r>
                  <w:r>
                    <w:rPr>
                      <w:rFonts w:hint="eastAsia" w:cs="Times New Roman"/>
                      <w:color w:val="auto"/>
                      <w:kern w:val="0"/>
                      <w:sz w:val="21"/>
                      <w:szCs w:val="21"/>
                      <w:lang w:val="en-US" w:eastAsia="zh-CN"/>
                    </w:rPr>
                    <w:t>南侧</w:t>
                  </w:r>
                </w:p>
              </w:tc>
              <w:tc>
                <w:tcPr>
                  <w:tcW w:w="769" w:type="dxa"/>
                  <w:vMerge w:val="restart"/>
                  <w:noWrap w:val="0"/>
                  <w:vAlign w:val="center"/>
                </w:tcPr>
                <w:p w14:paraId="20C6C3BE">
                  <w:pPr>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3</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2</w:t>
                  </w:r>
                </w:p>
              </w:tc>
              <w:tc>
                <w:tcPr>
                  <w:tcW w:w="661" w:type="dxa"/>
                  <w:vMerge w:val="restart"/>
                  <w:noWrap w:val="0"/>
                  <w:vAlign w:val="center"/>
                </w:tcPr>
                <w:p w14:paraId="6BC50015">
                  <w:pPr>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桶装</w:t>
                  </w:r>
                </w:p>
              </w:tc>
              <w:tc>
                <w:tcPr>
                  <w:tcW w:w="689" w:type="dxa"/>
                  <w:vMerge w:val="restart"/>
                  <w:noWrap w:val="0"/>
                  <w:vAlign w:val="center"/>
                </w:tcPr>
                <w:p w14:paraId="261868BA">
                  <w:pPr>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3</w:t>
                  </w:r>
                  <w:r>
                    <w:rPr>
                      <w:rFonts w:hint="default" w:ascii="Times New Roman" w:hAnsi="Times New Roman" w:cs="Times New Roman"/>
                      <w:color w:val="auto"/>
                      <w:kern w:val="0"/>
                      <w:sz w:val="21"/>
                      <w:szCs w:val="21"/>
                    </w:rPr>
                    <w:t>t</w:t>
                  </w:r>
                </w:p>
              </w:tc>
              <w:tc>
                <w:tcPr>
                  <w:tcW w:w="634" w:type="dxa"/>
                  <w:vMerge w:val="restart"/>
                  <w:noWrap w:val="0"/>
                  <w:vAlign w:val="center"/>
                </w:tcPr>
                <w:p w14:paraId="33B0AD7F">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一年</w:t>
                  </w:r>
                </w:p>
              </w:tc>
            </w:tr>
            <w:tr w14:paraId="44A2AC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14:paraId="4255D90F">
                  <w:pPr>
                    <w:adjustRightInd w:val="0"/>
                    <w:snapToGrid w:val="0"/>
                    <w:jc w:val="center"/>
                    <w:rPr>
                      <w:rFonts w:hint="default" w:ascii="Times New Roman" w:hAnsi="Times New Roman" w:cs="Times New Roman"/>
                      <w:color w:val="auto"/>
                      <w:kern w:val="0"/>
                      <w:sz w:val="21"/>
                      <w:szCs w:val="21"/>
                    </w:rPr>
                  </w:pPr>
                </w:p>
              </w:tc>
              <w:tc>
                <w:tcPr>
                  <w:tcW w:w="934" w:type="dxa"/>
                  <w:vMerge w:val="continue"/>
                  <w:noWrap w:val="0"/>
                  <w:vAlign w:val="center"/>
                </w:tcPr>
                <w:p w14:paraId="61CA3334">
                  <w:pPr>
                    <w:adjustRightInd w:val="0"/>
                    <w:snapToGrid w:val="0"/>
                    <w:jc w:val="center"/>
                    <w:rPr>
                      <w:rFonts w:hint="default" w:ascii="Times New Roman" w:hAnsi="Times New Roman" w:cs="Times New Roman"/>
                      <w:color w:val="auto"/>
                      <w:kern w:val="0"/>
                      <w:sz w:val="21"/>
                      <w:szCs w:val="21"/>
                    </w:rPr>
                  </w:pPr>
                </w:p>
              </w:tc>
              <w:tc>
                <w:tcPr>
                  <w:tcW w:w="1202" w:type="dxa"/>
                  <w:noWrap w:val="0"/>
                  <w:vAlign w:val="center"/>
                </w:tcPr>
                <w:p w14:paraId="29140EDB">
                  <w:pPr>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实验废液</w:t>
                  </w:r>
                </w:p>
              </w:tc>
              <w:tc>
                <w:tcPr>
                  <w:tcW w:w="956" w:type="dxa"/>
                  <w:noWrap w:val="0"/>
                  <w:vAlign w:val="center"/>
                </w:tcPr>
                <w:p w14:paraId="3579047E">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HW</w:t>
                  </w:r>
                  <w:r>
                    <w:rPr>
                      <w:rFonts w:hint="default" w:ascii="Times New Roman" w:hAnsi="Times New Roman" w:cs="Times New Roman"/>
                      <w:color w:val="auto"/>
                      <w:kern w:val="0"/>
                      <w:sz w:val="21"/>
                      <w:szCs w:val="21"/>
                      <w:lang w:val="en-US" w:eastAsia="zh-CN"/>
                    </w:rPr>
                    <w:t>49</w:t>
                  </w:r>
                </w:p>
              </w:tc>
              <w:tc>
                <w:tcPr>
                  <w:tcW w:w="1227" w:type="dxa"/>
                  <w:noWrap w:val="0"/>
                  <w:vAlign w:val="center"/>
                </w:tcPr>
                <w:p w14:paraId="6B4D0843">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900-04</w:t>
                  </w:r>
                  <w:r>
                    <w:rPr>
                      <w:rFonts w:hint="default" w:ascii="Times New Roman" w:hAnsi="Times New Roman" w:cs="Times New Roman"/>
                      <w:color w:val="auto"/>
                      <w:kern w:val="0"/>
                      <w:sz w:val="21"/>
                      <w:szCs w:val="21"/>
                      <w:lang w:val="en-US" w:eastAsia="zh-CN"/>
                    </w:rPr>
                    <w:t>7</w:t>
                  </w:r>
                  <w:r>
                    <w:rPr>
                      <w:rFonts w:hint="default" w:ascii="Times New Roman" w:hAnsi="Times New Roman" w:cs="Times New Roman"/>
                      <w:color w:val="auto"/>
                      <w:kern w:val="0"/>
                      <w:sz w:val="21"/>
                      <w:szCs w:val="21"/>
                      <w:lang w:eastAsia="zh-CN"/>
                    </w:rPr>
                    <w:t>-49</w:t>
                  </w:r>
                </w:p>
              </w:tc>
              <w:tc>
                <w:tcPr>
                  <w:tcW w:w="730" w:type="dxa"/>
                  <w:vMerge w:val="continue"/>
                  <w:noWrap w:val="0"/>
                  <w:vAlign w:val="center"/>
                </w:tcPr>
                <w:p w14:paraId="198E5BC7">
                  <w:pPr>
                    <w:adjustRightInd w:val="0"/>
                    <w:snapToGrid w:val="0"/>
                    <w:jc w:val="center"/>
                    <w:rPr>
                      <w:rFonts w:hint="default" w:ascii="Times New Roman" w:hAnsi="Times New Roman" w:cs="Times New Roman"/>
                      <w:color w:val="auto"/>
                      <w:kern w:val="0"/>
                      <w:sz w:val="21"/>
                      <w:szCs w:val="21"/>
                    </w:rPr>
                  </w:pPr>
                </w:p>
              </w:tc>
              <w:tc>
                <w:tcPr>
                  <w:tcW w:w="769" w:type="dxa"/>
                  <w:vMerge w:val="continue"/>
                  <w:noWrap w:val="0"/>
                  <w:vAlign w:val="center"/>
                </w:tcPr>
                <w:p w14:paraId="16E1D66E">
                  <w:pPr>
                    <w:adjustRightInd w:val="0"/>
                    <w:snapToGrid w:val="0"/>
                    <w:jc w:val="center"/>
                    <w:rPr>
                      <w:rFonts w:hint="default" w:ascii="Times New Roman" w:hAnsi="Times New Roman" w:cs="Times New Roman"/>
                      <w:color w:val="auto"/>
                      <w:kern w:val="0"/>
                      <w:sz w:val="21"/>
                      <w:szCs w:val="21"/>
                    </w:rPr>
                  </w:pPr>
                </w:p>
              </w:tc>
              <w:tc>
                <w:tcPr>
                  <w:tcW w:w="661" w:type="dxa"/>
                  <w:vMerge w:val="continue"/>
                  <w:noWrap w:val="0"/>
                  <w:vAlign w:val="center"/>
                </w:tcPr>
                <w:p w14:paraId="0D251A39">
                  <w:pPr>
                    <w:adjustRightInd w:val="0"/>
                    <w:snapToGrid w:val="0"/>
                    <w:jc w:val="center"/>
                    <w:rPr>
                      <w:rFonts w:hint="default" w:ascii="Times New Roman" w:hAnsi="Times New Roman" w:cs="Times New Roman"/>
                      <w:color w:val="auto"/>
                      <w:kern w:val="0"/>
                      <w:sz w:val="21"/>
                      <w:szCs w:val="21"/>
                    </w:rPr>
                  </w:pPr>
                </w:p>
              </w:tc>
              <w:tc>
                <w:tcPr>
                  <w:tcW w:w="689" w:type="dxa"/>
                  <w:vMerge w:val="continue"/>
                  <w:noWrap w:val="0"/>
                  <w:vAlign w:val="center"/>
                </w:tcPr>
                <w:p w14:paraId="360B2CCE">
                  <w:pPr>
                    <w:adjustRightInd w:val="0"/>
                    <w:snapToGrid w:val="0"/>
                    <w:jc w:val="center"/>
                    <w:rPr>
                      <w:rFonts w:hint="default" w:ascii="Times New Roman" w:hAnsi="Times New Roman" w:cs="Times New Roman"/>
                      <w:color w:val="auto"/>
                      <w:kern w:val="0"/>
                      <w:sz w:val="21"/>
                      <w:szCs w:val="21"/>
                    </w:rPr>
                  </w:pPr>
                </w:p>
              </w:tc>
              <w:tc>
                <w:tcPr>
                  <w:tcW w:w="634" w:type="dxa"/>
                  <w:vMerge w:val="continue"/>
                  <w:noWrap w:val="0"/>
                  <w:vAlign w:val="center"/>
                </w:tcPr>
                <w:p w14:paraId="1062474B">
                  <w:pPr>
                    <w:adjustRightInd w:val="0"/>
                    <w:snapToGrid w:val="0"/>
                    <w:jc w:val="center"/>
                    <w:rPr>
                      <w:rFonts w:hint="default" w:ascii="Times New Roman" w:hAnsi="Times New Roman" w:cs="Times New Roman"/>
                      <w:color w:val="auto"/>
                      <w:kern w:val="0"/>
                      <w:sz w:val="21"/>
                      <w:szCs w:val="21"/>
                    </w:rPr>
                  </w:pPr>
                </w:p>
              </w:tc>
            </w:tr>
            <w:tr w14:paraId="70BAFB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14:paraId="320E11B2">
                  <w:pPr>
                    <w:adjustRightInd w:val="0"/>
                    <w:snapToGrid w:val="0"/>
                    <w:jc w:val="center"/>
                    <w:rPr>
                      <w:rFonts w:hint="default" w:ascii="Times New Roman" w:hAnsi="Times New Roman" w:cs="Times New Roman"/>
                      <w:color w:val="auto"/>
                      <w:kern w:val="0"/>
                      <w:sz w:val="21"/>
                      <w:szCs w:val="21"/>
                    </w:rPr>
                  </w:pPr>
                </w:p>
              </w:tc>
              <w:tc>
                <w:tcPr>
                  <w:tcW w:w="934" w:type="dxa"/>
                  <w:vMerge w:val="continue"/>
                  <w:noWrap w:val="0"/>
                  <w:vAlign w:val="center"/>
                </w:tcPr>
                <w:p w14:paraId="02090C82">
                  <w:pPr>
                    <w:adjustRightInd w:val="0"/>
                    <w:snapToGrid w:val="0"/>
                    <w:jc w:val="center"/>
                    <w:rPr>
                      <w:rFonts w:hint="default" w:ascii="Times New Roman" w:hAnsi="Times New Roman" w:cs="Times New Roman"/>
                      <w:color w:val="auto"/>
                      <w:kern w:val="0"/>
                      <w:sz w:val="21"/>
                      <w:szCs w:val="21"/>
                    </w:rPr>
                  </w:pPr>
                </w:p>
              </w:tc>
              <w:tc>
                <w:tcPr>
                  <w:tcW w:w="1202" w:type="dxa"/>
                  <w:noWrap w:val="0"/>
                  <w:vAlign w:val="center"/>
                </w:tcPr>
                <w:p w14:paraId="3BD90603">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废试剂</w:t>
                  </w:r>
                </w:p>
              </w:tc>
              <w:tc>
                <w:tcPr>
                  <w:tcW w:w="956" w:type="dxa"/>
                  <w:noWrap w:val="0"/>
                  <w:vAlign w:val="center"/>
                </w:tcPr>
                <w:p w14:paraId="721B9215">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HW</w:t>
                  </w:r>
                  <w:r>
                    <w:rPr>
                      <w:rFonts w:hint="default" w:ascii="Times New Roman" w:hAnsi="Times New Roman" w:cs="Times New Roman"/>
                      <w:color w:val="auto"/>
                      <w:kern w:val="0"/>
                      <w:sz w:val="21"/>
                      <w:szCs w:val="21"/>
                      <w:lang w:val="en-US" w:eastAsia="zh-CN"/>
                    </w:rPr>
                    <w:t>03</w:t>
                  </w:r>
                </w:p>
              </w:tc>
              <w:tc>
                <w:tcPr>
                  <w:tcW w:w="1227" w:type="dxa"/>
                  <w:noWrap w:val="0"/>
                  <w:vAlign w:val="center"/>
                </w:tcPr>
                <w:p w14:paraId="7FF29FCB">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900-002-03</w:t>
                  </w:r>
                </w:p>
              </w:tc>
              <w:tc>
                <w:tcPr>
                  <w:tcW w:w="730" w:type="dxa"/>
                  <w:vMerge w:val="continue"/>
                  <w:noWrap w:val="0"/>
                  <w:vAlign w:val="center"/>
                </w:tcPr>
                <w:p w14:paraId="53118E8F">
                  <w:pPr>
                    <w:adjustRightInd w:val="0"/>
                    <w:snapToGrid w:val="0"/>
                    <w:jc w:val="center"/>
                    <w:rPr>
                      <w:rFonts w:hint="default" w:ascii="Times New Roman" w:hAnsi="Times New Roman" w:cs="Times New Roman"/>
                      <w:color w:val="auto"/>
                      <w:kern w:val="0"/>
                      <w:sz w:val="21"/>
                      <w:szCs w:val="21"/>
                    </w:rPr>
                  </w:pPr>
                </w:p>
              </w:tc>
              <w:tc>
                <w:tcPr>
                  <w:tcW w:w="769" w:type="dxa"/>
                  <w:vMerge w:val="continue"/>
                  <w:noWrap w:val="0"/>
                  <w:vAlign w:val="center"/>
                </w:tcPr>
                <w:p w14:paraId="74DF86A8">
                  <w:pPr>
                    <w:adjustRightInd w:val="0"/>
                    <w:snapToGrid w:val="0"/>
                    <w:jc w:val="center"/>
                    <w:rPr>
                      <w:rFonts w:hint="default" w:ascii="Times New Roman" w:hAnsi="Times New Roman" w:cs="Times New Roman"/>
                      <w:color w:val="auto"/>
                      <w:kern w:val="0"/>
                      <w:sz w:val="21"/>
                      <w:szCs w:val="21"/>
                    </w:rPr>
                  </w:pPr>
                </w:p>
              </w:tc>
              <w:tc>
                <w:tcPr>
                  <w:tcW w:w="661" w:type="dxa"/>
                  <w:vMerge w:val="continue"/>
                  <w:noWrap w:val="0"/>
                  <w:vAlign w:val="center"/>
                </w:tcPr>
                <w:p w14:paraId="74705558">
                  <w:pPr>
                    <w:adjustRightInd w:val="0"/>
                    <w:snapToGrid w:val="0"/>
                    <w:jc w:val="center"/>
                    <w:rPr>
                      <w:rFonts w:hint="default" w:ascii="Times New Roman" w:hAnsi="Times New Roman" w:cs="Times New Roman"/>
                      <w:color w:val="auto"/>
                      <w:kern w:val="0"/>
                      <w:sz w:val="21"/>
                      <w:szCs w:val="21"/>
                    </w:rPr>
                  </w:pPr>
                </w:p>
              </w:tc>
              <w:tc>
                <w:tcPr>
                  <w:tcW w:w="689" w:type="dxa"/>
                  <w:vMerge w:val="continue"/>
                  <w:noWrap w:val="0"/>
                  <w:vAlign w:val="center"/>
                </w:tcPr>
                <w:p w14:paraId="78C5B754">
                  <w:pPr>
                    <w:adjustRightInd w:val="0"/>
                    <w:snapToGrid w:val="0"/>
                    <w:jc w:val="center"/>
                    <w:rPr>
                      <w:rFonts w:hint="default" w:ascii="Times New Roman" w:hAnsi="Times New Roman" w:cs="Times New Roman"/>
                      <w:color w:val="auto"/>
                      <w:kern w:val="0"/>
                      <w:sz w:val="21"/>
                      <w:szCs w:val="21"/>
                    </w:rPr>
                  </w:pPr>
                </w:p>
              </w:tc>
              <w:tc>
                <w:tcPr>
                  <w:tcW w:w="634" w:type="dxa"/>
                  <w:vMerge w:val="continue"/>
                  <w:noWrap w:val="0"/>
                  <w:vAlign w:val="center"/>
                </w:tcPr>
                <w:p w14:paraId="2D4806AF">
                  <w:pPr>
                    <w:adjustRightInd w:val="0"/>
                    <w:snapToGrid w:val="0"/>
                    <w:jc w:val="center"/>
                    <w:rPr>
                      <w:rFonts w:hint="default" w:ascii="Times New Roman" w:hAnsi="Times New Roman" w:cs="Times New Roman"/>
                      <w:color w:val="auto"/>
                      <w:kern w:val="0"/>
                      <w:sz w:val="21"/>
                      <w:szCs w:val="21"/>
                    </w:rPr>
                  </w:pPr>
                </w:p>
              </w:tc>
            </w:tr>
            <w:tr w14:paraId="56A538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14:paraId="1C642D27">
                  <w:pPr>
                    <w:adjustRightInd w:val="0"/>
                    <w:snapToGrid w:val="0"/>
                    <w:jc w:val="center"/>
                    <w:rPr>
                      <w:rFonts w:hint="default" w:ascii="Times New Roman" w:hAnsi="Times New Roman" w:cs="Times New Roman"/>
                      <w:color w:val="auto"/>
                      <w:kern w:val="0"/>
                      <w:sz w:val="21"/>
                      <w:szCs w:val="21"/>
                    </w:rPr>
                  </w:pPr>
                </w:p>
              </w:tc>
              <w:tc>
                <w:tcPr>
                  <w:tcW w:w="934" w:type="dxa"/>
                  <w:vMerge w:val="continue"/>
                  <w:noWrap w:val="0"/>
                  <w:vAlign w:val="center"/>
                </w:tcPr>
                <w:p w14:paraId="02A88511">
                  <w:pPr>
                    <w:adjustRightInd w:val="0"/>
                    <w:snapToGrid w:val="0"/>
                    <w:jc w:val="center"/>
                    <w:rPr>
                      <w:rFonts w:hint="default" w:ascii="Times New Roman" w:hAnsi="Times New Roman" w:cs="Times New Roman"/>
                      <w:color w:val="auto"/>
                      <w:kern w:val="0"/>
                      <w:sz w:val="21"/>
                      <w:szCs w:val="21"/>
                    </w:rPr>
                  </w:pPr>
                </w:p>
              </w:tc>
              <w:tc>
                <w:tcPr>
                  <w:tcW w:w="1202" w:type="dxa"/>
                  <w:noWrap w:val="0"/>
                  <w:vAlign w:val="center"/>
                </w:tcPr>
                <w:p w14:paraId="01660D2C">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实验检测废弃物</w:t>
                  </w:r>
                </w:p>
              </w:tc>
              <w:tc>
                <w:tcPr>
                  <w:tcW w:w="956" w:type="dxa"/>
                  <w:noWrap w:val="0"/>
                  <w:vAlign w:val="center"/>
                </w:tcPr>
                <w:p w14:paraId="5B8B9A60">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HW</w:t>
                  </w:r>
                  <w:r>
                    <w:rPr>
                      <w:rFonts w:hint="default" w:ascii="Times New Roman" w:hAnsi="Times New Roman" w:cs="Times New Roman"/>
                      <w:color w:val="auto"/>
                      <w:kern w:val="0"/>
                      <w:sz w:val="21"/>
                      <w:szCs w:val="21"/>
                      <w:lang w:val="en-US" w:eastAsia="zh-CN"/>
                    </w:rPr>
                    <w:t>49</w:t>
                  </w:r>
                </w:p>
              </w:tc>
              <w:tc>
                <w:tcPr>
                  <w:tcW w:w="1227" w:type="dxa"/>
                  <w:noWrap w:val="0"/>
                  <w:vAlign w:val="center"/>
                </w:tcPr>
                <w:p w14:paraId="00BB8011">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900-04</w:t>
                  </w:r>
                  <w:r>
                    <w:rPr>
                      <w:rFonts w:hint="default" w:ascii="Times New Roman" w:hAnsi="Times New Roman" w:cs="Times New Roman"/>
                      <w:color w:val="auto"/>
                      <w:kern w:val="0"/>
                      <w:sz w:val="21"/>
                      <w:szCs w:val="21"/>
                      <w:lang w:val="en-US" w:eastAsia="zh-CN"/>
                    </w:rPr>
                    <w:t>7</w:t>
                  </w:r>
                  <w:r>
                    <w:rPr>
                      <w:rFonts w:hint="default" w:ascii="Times New Roman" w:hAnsi="Times New Roman" w:cs="Times New Roman"/>
                      <w:color w:val="auto"/>
                      <w:kern w:val="0"/>
                      <w:sz w:val="21"/>
                      <w:szCs w:val="21"/>
                      <w:lang w:eastAsia="zh-CN"/>
                    </w:rPr>
                    <w:t>-49</w:t>
                  </w:r>
                </w:p>
              </w:tc>
              <w:tc>
                <w:tcPr>
                  <w:tcW w:w="730" w:type="dxa"/>
                  <w:vMerge w:val="continue"/>
                  <w:noWrap w:val="0"/>
                  <w:vAlign w:val="center"/>
                </w:tcPr>
                <w:p w14:paraId="53988CFF">
                  <w:pPr>
                    <w:adjustRightInd w:val="0"/>
                    <w:snapToGrid w:val="0"/>
                    <w:jc w:val="center"/>
                    <w:rPr>
                      <w:rFonts w:hint="default" w:ascii="Times New Roman" w:hAnsi="Times New Roman" w:cs="Times New Roman"/>
                      <w:color w:val="auto"/>
                      <w:kern w:val="0"/>
                      <w:sz w:val="21"/>
                      <w:szCs w:val="21"/>
                    </w:rPr>
                  </w:pPr>
                </w:p>
              </w:tc>
              <w:tc>
                <w:tcPr>
                  <w:tcW w:w="769" w:type="dxa"/>
                  <w:vMerge w:val="continue"/>
                  <w:noWrap w:val="0"/>
                  <w:vAlign w:val="center"/>
                </w:tcPr>
                <w:p w14:paraId="36981C7D">
                  <w:pPr>
                    <w:adjustRightInd w:val="0"/>
                    <w:snapToGrid w:val="0"/>
                    <w:jc w:val="center"/>
                    <w:rPr>
                      <w:rFonts w:hint="default" w:ascii="Times New Roman" w:hAnsi="Times New Roman" w:cs="Times New Roman"/>
                      <w:color w:val="auto"/>
                      <w:kern w:val="0"/>
                      <w:sz w:val="21"/>
                      <w:szCs w:val="21"/>
                    </w:rPr>
                  </w:pPr>
                </w:p>
              </w:tc>
              <w:tc>
                <w:tcPr>
                  <w:tcW w:w="661" w:type="dxa"/>
                  <w:vMerge w:val="continue"/>
                  <w:noWrap w:val="0"/>
                  <w:vAlign w:val="center"/>
                </w:tcPr>
                <w:p w14:paraId="340CC326">
                  <w:pPr>
                    <w:adjustRightInd w:val="0"/>
                    <w:snapToGrid w:val="0"/>
                    <w:jc w:val="center"/>
                    <w:rPr>
                      <w:rFonts w:hint="default" w:ascii="Times New Roman" w:hAnsi="Times New Roman" w:cs="Times New Roman"/>
                      <w:color w:val="auto"/>
                      <w:kern w:val="0"/>
                      <w:sz w:val="21"/>
                      <w:szCs w:val="21"/>
                    </w:rPr>
                  </w:pPr>
                </w:p>
              </w:tc>
              <w:tc>
                <w:tcPr>
                  <w:tcW w:w="689" w:type="dxa"/>
                  <w:vMerge w:val="continue"/>
                  <w:noWrap w:val="0"/>
                  <w:vAlign w:val="center"/>
                </w:tcPr>
                <w:p w14:paraId="5D728EE6">
                  <w:pPr>
                    <w:adjustRightInd w:val="0"/>
                    <w:snapToGrid w:val="0"/>
                    <w:jc w:val="center"/>
                    <w:rPr>
                      <w:rFonts w:hint="default" w:ascii="Times New Roman" w:hAnsi="Times New Roman" w:cs="Times New Roman"/>
                      <w:color w:val="auto"/>
                      <w:kern w:val="0"/>
                      <w:sz w:val="21"/>
                      <w:szCs w:val="21"/>
                    </w:rPr>
                  </w:pPr>
                </w:p>
              </w:tc>
              <w:tc>
                <w:tcPr>
                  <w:tcW w:w="634" w:type="dxa"/>
                  <w:vMerge w:val="continue"/>
                  <w:noWrap w:val="0"/>
                  <w:vAlign w:val="center"/>
                </w:tcPr>
                <w:p w14:paraId="65865410">
                  <w:pPr>
                    <w:adjustRightInd w:val="0"/>
                    <w:snapToGrid w:val="0"/>
                    <w:jc w:val="center"/>
                    <w:rPr>
                      <w:rFonts w:hint="default" w:ascii="Times New Roman" w:hAnsi="Times New Roman" w:cs="Times New Roman"/>
                      <w:color w:val="auto"/>
                      <w:kern w:val="0"/>
                      <w:sz w:val="21"/>
                      <w:szCs w:val="21"/>
                    </w:rPr>
                  </w:pPr>
                </w:p>
              </w:tc>
            </w:tr>
            <w:tr w14:paraId="08C655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14:paraId="60E53F67">
                  <w:pPr>
                    <w:adjustRightInd w:val="0"/>
                    <w:snapToGrid w:val="0"/>
                    <w:jc w:val="center"/>
                    <w:rPr>
                      <w:rFonts w:hint="default" w:ascii="Times New Roman" w:hAnsi="Times New Roman" w:cs="Times New Roman"/>
                      <w:color w:val="auto"/>
                      <w:kern w:val="0"/>
                      <w:sz w:val="21"/>
                      <w:szCs w:val="21"/>
                    </w:rPr>
                  </w:pPr>
                </w:p>
              </w:tc>
              <w:tc>
                <w:tcPr>
                  <w:tcW w:w="934" w:type="dxa"/>
                  <w:vMerge w:val="continue"/>
                  <w:noWrap w:val="0"/>
                  <w:vAlign w:val="center"/>
                </w:tcPr>
                <w:p w14:paraId="57F2BEC5">
                  <w:pPr>
                    <w:adjustRightInd w:val="0"/>
                    <w:snapToGrid w:val="0"/>
                    <w:jc w:val="center"/>
                    <w:rPr>
                      <w:rFonts w:hint="default" w:ascii="Times New Roman" w:hAnsi="Times New Roman" w:cs="Times New Roman"/>
                      <w:color w:val="auto"/>
                      <w:kern w:val="0"/>
                      <w:sz w:val="21"/>
                      <w:szCs w:val="21"/>
                    </w:rPr>
                  </w:pPr>
                </w:p>
              </w:tc>
              <w:tc>
                <w:tcPr>
                  <w:tcW w:w="1202" w:type="dxa"/>
                  <w:noWrap w:val="0"/>
                  <w:vAlign w:val="center"/>
                </w:tcPr>
                <w:p w14:paraId="35BD6789">
                  <w:pPr>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废活性炭</w:t>
                  </w:r>
                </w:p>
              </w:tc>
              <w:tc>
                <w:tcPr>
                  <w:tcW w:w="956" w:type="dxa"/>
                  <w:noWrap w:val="0"/>
                  <w:vAlign w:val="center"/>
                </w:tcPr>
                <w:p w14:paraId="782CBED7">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HW</w:t>
                  </w:r>
                  <w:r>
                    <w:rPr>
                      <w:rFonts w:hint="default" w:ascii="Times New Roman" w:hAnsi="Times New Roman" w:cs="Times New Roman"/>
                      <w:color w:val="auto"/>
                      <w:kern w:val="0"/>
                      <w:sz w:val="21"/>
                      <w:szCs w:val="21"/>
                      <w:lang w:val="en-US" w:eastAsia="zh-CN"/>
                    </w:rPr>
                    <w:t>49</w:t>
                  </w:r>
                </w:p>
              </w:tc>
              <w:tc>
                <w:tcPr>
                  <w:tcW w:w="1227" w:type="dxa"/>
                  <w:noWrap w:val="0"/>
                  <w:vAlign w:val="center"/>
                </w:tcPr>
                <w:p w14:paraId="6B599A31">
                  <w:pPr>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900-0</w:t>
                  </w:r>
                  <w:r>
                    <w:rPr>
                      <w:rFonts w:hint="default" w:ascii="Times New Roman" w:hAnsi="Times New Roman" w:cs="Times New Roman"/>
                      <w:color w:val="auto"/>
                      <w:kern w:val="0"/>
                      <w:sz w:val="21"/>
                      <w:szCs w:val="21"/>
                      <w:lang w:val="en-US" w:eastAsia="zh-CN"/>
                    </w:rPr>
                    <w:t>39</w:t>
                  </w:r>
                  <w:r>
                    <w:rPr>
                      <w:rFonts w:hint="default" w:ascii="Times New Roman" w:hAnsi="Times New Roman" w:cs="Times New Roman"/>
                      <w:color w:val="auto"/>
                      <w:kern w:val="0"/>
                      <w:sz w:val="21"/>
                      <w:szCs w:val="21"/>
                      <w:lang w:eastAsia="zh-CN"/>
                    </w:rPr>
                    <w:t>-49</w:t>
                  </w:r>
                </w:p>
              </w:tc>
              <w:tc>
                <w:tcPr>
                  <w:tcW w:w="730" w:type="dxa"/>
                  <w:vMerge w:val="continue"/>
                  <w:noWrap w:val="0"/>
                  <w:vAlign w:val="center"/>
                </w:tcPr>
                <w:p w14:paraId="4793A864">
                  <w:pPr>
                    <w:adjustRightInd w:val="0"/>
                    <w:snapToGrid w:val="0"/>
                    <w:jc w:val="center"/>
                    <w:rPr>
                      <w:rFonts w:hint="default" w:ascii="Times New Roman" w:hAnsi="Times New Roman" w:cs="Times New Roman"/>
                      <w:color w:val="auto"/>
                      <w:kern w:val="0"/>
                      <w:sz w:val="21"/>
                      <w:szCs w:val="21"/>
                    </w:rPr>
                  </w:pPr>
                </w:p>
              </w:tc>
              <w:tc>
                <w:tcPr>
                  <w:tcW w:w="769" w:type="dxa"/>
                  <w:vMerge w:val="continue"/>
                  <w:noWrap w:val="0"/>
                  <w:vAlign w:val="center"/>
                </w:tcPr>
                <w:p w14:paraId="615B4AC8">
                  <w:pPr>
                    <w:adjustRightInd w:val="0"/>
                    <w:snapToGrid w:val="0"/>
                    <w:jc w:val="center"/>
                    <w:rPr>
                      <w:rFonts w:hint="default" w:ascii="Times New Roman" w:hAnsi="Times New Roman" w:cs="Times New Roman"/>
                      <w:color w:val="auto"/>
                      <w:kern w:val="0"/>
                      <w:sz w:val="21"/>
                      <w:szCs w:val="21"/>
                    </w:rPr>
                  </w:pPr>
                </w:p>
              </w:tc>
              <w:tc>
                <w:tcPr>
                  <w:tcW w:w="661" w:type="dxa"/>
                  <w:vMerge w:val="continue"/>
                  <w:noWrap w:val="0"/>
                  <w:vAlign w:val="center"/>
                </w:tcPr>
                <w:p w14:paraId="72673544">
                  <w:pPr>
                    <w:adjustRightInd w:val="0"/>
                    <w:snapToGrid w:val="0"/>
                    <w:jc w:val="center"/>
                    <w:rPr>
                      <w:rFonts w:hint="default" w:ascii="Times New Roman" w:hAnsi="Times New Roman" w:cs="Times New Roman"/>
                      <w:color w:val="auto"/>
                      <w:kern w:val="0"/>
                      <w:sz w:val="21"/>
                      <w:szCs w:val="21"/>
                    </w:rPr>
                  </w:pPr>
                </w:p>
              </w:tc>
              <w:tc>
                <w:tcPr>
                  <w:tcW w:w="689" w:type="dxa"/>
                  <w:vMerge w:val="continue"/>
                  <w:noWrap w:val="0"/>
                  <w:vAlign w:val="center"/>
                </w:tcPr>
                <w:p w14:paraId="55F2EA10">
                  <w:pPr>
                    <w:adjustRightInd w:val="0"/>
                    <w:snapToGrid w:val="0"/>
                    <w:jc w:val="center"/>
                    <w:rPr>
                      <w:rFonts w:hint="default" w:ascii="Times New Roman" w:hAnsi="Times New Roman" w:cs="Times New Roman"/>
                      <w:color w:val="auto"/>
                      <w:kern w:val="0"/>
                      <w:sz w:val="21"/>
                      <w:szCs w:val="21"/>
                    </w:rPr>
                  </w:pPr>
                </w:p>
              </w:tc>
              <w:tc>
                <w:tcPr>
                  <w:tcW w:w="634" w:type="dxa"/>
                  <w:vMerge w:val="continue"/>
                  <w:noWrap w:val="0"/>
                  <w:vAlign w:val="center"/>
                </w:tcPr>
                <w:p w14:paraId="61FCB542">
                  <w:pPr>
                    <w:adjustRightInd w:val="0"/>
                    <w:snapToGrid w:val="0"/>
                    <w:jc w:val="center"/>
                    <w:rPr>
                      <w:rFonts w:hint="default" w:ascii="Times New Roman" w:hAnsi="Times New Roman" w:cs="Times New Roman"/>
                      <w:color w:val="auto"/>
                      <w:kern w:val="0"/>
                      <w:sz w:val="21"/>
                      <w:szCs w:val="21"/>
                    </w:rPr>
                  </w:pPr>
                </w:p>
              </w:tc>
            </w:tr>
          </w:tbl>
          <w:p w14:paraId="270F416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综上所述，本项目固体废物均得到妥善处置，对环境影响较小。</w:t>
            </w:r>
          </w:p>
          <w:p w14:paraId="58AFD2EC">
            <w:pPr>
              <w:adjustRightInd w:val="0"/>
              <w:snapToGrid w:val="0"/>
              <w:spacing w:line="360" w:lineRule="auto"/>
              <w:ind w:firstLine="482" w:firstLineChars="200"/>
              <w:jc w:val="left"/>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五</w:t>
            </w:r>
            <w:r>
              <w:rPr>
                <w:rFonts w:hint="default" w:ascii="Times New Roman" w:hAnsi="Times New Roman" w:cs="Times New Roman"/>
                <w:b/>
                <w:bCs/>
                <w:color w:val="auto"/>
                <w:sz w:val="24"/>
              </w:rPr>
              <w:t>、地下水、土壤环境影响评价内容</w:t>
            </w:r>
          </w:p>
          <w:p w14:paraId="3AF226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（1）地下水、土壤环境影响途径</w:t>
            </w:r>
          </w:p>
          <w:p w14:paraId="73CAEA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本项目的化学品均采用密闭容器储存于</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楼</w:t>
            </w:r>
            <w:r>
              <w:rPr>
                <w:rFonts w:hint="default" w:ascii="Times New Roman" w:hAnsi="Times New Roman" w:eastAsia="宋体" w:cs="Times New Roman"/>
                <w:color w:val="auto"/>
                <w:sz w:val="24"/>
                <w:szCs w:val="24"/>
              </w:rPr>
              <w:t>试剂</w:t>
            </w:r>
            <w:r>
              <w:rPr>
                <w:rFonts w:hint="eastAsia" w:cs="Times New Roman"/>
                <w:color w:val="auto"/>
                <w:sz w:val="24"/>
                <w:szCs w:val="24"/>
                <w:lang w:val="en-US" w:eastAsia="zh-CN"/>
              </w:rPr>
              <w:t>室</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危废</w:t>
            </w:r>
            <w:r>
              <w:rPr>
                <w:rFonts w:hint="default" w:ascii="Times New Roman" w:hAnsi="Times New Roman" w:cs="Times New Roman"/>
                <w:color w:val="auto"/>
                <w:sz w:val="24"/>
                <w:szCs w:val="24"/>
                <w:lang w:val="en-US" w:eastAsia="zh-CN"/>
              </w:rPr>
              <w:t>贮存间</w:t>
            </w:r>
            <w:r>
              <w:rPr>
                <w:rFonts w:hint="default" w:ascii="Times New Roman" w:hAnsi="Times New Roman" w:eastAsia="宋体" w:cs="Times New Roman"/>
                <w:color w:val="auto"/>
                <w:sz w:val="24"/>
                <w:szCs w:val="24"/>
              </w:rPr>
              <w:t>位于</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楼</w:t>
            </w:r>
            <w:r>
              <w:rPr>
                <w:rFonts w:hint="eastAsia" w:cs="Times New Roman"/>
                <w:color w:val="auto"/>
                <w:sz w:val="24"/>
                <w:szCs w:val="24"/>
                <w:lang w:val="en-US" w:eastAsia="zh-CN"/>
              </w:rPr>
              <w:t>南侧</w:t>
            </w:r>
            <w:r>
              <w:rPr>
                <w:rFonts w:hint="default" w:ascii="Times New Roman" w:hAnsi="Times New Roman" w:eastAsia="宋体" w:cs="Times New Roman"/>
                <w:color w:val="auto"/>
                <w:sz w:val="24"/>
                <w:szCs w:val="24"/>
              </w:rPr>
              <w:t>。正常情况下危险废物、一般固废、化学品、废水等不会对地下水以及土壤造成影响，如因人员操作不当或桶体破损等导致物料发生泄漏，泄漏物料可能会泄漏至外环境，从而污染地下水、土壤环境。</w:t>
            </w:r>
          </w:p>
          <w:p w14:paraId="129215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（2）污染防护措施</w:t>
            </w:r>
          </w:p>
          <w:p w14:paraId="3E660F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针对项目可能发生的地下水、土壤污染，地下水、土壤污染防治措施按照“源头控制、分区防治、应急响应”相结合的原则，从污染物的产生、入渗、扩散、应急响应全方位进行控制。</w:t>
            </w:r>
          </w:p>
          <w:p w14:paraId="60CA58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分区防渗控制措施：</w:t>
            </w:r>
          </w:p>
          <w:p w14:paraId="38BD10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①重点防渗区：主要是危废</w:t>
            </w:r>
            <w:r>
              <w:rPr>
                <w:rFonts w:hint="default" w:ascii="Times New Roman" w:hAnsi="Times New Roman" w:cs="Times New Roman"/>
                <w:color w:val="auto"/>
                <w:sz w:val="24"/>
                <w:szCs w:val="24"/>
                <w:lang w:val="en-US" w:eastAsia="zh-CN"/>
              </w:rPr>
              <w:t>贮存库</w:t>
            </w:r>
            <w:r>
              <w:rPr>
                <w:rFonts w:hint="default" w:ascii="Times New Roman" w:hAnsi="Times New Roman" w:eastAsia="宋体" w:cs="Times New Roman"/>
                <w:color w:val="auto"/>
                <w:sz w:val="24"/>
                <w:szCs w:val="24"/>
              </w:rPr>
              <w:t>和试剂房，</w:t>
            </w:r>
            <w:r>
              <w:rPr>
                <w:rFonts w:hint="eastAsia" w:cs="Times New Roman"/>
                <w:color w:val="auto"/>
                <w:sz w:val="24"/>
                <w:szCs w:val="24"/>
                <w:lang w:val="en-US" w:eastAsia="zh-CN"/>
              </w:rPr>
              <w:t>现有</w:t>
            </w:r>
            <w:r>
              <w:rPr>
                <w:rFonts w:hint="default" w:ascii="Times New Roman" w:hAnsi="Times New Roman" w:eastAsia="宋体" w:cs="Times New Roman"/>
                <w:color w:val="auto"/>
                <w:sz w:val="24"/>
                <w:szCs w:val="24"/>
              </w:rPr>
              <w:t>房间现状为混凝土地面</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需要对原有房间进行改造，在混凝土地面喷涂环氧漆做防腐防渗处理，物料应分区堆放并设置托盘。</w:t>
            </w:r>
          </w:p>
          <w:p w14:paraId="482C3C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②一般防渗区：主要是实验区、样品储间，防渗层的防渗性能不应低于1.5m厚防渗系数≤1×10</w:t>
            </w:r>
            <w:r>
              <w:rPr>
                <w:rFonts w:hint="default" w:ascii="Times New Roman" w:hAnsi="Times New Roman" w:eastAsia="宋体" w:cs="Times New Roman"/>
                <w:color w:val="auto"/>
                <w:sz w:val="24"/>
                <w:szCs w:val="24"/>
                <w:vertAlign w:val="superscript"/>
              </w:rPr>
              <w:t>-7</w:t>
            </w:r>
            <w:r>
              <w:rPr>
                <w:rFonts w:hint="default" w:ascii="Times New Roman" w:hAnsi="Times New Roman" w:eastAsia="宋体" w:cs="Times New Roman"/>
                <w:color w:val="auto"/>
                <w:sz w:val="24"/>
                <w:szCs w:val="24"/>
              </w:rPr>
              <w:t>cm/s的等效黏土层的防渗性能。原有房间现状为混凝土地面</w:t>
            </w:r>
            <w:r>
              <w:rPr>
                <w:rFonts w:hint="eastAsia" w:cs="Times New Roman"/>
                <w:color w:val="auto"/>
                <w:sz w:val="24"/>
                <w:szCs w:val="24"/>
                <w:lang w:val="en-US" w:eastAsia="zh-CN"/>
              </w:rPr>
              <w:t>已</w:t>
            </w:r>
            <w:r>
              <w:rPr>
                <w:rFonts w:hint="default" w:ascii="Times New Roman" w:hAnsi="Times New Roman" w:eastAsia="宋体" w:cs="Times New Roman"/>
                <w:color w:val="auto"/>
                <w:sz w:val="24"/>
                <w:szCs w:val="24"/>
              </w:rPr>
              <w:t>满足一般防渗要求。</w:t>
            </w:r>
          </w:p>
          <w:p w14:paraId="25FFC8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③简单防渗区：除以上区域的办公区，采取地面硬化处理。</w:t>
            </w:r>
          </w:p>
          <w:p w14:paraId="6080C97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因此，本项目采取上述污染防护措施后，将不会对地下水、土壤环境造成污染。</w:t>
            </w:r>
          </w:p>
          <w:p w14:paraId="7BBA0579">
            <w:pPr>
              <w:adjustRightInd w:val="0"/>
              <w:snapToGrid w:val="0"/>
              <w:spacing w:line="360" w:lineRule="auto"/>
              <w:ind w:firstLine="482" w:firstLineChars="200"/>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六</w:t>
            </w:r>
            <w:r>
              <w:rPr>
                <w:rFonts w:hint="default" w:ascii="Times New Roman" w:hAnsi="Times New Roman" w:eastAsia="宋体" w:cs="Times New Roman"/>
                <w:b/>
                <w:bCs/>
                <w:color w:val="auto"/>
                <w:sz w:val="24"/>
              </w:rPr>
              <w:t>、环境风险分析</w:t>
            </w:r>
          </w:p>
          <w:p w14:paraId="497BE5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（1）危险物质及风险源分布</w:t>
            </w:r>
          </w:p>
          <w:p w14:paraId="5E26DA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根据《建设项目环境风险评价技术导则》（HJ169-2018）附录B，对本项目主要物料的毒性及其风险危害特性进行识别，项目运营过程中涉及的危险化学品主要为实验室分析试剂，包括</w:t>
            </w:r>
            <w:r>
              <w:rPr>
                <w:rFonts w:hint="default" w:ascii="Times New Roman" w:hAnsi="Times New Roman" w:cs="Times New Roman"/>
                <w:color w:val="auto"/>
                <w:sz w:val="24"/>
                <w:szCs w:val="24"/>
                <w:lang w:val="en-US" w:eastAsia="zh-CN"/>
              </w:rPr>
              <w:t>氨水、</w:t>
            </w:r>
            <w:r>
              <w:rPr>
                <w:rFonts w:hint="eastAsia" w:ascii="Times New Roman" w:hAnsi="Times New Roman" w:eastAsia="宋体" w:cs="Times New Roman"/>
                <w:color w:val="auto"/>
                <w:sz w:val="24"/>
                <w:highlight w:val="none"/>
                <w:lang w:val="en-US" w:eastAsia="zh-CN"/>
              </w:rPr>
              <w:t>甲醇、乙腈、乙酸、乙醇</w:t>
            </w:r>
            <w:r>
              <w:rPr>
                <w:rFonts w:hint="eastAsia" w:cs="Times New Roman"/>
                <w:color w:val="auto"/>
                <w:sz w:val="24"/>
                <w:highlight w:val="none"/>
                <w:lang w:val="en-US" w:eastAsia="zh-CN"/>
              </w:rPr>
              <w:t>、异丙醇、环己烷、正己烷、石油醚</w:t>
            </w:r>
            <w:r>
              <w:rPr>
                <w:rFonts w:hint="default" w:ascii="Times New Roman" w:hAnsi="Times New Roman" w:eastAsia="宋体" w:cs="Times New Roman"/>
                <w:color w:val="auto"/>
                <w:sz w:val="24"/>
                <w:szCs w:val="24"/>
              </w:rPr>
              <w:t>等，项目根据需求量采购，储存量较小。上述</w:t>
            </w:r>
            <w:r>
              <w:rPr>
                <w:rFonts w:hint="default" w:ascii="Times New Roman" w:hAnsi="Times New Roman" w:cs="Times New Roman"/>
                <w:color w:val="auto"/>
                <w:sz w:val="24"/>
                <w:szCs w:val="24"/>
                <w:lang w:val="en-US" w:eastAsia="zh-CN"/>
              </w:rPr>
              <w:t>药品分别储存于化学试剂室</w:t>
            </w:r>
            <w:r>
              <w:rPr>
                <w:rFonts w:hint="default" w:ascii="Times New Roman" w:hAnsi="Times New Roman" w:eastAsia="宋体" w:cs="Times New Roman"/>
                <w:color w:val="auto"/>
                <w:sz w:val="24"/>
                <w:szCs w:val="24"/>
              </w:rPr>
              <w:t>。</w:t>
            </w:r>
          </w:p>
          <w:p w14:paraId="5E96F3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根据《建设项目环境风险评价技术导则》（HJ169-2018）附录C，当只涉</w:t>
            </w:r>
            <w:r>
              <w:rPr>
                <w:rFonts w:hint="eastAsia" w:cs="Times New Roman"/>
                <w:color w:val="auto"/>
                <w:sz w:val="24"/>
                <w:szCs w:val="24"/>
                <w:lang w:eastAsia="zh-CN"/>
              </w:rPr>
              <w:t>及一</w:t>
            </w:r>
            <w:r>
              <w:rPr>
                <w:rFonts w:hint="default" w:ascii="Times New Roman" w:hAnsi="Times New Roman" w:cs="Times New Roman"/>
                <w:color w:val="auto"/>
                <w:sz w:val="24"/>
                <w:szCs w:val="24"/>
              </w:rPr>
              <w:t>种危险物质时，计算该物质的总量与其临界</w:t>
            </w:r>
            <w:r>
              <w:rPr>
                <w:rFonts w:hint="eastAsia" w:cs="Times New Roman"/>
                <w:color w:val="auto"/>
                <w:sz w:val="24"/>
                <w:szCs w:val="24"/>
                <w:lang w:eastAsia="zh-CN"/>
              </w:rPr>
              <w:t>量的</w:t>
            </w:r>
            <w:r>
              <w:rPr>
                <w:rFonts w:hint="default" w:ascii="Times New Roman" w:hAnsi="Times New Roman" w:cs="Times New Roman"/>
                <w:color w:val="auto"/>
                <w:sz w:val="24"/>
                <w:szCs w:val="24"/>
              </w:rPr>
              <w:t>比值，即为Q；当存在多种危险物质时，按下式计算物质总量与其临界量的比值（Q）：</w:t>
            </w:r>
          </w:p>
          <w:p w14:paraId="26DCD3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1363345" cy="419735"/>
                  <wp:effectExtent l="0" t="0" r="8255" b="6985"/>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pic:cNvPicPr>
                        </pic:nvPicPr>
                        <pic:blipFill>
                          <a:blip r:embed="rId16"/>
                          <a:stretch>
                            <a:fillRect/>
                          </a:stretch>
                        </pic:blipFill>
                        <pic:spPr>
                          <a:xfrm>
                            <a:off x="0" y="0"/>
                            <a:ext cx="1363345" cy="419735"/>
                          </a:xfrm>
                          <a:prstGeom prst="rect">
                            <a:avLst/>
                          </a:prstGeom>
                          <a:noFill/>
                          <a:ln>
                            <a:noFill/>
                          </a:ln>
                        </pic:spPr>
                      </pic:pic>
                    </a:graphicData>
                  </a:graphic>
                </wp:inline>
              </w:drawing>
            </w:r>
          </w:p>
          <w:p w14:paraId="3C1FC7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式中：q</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，q</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，…qn—每种危险物质的最大存在量，t；</w:t>
            </w:r>
          </w:p>
          <w:p w14:paraId="308500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Q</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，Q</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，…Qn—每种危险物质的临界量，t。</w:t>
            </w:r>
          </w:p>
          <w:p w14:paraId="2D70BF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当Q＜1时，该项目环境风险潜势为Ⅰ。</w:t>
            </w:r>
          </w:p>
          <w:p w14:paraId="433177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当Q≥1时，将Q值划分为：（1）1≤Q＜10；（2）10≤Q＜100；（3）Q≥100。本项目危险物质数量与临界量比值（Q）计算结果见表4-</w:t>
            </w:r>
            <w:r>
              <w:rPr>
                <w:rFonts w:hint="default" w:ascii="Times New Roman" w:hAnsi="Times New Roman" w:cs="Times New Roman"/>
                <w:color w:val="auto"/>
                <w:sz w:val="24"/>
                <w:szCs w:val="24"/>
                <w:lang w:val="en-US" w:eastAsia="zh-CN"/>
              </w:rPr>
              <w:t>1</w:t>
            </w:r>
            <w:r>
              <w:rPr>
                <w:rFonts w:hint="eastAsia" w:cs="Times New Roman"/>
                <w:color w:val="auto"/>
                <w:sz w:val="24"/>
                <w:szCs w:val="24"/>
                <w:lang w:val="en-US" w:eastAsia="zh-CN"/>
              </w:rPr>
              <w:t>4</w:t>
            </w:r>
            <w:r>
              <w:rPr>
                <w:rFonts w:hint="default" w:ascii="Times New Roman" w:hAnsi="Times New Roman" w:cs="Times New Roman"/>
                <w:color w:val="auto"/>
                <w:sz w:val="24"/>
                <w:szCs w:val="24"/>
                <w:lang w:val="en-US" w:eastAsia="zh-CN"/>
              </w:rPr>
              <w:t>。</w:t>
            </w:r>
          </w:p>
          <w:p w14:paraId="04574419">
            <w:pPr>
              <w:pStyle w:val="84"/>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表4-</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 xml:space="preserve">4  </w:t>
            </w:r>
            <w:r>
              <w:rPr>
                <w:rFonts w:hint="default" w:ascii="Times New Roman" w:hAnsi="Times New Roman" w:cs="Times New Roman"/>
                <w:color w:val="auto"/>
                <w:sz w:val="21"/>
                <w:szCs w:val="21"/>
              </w:rPr>
              <w:t>危险物质数量及临界量比</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34"/>
              <w:gridCol w:w="1627"/>
              <w:gridCol w:w="1143"/>
              <w:gridCol w:w="1163"/>
              <w:gridCol w:w="1211"/>
              <w:gridCol w:w="1367"/>
            </w:tblGrid>
            <w:tr w14:paraId="243ED1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5E06F424">
                  <w:pPr>
                    <w:pStyle w:val="85"/>
                    <w:rPr>
                      <w:rFonts w:hint="default" w:ascii="Times New Roman" w:hAnsi="Times New Roman" w:cs="Times New Roman"/>
                      <w:color w:val="auto"/>
                      <w:sz w:val="21"/>
                      <w:szCs w:val="21"/>
                      <w:highlight w:val="none"/>
                    </w:rPr>
                  </w:pPr>
                  <w:bookmarkStart w:id="15" w:name="OLE_LINK7"/>
                  <w:r>
                    <w:rPr>
                      <w:rFonts w:hint="default" w:ascii="Times New Roman" w:hAnsi="Times New Roman" w:cs="Times New Roman"/>
                      <w:color w:val="auto"/>
                      <w:sz w:val="21"/>
                      <w:szCs w:val="21"/>
                      <w:highlight w:val="none"/>
                    </w:rPr>
                    <w:t>序号</w:t>
                  </w:r>
                </w:p>
              </w:tc>
              <w:tc>
                <w:tcPr>
                  <w:tcW w:w="624" w:type="pct"/>
                  <w:tcBorders>
                    <w:tl2br w:val="nil"/>
                    <w:tr2bl w:val="nil"/>
                  </w:tcBorders>
                  <w:noWrap w:val="0"/>
                  <w:vAlign w:val="center"/>
                </w:tcPr>
                <w:p w14:paraId="75DB0F29">
                  <w:pPr>
                    <w:pStyle w:val="85"/>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危险单元</w:t>
                  </w:r>
                </w:p>
              </w:tc>
              <w:tc>
                <w:tcPr>
                  <w:tcW w:w="982" w:type="pct"/>
                  <w:tcBorders>
                    <w:tl2br w:val="nil"/>
                    <w:tr2bl w:val="nil"/>
                  </w:tcBorders>
                  <w:noWrap w:val="0"/>
                  <w:vAlign w:val="center"/>
                </w:tcPr>
                <w:p w14:paraId="1F325BF3">
                  <w:pPr>
                    <w:pStyle w:val="85"/>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危险物质名称</w:t>
                  </w:r>
                </w:p>
              </w:tc>
              <w:tc>
                <w:tcPr>
                  <w:tcW w:w="1392" w:type="pct"/>
                  <w:gridSpan w:val="2"/>
                  <w:tcBorders>
                    <w:tl2br w:val="nil"/>
                    <w:tr2bl w:val="nil"/>
                  </w:tcBorders>
                  <w:noWrap w:val="0"/>
                  <w:vAlign w:val="center"/>
                </w:tcPr>
                <w:p w14:paraId="6AE5C62C">
                  <w:pPr>
                    <w:pStyle w:val="85"/>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最大存在量</w:t>
                  </w:r>
                  <w:r>
                    <w:rPr>
                      <w:rFonts w:hint="eastAsia" w:cs="Times New Roman"/>
                      <w:color w:val="auto"/>
                      <w:sz w:val="21"/>
                      <w:szCs w:val="21"/>
                      <w:highlight w:val="none"/>
                      <w:lang w:val="en-US" w:eastAsia="zh-CN"/>
                    </w:rPr>
                    <w:t>/t</w:t>
                  </w:r>
                </w:p>
              </w:tc>
              <w:tc>
                <w:tcPr>
                  <w:tcW w:w="730" w:type="pct"/>
                  <w:tcBorders>
                    <w:tl2br w:val="nil"/>
                    <w:tr2bl w:val="nil"/>
                  </w:tcBorders>
                  <w:noWrap w:val="0"/>
                  <w:vAlign w:val="center"/>
                </w:tcPr>
                <w:p w14:paraId="7784D73E">
                  <w:pPr>
                    <w:pStyle w:val="85"/>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临界量</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t</w:t>
                  </w:r>
                </w:p>
              </w:tc>
              <w:tc>
                <w:tcPr>
                  <w:tcW w:w="825" w:type="pct"/>
                  <w:tcBorders>
                    <w:tl2br w:val="nil"/>
                    <w:tr2bl w:val="nil"/>
                  </w:tcBorders>
                  <w:noWrap w:val="0"/>
                  <w:vAlign w:val="center"/>
                </w:tcPr>
                <w:p w14:paraId="6EAE6B96">
                  <w:pPr>
                    <w:pStyle w:val="85"/>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Q值</w:t>
                  </w:r>
                </w:p>
              </w:tc>
            </w:tr>
            <w:tr w14:paraId="1A427E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2F8EB64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624" w:type="pct"/>
                  <w:vMerge w:val="restart"/>
                  <w:tcBorders>
                    <w:tl2br w:val="nil"/>
                    <w:tr2bl w:val="nil"/>
                  </w:tcBorders>
                  <w:noWrap w:val="0"/>
                  <w:vAlign w:val="center"/>
                </w:tcPr>
                <w:p w14:paraId="690C534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试剂室</w:t>
                  </w:r>
                </w:p>
              </w:tc>
              <w:tc>
                <w:tcPr>
                  <w:tcW w:w="982" w:type="pct"/>
                  <w:tcBorders>
                    <w:tl2br w:val="nil"/>
                    <w:tr2bl w:val="nil"/>
                  </w:tcBorders>
                  <w:noWrap w:val="0"/>
                  <w:vAlign w:val="center"/>
                </w:tcPr>
                <w:p w14:paraId="40DA853D">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甲醇</w:t>
                  </w:r>
                </w:p>
              </w:tc>
              <w:tc>
                <w:tcPr>
                  <w:tcW w:w="690" w:type="pct"/>
                  <w:tcBorders>
                    <w:tl2br w:val="nil"/>
                    <w:tr2bl w:val="nil"/>
                  </w:tcBorders>
                  <w:noWrap w:val="0"/>
                  <w:vAlign w:val="center"/>
                </w:tcPr>
                <w:p w14:paraId="4D4969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26L</w:t>
                  </w:r>
                </w:p>
              </w:tc>
              <w:tc>
                <w:tcPr>
                  <w:tcW w:w="702" w:type="pct"/>
                  <w:tcBorders>
                    <w:tl2br w:val="nil"/>
                    <w:tr2bl w:val="nil"/>
                  </w:tcBorders>
                  <w:noWrap w:val="0"/>
                  <w:vAlign w:val="center"/>
                </w:tcPr>
                <w:p w14:paraId="5ED84D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0.0206</w:t>
                  </w:r>
                </w:p>
              </w:tc>
              <w:tc>
                <w:tcPr>
                  <w:tcW w:w="730" w:type="pct"/>
                  <w:tcBorders>
                    <w:tl2br w:val="nil"/>
                    <w:tr2bl w:val="nil"/>
                  </w:tcBorders>
                  <w:noWrap w:val="0"/>
                  <w:vAlign w:val="center"/>
                </w:tcPr>
                <w:p w14:paraId="0FB87F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50A4F0B4">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0.00206</w:t>
                  </w:r>
                </w:p>
              </w:tc>
            </w:tr>
            <w:tr w14:paraId="2F2D2A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460ED68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p>
              </w:tc>
              <w:tc>
                <w:tcPr>
                  <w:tcW w:w="624" w:type="pct"/>
                  <w:vMerge w:val="continue"/>
                  <w:tcBorders>
                    <w:tl2br w:val="nil"/>
                    <w:tr2bl w:val="nil"/>
                  </w:tcBorders>
                  <w:noWrap w:val="0"/>
                  <w:vAlign w:val="center"/>
                </w:tcPr>
                <w:p w14:paraId="773C902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47BE2D9E">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乙腈</w:t>
                  </w:r>
                </w:p>
              </w:tc>
              <w:tc>
                <w:tcPr>
                  <w:tcW w:w="690" w:type="pct"/>
                  <w:tcBorders>
                    <w:tl2br w:val="nil"/>
                    <w:tr2bl w:val="nil"/>
                  </w:tcBorders>
                  <w:noWrap w:val="0"/>
                  <w:vAlign w:val="center"/>
                </w:tcPr>
                <w:p w14:paraId="479EBC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18L</w:t>
                  </w:r>
                </w:p>
              </w:tc>
              <w:tc>
                <w:tcPr>
                  <w:tcW w:w="702" w:type="pct"/>
                  <w:tcBorders>
                    <w:tl2br w:val="nil"/>
                    <w:tr2bl w:val="nil"/>
                  </w:tcBorders>
                  <w:noWrap w:val="0"/>
                  <w:vAlign w:val="center"/>
                </w:tcPr>
                <w:p w14:paraId="447BAC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0.0141</w:t>
                  </w:r>
                </w:p>
              </w:tc>
              <w:tc>
                <w:tcPr>
                  <w:tcW w:w="730" w:type="pct"/>
                  <w:tcBorders>
                    <w:tl2br w:val="nil"/>
                    <w:tr2bl w:val="nil"/>
                  </w:tcBorders>
                  <w:noWrap w:val="0"/>
                  <w:vAlign w:val="center"/>
                </w:tcPr>
                <w:p w14:paraId="6CE347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1EB526B0">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0.00141</w:t>
                  </w:r>
                </w:p>
              </w:tc>
            </w:tr>
            <w:tr w14:paraId="2EB4E8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5C3653E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p>
              </w:tc>
              <w:tc>
                <w:tcPr>
                  <w:tcW w:w="624" w:type="pct"/>
                  <w:vMerge w:val="continue"/>
                  <w:tcBorders>
                    <w:tl2br w:val="nil"/>
                    <w:tr2bl w:val="nil"/>
                  </w:tcBorders>
                  <w:noWrap w:val="0"/>
                  <w:vAlign w:val="center"/>
                </w:tcPr>
                <w:p w14:paraId="65BC288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3F513E16">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磷酸</w:t>
                  </w:r>
                </w:p>
              </w:tc>
              <w:tc>
                <w:tcPr>
                  <w:tcW w:w="690" w:type="pct"/>
                  <w:tcBorders>
                    <w:tl2br w:val="nil"/>
                    <w:tr2bl w:val="nil"/>
                  </w:tcBorders>
                  <w:noWrap w:val="0"/>
                  <w:vAlign w:val="center"/>
                </w:tcPr>
                <w:p w14:paraId="689896D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0.525L</w:t>
                  </w:r>
                </w:p>
              </w:tc>
              <w:tc>
                <w:tcPr>
                  <w:tcW w:w="702" w:type="pct"/>
                  <w:tcBorders>
                    <w:tl2br w:val="nil"/>
                    <w:tr2bl w:val="nil"/>
                  </w:tcBorders>
                  <w:noWrap w:val="0"/>
                  <w:vAlign w:val="center"/>
                </w:tcPr>
                <w:p w14:paraId="440FBD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0.0010</w:t>
                  </w:r>
                </w:p>
              </w:tc>
              <w:tc>
                <w:tcPr>
                  <w:tcW w:w="730" w:type="pct"/>
                  <w:tcBorders>
                    <w:tl2br w:val="nil"/>
                    <w:tr2bl w:val="nil"/>
                  </w:tcBorders>
                  <w:noWrap w:val="0"/>
                  <w:vAlign w:val="center"/>
                </w:tcPr>
                <w:p w14:paraId="119E1B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0AED0F23">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0.0001</w:t>
                  </w:r>
                </w:p>
              </w:tc>
            </w:tr>
            <w:tr w14:paraId="4EE47A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55BDBFA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p>
              </w:tc>
              <w:tc>
                <w:tcPr>
                  <w:tcW w:w="624" w:type="pct"/>
                  <w:vMerge w:val="continue"/>
                  <w:tcBorders>
                    <w:tl2br w:val="nil"/>
                    <w:tr2bl w:val="nil"/>
                  </w:tcBorders>
                  <w:noWrap w:val="0"/>
                  <w:vAlign w:val="center"/>
                </w:tcPr>
                <w:p w14:paraId="5806C3E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4C8687D1">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乙醇</w:t>
                  </w:r>
                  <w:r>
                    <w:rPr>
                      <w:rFonts w:hint="default" w:ascii="Times New Roman" w:hAnsi="Times New Roman" w:eastAsia="宋体" w:cs="Times New Roman"/>
                      <w:i w:val="0"/>
                      <w:iCs w:val="0"/>
                      <w:color w:val="auto"/>
                      <w:kern w:val="0"/>
                      <w:sz w:val="21"/>
                      <w:szCs w:val="21"/>
                      <w:u w:val="none"/>
                      <w:lang w:val="en-US" w:eastAsia="zh-CN" w:bidi="ar"/>
                    </w:rPr>
                    <w:t>95%</w:t>
                  </w:r>
                </w:p>
              </w:tc>
              <w:tc>
                <w:tcPr>
                  <w:tcW w:w="690" w:type="pct"/>
                  <w:tcBorders>
                    <w:tl2br w:val="nil"/>
                    <w:tr2bl w:val="nil"/>
                  </w:tcBorders>
                  <w:noWrap w:val="0"/>
                  <w:vAlign w:val="center"/>
                </w:tcPr>
                <w:p w14:paraId="383D44A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4L</w:t>
                  </w:r>
                </w:p>
              </w:tc>
              <w:tc>
                <w:tcPr>
                  <w:tcW w:w="702" w:type="pct"/>
                  <w:tcBorders>
                    <w:tl2br w:val="nil"/>
                    <w:tr2bl w:val="nil"/>
                  </w:tcBorders>
                  <w:noWrap w:val="0"/>
                  <w:vAlign w:val="center"/>
                </w:tcPr>
                <w:p w14:paraId="2FCCD4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0.0032</w:t>
                  </w:r>
                </w:p>
              </w:tc>
              <w:tc>
                <w:tcPr>
                  <w:tcW w:w="730" w:type="pct"/>
                  <w:tcBorders>
                    <w:tl2br w:val="nil"/>
                    <w:tr2bl w:val="nil"/>
                  </w:tcBorders>
                  <w:noWrap w:val="0"/>
                  <w:vAlign w:val="center"/>
                </w:tcPr>
                <w:p w14:paraId="39CFAA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61F363E0">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0.00032</w:t>
                  </w:r>
                </w:p>
              </w:tc>
            </w:tr>
            <w:tr w14:paraId="55AB05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15705DE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624" w:type="pct"/>
                  <w:vMerge w:val="continue"/>
                  <w:tcBorders>
                    <w:tl2br w:val="nil"/>
                    <w:tr2bl w:val="nil"/>
                  </w:tcBorders>
                  <w:noWrap w:val="0"/>
                  <w:vAlign w:val="center"/>
                </w:tcPr>
                <w:p w14:paraId="3902F45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0DC83F3F">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环己烷</w:t>
                  </w:r>
                </w:p>
              </w:tc>
              <w:tc>
                <w:tcPr>
                  <w:tcW w:w="690" w:type="pct"/>
                  <w:tcBorders>
                    <w:tl2br w:val="nil"/>
                    <w:tr2bl w:val="nil"/>
                  </w:tcBorders>
                  <w:noWrap w:val="0"/>
                  <w:vAlign w:val="center"/>
                </w:tcPr>
                <w:p w14:paraId="6653B37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702" w:type="pct"/>
                  <w:tcBorders>
                    <w:tl2br w:val="nil"/>
                    <w:tr2bl w:val="nil"/>
                  </w:tcBorders>
                  <w:noWrap w:val="0"/>
                  <w:vAlign w:val="center"/>
                </w:tcPr>
                <w:p w14:paraId="3E9308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0.0001</w:t>
                  </w:r>
                </w:p>
              </w:tc>
              <w:tc>
                <w:tcPr>
                  <w:tcW w:w="730" w:type="pct"/>
                  <w:tcBorders>
                    <w:tl2br w:val="nil"/>
                    <w:tr2bl w:val="nil"/>
                  </w:tcBorders>
                  <w:noWrap w:val="0"/>
                  <w:vAlign w:val="center"/>
                </w:tcPr>
                <w:p w14:paraId="6C225B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6C4DC1C4">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0.00001</w:t>
                  </w:r>
                </w:p>
              </w:tc>
            </w:tr>
            <w:tr w14:paraId="45E4B5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441AC88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w:t>
                  </w:r>
                </w:p>
              </w:tc>
              <w:tc>
                <w:tcPr>
                  <w:tcW w:w="624" w:type="pct"/>
                  <w:vMerge w:val="continue"/>
                  <w:tcBorders>
                    <w:tl2br w:val="nil"/>
                    <w:tr2bl w:val="nil"/>
                  </w:tcBorders>
                  <w:noWrap w:val="0"/>
                  <w:vAlign w:val="center"/>
                </w:tcPr>
                <w:p w14:paraId="070F841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56E74D96">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正己烷</w:t>
                  </w:r>
                </w:p>
              </w:tc>
              <w:tc>
                <w:tcPr>
                  <w:tcW w:w="690" w:type="pct"/>
                  <w:tcBorders>
                    <w:tl2br w:val="nil"/>
                    <w:tr2bl w:val="nil"/>
                  </w:tcBorders>
                  <w:noWrap w:val="0"/>
                  <w:vAlign w:val="center"/>
                </w:tcPr>
                <w:p w14:paraId="5C0FE6E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702" w:type="pct"/>
                  <w:tcBorders>
                    <w:tl2br w:val="nil"/>
                    <w:tr2bl w:val="nil"/>
                  </w:tcBorders>
                  <w:noWrap w:val="0"/>
                  <w:vAlign w:val="center"/>
                </w:tcPr>
                <w:p w14:paraId="35ABC4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0.0001</w:t>
                  </w:r>
                </w:p>
              </w:tc>
              <w:tc>
                <w:tcPr>
                  <w:tcW w:w="730" w:type="pct"/>
                  <w:tcBorders>
                    <w:tl2br w:val="nil"/>
                    <w:tr2bl w:val="nil"/>
                  </w:tcBorders>
                  <w:noWrap w:val="0"/>
                  <w:vAlign w:val="center"/>
                </w:tcPr>
                <w:p w14:paraId="46A444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57FFB9E5">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0.00001</w:t>
                  </w:r>
                </w:p>
              </w:tc>
            </w:tr>
            <w:tr w14:paraId="51C67B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301E265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p>
              </w:tc>
              <w:tc>
                <w:tcPr>
                  <w:tcW w:w="624" w:type="pct"/>
                  <w:vMerge w:val="continue"/>
                  <w:tcBorders>
                    <w:tl2br w:val="nil"/>
                    <w:tr2bl w:val="nil"/>
                  </w:tcBorders>
                  <w:noWrap w:val="0"/>
                  <w:vAlign w:val="center"/>
                </w:tcPr>
                <w:p w14:paraId="452285C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74E667C6">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乙酸乙酯</w:t>
                  </w:r>
                </w:p>
              </w:tc>
              <w:tc>
                <w:tcPr>
                  <w:tcW w:w="690" w:type="pct"/>
                  <w:tcBorders>
                    <w:tl2br w:val="nil"/>
                    <w:tr2bl w:val="nil"/>
                  </w:tcBorders>
                  <w:noWrap w:val="0"/>
                  <w:vAlign w:val="center"/>
                </w:tcPr>
                <w:p w14:paraId="74DC69A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702" w:type="pct"/>
                  <w:tcBorders>
                    <w:tl2br w:val="nil"/>
                    <w:tr2bl w:val="nil"/>
                  </w:tcBorders>
                  <w:noWrap w:val="0"/>
                  <w:vAlign w:val="center"/>
                </w:tcPr>
                <w:p w14:paraId="15B0D0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0.0002</w:t>
                  </w:r>
                </w:p>
              </w:tc>
              <w:tc>
                <w:tcPr>
                  <w:tcW w:w="730" w:type="pct"/>
                  <w:tcBorders>
                    <w:tl2br w:val="nil"/>
                    <w:tr2bl w:val="nil"/>
                  </w:tcBorders>
                  <w:noWrap w:val="0"/>
                  <w:vAlign w:val="center"/>
                </w:tcPr>
                <w:p w14:paraId="7B5ED0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6FD49404">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0.00002</w:t>
                  </w:r>
                </w:p>
              </w:tc>
            </w:tr>
            <w:tr w14:paraId="508ADE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3E66D45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624" w:type="pct"/>
                  <w:vMerge w:val="continue"/>
                  <w:tcBorders>
                    <w:tl2br w:val="nil"/>
                    <w:tr2bl w:val="nil"/>
                  </w:tcBorders>
                  <w:noWrap w:val="0"/>
                  <w:vAlign w:val="center"/>
                </w:tcPr>
                <w:p w14:paraId="1DC75C9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4A110F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甲酸</w:t>
                  </w:r>
                </w:p>
              </w:tc>
              <w:tc>
                <w:tcPr>
                  <w:tcW w:w="690" w:type="pct"/>
                  <w:tcBorders>
                    <w:tl2br w:val="nil"/>
                    <w:tr2bl w:val="nil"/>
                  </w:tcBorders>
                  <w:noWrap w:val="0"/>
                  <w:vAlign w:val="center"/>
                </w:tcPr>
                <w:p w14:paraId="2D0C609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702" w:type="pct"/>
                  <w:tcBorders>
                    <w:tl2br w:val="nil"/>
                    <w:tr2bl w:val="nil"/>
                  </w:tcBorders>
                  <w:noWrap w:val="0"/>
                  <w:vAlign w:val="center"/>
                </w:tcPr>
                <w:p w14:paraId="6F185B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0.0002</w:t>
                  </w:r>
                </w:p>
              </w:tc>
              <w:tc>
                <w:tcPr>
                  <w:tcW w:w="730" w:type="pct"/>
                  <w:tcBorders>
                    <w:tl2br w:val="nil"/>
                    <w:tr2bl w:val="nil"/>
                  </w:tcBorders>
                  <w:noWrap w:val="0"/>
                  <w:vAlign w:val="center"/>
                </w:tcPr>
                <w:p w14:paraId="374100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5C28C3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0.00002</w:t>
                  </w:r>
                </w:p>
              </w:tc>
            </w:tr>
            <w:tr w14:paraId="06BDE9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5485D86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624" w:type="pct"/>
                  <w:vMerge w:val="continue"/>
                  <w:tcBorders>
                    <w:tl2br w:val="nil"/>
                    <w:tr2bl w:val="nil"/>
                  </w:tcBorders>
                  <w:noWrap w:val="0"/>
                  <w:vAlign w:val="center"/>
                </w:tcPr>
                <w:p w14:paraId="6CF3137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5C5122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无水乙醇</w:t>
                  </w:r>
                </w:p>
              </w:tc>
              <w:tc>
                <w:tcPr>
                  <w:tcW w:w="690" w:type="pct"/>
                  <w:tcBorders>
                    <w:tl2br w:val="nil"/>
                    <w:tr2bl w:val="nil"/>
                  </w:tcBorders>
                  <w:noWrap w:val="0"/>
                  <w:vAlign w:val="center"/>
                </w:tcPr>
                <w:p w14:paraId="0EC742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1.2L</w:t>
                  </w:r>
                </w:p>
              </w:tc>
              <w:tc>
                <w:tcPr>
                  <w:tcW w:w="702" w:type="pct"/>
                  <w:tcBorders>
                    <w:tl2br w:val="nil"/>
                    <w:tr2bl w:val="nil"/>
                  </w:tcBorders>
                  <w:noWrap w:val="0"/>
                  <w:vAlign w:val="center"/>
                </w:tcPr>
                <w:p w14:paraId="39A099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0.0009</w:t>
                  </w:r>
                </w:p>
              </w:tc>
              <w:tc>
                <w:tcPr>
                  <w:tcW w:w="730" w:type="pct"/>
                  <w:tcBorders>
                    <w:tl2br w:val="nil"/>
                    <w:tr2bl w:val="nil"/>
                  </w:tcBorders>
                  <w:noWrap w:val="0"/>
                  <w:vAlign w:val="center"/>
                </w:tcPr>
                <w:p w14:paraId="49DBB9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63D689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0.00009</w:t>
                  </w:r>
                </w:p>
              </w:tc>
            </w:tr>
            <w:tr w14:paraId="21F8D8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56A49D2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624" w:type="pct"/>
                  <w:vMerge w:val="continue"/>
                  <w:tcBorders>
                    <w:tl2br w:val="nil"/>
                    <w:tr2bl w:val="nil"/>
                  </w:tcBorders>
                  <w:noWrap w:val="0"/>
                  <w:vAlign w:val="center"/>
                </w:tcPr>
                <w:p w14:paraId="23B5821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130FEE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正丁醇</w:t>
                  </w:r>
                </w:p>
              </w:tc>
              <w:tc>
                <w:tcPr>
                  <w:tcW w:w="690" w:type="pct"/>
                  <w:tcBorders>
                    <w:tl2br w:val="nil"/>
                    <w:tr2bl w:val="nil"/>
                  </w:tcBorders>
                  <w:noWrap w:val="0"/>
                  <w:vAlign w:val="center"/>
                </w:tcPr>
                <w:p w14:paraId="0778DD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702" w:type="pct"/>
                  <w:tcBorders>
                    <w:tl2br w:val="nil"/>
                    <w:tr2bl w:val="nil"/>
                  </w:tcBorders>
                  <w:noWrap w:val="0"/>
                  <w:vAlign w:val="center"/>
                </w:tcPr>
                <w:p w14:paraId="7CF0DC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0.0002</w:t>
                  </w:r>
                </w:p>
              </w:tc>
              <w:tc>
                <w:tcPr>
                  <w:tcW w:w="730" w:type="pct"/>
                  <w:tcBorders>
                    <w:tl2br w:val="nil"/>
                    <w:tr2bl w:val="nil"/>
                  </w:tcBorders>
                  <w:noWrap w:val="0"/>
                  <w:vAlign w:val="center"/>
                </w:tcPr>
                <w:p w14:paraId="3DA47D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0CD033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0.00002</w:t>
                  </w:r>
                </w:p>
              </w:tc>
            </w:tr>
            <w:tr w14:paraId="67D41E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07E803D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624" w:type="pct"/>
                  <w:vMerge w:val="continue"/>
                  <w:tcBorders>
                    <w:tl2br w:val="nil"/>
                    <w:tr2bl w:val="nil"/>
                  </w:tcBorders>
                  <w:noWrap w:val="0"/>
                  <w:vAlign w:val="center"/>
                </w:tcPr>
                <w:p w14:paraId="7C61D97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7A5826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冰乙酸</w:t>
                  </w:r>
                </w:p>
              </w:tc>
              <w:tc>
                <w:tcPr>
                  <w:tcW w:w="690" w:type="pct"/>
                  <w:tcBorders>
                    <w:tl2br w:val="nil"/>
                    <w:tr2bl w:val="nil"/>
                  </w:tcBorders>
                  <w:noWrap w:val="0"/>
                  <w:vAlign w:val="center"/>
                </w:tcPr>
                <w:p w14:paraId="16383A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0.5L</w:t>
                  </w:r>
                </w:p>
              </w:tc>
              <w:tc>
                <w:tcPr>
                  <w:tcW w:w="702" w:type="pct"/>
                  <w:tcBorders>
                    <w:tl2br w:val="nil"/>
                    <w:tr2bl w:val="nil"/>
                  </w:tcBorders>
                  <w:noWrap w:val="0"/>
                  <w:vAlign w:val="center"/>
                </w:tcPr>
                <w:p w14:paraId="15E2EE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0.0005</w:t>
                  </w:r>
                </w:p>
              </w:tc>
              <w:tc>
                <w:tcPr>
                  <w:tcW w:w="730" w:type="pct"/>
                  <w:tcBorders>
                    <w:tl2br w:val="nil"/>
                    <w:tr2bl w:val="nil"/>
                  </w:tcBorders>
                  <w:noWrap w:val="0"/>
                  <w:vAlign w:val="center"/>
                </w:tcPr>
                <w:p w14:paraId="5415FD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02117C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0.00005</w:t>
                  </w:r>
                </w:p>
              </w:tc>
            </w:tr>
            <w:tr w14:paraId="1E2D9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5E26343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624" w:type="pct"/>
                  <w:vMerge w:val="continue"/>
                  <w:tcBorders>
                    <w:tl2br w:val="nil"/>
                    <w:tr2bl w:val="nil"/>
                  </w:tcBorders>
                  <w:noWrap w:val="0"/>
                  <w:vAlign w:val="center"/>
                </w:tcPr>
                <w:p w14:paraId="4CD32BA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0DFAD4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氨水</w:t>
                  </w:r>
                </w:p>
              </w:tc>
              <w:tc>
                <w:tcPr>
                  <w:tcW w:w="690" w:type="pct"/>
                  <w:tcBorders>
                    <w:tl2br w:val="nil"/>
                    <w:tr2bl w:val="nil"/>
                  </w:tcBorders>
                  <w:noWrap w:val="0"/>
                  <w:vAlign w:val="center"/>
                </w:tcPr>
                <w:p w14:paraId="75F7EE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0.25L</w:t>
                  </w:r>
                </w:p>
              </w:tc>
              <w:tc>
                <w:tcPr>
                  <w:tcW w:w="702" w:type="pct"/>
                  <w:tcBorders>
                    <w:tl2br w:val="nil"/>
                    <w:tr2bl w:val="nil"/>
                  </w:tcBorders>
                  <w:noWrap w:val="0"/>
                  <w:vAlign w:val="center"/>
                </w:tcPr>
                <w:p w14:paraId="0187CD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0.0002</w:t>
                  </w:r>
                </w:p>
              </w:tc>
              <w:tc>
                <w:tcPr>
                  <w:tcW w:w="730" w:type="pct"/>
                  <w:tcBorders>
                    <w:tl2br w:val="nil"/>
                    <w:tr2bl w:val="nil"/>
                  </w:tcBorders>
                  <w:noWrap w:val="0"/>
                  <w:vAlign w:val="center"/>
                </w:tcPr>
                <w:p w14:paraId="604ACB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243429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0.00002</w:t>
                  </w:r>
                </w:p>
              </w:tc>
            </w:tr>
            <w:tr w14:paraId="658260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5B7EC5D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c>
                <w:tcPr>
                  <w:tcW w:w="624" w:type="pct"/>
                  <w:vMerge w:val="continue"/>
                  <w:tcBorders>
                    <w:tl2br w:val="nil"/>
                    <w:tr2bl w:val="nil"/>
                  </w:tcBorders>
                  <w:noWrap w:val="0"/>
                  <w:vAlign w:val="center"/>
                </w:tcPr>
                <w:p w14:paraId="568E1B9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6CC8B9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石油醚</w:t>
                  </w:r>
                </w:p>
              </w:tc>
              <w:tc>
                <w:tcPr>
                  <w:tcW w:w="690" w:type="pct"/>
                  <w:tcBorders>
                    <w:tl2br w:val="nil"/>
                    <w:tr2bl w:val="nil"/>
                  </w:tcBorders>
                  <w:noWrap w:val="0"/>
                  <w:vAlign w:val="center"/>
                </w:tcPr>
                <w:p w14:paraId="5F32DF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eastAsia="宋体" w:cs="Times New Roman"/>
                      <w:i w:val="0"/>
                      <w:iCs w:val="0"/>
                      <w:color w:val="auto"/>
                      <w:kern w:val="0"/>
                      <w:sz w:val="21"/>
                      <w:szCs w:val="21"/>
                      <w:u w:val="none"/>
                      <w:lang w:val="en-US" w:eastAsia="zh-CN" w:bidi="ar"/>
                    </w:rPr>
                    <w:t>25</w:t>
                  </w:r>
                  <w:r>
                    <w:rPr>
                      <w:rFonts w:hint="default" w:ascii="Times New Roman" w:hAnsi="Times New Roman" w:eastAsia="宋体" w:cs="Times New Roman"/>
                      <w:i w:val="0"/>
                      <w:iCs w:val="0"/>
                      <w:color w:val="auto"/>
                      <w:kern w:val="0"/>
                      <w:sz w:val="21"/>
                      <w:szCs w:val="21"/>
                      <w:u w:val="none"/>
                      <w:lang w:val="en-US" w:eastAsia="zh-CN" w:bidi="ar"/>
                    </w:rPr>
                    <w:t>L</w:t>
                  </w:r>
                </w:p>
              </w:tc>
              <w:tc>
                <w:tcPr>
                  <w:tcW w:w="702" w:type="pct"/>
                  <w:tcBorders>
                    <w:tl2br w:val="nil"/>
                    <w:tr2bl w:val="nil"/>
                  </w:tcBorders>
                  <w:noWrap w:val="0"/>
                  <w:vAlign w:val="center"/>
                </w:tcPr>
                <w:p w14:paraId="1BDE89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0.0002</w:t>
                  </w:r>
                </w:p>
              </w:tc>
              <w:tc>
                <w:tcPr>
                  <w:tcW w:w="730" w:type="pct"/>
                  <w:tcBorders>
                    <w:tl2br w:val="nil"/>
                    <w:tr2bl w:val="nil"/>
                  </w:tcBorders>
                  <w:noWrap w:val="0"/>
                  <w:vAlign w:val="center"/>
                </w:tcPr>
                <w:p w14:paraId="10A927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3237AB7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0.00002</w:t>
                  </w:r>
                </w:p>
              </w:tc>
            </w:tr>
            <w:tr w14:paraId="1819B9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6D7AC81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w:t>
                  </w:r>
                </w:p>
              </w:tc>
              <w:tc>
                <w:tcPr>
                  <w:tcW w:w="624" w:type="pct"/>
                  <w:vMerge w:val="continue"/>
                  <w:tcBorders>
                    <w:tl2br w:val="nil"/>
                    <w:tr2bl w:val="nil"/>
                  </w:tcBorders>
                  <w:noWrap w:val="0"/>
                  <w:vAlign w:val="center"/>
                </w:tcPr>
                <w:p w14:paraId="0D25377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3CBCD2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异丙醇</w:t>
                  </w:r>
                </w:p>
              </w:tc>
              <w:tc>
                <w:tcPr>
                  <w:tcW w:w="690" w:type="pct"/>
                  <w:tcBorders>
                    <w:tl2br w:val="nil"/>
                    <w:tr2bl w:val="nil"/>
                  </w:tcBorders>
                  <w:noWrap w:val="0"/>
                  <w:vAlign w:val="center"/>
                </w:tcPr>
                <w:p w14:paraId="146518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1.725L</w:t>
                  </w:r>
                </w:p>
              </w:tc>
              <w:tc>
                <w:tcPr>
                  <w:tcW w:w="702" w:type="pct"/>
                  <w:tcBorders>
                    <w:tl2br w:val="nil"/>
                    <w:tr2bl w:val="nil"/>
                  </w:tcBorders>
                  <w:noWrap w:val="0"/>
                  <w:vAlign w:val="center"/>
                </w:tcPr>
                <w:p w14:paraId="0609F0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0.0014</w:t>
                  </w:r>
                </w:p>
              </w:tc>
              <w:tc>
                <w:tcPr>
                  <w:tcW w:w="730" w:type="pct"/>
                  <w:tcBorders>
                    <w:tl2br w:val="nil"/>
                    <w:tr2bl w:val="nil"/>
                  </w:tcBorders>
                  <w:noWrap w:val="0"/>
                  <w:vAlign w:val="center"/>
                </w:tcPr>
                <w:p w14:paraId="2054C5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25" w:type="pct"/>
                  <w:tcBorders>
                    <w:tl2br w:val="nil"/>
                    <w:tr2bl w:val="nil"/>
                  </w:tcBorders>
                  <w:noWrap w:val="0"/>
                  <w:vAlign w:val="center"/>
                </w:tcPr>
                <w:p w14:paraId="0A3EFB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0.00014</w:t>
                  </w:r>
                </w:p>
              </w:tc>
            </w:tr>
            <w:tr w14:paraId="43E226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6C7DB42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624" w:type="pct"/>
                  <w:vMerge w:val="continue"/>
                  <w:tcBorders>
                    <w:tl2br w:val="nil"/>
                    <w:tr2bl w:val="nil"/>
                  </w:tcBorders>
                  <w:noWrap w:val="0"/>
                  <w:vAlign w:val="center"/>
                </w:tcPr>
                <w:p w14:paraId="33B6143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248965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四氢呋喃</w:t>
                  </w:r>
                </w:p>
              </w:tc>
              <w:tc>
                <w:tcPr>
                  <w:tcW w:w="690" w:type="pct"/>
                  <w:tcBorders>
                    <w:tl2br w:val="nil"/>
                    <w:tr2bl w:val="nil"/>
                  </w:tcBorders>
                  <w:noWrap w:val="0"/>
                  <w:vAlign w:val="center"/>
                </w:tcPr>
                <w:p w14:paraId="00181F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702" w:type="pct"/>
                  <w:tcBorders>
                    <w:tl2br w:val="nil"/>
                    <w:tr2bl w:val="nil"/>
                  </w:tcBorders>
                  <w:noWrap w:val="0"/>
                  <w:vAlign w:val="center"/>
                </w:tcPr>
                <w:p w14:paraId="519742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0.0002</w:t>
                  </w:r>
                </w:p>
              </w:tc>
              <w:tc>
                <w:tcPr>
                  <w:tcW w:w="730" w:type="pct"/>
                  <w:tcBorders>
                    <w:tl2br w:val="nil"/>
                    <w:tr2bl w:val="nil"/>
                  </w:tcBorders>
                  <w:noWrap w:val="0"/>
                  <w:vAlign w:val="center"/>
                </w:tcPr>
                <w:p w14:paraId="2778FE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2.5</w:t>
                  </w:r>
                </w:p>
              </w:tc>
              <w:tc>
                <w:tcPr>
                  <w:tcW w:w="825" w:type="pct"/>
                  <w:tcBorders>
                    <w:tl2br w:val="nil"/>
                    <w:tr2bl w:val="nil"/>
                  </w:tcBorders>
                  <w:noWrap w:val="0"/>
                  <w:vAlign w:val="center"/>
                </w:tcPr>
                <w:p w14:paraId="2BF5A8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0.00008</w:t>
                  </w:r>
                </w:p>
              </w:tc>
            </w:tr>
            <w:tr w14:paraId="655D0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tcBorders>
                    <w:tl2br w:val="nil"/>
                    <w:tr2bl w:val="nil"/>
                  </w:tcBorders>
                  <w:noWrap w:val="0"/>
                  <w:vAlign w:val="center"/>
                </w:tcPr>
                <w:p w14:paraId="4AD7FF8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c>
                <w:tcPr>
                  <w:tcW w:w="624" w:type="pct"/>
                  <w:vMerge w:val="continue"/>
                  <w:tcBorders>
                    <w:tl2br w:val="nil"/>
                    <w:tr2bl w:val="nil"/>
                  </w:tcBorders>
                  <w:noWrap w:val="0"/>
                  <w:vAlign w:val="center"/>
                </w:tcPr>
                <w:p w14:paraId="18B7263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vertAlign w:val="baseline"/>
                      <w:lang w:val="en-US" w:eastAsia="zh-CN" w:bidi="ar-SA"/>
                    </w:rPr>
                  </w:pPr>
                </w:p>
              </w:tc>
              <w:tc>
                <w:tcPr>
                  <w:tcW w:w="982" w:type="pct"/>
                  <w:tcBorders>
                    <w:tl2br w:val="nil"/>
                    <w:tr2bl w:val="nil"/>
                  </w:tcBorders>
                  <w:noWrap w:val="0"/>
                  <w:vAlign w:val="center"/>
                </w:tcPr>
                <w:p w14:paraId="7A5890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氢氧化钾</w:t>
                  </w:r>
                </w:p>
              </w:tc>
              <w:tc>
                <w:tcPr>
                  <w:tcW w:w="690" w:type="pct"/>
                  <w:tcBorders>
                    <w:tl2br w:val="nil"/>
                    <w:tr2bl w:val="nil"/>
                  </w:tcBorders>
                  <w:noWrap w:val="0"/>
                  <w:vAlign w:val="center"/>
                </w:tcPr>
                <w:p w14:paraId="36DD8A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0.05kg</w:t>
                  </w:r>
                </w:p>
              </w:tc>
              <w:tc>
                <w:tcPr>
                  <w:tcW w:w="702" w:type="pct"/>
                  <w:tcBorders>
                    <w:tl2br w:val="nil"/>
                    <w:tr2bl w:val="nil"/>
                  </w:tcBorders>
                  <w:noWrap w:val="0"/>
                  <w:vAlign w:val="center"/>
                </w:tcPr>
                <w:p w14:paraId="78B82D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0.00005</w:t>
                  </w:r>
                </w:p>
              </w:tc>
              <w:tc>
                <w:tcPr>
                  <w:tcW w:w="730" w:type="pct"/>
                  <w:tcBorders>
                    <w:tl2br w:val="nil"/>
                    <w:tr2bl w:val="nil"/>
                  </w:tcBorders>
                  <w:noWrap w:val="0"/>
                  <w:vAlign w:val="center"/>
                </w:tcPr>
                <w:p w14:paraId="13FCA2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50</w:t>
                  </w:r>
                </w:p>
              </w:tc>
              <w:tc>
                <w:tcPr>
                  <w:tcW w:w="825" w:type="pct"/>
                  <w:tcBorders>
                    <w:tl2br w:val="nil"/>
                    <w:tr2bl w:val="nil"/>
                  </w:tcBorders>
                  <w:noWrap w:val="0"/>
                  <w:vAlign w:val="center"/>
                </w:tcPr>
                <w:p w14:paraId="4A5956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0.000001</w:t>
                  </w:r>
                </w:p>
              </w:tc>
            </w:tr>
            <w:tr w14:paraId="67F6E6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74" w:type="pct"/>
                  <w:gridSpan w:val="6"/>
                  <w:tcBorders>
                    <w:tl2br w:val="nil"/>
                    <w:tr2bl w:val="nil"/>
                  </w:tcBorders>
                  <w:noWrap w:val="0"/>
                  <w:vAlign w:val="center"/>
                </w:tcPr>
                <w:p w14:paraId="7B4ED9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合计</w:t>
                  </w:r>
                </w:p>
              </w:tc>
              <w:tc>
                <w:tcPr>
                  <w:tcW w:w="825" w:type="pct"/>
                  <w:tcBorders>
                    <w:tl2br w:val="nil"/>
                    <w:tr2bl w:val="nil"/>
                  </w:tcBorders>
                  <w:noWrap w:val="0"/>
                  <w:vAlign w:val="center"/>
                </w:tcPr>
                <w:p w14:paraId="232D85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0.004371</w:t>
                  </w:r>
                </w:p>
              </w:tc>
            </w:tr>
            <w:bookmarkEnd w:id="15"/>
          </w:tbl>
          <w:p w14:paraId="35EA3DD5">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由上表可知，Q=0.</w:t>
            </w:r>
            <w:r>
              <w:rPr>
                <w:rFonts w:hint="default" w:ascii="Times New Roman" w:hAnsi="Times New Roman" w:eastAsia="宋体" w:cs="Times New Roman"/>
                <w:color w:val="auto"/>
                <w:sz w:val="24"/>
                <w:szCs w:val="24"/>
                <w:lang w:val="en-US" w:eastAsia="zh-CN"/>
              </w:rPr>
              <w:t>00</w:t>
            </w:r>
            <w:r>
              <w:rPr>
                <w:rFonts w:hint="eastAsia" w:cs="Times New Roman"/>
                <w:color w:val="auto"/>
                <w:sz w:val="24"/>
                <w:szCs w:val="24"/>
                <w:lang w:val="en-US" w:eastAsia="zh-CN"/>
              </w:rPr>
              <w:t>4371</w:t>
            </w:r>
            <w:r>
              <w:rPr>
                <w:rFonts w:hint="default" w:ascii="Times New Roman" w:hAnsi="Times New Roman" w:eastAsia="宋体" w:cs="Times New Roman"/>
                <w:color w:val="auto"/>
                <w:sz w:val="24"/>
                <w:szCs w:val="24"/>
              </w:rPr>
              <w:t>＜1。</w:t>
            </w:r>
          </w:p>
          <w:p w14:paraId="47A96C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根据《建设项目环境影响报告表编制技术指南</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污染影响类</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（试行)》</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环办环评〔2020〕33号</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，有毒有害和易燃易爆危险物质存储量不超过临界量的建设项目不需要设置环境风险专题。</w:t>
            </w:r>
          </w:p>
          <w:p w14:paraId="23FFB23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（2）环境风险影响途径及后果</w:t>
            </w:r>
          </w:p>
          <w:p w14:paraId="5EE8F613">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由于实验室</w:t>
            </w:r>
            <w:r>
              <w:rPr>
                <w:rFonts w:hint="eastAsia" w:ascii="Times New Roman" w:hAnsi="Times New Roman" w:cs="Times New Roman"/>
                <w:smallCaps/>
                <w:color w:val="auto"/>
                <w:sz w:val="24"/>
                <w:lang w:val="en-US" w:eastAsia="zh-CN"/>
              </w:rPr>
              <w:t>危险</w:t>
            </w:r>
            <w:r>
              <w:rPr>
                <w:rFonts w:hint="default" w:ascii="Times New Roman" w:hAnsi="Times New Roman" w:cs="Times New Roman"/>
                <w:smallCaps/>
                <w:color w:val="auto"/>
                <w:sz w:val="24"/>
              </w:rPr>
              <w:t>化学品管理失误，或者实验操作人员操作不当，致使</w:t>
            </w:r>
            <w:r>
              <w:rPr>
                <w:rFonts w:hint="eastAsia" w:ascii="Times New Roman" w:hAnsi="Times New Roman" w:cs="Times New Roman"/>
                <w:smallCaps/>
                <w:color w:val="auto"/>
                <w:sz w:val="24"/>
                <w:lang w:val="en-US" w:eastAsia="zh-CN"/>
              </w:rPr>
              <w:t>危险化学品</w:t>
            </w:r>
            <w:r>
              <w:rPr>
                <w:rFonts w:hint="default" w:ascii="Times New Roman" w:hAnsi="Times New Roman" w:cs="Times New Roman"/>
                <w:smallCaps/>
                <w:color w:val="auto"/>
                <w:sz w:val="24"/>
              </w:rPr>
              <w:t>泄漏</w:t>
            </w:r>
            <w:r>
              <w:rPr>
                <w:rFonts w:hint="eastAsia" w:ascii="Times New Roman" w:hAnsi="Times New Roman" w:cs="Times New Roman"/>
                <w:smallCaps/>
                <w:color w:val="auto"/>
                <w:sz w:val="24"/>
                <w:lang w:val="en-US" w:eastAsia="zh-CN"/>
              </w:rPr>
              <w:t>或危险化学品发生火灾等引发引起伴生/次生污染物排放</w:t>
            </w:r>
            <w:r>
              <w:rPr>
                <w:rFonts w:hint="default" w:ascii="Times New Roman" w:hAnsi="Times New Roman" w:cs="Times New Roman"/>
                <w:smallCaps/>
                <w:color w:val="auto"/>
                <w:sz w:val="24"/>
              </w:rPr>
              <w:t>。</w:t>
            </w:r>
          </w:p>
          <w:p w14:paraId="14401D7C">
            <w:pPr>
              <w:spacing w:line="360" w:lineRule="auto"/>
              <w:ind w:firstLine="480" w:firstLineChars="200"/>
              <w:rPr>
                <w:rFonts w:hint="default" w:ascii="Times New Roman" w:hAnsi="Times New Roman" w:cs="Times New Roman"/>
                <w:b w:val="0"/>
                <w:bCs w:val="0"/>
                <w:smallCaps/>
                <w:color w:val="auto"/>
                <w:sz w:val="24"/>
              </w:rPr>
            </w:pPr>
            <w:r>
              <w:rPr>
                <w:rFonts w:hint="default" w:ascii="Times New Roman" w:hAnsi="Times New Roman" w:cs="Times New Roman"/>
                <w:b w:val="0"/>
                <w:bCs w:val="0"/>
                <w:smallCaps/>
                <w:color w:val="auto"/>
                <w:sz w:val="24"/>
              </w:rPr>
              <w:t>（</w:t>
            </w:r>
            <w:r>
              <w:rPr>
                <w:rFonts w:hint="eastAsia" w:ascii="Times New Roman" w:hAnsi="Times New Roman" w:cs="Times New Roman"/>
                <w:b w:val="0"/>
                <w:bCs w:val="0"/>
                <w:smallCaps/>
                <w:color w:val="auto"/>
                <w:sz w:val="24"/>
                <w:lang w:val="en-US" w:eastAsia="zh-CN"/>
              </w:rPr>
              <w:t>3</w:t>
            </w:r>
            <w:r>
              <w:rPr>
                <w:rFonts w:hint="default" w:ascii="Times New Roman" w:hAnsi="Times New Roman" w:cs="Times New Roman"/>
                <w:b w:val="0"/>
                <w:bCs w:val="0"/>
                <w:smallCaps/>
                <w:color w:val="auto"/>
                <w:sz w:val="24"/>
              </w:rPr>
              <w:t>）环境风险防范措施</w:t>
            </w:r>
          </w:p>
          <w:p w14:paraId="788BE737">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为避免本项目危险化学品在储运、使用过程中，可能发生的泄漏、火灾、爆炸等事故，简要提出如下防范措施：</w:t>
            </w:r>
          </w:p>
          <w:p w14:paraId="34BC2191">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1）危险化学品由供货商定期运送，化学品包装容器破损泄漏后遇明火发生的火事故，为此注意：参照危险化学品的运输要求严格按照国家有关规定进行管理，对承运单位资质、运输人员资质、货物装载、运输线路等严格把关，减少风险发生的因素。</w:t>
            </w:r>
          </w:p>
          <w:p w14:paraId="355DC5C2">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2）危险化学品贮存过程中应加强管理工作：</w:t>
            </w:r>
          </w:p>
          <w:p w14:paraId="4630EF47">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fldChar w:fldCharType="begin"/>
            </w:r>
            <w:r>
              <w:rPr>
                <w:rFonts w:hint="default" w:ascii="Times New Roman" w:hAnsi="Times New Roman" w:cs="Times New Roman"/>
                <w:smallCaps/>
                <w:color w:val="auto"/>
                <w:sz w:val="24"/>
              </w:rPr>
              <w:instrText xml:space="preserve"> = 1 \* GB3 \* MERGEFORMAT </w:instrText>
            </w:r>
            <w:r>
              <w:rPr>
                <w:rFonts w:hint="default" w:ascii="Times New Roman" w:hAnsi="Times New Roman" w:cs="Times New Roman"/>
                <w:smallCaps/>
                <w:color w:val="auto"/>
                <w:sz w:val="24"/>
              </w:rPr>
              <w:fldChar w:fldCharType="separate"/>
            </w:r>
            <w:r>
              <w:rPr>
                <w:rFonts w:hint="default" w:ascii="Times New Roman" w:hAnsi="Times New Roman" w:cs="Times New Roman"/>
                <w:color w:val="auto"/>
                <w:sz w:val="24"/>
              </w:rPr>
              <w:t>①</w:t>
            </w:r>
            <w:r>
              <w:rPr>
                <w:rFonts w:hint="default" w:ascii="Times New Roman" w:hAnsi="Times New Roman" w:cs="Times New Roman"/>
                <w:smallCaps/>
                <w:color w:val="auto"/>
                <w:sz w:val="24"/>
              </w:rPr>
              <w:fldChar w:fldCharType="end"/>
            </w:r>
            <w:r>
              <w:rPr>
                <w:rFonts w:hint="default" w:ascii="Times New Roman" w:hAnsi="Times New Roman" w:cs="Times New Roman"/>
                <w:smallCaps/>
                <w:color w:val="auto"/>
                <w:sz w:val="24"/>
              </w:rPr>
              <w:t>加强危险化学品管理，危险化学品由公司集中采购、储存和供应，未经公司批准，不得随意采购和储存。</w:t>
            </w:r>
            <w:r>
              <w:rPr>
                <w:rFonts w:hint="default" w:ascii="Times New Roman" w:hAnsi="Times New Roman" w:cs="Times New Roman"/>
                <w:color w:val="auto"/>
                <w:kern w:val="0"/>
                <w:sz w:val="24"/>
                <w:lang w:bidi="ar"/>
              </w:rPr>
              <w:t>遵循量少、次数多的原则，减少储存量。</w:t>
            </w:r>
          </w:p>
          <w:p w14:paraId="2AAB21EB">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fldChar w:fldCharType="begin"/>
            </w:r>
            <w:r>
              <w:rPr>
                <w:rFonts w:hint="default" w:ascii="Times New Roman" w:hAnsi="Times New Roman" w:cs="Times New Roman"/>
                <w:smallCaps/>
                <w:color w:val="auto"/>
                <w:sz w:val="24"/>
              </w:rPr>
              <w:instrText xml:space="preserve"> = 2 \* GB3 \* MERGEFORMAT </w:instrText>
            </w:r>
            <w:r>
              <w:rPr>
                <w:rFonts w:hint="default" w:ascii="Times New Roman" w:hAnsi="Times New Roman" w:cs="Times New Roman"/>
                <w:smallCaps/>
                <w:color w:val="auto"/>
                <w:sz w:val="24"/>
              </w:rPr>
              <w:fldChar w:fldCharType="separate"/>
            </w:r>
            <w:r>
              <w:rPr>
                <w:rFonts w:hint="default" w:ascii="Times New Roman" w:hAnsi="Times New Roman" w:cs="Times New Roman"/>
                <w:color w:val="auto"/>
                <w:sz w:val="24"/>
              </w:rPr>
              <w:t>②</w:t>
            </w:r>
            <w:r>
              <w:rPr>
                <w:rFonts w:hint="default" w:ascii="Times New Roman" w:hAnsi="Times New Roman" w:cs="Times New Roman"/>
                <w:smallCaps/>
                <w:color w:val="auto"/>
                <w:sz w:val="24"/>
              </w:rPr>
              <w:fldChar w:fldCharType="end"/>
            </w:r>
            <w:r>
              <w:rPr>
                <w:rFonts w:hint="default" w:ascii="Times New Roman" w:hAnsi="Times New Roman" w:cs="Times New Roman"/>
                <w:smallCaps/>
                <w:color w:val="auto"/>
                <w:sz w:val="24"/>
              </w:rPr>
              <w:t>建立实验室危险化学品定期汇总登记制度，登记汇总的危险化学品种类和数量存档、备查。</w:t>
            </w:r>
          </w:p>
          <w:p w14:paraId="18919F8B">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fldChar w:fldCharType="begin"/>
            </w:r>
            <w:r>
              <w:rPr>
                <w:rFonts w:hint="default" w:ascii="Times New Roman" w:hAnsi="Times New Roman" w:cs="Times New Roman"/>
                <w:smallCaps/>
                <w:color w:val="auto"/>
                <w:sz w:val="24"/>
              </w:rPr>
              <w:instrText xml:space="preserve"> = 3 \* GB3 \* MERGEFORMAT </w:instrText>
            </w:r>
            <w:r>
              <w:rPr>
                <w:rFonts w:hint="default" w:ascii="Times New Roman" w:hAnsi="Times New Roman" w:cs="Times New Roman"/>
                <w:smallCaps/>
                <w:color w:val="auto"/>
                <w:sz w:val="24"/>
              </w:rPr>
              <w:fldChar w:fldCharType="separate"/>
            </w:r>
            <w:r>
              <w:rPr>
                <w:rFonts w:hint="default" w:ascii="Times New Roman" w:hAnsi="Times New Roman" w:cs="Times New Roman"/>
                <w:color w:val="auto"/>
                <w:sz w:val="24"/>
              </w:rPr>
              <w:t>③</w:t>
            </w:r>
            <w:r>
              <w:rPr>
                <w:rFonts w:hint="default" w:ascii="Times New Roman" w:hAnsi="Times New Roman" w:cs="Times New Roman"/>
                <w:smallCaps/>
                <w:color w:val="auto"/>
                <w:sz w:val="24"/>
              </w:rPr>
              <w:fldChar w:fldCharType="end"/>
            </w:r>
            <w:r>
              <w:rPr>
                <w:rFonts w:hint="default" w:ascii="Times New Roman" w:hAnsi="Times New Roman" w:cs="Times New Roman"/>
                <w:smallCaps/>
                <w:color w:val="auto"/>
                <w:sz w:val="24"/>
              </w:rPr>
              <w:t>科学管理危险化学品，应根据危险化学品性能，分区、分类存放，各类危险化学品不得与禁忌物料混合存放。</w:t>
            </w:r>
          </w:p>
          <w:p w14:paraId="3EE3299C">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3）危险化学品使用过程中应注意以下几点：</w:t>
            </w:r>
          </w:p>
          <w:p w14:paraId="119F2507">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fldChar w:fldCharType="begin"/>
            </w:r>
            <w:r>
              <w:rPr>
                <w:rFonts w:hint="default" w:ascii="Times New Roman" w:hAnsi="Times New Roman" w:cs="Times New Roman"/>
                <w:smallCaps/>
                <w:color w:val="auto"/>
                <w:sz w:val="24"/>
              </w:rPr>
              <w:instrText xml:space="preserve"> = 1 \* GB3 \* MERGEFORMAT </w:instrText>
            </w:r>
            <w:r>
              <w:rPr>
                <w:rFonts w:hint="default" w:ascii="Times New Roman" w:hAnsi="Times New Roman" w:cs="Times New Roman"/>
                <w:smallCaps/>
                <w:color w:val="auto"/>
                <w:sz w:val="24"/>
              </w:rPr>
              <w:fldChar w:fldCharType="separate"/>
            </w:r>
            <w:r>
              <w:rPr>
                <w:rFonts w:hint="default" w:ascii="Times New Roman" w:hAnsi="Times New Roman" w:cs="Times New Roman"/>
                <w:color w:val="auto"/>
                <w:sz w:val="24"/>
              </w:rPr>
              <w:t>①</w:t>
            </w:r>
            <w:r>
              <w:rPr>
                <w:rFonts w:hint="default" w:ascii="Times New Roman" w:hAnsi="Times New Roman" w:cs="Times New Roman"/>
                <w:smallCaps/>
                <w:color w:val="auto"/>
                <w:sz w:val="24"/>
              </w:rPr>
              <w:fldChar w:fldCharType="end"/>
            </w:r>
            <w:r>
              <w:rPr>
                <w:rFonts w:hint="default" w:ascii="Times New Roman" w:hAnsi="Times New Roman" w:cs="Times New Roman"/>
                <w:smallCaps/>
                <w:color w:val="auto"/>
                <w:sz w:val="24"/>
              </w:rPr>
              <w:t>使用一切加热工具均应严格遵守操作规程。</w:t>
            </w:r>
          </w:p>
          <w:p w14:paraId="5AD0344A">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fldChar w:fldCharType="begin"/>
            </w:r>
            <w:r>
              <w:rPr>
                <w:rFonts w:hint="default" w:ascii="Times New Roman" w:hAnsi="Times New Roman" w:cs="Times New Roman"/>
                <w:smallCaps/>
                <w:color w:val="auto"/>
                <w:sz w:val="24"/>
              </w:rPr>
              <w:instrText xml:space="preserve"> = 2 \* GB3 \* MERGEFORMAT </w:instrText>
            </w:r>
            <w:r>
              <w:rPr>
                <w:rFonts w:hint="default" w:ascii="Times New Roman" w:hAnsi="Times New Roman" w:cs="Times New Roman"/>
                <w:smallCaps/>
                <w:color w:val="auto"/>
                <w:sz w:val="24"/>
              </w:rPr>
              <w:fldChar w:fldCharType="separate"/>
            </w:r>
            <w:r>
              <w:rPr>
                <w:rFonts w:hint="default" w:ascii="Times New Roman" w:hAnsi="Times New Roman" w:cs="Times New Roman"/>
                <w:color w:val="auto"/>
                <w:sz w:val="24"/>
              </w:rPr>
              <w:t>②</w:t>
            </w:r>
            <w:r>
              <w:rPr>
                <w:rFonts w:hint="default" w:ascii="Times New Roman" w:hAnsi="Times New Roman" w:cs="Times New Roman"/>
                <w:smallCaps/>
                <w:color w:val="auto"/>
                <w:sz w:val="24"/>
              </w:rPr>
              <w:fldChar w:fldCharType="end"/>
            </w:r>
            <w:r>
              <w:rPr>
                <w:rFonts w:hint="default" w:ascii="Times New Roman" w:hAnsi="Times New Roman" w:cs="Times New Roman"/>
                <w:smallCaps/>
                <w:color w:val="auto"/>
                <w:sz w:val="24"/>
              </w:rPr>
              <w:t>实验室操作过程中通风橱、曲臂万向罩、吊顶通风口、活性炭吸附装置等废气收集、治理设备正常开启。</w:t>
            </w:r>
          </w:p>
          <w:p w14:paraId="08CBA029">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fldChar w:fldCharType="begin"/>
            </w:r>
            <w:r>
              <w:rPr>
                <w:rFonts w:hint="default" w:ascii="Times New Roman" w:hAnsi="Times New Roman" w:cs="Times New Roman"/>
                <w:smallCaps/>
                <w:color w:val="auto"/>
                <w:sz w:val="24"/>
              </w:rPr>
              <w:instrText xml:space="preserve"> = 3 \* GB3 \* MERGEFORMAT </w:instrText>
            </w:r>
            <w:r>
              <w:rPr>
                <w:rFonts w:hint="default" w:ascii="Times New Roman" w:hAnsi="Times New Roman" w:cs="Times New Roman"/>
                <w:smallCaps/>
                <w:color w:val="auto"/>
                <w:sz w:val="24"/>
              </w:rPr>
              <w:fldChar w:fldCharType="separate"/>
            </w:r>
            <w:r>
              <w:rPr>
                <w:rFonts w:hint="default" w:ascii="Times New Roman" w:hAnsi="Times New Roman" w:cs="Times New Roman"/>
                <w:color w:val="auto"/>
                <w:sz w:val="24"/>
              </w:rPr>
              <w:t>③</w:t>
            </w:r>
            <w:r>
              <w:rPr>
                <w:rFonts w:hint="default" w:ascii="Times New Roman" w:hAnsi="Times New Roman" w:cs="Times New Roman"/>
                <w:smallCaps/>
                <w:color w:val="auto"/>
                <w:sz w:val="24"/>
              </w:rPr>
              <w:fldChar w:fldCharType="end"/>
            </w:r>
            <w:r>
              <w:rPr>
                <w:rFonts w:hint="default" w:ascii="Times New Roman" w:hAnsi="Times New Roman" w:cs="Times New Roman"/>
                <w:smallCaps/>
                <w:color w:val="auto"/>
                <w:sz w:val="24"/>
              </w:rPr>
              <w:t>实验结束后，实验废液和危险废弃物应单独收集，定期交由具有相应处理资质的单位处理，不能倒入水槽内；剩余的危险化学品必须回收。</w:t>
            </w:r>
          </w:p>
          <w:p w14:paraId="4DCCFF5D">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4）实验室应尽量采用无毒、无害或者低毒、低害的试剂，替代毒性大、危害严重的试剂；采用试剂利用率高、污染物产生少的实验方法及设备；应尽可能减少危险化学品的使用，必须使用的，应采取有效的措施，降低排放量，并分类收集和处理，以降低其危险性。</w:t>
            </w:r>
          </w:p>
          <w:p w14:paraId="3579F4D2">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5）实验室应执行严格的实验操作规程，操作员进行培训，且进行有毒药品的实验，必须佩带必要的防护措施，实验室必须配备常用医疗急救用品等。</w:t>
            </w:r>
          </w:p>
          <w:p w14:paraId="3CF5098F">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6）设置单独的</w:t>
            </w:r>
            <w:r>
              <w:rPr>
                <w:rFonts w:hint="eastAsia" w:ascii="Times New Roman" w:hAnsi="Times New Roman" w:cs="Times New Roman"/>
                <w:smallCaps/>
                <w:color w:val="auto"/>
                <w:sz w:val="24"/>
                <w:lang w:eastAsia="zh-CN"/>
              </w:rPr>
              <w:t>危废贮存库</w:t>
            </w:r>
            <w:r>
              <w:rPr>
                <w:rFonts w:hint="default" w:ascii="Times New Roman" w:hAnsi="Times New Roman" w:cs="Times New Roman"/>
                <w:smallCaps/>
                <w:color w:val="auto"/>
                <w:sz w:val="24"/>
              </w:rPr>
              <w:t>，该暂存间地面及裙角应做耐腐蚀硬化、防渗漏处理，且表面无裂隙，所用的材料要符合危险物的要求；危险废物应暂存于密闭容器中，并在容器外表设置环境保护图形标志和警示标志；固体废物暂存室内地面净化处理。一旦出现盛装液态、固体废物的容器发生破裂或渗漏情况，马上修复并更换破损容器。地面残留液用抹布擦拭干净，出现泄漏事故及时向有关部门通报。</w:t>
            </w:r>
          </w:p>
          <w:p w14:paraId="31108905">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7）实验室及存储区应采取不发火地面，</w:t>
            </w:r>
            <w:r>
              <w:rPr>
                <w:rFonts w:hint="eastAsia" w:cs="Times New Roman"/>
                <w:smallCaps/>
                <w:color w:val="auto"/>
                <w:sz w:val="24"/>
                <w:lang w:eastAsia="zh-CN"/>
              </w:rPr>
              <w:t>室内</w:t>
            </w:r>
            <w:r>
              <w:rPr>
                <w:rFonts w:hint="default" w:ascii="Times New Roman" w:hAnsi="Times New Roman" w:cs="Times New Roman"/>
                <w:smallCaps/>
                <w:color w:val="auto"/>
                <w:sz w:val="24"/>
              </w:rPr>
              <w:t>所有电气设备均防爆，设置通风装置，配备一定数量的灭火器材，并定期检查灭火器状态及其有效期等。</w:t>
            </w:r>
          </w:p>
          <w:p w14:paraId="6E411B95">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8）发生泄漏事故时，及时将残留的化学品转移至新包装容器内，并采用吸附材料将泄漏出来的化学品擦拭处理完毕，沾染化学品的吸附材料存放于密闭容器内，作为危险废物定期交有相应资质的单位处理。</w:t>
            </w:r>
          </w:p>
          <w:p w14:paraId="122C0145">
            <w:pPr>
              <w:spacing w:line="360" w:lineRule="auto"/>
              <w:ind w:firstLine="480" w:firstLineChars="200"/>
              <w:rPr>
                <w:rFonts w:hint="default" w:ascii="Times New Roman" w:hAnsi="Times New Roman" w:cs="Times New Roman"/>
                <w:smallCaps/>
                <w:color w:val="auto"/>
                <w:sz w:val="24"/>
              </w:rPr>
            </w:pPr>
            <w:r>
              <w:rPr>
                <w:rFonts w:hint="default" w:ascii="Times New Roman" w:hAnsi="Times New Roman" w:cs="Times New Roman"/>
                <w:smallCaps/>
                <w:color w:val="auto"/>
                <w:sz w:val="24"/>
              </w:rPr>
              <w:t>9）定期进行安全环保宣传教育以及紧急事故模拟演习，提高事故应变能力。</w:t>
            </w:r>
          </w:p>
          <w:p w14:paraId="1B750614">
            <w:pPr>
              <w:spacing w:line="360" w:lineRule="auto"/>
              <w:ind w:firstLine="480" w:firstLineChars="200"/>
              <w:rPr>
                <w:rFonts w:hint="default" w:ascii="Times New Roman" w:hAnsi="Times New Roman" w:eastAsia="宋体" w:cs="Times New Roman"/>
                <w:smallCaps/>
                <w:color w:val="auto"/>
                <w:sz w:val="24"/>
                <w:lang w:val="en-US" w:eastAsia="zh-CN"/>
              </w:rPr>
            </w:pPr>
            <w:r>
              <w:rPr>
                <w:rFonts w:hint="eastAsia" w:ascii="Times New Roman" w:hAnsi="Times New Roman" w:cs="Times New Roman"/>
                <w:smallCaps/>
                <w:color w:val="auto"/>
                <w:sz w:val="24"/>
                <w:lang w:val="en-US" w:eastAsia="zh-CN"/>
              </w:rPr>
              <w:t>10）制定突发环境事件应急预案并报当地环保部门备案。</w:t>
            </w:r>
          </w:p>
          <w:p w14:paraId="3A3188DF">
            <w:pPr>
              <w:pStyle w:val="36"/>
              <w:spacing w:line="360" w:lineRule="auto"/>
              <w:ind w:firstLine="480" w:firstLineChars="200"/>
              <w:rPr>
                <w:rFonts w:hint="default" w:ascii="Times New Roman" w:hAnsi="Times New Roman" w:cs="Times New Roman"/>
                <w:smallCaps/>
                <w:color w:val="auto"/>
                <w:lang w:eastAsia="zh-CN"/>
              </w:rPr>
            </w:pPr>
            <w:r>
              <w:rPr>
                <w:rFonts w:hint="default" w:ascii="Times New Roman" w:hAnsi="Times New Roman" w:cs="Times New Roman"/>
                <w:smallCaps/>
                <w:color w:val="auto"/>
                <w:lang w:eastAsia="zh-CN"/>
              </w:rPr>
              <w:t>建设单位应严格按照消防及安监部门的要求，做好防范措施，设立以建设单位为环境风险责任主体的突发环境事故应急组织机构，以便采取更有效的措施来监测灾情及防止污染事故的进一步扩散。</w:t>
            </w:r>
          </w:p>
          <w:p w14:paraId="5D90FD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）风险评价结论</w:t>
            </w:r>
          </w:p>
          <w:p w14:paraId="159B35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本项目发生环境风险</w:t>
            </w:r>
            <w:r>
              <w:rPr>
                <w:rFonts w:hint="eastAsia" w:cs="Times New Roman"/>
                <w:color w:val="auto"/>
                <w:sz w:val="24"/>
                <w:szCs w:val="24"/>
                <w:lang w:eastAsia="zh-CN"/>
              </w:rPr>
              <w:t>的概率较</w:t>
            </w:r>
            <w:r>
              <w:rPr>
                <w:rFonts w:hint="default" w:ascii="Times New Roman" w:hAnsi="Times New Roman" w:eastAsia="宋体" w:cs="Times New Roman"/>
                <w:color w:val="auto"/>
                <w:sz w:val="24"/>
                <w:szCs w:val="24"/>
              </w:rPr>
              <w:t>小，风险影响小，采取以上风险防范措施并制定应急措施后，该项目环境风险可控。</w:t>
            </w:r>
          </w:p>
          <w:p w14:paraId="08576DD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cs="Times New Roman"/>
                <w:b/>
                <w:bCs/>
                <w:color w:val="auto"/>
                <w:sz w:val="24"/>
                <w:szCs w:val="24"/>
                <w:lang w:val="en-US" w:eastAsia="zh-CN"/>
              </w:rPr>
              <w:t>七</w:t>
            </w:r>
            <w:r>
              <w:rPr>
                <w:rFonts w:hint="default" w:ascii="Times New Roman" w:hAnsi="Times New Roman" w:eastAsia="宋体" w:cs="Times New Roman"/>
                <w:b/>
                <w:bCs/>
                <w:color w:val="auto"/>
                <w:sz w:val="24"/>
                <w:szCs w:val="24"/>
              </w:rPr>
              <w:t>、环保投资</w:t>
            </w:r>
          </w:p>
          <w:p w14:paraId="23CA33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本项目总投资</w:t>
            </w:r>
            <w:r>
              <w:rPr>
                <w:rFonts w:hint="eastAsia" w:cs="Times New Roman"/>
                <w:color w:val="auto"/>
                <w:sz w:val="24"/>
                <w:szCs w:val="24"/>
                <w:lang w:val="en-US" w:eastAsia="zh-CN"/>
              </w:rPr>
              <w:t>33</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万元，其中环保投资</w:t>
            </w:r>
            <w:r>
              <w:rPr>
                <w:rFonts w:hint="eastAsia" w:cs="Times New Roman"/>
                <w:color w:val="auto"/>
                <w:sz w:val="24"/>
                <w:szCs w:val="24"/>
                <w:lang w:val="en-US" w:eastAsia="zh-CN"/>
              </w:rPr>
              <w:t>27</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万元，占总投资的</w:t>
            </w:r>
            <w:r>
              <w:rPr>
                <w:rFonts w:hint="eastAsia" w:cs="Times New Roman"/>
                <w:color w:val="auto"/>
                <w:sz w:val="24"/>
                <w:szCs w:val="24"/>
                <w:lang w:val="en-US" w:eastAsia="zh-CN"/>
              </w:rPr>
              <w:t>8.33</w:t>
            </w:r>
            <w:r>
              <w:rPr>
                <w:rFonts w:hint="default" w:ascii="Times New Roman" w:hAnsi="Times New Roman" w:eastAsia="宋体" w:cs="Times New Roman"/>
                <w:color w:val="auto"/>
                <w:sz w:val="24"/>
                <w:szCs w:val="24"/>
              </w:rPr>
              <w:t>%。</w:t>
            </w:r>
          </w:p>
          <w:p w14:paraId="4A1BD919">
            <w:pPr>
              <w:pStyle w:val="84"/>
              <w:keepNext w:val="0"/>
              <w:keepLines w:val="0"/>
              <w:pageBreakBefore/>
              <w:widowControl w:val="0"/>
              <w:kinsoku/>
              <w:wordWrap/>
              <w:overflowPunct/>
              <w:topLinePunct w:val="0"/>
              <w:autoSpaceDE/>
              <w:autoSpaceDN/>
              <w:bidi w:val="0"/>
              <w:adjustRightInd/>
              <w:snapToGrid/>
              <w:ind w:firstLine="48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表4-</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 xml:space="preserve">5  </w:t>
            </w:r>
            <w:r>
              <w:rPr>
                <w:rFonts w:hint="default" w:ascii="Times New Roman" w:hAnsi="Times New Roman" w:cs="Times New Roman"/>
                <w:color w:val="auto"/>
                <w:sz w:val="21"/>
                <w:szCs w:val="21"/>
              </w:rPr>
              <w:t>环保总投资一览表</w:t>
            </w:r>
          </w:p>
          <w:tbl>
            <w:tblPr>
              <w:tblStyle w:val="28"/>
              <w:tblW w:w="823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23"/>
              <w:gridCol w:w="4985"/>
              <w:gridCol w:w="1294"/>
            </w:tblGrid>
            <w:tr w14:paraId="088B95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noWrap w:val="0"/>
                  <w:vAlign w:val="center"/>
                </w:tcPr>
                <w:p w14:paraId="1DE4DDA0">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123" w:type="dxa"/>
                  <w:tcBorders>
                    <w:tl2br w:val="nil"/>
                    <w:tr2bl w:val="nil"/>
                  </w:tcBorders>
                  <w:noWrap w:val="0"/>
                  <w:vAlign w:val="center"/>
                </w:tcPr>
                <w:p w14:paraId="5C514D3F">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工程名称</w:t>
                  </w:r>
                </w:p>
              </w:tc>
              <w:tc>
                <w:tcPr>
                  <w:tcW w:w="4985" w:type="dxa"/>
                  <w:tcBorders>
                    <w:tl2br w:val="nil"/>
                    <w:tr2bl w:val="nil"/>
                  </w:tcBorders>
                  <w:noWrap w:val="0"/>
                  <w:vAlign w:val="center"/>
                </w:tcPr>
                <w:p w14:paraId="353EF76A">
                  <w:pPr>
                    <w:pStyle w:val="85"/>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环保措施</w:t>
                  </w:r>
                </w:p>
              </w:tc>
              <w:tc>
                <w:tcPr>
                  <w:tcW w:w="1294" w:type="dxa"/>
                  <w:tcBorders>
                    <w:tl2br w:val="nil"/>
                    <w:tr2bl w:val="nil"/>
                  </w:tcBorders>
                  <w:noWrap w:val="0"/>
                  <w:vAlign w:val="center"/>
                </w:tcPr>
                <w:p w14:paraId="49136CAC">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费用（万元）</w:t>
                  </w:r>
                </w:p>
              </w:tc>
            </w:tr>
            <w:tr w14:paraId="52039A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32" w:type="dxa"/>
                  <w:tcBorders>
                    <w:tl2br w:val="nil"/>
                    <w:tr2bl w:val="nil"/>
                  </w:tcBorders>
                  <w:noWrap w:val="0"/>
                  <w:vAlign w:val="center"/>
                </w:tcPr>
                <w:p w14:paraId="2844AE36">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color w:val="auto"/>
                      <w:sz w:val="21"/>
                      <w:szCs w:val="21"/>
                    </w:rPr>
                    <w:t>1</w:t>
                  </w:r>
                </w:p>
              </w:tc>
              <w:tc>
                <w:tcPr>
                  <w:tcW w:w="1123" w:type="dxa"/>
                  <w:vMerge w:val="restart"/>
                  <w:tcBorders>
                    <w:tl2br w:val="nil"/>
                    <w:tr2bl w:val="nil"/>
                  </w:tcBorders>
                  <w:noWrap w:val="0"/>
                  <w:vAlign w:val="center"/>
                </w:tcPr>
                <w:p w14:paraId="60498B51">
                  <w:pPr>
                    <w:pStyle w:val="85"/>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4985" w:type="dxa"/>
                  <w:tcBorders>
                    <w:tl2br w:val="nil"/>
                    <w:tr2bl w:val="nil"/>
                  </w:tcBorders>
                  <w:noWrap w:val="0"/>
                  <w:vAlign w:val="center"/>
                </w:tcPr>
                <w:p w14:paraId="5DAD00B5">
                  <w:pP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lang w:val="en-US" w:eastAsia="zh-CN"/>
                    </w:rPr>
                    <w:t>化学室：设置</w:t>
                  </w:r>
                  <w:r>
                    <w:rPr>
                      <w:rFonts w:hint="default" w:ascii="Times New Roman" w:hAnsi="Times New Roman" w:cs="Times New Roman"/>
                      <w:color w:val="auto"/>
                    </w:rPr>
                    <w:t>通风橱，</w:t>
                  </w:r>
                  <w:r>
                    <w:rPr>
                      <w:rFonts w:hint="default" w:ascii="Times New Roman" w:hAnsi="Times New Roman" w:cs="Times New Roman"/>
                      <w:color w:val="auto"/>
                      <w:lang w:val="en-US" w:eastAsia="zh-CN"/>
                    </w:rPr>
                    <w:t>废气经管道收集引至楼顶经</w:t>
                  </w:r>
                  <w:r>
                    <w:rPr>
                      <w:rFonts w:hint="default" w:ascii="Times New Roman" w:hAnsi="Times New Roman" w:cs="Times New Roman"/>
                      <w:color w:val="auto"/>
                    </w:rPr>
                    <w:t>活性炭吸附装置（</w:t>
                  </w:r>
                  <w:r>
                    <w:rPr>
                      <w:rFonts w:hint="default" w:ascii="Times New Roman" w:hAnsi="Times New Roman" w:cs="Times New Roman"/>
                      <w:color w:val="auto"/>
                      <w:lang w:val="en-US" w:eastAsia="zh-CN"/>
                    </w:rPr>
                    <w:t>1</w:t>
                  </w:r>
                  <w:r>
                    <w:rPr>
                      <w:rFonts w:hint="default" w:ascii="Times New Roman" w:hAnsi="Times New Roman" w:cs="Times New Roman"/>
                      <w:color w:val="auto"/>
                    </w:rPr>
                    <w:t>套）</w:t>
                  </w:r>
                  <w:r>
                    <w:rPr>
                      <w:rFonts w:hint="default" w:ascii="Times New Roman" w:hAnsi="Times New Roman" w:cs="Times New Roman"/>
                      <w:color w:val="auto"/>
                      <w:lang w:val="en-US" w:eastAsia="zh-CN"/>
                    </w:rPr>
                    <w:t>处理后经1根</w:t>
                  </w:r>
                  <w:r>
                    <w:rPr>
                      <w:rFonts w:hint="default" w:ascii="Times New Roman" w:hAnsi="Times New Roman" w:cs="Times New Roman"/>
                      <w:color w:val="auto"/>
                    </w:rPr>
                    <w:t>排气筒</w:t>
                  </w:r>
                  <w:r>
                    <w:rPr>
                      <w:rFonts w:hint="default" w:ascii="Times New Roman" w:hAnsi="Times New Roman" w:cs="Times New Roman"/>
                      <w:color w:val="auto"/>
                      <w:lang w:val="en-US" w:eastAsia="zh-CN"/>
                    </w:rPr>
                    <w:t>排放，排气筒高度1</w:t>
                  </w:r>
                  <w:r>
                    <w:rPr>
                      <w:rFonts w:hint="eastAsia" w:cs="Times New Roman"/>
                      <w:color w:val="auto"/>
                      <w:lang w:val="en-US" w:eastAsia="zh-CN"/>
                    </w:rPr>
                    <w:t>5</w:t>
                  </w:r>
                  <w:r>
                    <w:rPr>
                      <w:rFonts w:hint="default" w:ascii="Times New Roman" w:hAnsi="Times New Roman" w:cs="Times New Roman"/>
                      <w:color w:val="auto"/>
                      <w:lang w:val="en-US" w:eastAsia="zh-CN"/>
                    </w:rPr>
                    <w:t>m</w:t>
                  </w:r>
                </w:p>
              </w:tc>
              <w:tc>
                <w:tcPr>
                  <w:tcW w:w="1294" w:type="dxa"/>
                  <w:tcBorders>
                    <w:tl2br w:val="nil"/>
                    <w:tr2bl w:val="nil"/>
                  </w:tcBorders>
                  <w:noWrap w:val="0"/>
                  <w:vAlign w:val="center"/>
                </w:tcPr>
                <w:p w14:paraId="05C83027">
                  <w:pPr>
                    <w:pStyle w:val="85"/>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p>
              </w:tc>
            </w:tr>
            <w:tr w14:paraId="0E8AC0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noWrap w:val="0"/>
                  <w:vAlign w:val="center"/>
                </w:tcPr>
                <w:p w14:paraId="24C16E24">
                  <w:pPr>
                    <w:pStyle w:val="85"/>
                    <w:ind w:firstLine="0" w:firstLineChars="0"/>
                    <w:rPr>
                      <w:rFonts w:hint="default" w:ascii="Times New Roman" w:hAnsi="Times New Roman" w:cs="Times New Roman"/>
                      <w:snapToGrid w:val="0"/>
                      <w:color w:val="auto"/>
                      <w:kern w:val="2"/>
                      <w:sz w:val="21"/>
                      <w:szCs w:val="21"/>
                      <w:lang w:val="en-US" w:eastAsia="zh-CN" w:bidi="ar-SA"/>
                    </w:rPr>
                  </w:pPr>
                  <w:r>
                    <w:rPr>
                      <w:rFonts w:hint="default" w:ascii="Times New Roman" w:hAnsi="Times New Roman" w:cs="Times New Roman"/>
                      <w:color w:val="auto"/>
                      <w:sz w:val="21"/>
                      <w:szCs w:val="21"/>
                    </w:rPr>
                    <w:t>2</w:t>
                  </w:r>
                </w:p>
              </w:tc>
              <w:tc>
                <w:tcPr>
                  <w:tcW w:w="1123" w:type="dxa"/>
                  <w:vMerge w:val="continue"/>
                  <w:tcBorders>
                    <w:tl2br w:val="nil"/>
                    <w:tr2bl w:val="nil"/>
                  </w:tcBorders>
                  <w:noWrap w:val="0"/>
                  <w:vAlign w:val="center"/>
                </w:tcPr>
                <w:p w14:paraId="48757ADC">
                  <w:pPr>
                    <w:pStyle w:val="85"/>
                    <w:rPr>
                      <w:rFonts w:hint="default" w:ascii="Times New Roman" w:hAnsi="Times New Roman" w:cs="Times New Roman"/>
                      <w:color w:val="auto"/>
                      <w:sz w:val="21"/>
                      <w:szCs w:val="21"/>
                      <w:lang w:val="en-US" w:eastAsia="zh-CN"/>
                    </w:rPr>
                  </w:pPr>
                </w:p>
              </w:tc>
              <w:tc>
                <w:tcPr>
                  <w:tcW w:w="4985" w:type="dxa"/>
                  <w:tcBorders>
                    <w:tl2br w:val="nil"/>
                    <w:tr2bl w:val="nil"/>
                  </w:tcBorders>
                  <w:noWrap w:val="0"/>
                  <w:vAlign w:val="center"/>
                </w:tcPr>
                <w:p w14:paraId="48B794E7">
                  <w:pP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异味气体</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密闭空间，</w:t>
                  </w:r>
                  <w:r>
                    <w:rPr>
                      <w:rFonts w:hint="default" w:ascii="Times New Roman" w:hAnsi="Times New Roman" w:cs="Times New Roman"/>
                      <w:color w:val="auto"/>
                    </w:rPr>
                    <w:t>集气罩</w:t>
                  </w:r>
                  <w:r>
                    <w:rPr>
                      <w:rFonts w:hint="default" w:ascii="Times New Roman" w:hAnsi="Times New Roman" w:cs="Times New Roman"/>
                      <w:color w:val="auto"/>
                      <w:lang w:val="en-US" w:eastAsia="zh-CN"/>
                    </w:rPr>
                    <w:t>收集，引至楼顶经</w:t>
                  </w:r>
                  <w:r>
                    <w:rPr>
                      <w:rFonts w:hint="default" w:ascii="Times New Roman" w:hAnsi="Times New Roman" w:cs="Times New Roman"/>
                      <w:color w:val="auto"/>
                    </w:rPr>
                    <w:t>活性炭吸附装置（</w:t>
                  </w:r>
                  <w:r>
                    <w:rPr>
                      <w:rFonts w:hint="default" w:ascii="Times New Roman" w:hAnsi="Times New Roman" w:cs="Times New Roman"/>
                      <w:color w:val="auto"/>
                      <w:lang w:val="en-US" w:eastAsia="zh-CN"/>
                    </w:rPr>
                    <w:t>1</w:t>
                  </w:r>
                  <w:r>
                    <w:rPr>
                      <w:rFonts w:hint="default" w:ascii="Times New Roman" w:hAnsi="Times New Roman" w:cs="Times New Roman"/>
                      <w:color w:val="auto"/>
                    </w:rPr>
                    <w:t>套）</w:t>
                  </w:r>
                  <w:r>
                    <w:rPr>
                      <w:rFonts w:hint="default" w:ascii="Times New Roman" w:hAnsi="Times New Roman" w:cs="Times New Roman"/>
                      <w:color w:val="auto"/>
                      <w:lang w:val="en-US" w:eastAsia="zh-CN"/>
                    </w:rPr>
                    <w:t>处理后经1根</w:t>
                  </w:r>
                  <w:r>
                    <w:rPr>
                      <w:rFonts w:hint="default" w:ascii="Times New Roman" w:hAnsi="Times New Roman" w:cs="Times New Roman"/>
                      <w:color w:val="auto"/>
                    </w:rPr>
                    <w:t>排气筒</w:t>
                  </w:r>
                  <w:r>
                    <w:rPr>
                      <w:rFonts w:hint="default" w:ascii="Times New Roman" w:hAnsi="Times New Roman" w:cs="Times New Roman"/>
                      <w:color w:val="auto"/>
                      <w:lang w:val="en-US" w:eastAsia="zh-CN"/>
                    </w:rPr>
                    <w:t>排放，排气筒高度1</w:t>
                  </w:r>
                  <w:r>
                    <w:rPr>
                      <w:rFonts w:hint="eastAsia" w:cs="Times New Roman"/>
                      <w:color w:val="auto"/>
                      <w:lang w:val="en-US" w:eastAsia="zh-CN"/>
                    </w:rPr>
                    <w:t>5</w:t>
                  </w:r>
                  <w:r>
                    <w:rPr>
                      <w:rFonts w:hint="default" w:ascii="Times New Roman" w:hAnsi="Times New Roman" w:cs="Times New Roman"/>
                      <w:color w:val="auto"/>
                      <w:lang w:val="en-US" w:eastAsia="zh-CN"/>
                    </w:rPr>
                    <w:t>m</w:t>
                  </w:r>
                </w:p>
              </w:tc>
              <w:tc>
                <w:tcPr>
                  <w:tcW w:w="1294" w:type="dxa"/>
                  <w:tcBorders>
                    <w:tl2br w:val="nil"/>
                    <w:tr2bl w:val="nil"/>
                  </w:tcBorders>
                  <w:noWrap w:val="0"/>
                  <w:vAlign w:val="center"/>
                </w:tcPr>
                <w:p w14:paraId="28FE6EAF">
                  <w:pPr>
                    <w:pStyle w:val="85"/>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w:t>
                  </w:r>
                </w:p>
              </w:tc>
            </w:tr>
            <w:tr w14:paraId="31B98A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l2br w:val="nil"/>
                    <w:tr2bl w:val="nil"/>
                  </w:tcBorders>
                  <w:noWrap w:val="0"/>
                  <w:vAlign w:val="center"/>
                </w:tcPr>
                <w:p w14:paraId="2F6985B2">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3</w:t>
                  </w:r>
                </w:p>
              </w:tc>
              <w:tc>
                <w:tcPr>
                  <w:tcW w:w="1123" w:type="dxa"/>
                  <w:tcBorders>
                    <w:tl2br w:val="nil"/>
                    <w:tr2bl w:val="nil"/>
                  </w:tcBorders>
                  <w:noWrap w:val="0"/>
                  <w:vAlign w:val="center"/>
                </w:tcPr>
                <w:p w14:paraId="27F9E20A">
                  <w:pPr>
                    <w:pStyle w:val="85"/>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4985" w:type="dxa"/>
                  <w:tcBorders>
                    <w:tl2br w:val="nil"/>
                    <w:tr2bl w:val="nil"/>
                  </w:tcBorders>
                  <w:noWrap w:val="0"/>
                  <w:vAlign w:val="center"/>
                </w:tcPr>
                <w:p w14:paraId="17F64BEE">
                  <w:pPr>
                    <w:pStyle w:val="85"/>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污水处理设施一套，处理工艺</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调节+沉淀+消毒</w:t>
                  </w:r>
                </w:p>
              </w:tc>
              <w:tc>
                <w:tcPr>
                  <w:tcW w:w="1294" w:type="dxa"/>
                  <w:tcBorders>
                    <w:tl2br w:val="nil"/>
                    <w:tr2bl w:val="nil"/>
                  </w:tcBorders>
                  <w:noWrap w:val="0"/>
                  <w:vAlign w:val="center"/>
                </w:tcPr>
                <w:p w14:paraId="3C670621">
                  <w:pPr>
                    <w:pStyle w:val="85"/>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w:t>
                  </w:r>
                </w:p>
              </w:tc>
            </w:tr>
            <w:tr w14:paraId="15312A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noWrap w:val="0"/>
                  <w:vAlign w:val="center"/>
                </w:tcPr>
                <w:p w14:paraId="16DF31FA">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4</w:t>
                  </w:r>
                </w:p>
              </w:tc>
              <w:tc>
                <w:tcPr>
                  <w:tcW w:w="1123" w:type="dxa"/>
                  <w:tcBorders>
                    <w:tl2br w:val="nil"/>
                    <w:tr2bl w:val="nil"/>
                  </w:tcBorders>
                  <w:noWrap w:val="0"/>
                  <w:vAlign w:val="center"/>
                </w:tcPr>
                <w:p w14:paraId="35DDFADE">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噪声</w:t>
                  </w:r>
                </w:p>
              </w:tc>
              <w:tc>
                <w:tcPr>
                  <w:tcW w:w="4985" w:type="dxa"/>
                  <w:tcBorders>
                    <w:tl2br w:val="nil"/>
                    <w:tr2bl w:val="nil"/>
                  </w:tcBorders>
                  <w:noWrap w:val="0"/>
                  <w:vAlign w:val="center"/>
                </w:tcPr>
                <w:p w14:paraId="4CFCBAAA">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cs="Times New Roman"/>
                      <w:color w:val="auto"/>
                      <w:sz w:val="21"/>
                      <w:szCs w:val="21"/>
                    </w:rPr>
                    <w:t>隔声</w:t>
                  </w:r>
                  <w:r>
                    <w:rPr>
                      <w:rFonts w:hint="eastAsia" w:cs="Times New Roman"/>
                      <w:color w:val="auto"/>
                      <w:sz w:val="21"/>
                      <w:szCs w:val="21"/>
                      <w:lang w:val="en-US" w:eastAsia="zh-CN"/>
                    </w:rPr>
                    <w:t>罩</w:t>
                  </w:r>
                  <w:r>
                    <w:rPr>
                      <w:rFonts w:hint="default" w:ascii="Times New Roman" w:hAnsi="Times New Roman" w:cs="Times New Roman"/>
                      <w:color w:val="auto"/>
                      <w:sz w:val="21"/>
                      <w:szCs w:val="21"/>
                    </w:rPr>
                    <w:t>+低噪声设备+</w:t>
                  </w:r>
                  <w:r>
                    <w:rPr>
                      <w:rFonts w:hint="eastAsia" w:cs="Times New Roman"/>
                      <w:color w:val="auto"/>
                      <w:sz w:val="21"/>
                      <w:szCs w:val="21"/>
                      <w:lang w:val="en-US" w:eastAsia="zh-CN"/>
                    </w:rPr>
                    <w:t>基础</w:t>
                  </w:r>
                  <w:r>
                    <w:rPr>
                      <w:rFonts w:hint="default" w:ascii="Times New Roman" w:hAnsi="Times New Roman" w:cs="Times New Roman"/>
                      <w:color w:val="auto"/>
                      <w:sz w:val="21"/>
                      <w:szCs w:val="21"/>
                    </w:rPr>
                    <w:t>减震</w:t>
                  </w:r>
                  <w:r>
                    <w:rPr>
                      <w:rFonts w:hint="eastAsia" w:cs="Times New Roman"/>
                      <w:color w:val="auto"/>
                      <w:sz w:val="21"/>
                      <w:szCs w:val="21"/>
                      <w:lang w:val="en-US" w:eastAsia="zh-CN"/>
                    </w:rPr>
                    <w:t>+消音器</w:t>
                  </w:r>
                </w:p>
              </w:tc>
              <w:tc>
                <w:tcPr>
                  <w:tcW w:w="1294" w:type="dxa"/>
                  <w:tcBorders>
                    <w:tl2br w:val="nil"/>
                    <w:tr2bl w:val="nil"/>
                  </w:tcBorders>
                  <w:noWrap w:val="0"/>
                  <w:vAlign w:val="center"/>
                </w:tcPr>
                <w:p w14:paraId="18C212F5">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color w:val="auto"/>
                      <w:sz w:val="21"/>
                      <w:szCs w:val="21"/>
                      <w:lang w:val="en-US" w:eastAsia="zh-CN"/>
                    </w:rPr>
                    <w:t>5</w:t>
                  </w:r>
                </w:p>
              </w:tc>
            </w:tr>
            <w:tr w14:paraId="09B240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dxa"/>
                  <w:tcBorders>
                    <w:tl2br w:val="nil"/>
                    <w:tr2bl w:val="nil"/>
                  </w:tcBorders>
                  <w:noWrap w:val="0"/>
                  <w:vAlign w:val="center"/>
                </w:tcPr>
                <w:p w14:paraId="6D3439C4">
                  <w:pPr>
                    <w:pStyle w:val="85"/>
                    <w:ind w:firstLine="0" w:firstLineChars="0"/>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5</w:t>
                  </w:r>
                </w:p>
              </w:tc>
              <w:tc>
                <w:tcPr>
                  <w:tcW w:w="1123" w:type="dxa"/>
                  <w:vMerge w:val="restart"/>
                  <w:tcBorders>
                    <w:tl2br w:val="nil"/>
                    <w:tr2bl w:val="nil"/>
                  </w:tcBorders>
                  <w:noWrap w:val="0"/>
                  <w:vAlign w:val="center"/>
                </w:tcPr>
                <w:p w14:paraId="75DFBC91">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4985" w:type="dxa"/>
                  <w:tcBorders>
                    <w:tl2br w:val="nil"/>
                    <w:tr2bl w:val="nil"/>
                  </w:tcBorders>
                  <w:noWrap w:val="0"/>
                  <w:vAlign w:val="center"/>
                </w:tcPr>
                <w:p w14:paraId="18DD8DF2">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生活垃圾：分类垃圾桶</w:t>
                  </w:r>
                </w:p>
              </w:tc>
              <w:tc>
                <w:tcPr>
                  <w:tcW w:w="1294" w:type="dxa"/>
                  <w:tcBorders>
                    <w:tl2br w:val="nil"/>
                    <w:tr2bl w:val="nil"/>
                  </w:tcBorders>
                  <w:noWrap w:val="0"/>
                  <w:vAlign w:val="center"/>
                </w:tcPr>
                <w:p w14:paraId="1B780AE2">
                  <w:pPr>
                    <w:pStyle w:val="85"/>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w:t>
                  </w:r>
                </w:p>
              </w:tc>
            </w:tr>
            <w:tr w14:paraId="6A3B50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32" w:type="dxa"/>
                  <w:tcBorders>
                    <w:tl2br w:val="nil"/>
                    <w:tr2bl w:val="nil"/>
                  </w:tcBorders>
                  <w:noWrap w:val="0"/>
                  <w:vAlign w:val="center"/>
                </w:tcPr>
                <w:p w14:paraId="23A6EEE5">
                  <w:pPr>
                    <w:pStyle w:val="85"/>
                    <w:ind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p>
              </w:tc>
              <w:tc>
                <w:tcPr>
                  <w:tcW w:w="1123" w:type="dxa"/>
                  <w:vMerge w:val="continue"/>
                  <w:tcBorders>
                    <w:tl2br w:val="nil"/>
                    <w:tr2bl w:val="nil"/>
                  </w:tcBorders>
                  <w:noWrap w:val="0"/>
                  <w:vAlign w:val="center"/>
                </w:tcPr>
                <w:p w14:paraId="23F03524">
                  <w:pPr>
                    <w:pStyle w:val="85"/>
                    <w:rPr>
                      <w:rFonts w:hint="default" w:ascii="Times New Roman" w:hAnsi="Times New Roman" w:cs="Times New Roman"/>
                      <w:color w:val="auto"/>
                      <w:sz w:val="21"/>
                      <w:szCs w:val="21"/>
                    </w:rPr>
                  </w:pPr>
                </w:p>
              </w:tc>
              <w:tc>
                <w:tcPr>
                  <w:tcW w:w="4985" w:type="dxa"/>
                  <w:tcBorders>
                    <w:tl2br w:val="nil"/>
                    <w:tr2bl w:val="nil"/>
                  </w:tcBorders>
                  <w:noWrap w:val="0"/>
                  <w:vAlign w:val="center"/>
                </w:tcPr>
                <w:p w14:paraId="0D6CD638">
                  <w:pPr>
                    <w:pStyle w:val="85"/>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危险废物：</w:t>
                  </w:r>
                  <w:r>
                    <w:rPr>
                      <w:rFonts w:hint="default" w:ascii="Times New Roman" w:hAnsi="Times New Roman" w:cs="Times New Roman"/>
                      <w:color w:val="auto"/>
                      <w:sz w:val="21"/>
                      <w:szCs w:val="21"/>
                      <w:lang w:eastAsia="zh-CN"/>
                    </w:rPr>
                    <w:t>危废贮存库</w:t>
                  </w:r>
                </w:p>
              </w:tc>
              <w:tc>
                <w:tcPr>
                  <w:tcW w:w="1294" w:type="dxa"/>
                  <w:tcBorders>
                    <w:tl2br w:val="nil"/>
                    <w:tr2bl w:val="nil"/>
                  </w:tcBorders>
                  <w:noWrap w:val="0"/>
                  <w:vAlign w:val="center"/>
                </w:tcPr>
                <w:p w14:paraId="1F43A0B2">
                  <w:pPr>
                    <w:pStyle w:val="85"/>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r>
            <w:tr w14:paraId="23DEFA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gridSpan w:val="2"/>
                  <w:tcBorders>
                    <w:tl2br w:val="nil"/>
                    <w:tr2bl w:val="nil"/>
                  </w:tcBorders>
                  <w:noWrap w:val="0"/>
                  <w:vAlign w:val="center"/>
                </w:tcPr>
                <w:p w14:paraId="2552CFE1">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4985" w:type="dxa"/>
                  <w:tcBorders>
                    <w:tl2br w:val="nil"/>
                    <w:tr2bl w:val="nil"/>
                  </w:tcBorders>
                  <w:noWrap w:val="0"/>
                  <w:vAlign w:val="center"/>
                </w:tcPr>
                <w:p w14:paraId="773EBEDB">
                  <w:pPr>
                    <w:pStyle w:val="8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94" w:type="dxa"/>
                  <w:tcBorders>
                    <w:tl2br w:val="nil"/>
                    <w:tr2bl w:val="nil"/>
                  </w:tcBorders>
                  <w:noWrap w:val="0"/>
                  <w:vAlign w:val="center"/>
                </w:tcPr>
                <w:p w14:paraId="2FBC8055">
                  <w:pPr>
                    <w:pStyle w:val="85"/>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27.5</w:t>
                  </w:r>
                </w:p>
              </w:tc>
            </w:tr>
          </w:tbl>
          <w:p w14:paraId="584BBF5B">
            <w:pPr>
              <w:keepNext/>
              <w:spacing w:line="520" w:lineRule="exact"/>
              <w:outlineLvl w:val="9"/>
              <w:rPr>
                <w:rFonts w:hint="default" w:ascii="Times New Roman" w:hAnsi="Times New Roman" w:cs="Times New Roman"/>
                <w:color w:val="auto"/>
                <w:sz w:val="24"/>
              </w:rPr>
            </w:pPr>
          </w:p>
        </w:tc>
      </w:tr>
    </w:tbl>
    <w:p w14:paraId="600DA422">
      <w:pPr>
        <w:adjustRightInd w:val="0"/>
        <w:snapToGrid w:val="0"/>
        <w:spacing w:line="360" w:lineRule="auto"/>
        <w:rPr>
          <w:rFonts w:hint="default" w:ascii="Times New Roman" w:hAnsi="Times New Roman" w:cs="Times New Roman"/>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2B492679">
      <w:pPr>
        <w:pStyle w:val="24"/>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16" w:name="_Hlk54167917"/>
      <w:r>
        <w:rPr>
          <w:rFonts w:hint="default" w:ascii="Times New Roman" w:hAnsi="Times New Roman" w:eastAsia="黑体" w:cs="Times New Roman"/>
          <w:snapToGrid w:val="0"/>
          <w:color w:val="auto"/>
          <w:sz w:val="30"/>
          <w:szCs w:val="30"/>
        </w:rPr>
        <w:t>环境保护措施监督检查清单</w:t>
      </w:r>
      <w:bookmarkEnd w:id="16"/>
    </w:p>
    <w:tbl>
      <w:tblPr>
        <w:tblStyle w:val="28"/>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665"/>
        <w:gridCol w:w="1575"/>
        <w:gridCol w:w="2130"/>
        <w:gridCol w:w="2147"/>
      </w:tblGrid>
      <w:tr w14:paraId="1C512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tcBorders>
              <w:tl2br w:val="single" w:color="auto" w:sz="4" w:space="0"/>
            </w:tcBorders>
          </w:tcPr>
          <w:p w14:paraId="0BA3341A">
            <w:pPr>
              <w:adjustRightInd w:val="0"/>
              <w:snapToGrid w:val="0"/>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内容</w:t>
            </w:r>
          </w:p>
          <w:p w14:paraId="31B13C87">
            <w:pPr>
              <w:adjustRightInd w:val="0"/>
              <w:snapToGrid w:val="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要素</w:t>
            </w:r>
          </w:p>
        </w:tc>
        <w:tc>
          <w:tcPr>
            <w:tcW w:w="1665" w:type="dxa"/>
            <w:vAlign w:val="center"/>
          </w:tcPr>
          <w:p w14:paraId="5370E849">
            <w:pPr>
              <w:adjustRightInd w:val="0"/>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排放口(编号、</w:t>
            </w:r>
          </w:p>
          <w:p w14:paraId="623EF084">
            <w:pPr>
              <w:adjustRightInd w:val="0"/>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名称)/污染源</w:t>
            </w:r>
          </w:p>
        </w:tc>
        <w:tc>
          <w:tcPr>
            <w:tcW w:w="1575" w:type="dxa"/>
            <w:vAlign w:val="center"/>
          </w:tcPr>
          <w:p w14:paraId="3D0A0A7F">
            <w:pPr>
              <w:adjustRightInd w:val="0"/>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污染物项目</w:t>
            </w:r>
          </w:p>
        </w:tc>
        <w:tc>
          <w:tcPr>
            <w:tcW w:w="2130" w:type="dxa"/>
            <w:vAlign w:val="center"/>
          </w:tcPr>
          <w:p w14:paraId="2ECE86DD">
            <w:pPr>
              <w:adjustRightInd w:val="0"/>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环境保护措施</w:t>
            </w:r>
          </w:p>
        </w:tc>
        <w:tc>
          <w:tcPr>
            <w:tcW w:w="2147" w:type="dxa"/>
            <w:vAlign w:val="center"/>
          </w:tcPr>
          <w:p w14:paraId="63129C2C">
            <w:pPr>
              <w:adjustRightInd w:val="0"/>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执行标准</w:t>
            </w:r>
          </w:p>
        </w:tc>
      </w:tr>
      <w:tr w14:paraId="718BC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vMerge w:val="restart"/>
            <w:vAlign w:val="center"/>
          </w:tcPr>
          <w:p w14:paraId="5761935A">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大气环境</w:t>
            </w:r>
          </w:p>
        </w:tc>
        <w:tc>
          <w:tcPr>
            <w:tcW w:w="1665" w:type="dxa"/>
            <w:vAlign w:val="center"/>
          </w:tcPr>
          <w:p w14:paraId="1F52B667">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有机废气排放口DA001</w:t>
            </w:r>
          </w:p>
        </w:tc>
        <w:tc>
          <w:tcPr>
            <w:tcW w:w="1575" w:type="dxa"/>
            <w:vAlign w:val="center"/>
          </w:tcPr>
          <w:p w14:paraId="60FDACBF">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非甲烷总烃</w:t>
            </w:r>
          </w:p>
        </w:tc>
        <w:tc>
          <w:tcPr>
            <w:tcW w:w="2130" w:type="dxa"/>
            <w:vAlign w:val="center"/>
          </w:tcPr>
          <w:p w14:paraId="39F2B1CF">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设置通风橱，废气经管道收集引至楼顶经活性炭吸附装置（1套）处理后经1根排气筒排放</w:t>
            </w:r>
          </w:p>
        </w:tc>
        <w:tc>
          <w:tcPr>
            <w:tcW w:w="2147" w:type="dxa"/>
            <w:tcMar>
              <w:left w:w="0" w:type="dxa"/>
              <w:right w:w="0" w:type="dxa"/>
            </w:tcMar>
            <w:vAlign w:val="center"/>
          </w:tcPr>
          <w:p w14:paraId="67A25BB3">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《大气污染物综合排放标准》(GB16297-1996)</w:t>
            </w:r>
          </w:p>
          <w:p w14:paraId="181B7864">
            <w:pPr>
              <w:adjustRightInd w:val="0"/>
              <w:snapToGrid w:val="0"/>
              <w:jc w:val="center"/>
              <w:rPr>
                <w:rFonts w:hint="default" w:ascii="Times New Roman" w:hAnsi="Times New Roman" w:cs="Times New Roman"/>
                <w:color w:val="auto"/>
                <w:sz w:val="24"/>
                <w:szCs w:val="24"/>
                <w:lang w:val="en-US" w:eastAsia="zh-CN"/>
              </w:rPr>
            </w:pPr>
          </w:p>
        </w:tc>
      </w:tr>
      <w:tr w14:paraId="5C23C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vMerge w:val="continue"/>
            <w:vAlign w:val="center"/>
          </w:tcPr>
          <w:p w14:paraId="14B451F9">
            <w:pPr>
              <w:adjustRightInd w:val="0"/>
              <w:snapToGrid w:val="0"/>
              <w:jc w:val="center"/>
              <w:rPr>
                <w:rFonts w:hint="default" w:ascii="Times New Roman" w:hAnsi="Times New Roman" w:cs="Times New Roman"/>
                <w:color w:val="auto"/>
                <w:sz w:val="24"/>
                <w:szCs w:val="24"/>
                <w:lang w:val="en-US" w:eastAsia="zh-CN"/>
              </w:rPr>
            </w:pPr>
          </w:p>
        </w:tc>
        <w:tc>
          <w:tcPr>
            <w:tcW w:w="1665" w:type="dxa"/>
            <w:vAlign w:val="center"/>
          </w:tcPr>
          <w:p w14:paraId="153081F9">
            <w:pPr>
              <w:adjustRightInd w:val="0"/>
              <w:snapToGrid w:val="0"/>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异味气体</w:t>
            </w:r>
            <w:r>
              <w:rPr>
                <w:rFonts w:hint="default" w:ascii="Times New Roman" w:hAnsi="Times New Roman" w:cs="Times New Roman"/>
                <w:color w:val="auto"/>
                <w:sz w:val="24"/>
                <w:szCs w:val="24"/>
                <w:lang w:val="en-US" w:eastAsia="zh-CN"/>
              </w:rPr>
              <w:t>排放口DA002</w:t>
            </w:r>
          </w:p>
        </w:tc>
        <w:tc>
          <w:tcPr>
            <w:tcW w:w="1575" w:type="dxa"/>
            <w:vAlign w:val="center"/>
          </w:tcPr>
          <w:p w14:paraId="1A656AB4">
            <w:pPr>
              <w:adjustRightInd w:val="0"/>
              <w:snapToGrid w:val="0"/>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臭气浓度</w:t>
            </w:r>
          </w:p>
        </w:tc>
        <w:tc>
          <w:tcPr>
            <w:tcW w:w="2130" w:type="dxa"/>
            <w:vAlign w:val="center"/>
          </w:tcPr>
          <w:p w14:paraId="51D2B8A5">
            <w:pPr>
              <w:adjustRightInd w:val="0"/>
              <w:snapToGrid w:val="0"/>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位于封闭空间</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设置</w:t>
            </w:r>
            <w:r>
              <w:rPr>
                <w:rFonts w:hint="default" w:ascii="Times New Roman" w:hAnsi="Times New Roman" w:cs="Times New Roman"/>
                <w:color w:val="auto"/>
                <w:sz w:val="24"/>
                <w:szCs w:val="24"/>
                <w:lang w:val="en-US" w:eastAsia="zh-CN"/>
              </w:rPr>
              <w:t>集气罩</w:t>
            </w:r>
            <w:r>
              <w:rPr>
                <w:rFonts w:hint="eastAsia" w:cs="Times New Roman"/>
                <w:color w:val="auto"/>
                <w:sz w:val="24"/>
                <w:szCs w:val="24"/>
                <w:lang w:val="en-US" w:eastAsia="zh-CN"/>
              </w:rPr>
              <w:t>，废气经集气罩</w:t>
            </w:r>
            <w:r>
              <w:rPr>
                <w:rFonts w:hint="default" w:ascii="Times New Roman" w:hAnsi="Times New Roman" w:cs="Times New Roman"/>
                <w:color w:val="auto"/>
                <w:sz w:val="24"/>
                <w:szCs w:val="24"/>
                <w:lang w:val="en-US" w:eastAsia="zh-CN"/>
              </w:rPr>
              <w:t>收集</w:t>
            </w:r>
            <w:r>
              <w:rPr>
                <w:rFonts w:hint="eastAsia" w:cs="Times New Roman"/>
                <w:color w:val="auto"/>
                <w:sz w:val="24"/>
                <w:szCs w:val="24"/>
                <w:lang w:val="en-US" w:eastAsia="zh-CN"/>
              </w:rPr>
              <w:t>后</w:t>
            </w:r>
            <w:r>
              <w:rPr>
                <w:rFonts w:hint="default" w:ascii="Times New Roman" w:hAnsi="Times New Roman" w:cs="Times New Roman"/>
                <w:color w:val="auto"/>
                <w:sz w:val="24"/>
                <w:szCs w:val="24"/>
                <w:lang w:val="en-US" w:eastAsia="zh-CN"/>
              </w:rPr>
              <w:t>引至楼顶经活性炭吸附装置（1套）处理后经1根排气筒排放</w:t>
            </w:r>
          </w:p>
        </w:tc>
        <w:tc>
          <w:tcPr>
            <w:tcW w:w="2147" w:type="dxa"/>
            <w:tcMar>
              <w:left w:w="0" w:type="dxa"/>
              <w:right w:w="0" w:type="dxa"/>
            </w:tcMar>
            <w:vAlign w:val="center"/>
          </w:tcPr>
          <w:p w14:paraId="45FF746D">
            <w:pPr>
              <w:adjustRightInd w:val="0"/>
              <w:snapToGrid w:val="0"/>
              <w:jc w:val="center"/>
              <w:rPr>
                <w:rFonts w:hint="default" w:ascii="Times New Roman" w:hAnsi="Times New Roman" w:cs="Times New Roman"/>
                <w:color w:val="auto"/>
                <w:sz w:val="24"/>
                <w:szCs w:val="24"/>
                <w:lang w:val="en-US" w:eastAsia="zh-CN"/>
              </w:rPr>
            </w:pP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4"/>
                <w:szCs w:val="24"/>
                <w:lang w:val="en-US" w:eastAsia="zh-CN"/>
              </w:rPr>
              <w:t>恶臭污染物排放标准》（</w:t>
            </w:r>
            <w:r>
              <w:rPr>
                <w:rFonts w:hint="default" w:ascii="Times New Roman" w:hAnsi="Times New Roman" w:eastAsia="宋体" w:cs="Times New Roman"/>
                <w:color w:val="auto"/>
                <w:sz w:val="24"/>
                <w:szCs w:val="24"/>
                <w:lang w:val="en-US" w:eastAsia="zh-CN"/>
              </w:rPr>
              <w:t>GB14554-93</w:t>
            </w:r>
            <w:r>
              <w:rPr>
                <w:rFonts w:hint="eastAsia" w:ascii="Times New Roman" w:hAnsi="Times New Roman" w:eastAsia="宋体" w:cs="Times New Roman"/>
                <w:color w:val="auto"/>
                <w:sz w:val="24"/>
                <w:szCs w:val="24"/>
                <w:lang w:val="en-US" w:eastAsia="zh-CN"/>
              </w:rPr>
              <w:t>）</w:t>
            </w:r>
          </w:p>
        </w:tc>
      </w:tr>
      <w:tr w14:paraId="772E1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vMerge w:val="continue"/>
            <w:vAlign w:val="center"/>
          </w:tcPr>
          <w:p w14:paraId="02B7DF5B">
            <w:pPr>
              <w:adjustRightInd w:val="0"/>
              <w:snapToGrid w:val="0"/>
              <w:jc w:val="center"/>
              <w:rPr>
                <w:rFonts w:hint="default" w:ascii="Times New Roman" w:hAnsi="Times New Roman" w:cs="Times New Roman"/>
                <w:color w:val="auto"/>
                <w:sz w:val="24"/>
                <w:szCs w:val="24"/>
                <w:lang w:val="en-US" w:eastAsia="zh-CN"/>
              </w:rPr>
            </w:pPr>
          </w:p>
        </w:tc>
        <w:tc>
          <w:tcPr>
            <w:tcW w:w="1665" w:type="dxa"/>
            <w:vAlign w:val="center"/>
          </w:tcPr>
          <w:p w14:paraId="3B9C0699">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实验室无组织</w:t>
            </w:r>
          </w:p>
        </w:tc>
        <w:tc>
          <w:tcPr>
            <w:tcW w:w="1575" w:type="dxa"/>
            <w:vAlign w:val="center"/>
          </w:tcPr>
          <w:p w14:paraId="2F305978">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颗粒物</w:t>
            </w:r>
          </w:p>
          <w:p w14:paraId="654FBF46">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非甲烷总烃</w:t>
            </w:r>
          </w:p>
          <w:p w14:paraId="3E42B786">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氨气</w:t>
            </w:r>
          </w:p>
        </w:tc>
        <w:tc>
          <w:tcPr>
            <w:tcW w:w="2130" w:type="dxa"/>
            <w:vAlign w:val="center"/>
          </w:tcPr>
          <w:p w14:paraId="083B3B74">
            <w:pPr>
              <w:adjustRightInd w:val="0"/>
              <w:snapToGrid w:val="0"/>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室内</w:t>
            </w:r>
          </w:p>
        </w:tc>
        <w:tc>
          <w:tcPr>
            <w:tcW w:w="2147" w:type="dxa"/>
            <w:tcMar>
              <w:left w:w="0" w:type="dxa"/>
              <w:right w:w="0" w:type="dxa"/>
            </w:tcMar>
            <w:vAlign w:val="center"/>
          </w:tcPr>
          <w:p w14:paraId="324A89D7">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《大气污染物综合排放标准》（GB16297-1996）</w:t>
            </w:r>
          </w:p>
          <w:p w14:paraId="0F1C01A2">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《挥发性有机物无组织排放控制标准》</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GB37822-2019</w:t>
            </w:r>
            <w:r>
              <w:rPr>
                <w:rFonts w:hint="eastAsia" w:cs="Times New Roman"/>
                <w:color w:val="auto"/>
                <w:sz w:val="24"/>
                <w:szCs w:val="24"/>
                <w:lang w:val="en-US" w:eastAsia="zh-CN"/>
              </w:rPr>
              <w:t>）</w:t>
            </w:r>
          </w:p>
          <w:p w14:paraId="39968FA0">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《恶臭污染物排放标准》（GB14554-93）</w:t>
            </w:r>
          </w:p>
        </w:tc>
      </w:tr>
      <w:tr w14:paraId="23D94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vAlign w:val="center"/>
          </w:tcPr>
          <w:p w14:paraId="74AF5CF7">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地表水环境</w:t>
            </w:r>
          </w:p>
        </w:tc>
        <w:tc>
          <w:tcPr>
            <w:tcW w:w="1665" w:type="dxa"/>
            <w:vAlign w:val="center"/>
          </w:tcPr>
          <w:p w14:paraId="0417F810">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废水排放口</w:t>
            </w:r>
          </w:p>
        </w:tc>
        <w:tc>
          <w:tcPr>
            <w:tcW w:w="1575" w:type="dxa"/>
            <w:vAlign w:val="center"/>
          </w:tcPr>
          <w:p w14:paraId="068CCAD0">
            <w:pPr>
              <w:adjustRightInd w:val="0"/>
              <w:snapToGrid w:val="0"/>
              <w:jc w:val="center"/>
              <w:rPr>
                <w:rFonts w:hint="default"/>
                <w:color w:val="auto"/>
                <w:sz w:val="24"/>
                <w:szCs w:val="24"/>
                <w:lang w:val="en-US" w:eastAsia="zh-CN"/>
              </w:rPr>
            </w:pPr>
            <w:r>
              <w:rPr>
                <w:rFonts w:hint="default"/>
                <w:color w:val="auto"/>
                <w:sz w:val="24"/>
                <w:szCs w:val="24"/>
                <w:lang w:val="en-US" w:eastAsia="zh-CN"/>
              </w:rPr>
              <w:t>COD</w:t>
            </w:r>
          </w:p>
          <w:p w14:paraId="628EF292">
            <w:pPr>
              <w:adjustRightInd w:val="0"/>
              <w:snapToGrid w:val="0"/>
              <w:jc w:val="center"/>
              <w:rPr>
                <w:rFonts w:hint="default"/>
                <w:color w:val="auto"/>
                <w:sz w:val="24"/>
                <w:szCs w:val="24"/>
                <w:lang w:val="en-US" w:eastAsia="zh-CN"/>
              </w:rPr>
            </w:pPr>
            <w:r>
              <w:rPr>
                <w:rFonts w:hint="default"/>
                <w:color w:val="auto"/>
                <w:sz w:val="24"/>
                <w:szCs w:val="24"/>
                <w:lang w:val="en-US" w:eastAsia="zh-CN"/>
              </w:rPr>
              <w:t>BOD</w:t>
            </w:r>
            <w:r>
              <w:rPr>
                <w:rFonts w:hint="default"/>
                <w:color w:val="auto"/>
                <w:sz w:val="24"/>
                <w:szCs w:val="24"/>
                <w:vertAlign w:val="subscript"/>
                <w:lang w:val="en-US" w:eastAsia="zh-CN"/>
              </w:rPr>
              <w:t>5</w:t>
            </w:r>
          </w:p>
          <w:p w14:paraId="0478FFFA">
            <w:pPr>
              <w:adjustRightInd w:val="0"/>
              <w:snapToGrid w:val="0"/>
              <w:jc w:val="center"/>
              <w:rPr>
                <w:rFonts w:hint="default"/>
                <w:color w:val="auto"/>
                <w:sz w:val="24"/>
                <w:szCs w:val="24"/>
                <w:lang w:val="en-US" w:eastAsia="zh-CN"/>
              </w:rPr>
            </w:pPr>
            <w:r>
              <w:rPr>
                <w:rFonts w:hint="default"/>
                <w:color w:val="auto"/>
                <w:sz w:val="24"/>
                <w:szCs w:val="24"/>
                <w:lang w:val="en-US" w:eastAsia="zh-CN"/>
              </w:rPr>
              <w:t>SS</w:t>
            </w:r>
          </w:p>
          <w:p w14:paraId="7D2BB96C">
            <w:pPr>
              <w:adjustRightInd w:val="0"/>
              <w:snapToGrid w:val="0"/>
              <w:jc w:val="center"/>
              <w:rPr>
                <w:rFonts w:hint="default"/>
                <w:color w:val="auto"/>
                <w:lang w:val="en-US" w:eastAsia="zh-CN"/>
              </w:rPr>
            </w:pPr>
            <w:r>
              <w:rPr>
                <w:rFonts w:hint="default"/>
                <w:color w:val="auto"/>
                <w:sz w:val="24"/>
                <w:szCs w:val="24"/>
                <w:lang w:val="en-US" w:eastAsia="zh-CN"/>
              </w:rPr>
              <w:t>NH</w:t>
            </w:r>
            <w:r>
              <w:rPr>
                <w:rFonts w:hint="default"/>
                <w:color w:val="auto"/>
                <w:sz w:val="24"/>
                <w:szCs w:val="24"/>
                <w:vertAlign w:val="subscript"/>
                <w:lang w:val="en-US" w:eastAsia="zh-CN"/>
              </w:rPr>
              <w:t>3</w:t>
            </w:r>
            <w:r>
              <w:rPr>
                <w:rFonts w:hint="default"/>
                <w:color w:val="auto"/>
                <w:sz w:val="24"/>
                <w:szCs w:val="24"/>
                <w:lang w:val="en-US" w:eastAsia="zh-CN"/>
              </w:rPr>
              <w:t>-N</w:t>
            </w:r>
          </w:p>
        </w:tc>
        <w:tc>
          <w:tcPr>
            <w:tcW w:w="2130" w:type="dxa"/>
            <w:tcMar>
              <w:left w:w="28" w:type="dxa"/>
              <w:right w:w="28" w:type="dxa"/>
            </w:tcMar>
            <w:vAlign w:val="center"/>
          </w:tcPr>
          <w:p w14:paraId="001470D1">
            <w:pPr>
              <w:adjustRightInd w:val="0"/>
              <w:snapToGrid w:val="0"/>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实验废水</w:t>
            </w:r>
            <w:r>
              <w:rPr>
                <w:rFonts w:hint="eastAsia" w:ascii="Times New Roman" w:hAnsi="Times New Roman" w:eastAsia="宋体" w:cs="Times New Roman"/>
                <w:color w:val="auto"/>
                <w:sz w:val="24"/>
                <w:szCs w:val="24"/>
                <w:lang w:val="en-US" w:eastAsia="zh-CN"/>
              </w:rPr>
              <w:t>经污水处理设施处理后，</w:t>
            </w:r>
            <w:r>
              <w:rPr>
                <w:rFonts w:hint="default" w:ascii="Times New Roman" w:hAnsi="Times New Roman" w:eastAsia="宋体" w:cs="Times New Roman"/>
                <w:color w:val="auto"/>
                <w:sz w:val="24"/>
                <w:szCs w:val="24"/>
                <w:lang w:val="en-US" w:eastAsia="zh-CN"/>
              </w:rPr>
              <w:t>与生活污水</w:t>
            </w:r>
            <w:r>
              <w:rPr>
                <w:rFonts w:hint="eastAsia" w:ascii="Times New Roman" w:hAnsi="Times New Roman" w:eastAsia="宋体" w:cs="Times New Roman"/>
                <w:color w:val="auto"/>
                <w:sz w:val="24"/>
                <w:szCs w:val="24"/>
                <w:lang w:val="en-US" w:eastAsia="zh-CN"/>
              </w:rPr>
              <w:t>一并排入隆桥瑞苑小区</w:t>
            </w:r>
            <w:r>
              <w:rPr>
                <w:rFonts w:hint="default" w:ascii="Times New Roman" w:hAnsi="Times New Roman" w:eastAsia="宋体" w:cs="Times New Roman"/>
                <w:color w:val="auto"/>
                <w:sz w:val="24"/>
                <w:szCs w:val="24"/>
                <w:lang w:val="en-US" w:eastAsia="zh-CN"/>
              </w:rPr>
              <w:t>化粪池（10</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处理后排入市政污水管网</w:t>
            </w:r>
          </w:p>
        </w:tc>
        <w:tc>
          <w:tcPr>
            <w:tcW w:w="2147" w:type="dxa"/>
            <w:tcMar>
              <w:left w:w="0" w:type="dxa"/>
              <w:right w:w="0" w:type="dxa"/>
            </w:tcMar>
            <w:vAlign w:val="center"/>
          </w:tcPr>
          <w:p w14:paraId="7AAB7CF1">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《污水综合排放标准》(GB8978-1996)中的三级标准和《污水排入城镇下水道水质标准》（GB/T31962-2015）B级标准</w:t>
            </w:r>
          </w:p>
        </w:tc>
      </w:tr>
      <w:tr w14:paraId="3D6CF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vAlign w:val="center"/>
          </w:tcPr>
          <w:p w14:paraId="33E8F2B7">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声环境</w:t>
            </w:r>
          </w:p>
        </w:tc>
        <w:tc>
          <w:tcPr>
            <w:tcW w:w="1665" w:type="dxa"/>
            <w:vAlign w:val="center"/>
          </w:tcPr>
          <w:p w14:paraId="22272BEE">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设备</w:t>
            </w:r>
          </w:p>
        </w:tc>
        <w:tc>
          <w:tcPr>
            <w:tcW w:w="1575" w:type="dxa"/>
            <w:vAlign w:val="center"/>
          </w:tcPr>
          <w:p w14:paraId="38F5ED0A">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w:t>
            </w:r>
          </w:p>
        </w:tc>
        <w:tc>
          <w:tcPr>
            <w:tcW w:w="2130" w:type="dxa"/>
            <w:tcMar>
              <w:left w:w="0" w:type="dxa"/>
              <w:right w:w="0" w:type="dxa"/>
            </w:tcMar>
            <w:vAlign w:val="center"/>
          </w:tcPr>
          <w:p w14:paraId="4FC281DA">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bCs/>
                <w:color w:val="auto"/>
                <w:sz w:val="24"/>
                <w:szCs w:val="24"/>
                <w:lang w:val="en-US" w:eastAsia="zh-CN"/>
              </w:rPr>
              <w:t>选用低噪声设备，采取</w:t>
            </w:r>
            <w:r>
              <w:rPr>
                <w:rFonts w:hint="default" w:ascii="Times New Roman" w:hAnsi="Times New Roman" w:cs="Times New Roman"/>
                <w:color w:val="auto"/>
                <w:sz w:val="24"/>
                <w:szCs w:val="24"/>
              </w:rPr>
              <w:t>基础减振、合理布置、</w:t>
            </w:r>
            <w:r>
              <w:rPr>
                <w:rFonts w:hint="eastAsia" w:cs="Times New Roman"/>
                <w:color w:val="auto"/>
                <w:sz w:val="24"/>
                <w:szCs w:val="24"/>
                <w:lang w:val="en-US" w:eastAsia="zh-CN"/>
              </w:rPr>
              <w:t>局部</w:t>
            </w:r>
            <w:r>
              <w:rPr>
                <w:rFonts w:hint="default" w:ascii="Times New Roman" w:hAnsi="Times New Roman" w:cs="Times New Roman"/>
                <w:color w:val="auto"/>
                <w:sz w:val="24"/>
                <w:szCs w:val="24"/>
              </w:rPr>
              <w:t>隔声</w:t>
            </w:r>
            <w:r>
              <w:rPr>
                <w:rFonts w:hint="eastAsia" w:cs="Times New Roman"/>
                <w:color w:val="auto"/>
                <w:sz w:val="24"/>
                <w:szCs w:val="24"/>
                <w:lang w:eastAsia="zh-CN"/>
              </w:rPr>
              <w:t>、</w:t>
            </w:r>
            <w:r>
              <w:rPr>
                <w:rFonts w:hint="eastAsia" w:cs="Times New Roman"/>
                <w:color w:val="auto"/>
                <w:sz w:val="24"/>
                <w:szCs w:val="24"/>
                <w:lang w:val="en-US" w:eastAsia="zh-CN"/>
              </w:rPr>
              <w:t>加装消音器</w:t>
            </w:r>
            <w:r>
              <w:rPr>
                <w:rFonts w:hint="default" w:ascii="Times New Roman" w:hAnsi="Times New Roman" w:cs="Times New Roman"/>
                <w:color w:val="auto"/>
                <w:sz w:val="24"/>
                <w:szCs w:val="24"/>
              </w:rPr>
              <w:t>等</w:t>
            </w:r>
            <w:r>
              <w:rPr>
                <w:rFonts w:hint="default" w:ascii="Times New Roman" w:hAnsi="Times New Roman" w:cs="Times New Roman"/>
                <w:color w:val="auto"/>
                <w:sz w:val="24"/>
                <w:szCs w:val="24"/>
                <w:lang w:val="en-US" w:eastAsia="zh-CN"/>
              </w:rPr>
              <w:t>措施</w:t>
            </w:r>
          </w:p>
        </w:tc>
        <w:tc>
          <w:tcPr>
            <w:tcW w:w="2147" w:type="dxa"/>
            <w:tcMar>
              <w:left w:w="0" w:type="dxa"/>
              <w:right w:w="0" w:type="dxa"/>
            </w:tcMar>
            <w:vAlign w:val="center"/>
          </w:tcPr>
          <w:p w14:paraId="283C4643">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《工业企业厂界环境噪声排放标准》(GB12348-2008)中</w:t>
            </w:r>
            <w:r>
              <w:rPr>
                <w:rFonts w:hint="default"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rPr>
              <w:t>类区标准</w:t>
            </w:r>
          </w:p>
        </w:tc>
      </w:tr>
      <w:tr w14:paraId="75730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83" w:type="dxa"/>
            <w:vAlign w:val="center"/>
          </w:tcPr>
          <w:p w14:paraId="7FE38EEB">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电磁辐射</w:t>
            </w:r>
          </w:p>
        </w:tc>
        <w:tc>
          <w:tcPr>
            <w:tcW w:w="1665" w:type="dxa"/>
            <w:vAlign w:val="center"/>
          </w:tcPr>
          <w:p w14:paraId="16C1A5F1">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575" w:type="dxa"/>
            <w:vAlign w:val="center"/>
          </w:tcPr>
          <w:p w14:paraId="452567E1">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2130" w:type="dxa"/>
            <w:vAlign w:val="center"/>
          </w:tcPr>
          <w:p w14:paraId="3786F99E">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2147" w:type="dxa"/>
            <w:vAlign w:val="center"/>
          </w:tcPr>
          <w:p w14:paraId="14D6A57C">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14:paraId="0C8A6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83" w:type="dxa"/>
            <w:vAlign w:val="center"/>
          </w:tcPr>
          <w:p w14:paraId="4624A09D">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固体废物</w:t>
            </w:r>
          </w:p>
        </w:tc>
        <w:tc>
          <w:tcPr>
            <w:tcW w:w="7517" w:type="dxa"/>
            <w:gridSpan w:val="4"/>
            <w:vAlign w:val="center"/>
          </w:tcPr>
          <w:p w14:paraId="269C0179">
            <w:pPr>
              <w:adjustRightInd w:val="0"/>
              <w:snapToGrid w:val="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废试剂瓶、实验废液、废试剂、实验检测废弃物、废活性炭等危险废物暂存危废贮存库，定期交有资质单位处置；</w:t>
            </w:r>
          </w:p>
          <w:p w14:paraId="1800E993">
            <w:pPr>
              <w:adjustRightInd w:val="0"/>
              <w:snapToGrid w:val="0"/>
              <w:jc w:val="left"/>
              <w:rPr>
                <w:rFonts w:hint="default" w:ascii="Times New Roman" w:hAnsi="Times New Roman" w:cs="Times New Roman"/>
                <w:b/>
                <w:bCs/>
                <w:color w:val="auto"/>
                <w:kern w:val="0"/>
                <w:sz w:val="24"/>
                <w:szCs w:val="24"/>
              </w:rPr>
            </w:pPr>
            <w:r>
              <w:rPr>
                <w:rFonts w:hint="default" w:ascii="Times New Roman" w:hAnsi="Times New Roman" w:eastAsia="宋体" w:cs="Times New Roman"/>
                <w:color w:val="auto"/>
                <w:sz w:val="24"/>
                <w:szCs w:val="24"/>
                <w:lang w:val="en-US" w:eastAsia="zh-CN"/>
              </w:rPr>
              <w:t>生活垃圾</w:t>
            </w:r>
            <w:r>
              <w:rPr>
                <w:rFonts w:hint="eastAsia" w:cs="Times New Roman"/>
                <w:color w:val="auto"/>
                <w:sz w:val="24"/>
                <w:szCs w:val="24"/>
                <w:lang w:val="en-US" w:eastAsia="zh-CN"/>
              </w:rPr>
              <w:t>、药渣</w:t>
            </w:r>
            <w:r>
              <w:rPr>
                <w:rFonts w:hint="default" w:ascii="Times New Roman" w:hAnsi="Times New Roman" w:eastAsia="宋体" w:cs="Times New Roman"/>
                <w:color w:val="auto"/>
                <w:sz w:val="24"/>
                <w:szCs w:val="24"/>
                <w:lang w:val="en-US" w:eastAsia="zh-CN"/>
              </w:rPr>
              <w:t>定期交由当地环卫部门处置。</w:t>
            </w:r>
          </w:p>
        </w:tc>
      </w:tr>
      <w:tr w14:paraId="34A2B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283" w:type="dxa"/>
            <w:vAlign w:val="center"/>
          </w:tcPr>
          <w:p w14:paraId="0B49697B">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土壤及地下水污染防治措施</w:t>
            </w:r>
          </w:p>
        </w:tc>
        <w:tc>
          <w:tcPr>
            <w:tcW w:w="7517" w:type="dxa"/>
            <w:gridSpan w:val="4"/>
            <w:vAlign w:val="center"/>
          </w:tcPr>
          <w:p w14:paraId="71074C6F">
            <w:pPr>
              <w:adjustRightInd w:val="0"/>
              <w:snapToGrid w:val="0"/>
              <w:jc w:val="both"/>
              <w:rPr>
                <w:rFonts w:hint="default" w:ascii="Times New Roman" w:hAnsi="Times New Roman" w:cs="Times New Roman"/>
                <w:color w:val="auto"/>
                <w:sz w:val="24"/>
                <w:szCs w:val="24"/>
              </w:rPr>
            </w:pPr>
            <w:r>
              <w:rPr>
                <w:rFonts w:hint="default" w:ascii="Times New Roman" w:hAnsi="Times New Roman" w:eastAsia="宋体" w:cs="Times New Roman"/>
                <w:snapToGrid w:val="0"/>
                <w:color w:val="auto"/>
                <w:kern w:val="2"/>
                <w:sz w:val="24"/>
                <w:szCs w:val="24"/>
                <w:lang w:val="en-US" w:eastAsia="zh-CN" w:bidi="ar-SA"/>
              </w:rPr>
              <w:t>试剂房和危废</w:t>
            </w:r>
            <w:r>
              <w:rPr>
                <w:rFonts w:hint="eastAsia" w:cs="Times New Roman"/>
                <w:snapToGrid w:val="0"/>
                <w:color w:val="auto"/>
                <w:kern w:val="2"/>
                <w:sz w:val="24"/>
                <w:szCs w:val="24"/>
                <w:lang w:val="en-US" w:eastAsia="zh-CN" w:bidi="ar-SA"/>
              </w:rPr>
              <w:t>贮存库</w:t>
            </w:r>
            <w:r>
              <w:rPr>
                <w:rFonts w:hint="default" w:ascii="Times New Roman" w:hAnsi="Times New Roman" w:eastAsia="宋体" w:cs="Times New Roman"/>
                <w:snapToGrid w:val="0"/>
                <w:color w:val="auto"/>
                <w:kern w:val="2"/>
                <w:sz w:val="24"/>
                <w:szCs w:val="24"/>
                <w:lang w:val="en-US" w:eastAsia="zh-CN" w:bidi="ar-SA"/>
              </w:rPr>
              <w:t>采取防渗措施，并设有泄漏液体收集装置（比如托盘及防渗围堰等），满足《危险废物贮存污染控制标准》（GB18597-2023）</w:t>
            </w:r>
            <w:r>
              <w:rPr>
                <w:rFonts w:hint="eastAsia" w:cs="Times New Roman"/>
                <w:snapToGrid w:val="0"/>
                <w:color w:val="auto"/>
                <w:kern w:val="2"/>
                <w:sz w:val="24"/>
                <w:szCs w:val="24"/>
                <w:lang w:val="en-US" w:eastAsia="zh-CN" w:bidi="ar-SA"/>
              </w:rPr>
              <w:t>、</w:t>
            </w:r>
            <w:r>
              <w:rPr>
                <w:rFonts w:hint="eastAsia"/>
                <w:color w:val="auto"/>
                <w:sz w:val="24"/>
              </w:rPr>
              <w:t>《实验室危险废物污染控制技术规范》</w:t>
            </w:r>
            <w:r>
              <w:rPr>
                <w:rFonts w:hint="eastAsia"/>
                <w:color w:val="auto"/>
                <w:sz w:val="24"/>
                <w:lang w:eastAsia="zh-CN"/>
              </w:rPr>
              <w:t>（</w:t>
            </w:r>
            <w:r>
              <w:rPr>
                <w:rFonts w:hint="default" w:ascii="Times New Roman" w:hAnsi="Times New Roman" w:cs="Times New Roman"/>
                <w:color w:val="auto"/>
                <w:sz w:val="24"/>
                <w:highlight w:val="none"/>
              </w:rPr>
              <w:t>DB61</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T1716-2023</w:t>
            </w:r>
            <w:r>
              <w:rPr>
                <w:rFonts w:hint="eastAsia"/>
                <w:color w:val="auto"/>
                <w:sz w:val="24"/>
                <w:lang w:eastAsia="zh-CN"/>
              </w:rPr>
              <w:t>）</w:t>
            </w:r>
            <w:r>
              <w:rPr>
                <w:rFonts w:hint="default" w:ascii="Times New Roman" w:hAnsi="Times New Roman" w:eastAsia="宋体" w:cs="Times New Roman"/>
                <w:snapToGrid w:val="0"/>
                <w:color w:val="auto"/>
                <w:kern w:val="2"/>
                <w:sz w:val="24"/>
                <w:szCs w:val="24"/>
                <w:lang w:val="en-US" w:eastAsia="zh-CN" w:bidi="ar-SA"/>
              </w:rPr>
              <w:t>中相关规定。</w:t>
            </w:r>
          </w:p>
        </w:tc>
      </w:tr>
      <w:tr w14:paraId="395AC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3" w:type="dxa"/>
            <w:vAlign w:val="center"/>
          </w:tcPr>
          <w:p w14:paraId="6A75F211">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生态保护措施</w:t>
            </w:r>
          </w:p>
        </w:tc>
        <w:tc>
          <w:tcPr>
            <w:tcW w:w="7517" w:type="dxa"/>
            <w:gridSpan w:val="4"/>
            <w:vAlign w:val="center"/>
          </w:tcPr>
          <w:p w14:paraId="09AEF96A">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14:paraId="146BD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83" w:type="dxa"/>
            <w:vAlign w:val="center"/>
          </w:tcPr>
          <w:p w14:paraId="0F877D44">
            <w:pPr>
              <w:adjustRightInd w:val="0"/>
              <w:snapToGrid w:val="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环境风险</w:t>
            </w:r>
          </w:p>
          <w:p w14:paraId="163ED1A0">
            <w:pPr>
              <w:adjustRightInd w:val="0"/>
              <w:snapToGrid w:val="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防范措施</w:t>
            </w:r>
          </w:p>
        </w:tc>
        <w:tc>
          <w:tcPr>
            <w:tcW w:w="7517" w:type="dxa"/>
            <w:gridSpan w:val="4"/>
            <w:vAlign w:val="center"/>
          </w:tcPr>
          <w:p w14:paraId="00F33685">
            <w:pPr>
              <w:adjustRightInd w:val="0"/>
              <w:snapToGrid w:val="0"/>
              <w:jc w:val="center"/>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各存放间采取相应的防渗措施</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加强管理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维护</w:t>
            </w:r>
            <w:r>
              <w:rPr>
                <w:rFonts w:hint="default" w:ascii="Times New Roman" w:hAnsi="Times New Roman" w:eastAsia="宋体" w:cs="Times New Roman"/>
                <w:color w:val="auto"/>
                <w:sz w:val="24"/>
                <w:szCs w:val="24"/>
              </w:rPr>
              <w:t>等</w:t>
            </w:r>
          </w:p>
        </w:tc>
      </w:tr>
      <w:tr w14:paraId="6E0C6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83" w:type="dxa"/>
            <w:vAlign w:val="center"/>
          </w:tcPr>
          <w:p w14:paraId="7146F2F0">
            <w:pPr>
              <w:adjustRightInd w:val="0"/>
              <w:snapToGrid w:val="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其他环境</w:t>
            </w:r>
          </w:p>
          <w:p w14:paraId="7CB5A2BC">
            <w:pPr>
              <w:adjustRightInd w:val="0"/>
              <w:snapToGrid w:val="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管理要求</w:t>
            </w:r>
          </w:p>
        </w:tc>
        <w:tc>
          <w:tcPr>
            <w:tcW w:w="7517" w:type="dxa"/>
            <w:gridSpan w:val="4"/>
            <w:vAlign w:val="center"/>
          </w:tcPr>
          <w:p w14:paraId="1A34F9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1、“三同时”制度：</w:t>
            </w:r>
          </w:p>
          <w:p w14:paraId="4A2391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建设单位认真落实废气、废水、固废、噪声等防治措施的“三同时”制度。</w:t>
            </w:r>
          </w:p>
          <w:p w14:paraId="35D621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2、环境管理制度：</w:t>
            </w:r>
          </w:p>
          <w:p w14:paraId="24FC3C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（1）贯彻执行国家和地方各项环保方针、政策和法规，将环境指标纳入生产计划指标，建立企业内部的环境保护机构、制订与其相适应的管理规章制度及细则；</w:t>
            </w:r>
          </w:p>
          <w:p w14:paraId="77AFD2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（2）加强对加工人员的环保教育，包括业务能力、操作技术、环保管理知识的教育，以增强他们的环保意识，提高管理水平；</w:t>
            </w:r>
          </w:p>
          <w:p w14:paraId="367FC3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（3）建立全厂设备维护、维修制度，定期检查各设备运行情况，杜绝事故发生；</w:t>
            </w:r>
          </w:p>
          <w:p w14:paraId="637E44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（4）应按规范进行台账记录，主要内容包括加工信息、原辅材料使用情况、污染防治设施运行记录、监测数据等；</w:t>
            </w:r>
          </w:p>
          <w:p w14:paraId="22ADDA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3、排污许可制度：</w:t>
            </w:r>
          </w:p>
          <w:p w14:paraId="5E5BB7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根据《固定污染源排污许可分类管理名录》（2019年版），</w:t>
            </w:r>
            <w:r>
              <w:rPr>
                <w:rFonts w:hint="default" w:ascii="Times New Roman" w:hAnsi="Times New Roman" w:cs="Times New Roman"/>
                <w:snapToGrid w:val="0"/>
                <w:color w:val="auto"/>
                <w:kern w:val="2"/>
                <w:sz w:val="24"/>
                <w:szCs w:val="24"/>
                <w:lang w:val="en-US" w:eastAsia="zh-CN" w:bidi="ar-SA"/>
              </w:rPr>
              <w:t>相关要求，进行排污许可申报</w:t>
            </w:r>
            <w:r>
              <w:rPr>
                <w:rFonts w:hint="default" w:ascii="Times New Roman" w:hAnsi="Times New Roman" w:eastAsia="宋体" w:cs="Times New Roman"/>
                <w:snapToGrid w:val="0"/>
                <w:color w:val="auto"/>
                <w:kern w:val="2"/>
                <w:sz w:val="24"/>
                <w:szCs w:val="24"/>
                <w:lang w:val="en-US" w:eastAsia="zh-CN" w:bidi="ar-SA"/>
              </w:rPr>
              <w:t>。</w:t>
            </w:r>
          </w:p>
          <w:p w14:paraId="77FF33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cs="Times New Roman"/>
                <w:snapToGrid w:val="0"/>
                <w:color w:val="auto"/>
                <w:kern w:val="2"/>
                <w:sz w:val="24"/>
                <w:szCs w:val="24"/>
                <w:lang w:val="en-US" w:eastAsia="zh-CN" w:bidi="ar-SA"/>
              </w:rPr>
              <w:t>4</w:t>
            </w:r>
            <w:r>
              <w:rPr>
                <w:rFonts w:hint="default" w:ascii="Times New Roman" w:hAnsi="Times New Roman" w:eastAsia="宋体" w:cs="Times New Roman"/>
                <w:snapToGrid w:val="0"/>
                <w:color w:val="auto"/>
                <w:kern w:val="2"/>
                <w:sz w:val="24"/>
                <w:szCs w:val="24"/>
                <w:lang w:val="en-US" w:eastAsia="zh-CN" w:bidi="ar-SA"/>
              </w:rPr>
              <w:t>、竣工验收：</w:t>
            </w:r>
          </w:p>
          <w:p w14:paraId="0199C6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根据《建设项目竣工环境保护验收暂行办法》（国环规环评</w:t>
            </w:r>
            <w:r>
              <w:rPr>
                <w:rFonts w:hint="eastAsia" w:cs="Times New Roman"/>
                <w:snapToGrid w:val="0"/>
                <w:color w:val="auto"/>
                <w:kern w:val="2"/>
                <w:sz w:val="24"/>
                <w:szCs w:val="24"/>
                <w:lang w:val="en-US" w:eastAsia="zh-CN" w:bidi="ar-SA"/>
              </w:rPr>
              <w:t>〔2017〕4号</w:t>
            </w:r>
            <w:r>
              <w:rPr>
                <w:rFonts w:hint="default" w:ascii="Times New Roman" w:hAnsi="Times New Roman" w:eastAsia="宋体" w:cs="Times New Roman"/>
                <w:snapToGrid w:val="0"/>
                <w:color w:val="auto"/>
                <w:kern w:val="2"/>
                <w:sz w:val="24"/>
                <w:szCs w:val="24"/>
                <w:lang w:val="en-US" w:eastAsia="zh-CN" w:bidi="ar-SA"/>
              </w:rPr>
              <w:t>），建设单位自行验收。验收合格后，方可投入生产</w:t>
            </w:r>
            <w:r>
              <w:rPr>
                <w:rFonts w:hint="eastAsia" w:cs="Times New Roman"/>
                <w:snapToGrid w:val="0"/>
                <w:color w:val="auto"/>
                <w:kern w:val="2"/>
                <w:sz w:val="24"/>
                <w:szCs w:val="24"/>
                <w:lang w:val="en-US" w:eastAsia="zh-CN" w:bidi="ar-SA"/>
              </w:rPr>
              <w:t>或</w:t>
            </w:r>
            <w:r>
              <w:rPr>
                <w:rFonts w:hint="default" w:ascii="Times New Roman" w:hAnsi="Times New Roman" w:eastAsia="宋体" w:cs="Times New Roman"/>
                <w:snapToGrid w:val="0"/>
                <w:color w:val="auto"/>
                <w:kern w:val="2"/>
                <w:sz w:val="24"/>
                <w:szCs w:val="24"/>
                <w:lang w:val="en-US" w:eastAsia="zh-CN" w:bidi="ar-SA"/>
              </w:rPr>
              <w:t>使用。</w:t>
            </w:r>
          </w:p>
          <w:p w14:paraId="2E9103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cs="Times New Roman"/>
                <w:snapToGrid w:val="0"/>
                <w:color w:val="auto"/>
                <w:kern w:val="2"/>
                <w:sz w:val="24"/>
                <w:szCs w:val="24"/>
                <w:lang w:val="en-US" w:eastAsia="zh-CN" w:bidi="ar-SA"/>
              </w:rPr>
              <w:t>5</w:t>
            </w:r>
            <w:r>
              <w:rPr>
                <w:rFonts w:hint="default" w:ascii="Times New Roman" w:hAnsi="Times New Roman" w:eastAsia="宋体" w:cs="Times New Roman"/>
                <w:snapToGrid w:val="0"/>
                <w:color w:val="auto"/>
                <w:kern w:val="2"/>
                <w:sz w:val="24"/>
                <w:szCs w:val="24"/>
                <w:lang w:val="en-US" w:eastAsia="zh-CN" w:bidi="ar-SA"/>
              </w:rPr>
              <w:t>、排污口规范化管理</w:t>
            </w:r>
          </w:p>
          <w:p w14:paraId="7FBCF8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按照</w:t>
            </w:r>
            <w:r>
              <w:rPr>
                <w:rFonts w:hint="eastAsia" w:cs="Times New Roman"/>
                <w:snapToGrid w:val="0"/>
                <w:color w:val="auto"/>
                <w:kern w:val="2"/>
                <w:sz w:val="24"/>
                <w:szCs w:val="24"/>
                <w:lang w:val="en-US" w:eastAsia="zh-CN" w:bidi="ar-SA"/>
              </w:rPr>
              <w:t>生态环境部</w:t>
            </w:r>
            <w:r>
              <w:rPr>
                <w:rFonts w:hint="default" w:ascii="Times New Roman" w:hAnsi="Times New Roman" w:eastAsia="宋体" w:cs="Times New Roman"/>
                <w:snapToGrid w:val="0"/>
                <w:color w:val="auto"/>
                <w:kern w:val="2"/>
                <w:sz w:val="24"/>
                <w:szCs w:val="24"/>
                <w:lang w:val="en-US" w:eastAsia="zh-CN" w:bidi="ar-SA"/>
              </w:rPr>
              <w:t>《排污口规范化整治技术要求》，企业必须按照规范化要求进行设置与管理排污口（指废水排放口、废气排放口和固废临时堆放场所）；在排污口附近醒目处按规定设置环保标志牌，排污口的设置要合理，便于采集监测样品、便于监测计量、便于公众参与监督管理。</w:t>
            </w:r>
          </w:p>
          <w:p w14:paraId="753639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根据《环境保护图形标志---排放口（源）》（GB15562.1-95、GB15562.2-95），环境保护图形符号见下表。</w:t>
            </w:r>
          </w:p>
          <w:p w14:paraId="5E03E350">
            <w:pPr>
              <w:pStyle w:val="84"/>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5-1</w:t>
            </w:r>
            <w:r>
              <w:rPr>
                <w:rFonts w:hint="eastAsia" w:cs="Times New Roman"/>
                <w:color w:val="auto"/>
                <w:sz w:val="21"/>
                <w:szCs w:val="21"/>
                <w:lang w:val="en-US" w:eastAsia="zh-CN"/>
              </w:rPr>
              <w:t xml:space="preserve">  </w:t>
            </w:r>
            <w:r>
              <w:rPr>
                <w:rFonts w:hint="default" w:ascii="Times New Roman" w:hAnsi="Times New Roman" w:cs="Times New Roman"/>
                <w:color w:val="auto"/>
                <w:szCs w:val="24"/>
              </w:rPr>
              <w:t>环境保护图形符号</w:t>
            </w:r>
            <w:r>
              <w:rPr>
                <w:rFonts w:hint="default" w:ascii="Times New Roman" w:hAnsi="Times New Roman" w:cs="Times New Roman"/>
                <w:color w:val="auto"/>
                <w:sz w:val="21"/>
                <w:szCs w:val="21"/>
              </w:rPr>
              <w:t>一览表</w:t>
            </w:r>
          </w:p>
          <w:tbl>
            <w:tblPr>
              <w:tblStyle w:val="28"/>
              <w:tblW w:w="733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135"/>
              <w:gridCol w:w="3468"/>
            </w:tblGrid>
            <w:tr w14:paraId="696681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tcBorders>
                    <w:tl2br w:val="nil"/>
                    <w:tr2bl w:val="nil"/>
                  </w:tcBorders>
                  <w:noWrap w:val="0"/>
                  <w:vAlign w:val="center"/>
                </w:tcPr>
                <w:p w14:paraId="418130DE">
                  <w:pPr>
                    <w:adjustRightInd w:val="0"/>
                    <w:snapToGrid w:val="0"/>
                    <w:jc w:val="center"/>
                    <w:rPr>
                      <w:rFonts w:hint="default" w:ascii="Times New Roman" w:hAnsi="Times New Roman" w:cs="Times New Roman"/>
                      <w:color w:val="auto"/>
                      <w:szCs w:val="21"/>
                    </w:rPr>
                  </w:pPr>
                  <w:bookmarkStart w:id="17" w:name="10.2.4企业环境信息公开"/>
                  <w:bookmarkEnd w:id="17"/>
                  <w:r>
                    <w:rPr>
                      <w:rFonts w:hint="default" w:ascii="Times New Roman" w:hAnsi="Times New Roman" w:cs="Times New Roman"/>
                      <w:color w:val="auto"/>
                      <w:szCs w:val="21"/>
                    </w:rPr>
                    <w:t>名称</w:t>
                  </w:r>
                </w:p>
              </w:tc>
              <w:tc>
                <w:tcPr>
                  <w:tcW w:w="3135" w:type="dxa"/>
                  <w:tcBorders>
                    <w:tl2br w:val="nil"/>
                    <w:tr2bl w:val="nil"/>
                  </w:tcBorders>
                  <w:noWrap w:val="0"/>
                  <w:vAlign w:val="center"/>
                </w:tcPr>
                <w:p w14:paraId="01516C5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废气排放口</w:t>
                  </w:r>
                </w:p>
              </w:tc>
              <w:tc>
                <w:tcPr>
                  <w:tcW w:w="3468" w:type="dxa"/>
                  <w:tcBorders>
                    <w:tl2br w:val="nil"/>
                    <w:tr2bl w:val="nil"/>
                  </w:tcBorders>
                  <w:noWrap w:val="0"/>
                  <w:vAlign w:val="center"/>
                </w:tcPr>
                <w:p w14:paraId="6CE8A73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highlight w:val="none"/>
                      <w:lang w:val="en-US" w:eastAsia="zh-CN"/>
                    </w:rPr>
                    <w:t>危险废物</w:t>
                  </w:r>
                </w:p>
              </w:tc>
            </w:tr>
            <w:tr w14:paraId="09DD71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732" w:type="dxa"/>
                  <w:tcBorders>
                    <w:tl2br w:val="nil"/>
                    <w:tr2bl w:val="nil"/>
                  </w:tcBorders>
                  <w:noWrap w:val="0"/>
                  <w:vAlign w:val="center"/>
                </w:tcPr>
                <w:p w14:paraId="682469B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提示图形符号</w:t>
                  </w:r>
                </w:p>
              </w:tc>
              <w:tc>
                <w:tcPr>
                  <w:tcW w:w="3135" w:type="dxa"/>
                  <w:tcBorders>
                    <w:tl2br w:val="nil"/>
                    <w:tr2bl w:val="nil"/>
                  </w:tcBorders>
                  <w:noWrap w:val="0"/>
                  <w:vAlign w:val="center"/>
                </w:tcPr>
                <w:p w14:paraId="4BB8B9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drawing>
                      <wp:anchor distT="0" distB="0" distL="114300" distR="114300" simplePos="0" relativeHeight="251661312" behindDoc="0" locked="0" layoutInCell="1" allowOverlap="1">
                        <wp:simplePos x="0" y="0"/>
                        <wp:positionH relativeFrom="column">
                          <wp:posOffset>-29845</wp:posOffset>
                        </wp:positionH>
                        <wp:positionV relativeFrom="paragraph">
                          <wp:posOffset>33020</wp:posOffset>
                        </wp:positionV>
                        <wp:extent cx="1811020" cy="1403985"/>
                        <wp:effectExtent l="0" t="0" r="2540" b="13335"/>
                        <wp:wrapNone/>
                        <wp:docPr id="5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
                                <pic:cNvPicPr>
                                  <a:picLocks noChangeAspect="1"/>
                                </pic:cNvPicPr>
                              </pic:nvPicPr>
                              <pic:blipFill>
                                <a:blip r:embed="rId17"/>
                                <a:stretch>
                                  <a:fillRect/>
                                </a:stretch>
                              </pic:blipFill>
                              <pic:spPr>
                                <a:xfrm>
                                  <a:off x="0" y="0"/>
                                  <a:ext cx="1811020" cy="1403985"/>
                                </a:xfrm>
                                <a:prstGeom prst="rect">
                                  <a:avLst/>
                                </a:prstGeom>
                                <a:noFill/>
                                <a:ln>
                                  <a:noFill/>
                                </a:ln>
                              </pic:spPr>
                            </pic:pic>
                          </a:graphicData>
                        </a:graphic>
                      </wp:anchor>
                    </w:drawing>
                  </w:r>
                </w:p>
                <w:p w14:paraId="6EE8CBF1">
                  <w:pPr>
                    <w:adjustRightInd w:val="0"/>
                    <w:snapToGrid w:val="0"/>
                    <w:jc w:val="center"/>
                    <w:rPr>
                      <w:rFonts w:hint="default" w:ascii="Times New Roman" w:hAnsi="Times New Roman" w:cs="Times New Roman"/>
                      <w:color w:val="auto"/>
                      <w:szCs w:val="21"/>
                    </w:rPr>
                  </w:pPr>
                </w:p>
                <w:p w14:paraId="59D078A1">
                  <w:pPr>
                    <w:adjustRightInd w:val="0"/>
                    <w:snapToGrid w:val="0"/>
                    <w:jc w:val="center"/>
                    <w:rPr>
                      <w:rFonts w:hint="default" w:ascii="Times New Roman" w:hAnsi="Times New Roman" w:cs="Times New Roman"/>
                      <w:color w:val="auto"/>
                      <w:szCs w:val="21"/>
                    </w:rPr>
                  </w:pPr>
                </w:p>
                <w:p w14:paraId="759AFCE9">
                  <w:pPr>
                    <w:adjustRightInd w:val="0"/>
                    <w:snapToGrid w:val="0"/>
                    <w:jc w:val="center"/>
                    <w:rPr>
                      <w:rFonts w:hint="default" w:ascii="Times New Roman" w:hAnsi="Times New Roman" w:cs="Times New Roman"/>
                      <w:color w:val="auto"/>
                      <w:szCs w:val="21"/>
                    </w:rPr>
                  </w:pPr>
                </w:p>
                <w:p w14:paraId="1EAB3A44">
                  <w:pPr>
                    <w:adjustRightInd w:val="0"/>
                    <w:snapToGrid w:val="0"/>
                    <w:jc w:val="center"/>
                    <w:rPr>
                      <w:rFonts w:hint="default" w:ascii="Times New Roman" w:hAnsi="Times New Roman" w:cs="Times New Roman"/>
                      <w:color w:val="auto"/>
                      <w:szCs w:val="21"/>
                    </w:rPr>
                  </w:pPr>
                </w:p>
              </w:tc>
              <w:tc>
                <w:tcPr>
                  <w:tcW w:w="3468" w:type="dxa"/>
                  <w:tcBorders>
                    <w:tl2br w:val="nil"/>
                    <w:tr2bl w:val="nil"/>
                  </w:tcBorders>
                  <w:noWrap w:val="0"/>
                  <w:vAlign w:val="center"/>
                </w:tcPr>
                <w:p w14:paraId="1D6324A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rPr>
                    <w:drawing>
                      <wp:inline distT="0" distB="0" distL="114300" distR="114300">
                        <wp:extent cx="1680845" cy="1228725"/>
                        <wp:effectExtent l="0" t="0" r="10795" b="5715"/>
                        <wp:docPr id="57"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 descr="1"/>
                                <pic:cNvPicPr>
                                  <a:picLocks noChangeAspect="1"/>
                                </pic:cNvPicPr>
                              </pic:nvPicPr>
                              <pic:blipFill>
                                <a:blip r:embed="rId18"/>
                                <a:stretch>
                                  <a:fillRect/>
                                </a:stretch>
                              </pic:blipFill>
                              <pic:spPr>
                                <a:xfrm>
                                  <a:off x="0" y="0"/>
                                  <a:ext cx="1680845" cy="1228725"/>
                                </a:xfrm>
                                <a:prstGeom prst="rect">
                                  <a:avLst/>
                                </a:prstGeom>
                                <a:noFill/>
                                <a:ln>
                                  <a:noFill/>
                                </a:ln>
                              </pic:spPr>
                            </pic:pic>
                          </a:graphicData>
                        </a:graphic>
                      </wp:inline>
                    </w:drawing>
                  </w:r>
                </w:p>
              </w:tc>
            </w:tr>
            <w:tr w14:paraId="20D20B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tcBorders>
                    <w:tl2br w:val="nil"/>
                    <w:tr2bl w:val="nil"/>
                  </w:tcBorders>
                  <w:noWrap w:val="0"/>
                  <w:vAlign w:val="center"/>
                </w:tcPr>
                <w:p w14:paraId="0B6883C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功能</w:t>
                  </w:r>
                </w:p>
              </w:tc>
              <w:tc>
                <w:tcPr>
                  <w:tcW w:w="3135" w:type="dxa"/>
                  <w:tcBorders>
                    <w:tl2br w:val="nil"/>
                    <w:tr2bl w:val="nil"/>
                  </w:tcBorders>
                  <w:noWrap w:val="0"/>
                  <w:vAlign w:val="center"/>
                </w:tcPr>
                <w:p w14:paraId="4D821FA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表示废气向外环境排放</w:t>
                  </w:r>
                </w:p>
              </w:tc>
              <w:tc>
                <w:tcPr>
                  <w:tcW w:w="3468" w:type="dxa"/>
                  <w:tcBorders>
                    <w:tl2br w:val="nil"/>
                    <w:tr2bl w:val="nil"/>
                  </w:tcBorders>
                  <w:noWrap w:val="0"/>
                  <w:vAlign w:val="center"/>
                </w:tcPr>
                <w:p w14:paraId="624A2A3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表示</w:t>
                  </w:r>
                  <w:r>
                    <w:rPr>
                      <w:rFonts w:hint="default" w:ascii="Times New Roman" w:hAnsi="Times New Roman" w:cs="Times New Roman"/>
                      <w:color w:val="auto"/>
                      <w:szCs w:val="21"/>
                      <w:lang w:val="en-US" w:eastAsia="zh-CN"/>
                    </w:rPr>
                    <w:t>危险</w:t>
                  </w:r>
                  <w:r>
                    <w:rPr>
                      <w:rFonts w:hint="default" w:ascii="Times New Roman" w:hAnsi="Times New Roman" w:cs="Times New Roman"/>
                      <w:color w:val="auto"/>
                      <w:szCs w:val="21"/>
                    </w:rPr>
                    <w:t>废物贮存、处置场</w:t>
                  </w:r>
                </w:p>
              </w:tc>
            </w:tr>
          </w:tbl>
          <w:p w14:paraId="6B342FE9">
            <w:pPr>
              <w:rPr>
                <w:rFonts w:hint="default" w:ascii="Times New Roman" w:hAnsi="Times New Roman" w:cs="Times New Roman"/>
                <w:color w:val="auto"/>
              </w:rPr>
            </w:pPr>
          </w:p>
          <w:p w14:paraId="76E39ED6">
            <w:pPr>
              <w:pStyle w:val="27"/>
              <w:rPr>
                <w:rFonts w:hint="default" w:ascii="Times New Roman" w:hAnsi="Times New Roman" w:cs="Times New Roman"/>
                <w:color w:val="auto"/>
              </w:rPr>
            </w:pPr>
          </w:p>
          <w:p w14:paraId="306791BA">
            <w:pPr>
              <w:rPr>
                <w:rFonts w:hint="default" w:ascii="Times New Roman" w:hAnsi="Times New Roman" w:cs="Times New Roman"/>
                <w:color w:val="auto"/>
              </w:rPr>
            </w:pPr>
          </w:p>
          <w:p w14:paraId="17979BA6">
            <w:pPr>
              <w:rPr>
                <w:rFonts w:hint="default" w:ascii="Times New Roman" w:hAnsi="Times New Roman" w:cs="Times New Roman"/>
                <w:color w:val="auto"/>
              </w:rPr>
            </w:pPr>
          </w:p>
          <w:p w14:paraId="55F11C10">
            <w:pPr>
              <w:rPr>
                <w:rFonts w:hint="default" w:ascii="Times New Roman" w:hAnsi="Times New Roman" w:cs="Times New Roman"/>
                <w:color w:val="auto"/>
              </w:rPr>
            </w:pPr>
          </w:p>
          <w:p w14:paraId="02EB2DB6">
            <w:pPr>
              <w:rPr>
                <w:rFonts w:hint="default" w:ascii="Times New Roman" w:hAnsi="Times New Roman" w:cs="Times New Roman"/>
                <w:color w:val="auto"/>
              </w:rPr>
            </w:pPr>
          </w:p>
          <w:p w14:paraId="0991BFAA">
            <w:pPr>
              <w:rPr>
                <w:rFonts w:hint="default" w:ascii="Times New Roman" w:hAnsi="Times New Roman" w:cs="Times New Roman"/>
                <w:color w:val="auto"/>
              </w:rPr>
            </w:pPr>
          </w:p>
          <w:p w14:paraId="5E34075B">
            <w:pPr>
              <w:rPr>
                <w:rFonts w:hint="default" w:ascii="Times New Roman" w:hAnsi="Times New Roman" w:cs="Times New Roman"/>
                <w:color w:val="auto"/>
              </w:rPr>
            </w:pPr>
          </w:p>
          <w:p w14:paraId="3F8A409C">
            <w:pPr>
              <w:rPr>
                <w:rFonts w:hint="default" w:ascii="Times New Roman" w:hAnsi="Times New Roman" w:cs="Times New Roman"/>
                <w:color w:val="auto"/>
              </w:rPr>
            </w:pPr>
          </w:p>
          <w:p w14:paraId="303EDE9D">
            <w:pPr>
              <w:rPr>
                <w:rFonts w:hint="default" w:ascii="Times New Roman" w:hAnsi="Times New Roman" w:cs="Times New Roman"/>
                <w:color w:val="auto"/>
              </w:rPr>
            </w:pPr>
          </w:p>
          <w:p w14:paraId="52B8684D">
            <w:pPr>
              <w:rPr>
                <w:rFonts w:hint="default" w:ascii="Times New Roman" w:hAnsi="Times New Roman" w:cs="Times New Roman"/>
                <w:color w:val="auto"/>
              </w:rPr>
            </w:pPr>
          </w:p>
          <w:p w14:paraId="6678A07C">
            <w:pPr>
              <w:rPr>
                <w:rFonts w:hint="default" w:ascii="Times New Roman" w:hAnsi="Times New Roman" w:cs="Times New Roman"/>
                <w:color w:val="auto"/>
              </w:rPr>
            </w:pPr>
          </w:p>
          <w:p w14:paraId="2D882AD5">
            <w:pPr>
              <w:pStyle w:val="4"/>
              <w:rPr>
                <w:rFonts w:hint="default" w:ascii="Times New Roman" w:hAnsi="Times New Roman" w:cs="Times New Roman"/>
                <w:color w:val="auto"/>
              </w:rPr>
            </w:pPr>
          </w:p>
          <w:p w14:paraId="2400D96A">
            <w:pPr>
              <w:rPr>
                <w:rFonts w:hint="default" w:ascii="Times New Roman" w:hAnsi="Times New Roman" w:cs="Times New Roman"/>
                <w:color w:val="auto"/>
              </w:rPr>
            </w:pPr>
          </w:p>
          <w:p w14:paraId="5E6458E7">
            <w:pPr>
              <w:pStyle w:val="4"/>
              <w:rPr>
                <w:rFonts w:hint="default" w:ascii="Times New Roman" w:hAnsi="Times New Roman" w:cs="Times New Roman"/>
                <w:color w:val="auto"/>
              </w:rPr>
            </w:pPr>
          </w:p>
          <w:p w14:paraId="3AF939EB">
            <w:pPr>
              <w:rPr>
                <w:rFonts w:hint="default" w:ascii="Times New Roman" w:hAnsi="Times New Roman" w:cs="Times New Roman"/>
                <w:color w:val="auto"/>
              </w:rPr>
            </w:pPr>
          </w:p>
          <w:p w14:paraId="7E39ED9A">
            <w:pPr>
              <w:pStyle w:val="4"/>
              <w:rPr>
                <w:rFonts w:hint="default"/>
                <w:color w:val="auto"/>
              </w:rPr>
            </w:pPr>
          </w:p>
          <w:p w14:paraId="7E8E1EA8">
            <w:pPr>
              <w:rPr>
                <w:rFonts w:hint="default" w:ascii="Times New Roman" w:hAnsi="Times New Roman" w:cs="Times New Roman"/>
                <w:color w:val="auto"/>
              </w:rPr>
            </w:pPr>
          </w:p>
          <w:p w14:paraId="66EE6FF4">
            <w:pPr>
              <w:adjustRightInd w:val="0"/>
              <w:snapToGrid w:val="0"/>
              <w:spacing w:line="360" w:lineRule="exact"/>
              <w:rPr>
                <w:rFonts w:hint="default" w:ascii="Times New Roman" w:hAnsi="Times New Roman" w:cs="Times New Roman"/>
                <w:color w:val="auto"/>
                <w:sz w:val="24"/>
                <w:szCs w:val="24"/>
              </w:rPr>
            </w:pPr>
          </w:p>
        </w:tc>
      </w:tr>
    </w:tbl>
    <w:p w14:paraId="60635261">
      <w:pPr>
        <w:pStyle w:val="24"/>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28"/>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F02A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7" w:hRule="atLeast"/>
          <w:jc w:val="center"/>
        </w:trPr>
        <w:tc>
          <w:tcPr>
            <w:tcW w:w="8865" w:type="dxa"/>
            <w:vAlign w:val="top"/>
          </w:tcPr>
          <w:p w14:paraId="3F96511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从环境保护角度分析，本项目建设</w:t>
            </w:r>
            <w:r>
              <w:rPr>
                <w:rFonts w:hint="default" w:ascii="Times New Roman" w:hAnsi="Times New Roman" w:cs="Times New Roman"/>
                <w:color w:val="auto"/>
                <w:sz w:val="24"/>
                <w:szCs w:val="24"/>
                <w:lang w:val="en-US" w:eastAsia="zh-CN"/>
              </w:rPr>
              <w:t>环境影响</w:t>
            </w:r>
            <w:r>
              <w:rPr>
                <w:rFonts w:hint="default" w:ascii="Times New Roman" w:hAnsi="Times New Roman" w:cs="Times New Roman"/>
                <w:color w:val="auto"/>
                <w:sz w:val="24"/>
                <w:szCs w:val="24"/>
              </w:rPr>
              <w:t>可行</w:t>
            </w:r>
            <w:r>
              <w:rPr>
                <w:rFonts w:hint="default" w:ascii="Times New Roman" w:hAnsi="Times New Roman" w:cs="Times New Roman"/>
                <w:color w:val="auto"/>
                <w:sz w:val="24"/>
                <w:szCs w:val="24"/>
                <w:lang w:eastAsia="zh-CN"/>
              </w:rPr>
              <w:t>。</w:t>
            </w:r>
          </w:p>
        </w:tc>
      </w:tr>
    </w:tbl>
    <w:p w14:paraId="56C8D08F">
      <w:pPr>
        <w:rPr>
          <w:rFonts w:hint="default" w:ascii="Times New Roman" w:hAnsi="Times New Roman" w:cs="Times New Roman"/>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0C1B5DCB">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28"/>
          <w:szCs w:val="28"/>
        </w:rPr>
      </w:pPr>
      <w:r>
        <w:rPr>
          <w:rFonts w:hint="default" w:ascii="Times New Roman" w:hAnsi="Times New Roman" w:eastAsia="黑体" w:cs="Times New Roman"/>
          <w:snapToGrid w:val="0"/>
          <w:color w:val="auto"/>
          <w:sz w:val="28"/>
          <w:szCs w:val="28"/>
        </w:rPr>
        <w:t>附表</w:t>
      </w:r>
    </w:p>
    <w:p w14:paraId="16579617">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cs="Times New Roman"/>
          <w:snapToGrid w:val="0"/>
          <w:color w:val="auto"/>
          <w:sz w:val="32"/>
          <w:szCs w:val="32"/>
        </w:rPr>
      </w:pPr>
      <w:r>
        <w:rPr>
          <w:rFonts w:hint="default" w:ascii="Times New Roman" w:hAnsi="Times New Roman" w:eastAsia="方正小标宋_GBK" w:cs="Times New Roman"/>
          <w:snapToGrid w:val="0"/>
          <w:color w:val="auto"/>
          <w:sz w:val="32"/>
          <w:szCs w:val="32"/>
        </w:rPr>
        <w:t>建设项目污染物排放量汇总表</w:t>
      </w:r>
    </w:p>
    <w:tbl>
      <w:tblPr>
        <w:tblStyle w:val="28"/>
        <w:tblW w:w="136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629"/>
        <w:gridCol w:w="1706"/>
        <w:gridCol w:w="1276"/>
        <w:gridCol w:w="1701"/>
        <w:gridCol w:w="1559"/>
        <w:gridCol w:w="1761"/>
        <w:gridCol w:w="1635"/>
        <w:gridCol w:w="975"/>
      </w:tblGrid>
      <w:tr w14:paraId="1437E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tcBorders>
              <w:tl2br w:val="single" w:color="auto" w:sz="4" w:space="0"/>
            </w:tcBorders>
            <w:noWrap w:val="0"/>
            <w:tcMar>
              <w:left w:w="28" w:type="dxa"/>
              <w:right w:w="28" w:type="dxa"/>
            </w:tcMar>
            <w:vAlign w:val="center"/>
          </w:tcPr>
          <w:p w14:paraId="0842501E">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项目</w:t>
            </w:r>
          </w:p>
          <w:p w14:paraId="22BF8DBE">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分类</w:t>
            </w:r>
          </w:p>
        </w:tc>
        <w:tc>
          <w:tcPr>
            <w:tcW w:w="1629" w:type="dxa"/>
            <w:noWrap w:val="0"/>
            <w:tcMar>
              <w:left w:w="28" w:type="dxa"/>
              <w:right w:w="28" w:type="dxa"/>
            </w:tcMar>
            <w:vAlign w:val="center"/>
          </w:tcPr>
          <w:p w14:paraId="380E4319">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污染物名称</w:t>
            </w:r>
          </w:p>
        </w:tc>
        <w:tc>
          <w:tcPr>
            <w:tcW w:w="1706" w:type="dxa"/>
            <w:noWrap w:val="0"/>
            <w:tcMar>
              <w:left w:w="28" w:type="dxa"/>
              <w:right w:w="28" w:type="dxa"/>
            </w:tcMar>
            <w:vAlign w:val="center"/>
          </w:tcPr>
          <w:p w14:paraId="38364A12">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现有工程</w:t>
            </w:r>
          </w:p>
          <w:p w14:paraId="1E652A62">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排放量（固体废物产生量）</w:t>
            </w:r>
            <w:r>
              <w:rPr>
                <w:rFonts w:hint="default" w:ascii="Times New Roman" w:hAnsi="Times New Roman" w:eastAsia="黑体" w:cs="Times New Roman"/>
                <w:snapToGrid w:val="0"/>
                <w:color w:val="auto"/>
                <w:spacing w:val="-6"/>
                <w:kern w:val="21"/>
                <w:sz w:val="24"/>
                <w:szCs w:val="24"/>
              </w:rPr>
              <w:fldChar w:fldCharType="begin"/>
            </w:r>
            <w:r>
              <w:rPr>
                <w:rFonts w:hint="default" w:ascii="Times New Roman" w:hAnsi="Times New Roman" w:eastAsia="黑体" w:cs="Times New Roman"/>
                <w:snapToGrid w:val="0"/>
                <w:color w:val="auto"/>
                <w:spacing w:val="-6"/>
                <w:kern w:val="21"/>
                <w:sz w:val="24"/>
                <w:szCs w:val="24"/>
              </w:rPr>
              <w:instrText xml:space="preserve"> = 1 \* GB3 \* MERGEFORMAT </w:instrText>
            </w:r>
            <w:r>
              <w:rPr>
                <w:rFonts w:hint="default" w:ascii="Times New Roman" w:hAnsi="Times New Roman" w:eastAsia="黑体" w:cs="Times New Roman"/>
                <w:snapToGrid w:val="0"/>
                <w:color w:val="auto"/>
                <w:spacing w:val="-6"/>
                <w:kern w:val="21"/>
                <w:sz w:val="24"/>
                <w:szCs w:val="24"/>
              </w:rPr>
              <w:fldChar w:fldCharType="separate"/>
            </w:r>
            <w:r>
              <w:rPr>
                <w:rFonts w:hint="default" w:ascii="Times New Roman" w:hAnsi="Times New Roman" w:eastAsia="黑体" w:cs="Times New Roman"/>
                <w:color w:val="auto"/>
                <w:kern w:val="2"/>
                <w:sz w:val="24"/>
                <w:szCs w:val="24"/>
              </w:rPr>
              <w:t>①</w:t>
            </w:r>
            <w:r>
              <w:rPr>
                <w:rFonts w:hint="default" w:ascii="Times New Roman" w:hAnsi="Times New Roman" w:eastAsia="黑体" w:cs="Times New Roman"/>
                <w:snapToGrid w:val="0"/>
                <w:color w:val="auto"/>
                <w:spacing w:val="-6"/>
                <w:kern w:val="21"/>
                <w:sz w:val="24"/>
                <w:szCs w:val="24"/>
              </w:rPr>
              <w:fldChar w:fldCharType="end"/>
            </w:r>
          </w:p>
        </w:tc>
        <w:tc>
          <w:tcPr>
            <w:tcW w:w="1276" w:type="dxa"/>
            <w:noWrap w:val="0"/>
            <w:tcMar>
              <w:left w:w="28" w:type="dxa"/>
              <w:right w:w="28" w:type="dxa"/>
            </w:tcMar>
            <w:vAlign w:val="center"/>
          </w:tcPr>
          <w:p w14:paraId="6BA094D9">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现有工程</w:t>
            </w:r>
          </w:p>
          <w:p w14:paraId="2FA1837A">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许可排放量</w:t>
            </w:r>
          </w:p>
          <w:p w14:paraId="6BAC9AF7">
            <w:pPr>
              <w:pStyle w:val="47"/>
              <w:spacing w:beforeLines="0" w:afterLines="0"/>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fldChar w:fldCharType="begin"/>
            </w:r>
            <w:r>
              <w:rPr>
                <w:rFonts w:hint="default" w:ascii="Times New Roman" w:hAnsi="Times New Roman" w:eastAsia="黑体" w:cs="Times New Roman"/>
                <w:snapToGrid w:val="0"/>
                <w:color w:val="auto"/>
                <w:spacing w:val="-6"/>
                <w:kern w:val="21"/>
                <w:sz w:val="24"/>
                <w:szCs w:val="24"/>
              </w:rPr>
              <w:instrText xml:space="preserve"> = 2 \* GB3 \* MERGEFORMAT </w:instrText>
            </w:r>
            <w:r>
              <w:rPr>
                <w:rFonts w:hint="default" w:ascii="Times New Roman" w:hAnsi="Times New Roman" w:eastAsia="黑体" w:cs="Times New Roman"/>
                <w:snapToGrid w:val="0"/>
                <w:color w:val="auto"/>
                <w:spacing w:val="-6"/>
                <w:kern w:val="21"/>
                <w:sz w:val="24"/>
                <w:szCs w:val="24"/>
              </w:rPr>
              <w:fldChar w:fldCharType="separate"/>
            </w:r>
            <w:r>
              <w:rPr>
                <w:rFonts w:hint="default" w:ascii="Times New Roman" w:hAnsi="Times New Roman" w:eastAsia="黑体" w:cs="Times New Roman"/>
                <w:snapToGrid w:val="0"/>
                <w:color w:val="auto"/>
                <w:spacing w:val="-6"/>
                <w:kern w:val="21"/>
                <w:sz w:val="24"/>
                <w:szCs w:val="24"/>
              </w:rPr>
              <w:t>②</w:t>
            </w:r>
            <w:r>
              <w:rPr>
                <w:rFonts w:hint="default" w:ascii="Times New Roman" w:hAnsi="Times New Roman" w:eastAsia="黑体" w:cs="Times New Roman"/>
                <w:snapToGrid w:val="0"/>
                <w:color w:val="auto"/>
                <w:spacing w:val="-6"/>
                <w:kern w:val="21"/>
                <w:sz w:val="24"/>
                <w:szCs w:val="24"/>
              </w:rPr>
              <w:fldChar w:fldCharType="end"/>
            </w:r>
          </w:p>
        </w:tc>
        <w:tc>
          <w:tcPr>
            <w:tcW w:w="1701" w:type="dxa"/>
            <w:noWrap w:val="0"/>
            <w:tcMar>
              <w:left w:w="28" w:type="dxa"/>
              <w:right w:w="28" w:type="dxa"/>
            </w:tcMar>
            <w:vAlign w:val="center"/>
          </w:tcPr>
          <w:p w14:paraId="6D783BF6">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在建工程</w:t>
            </w:r>
          </w:p>
          <w:p w14:paraId="1AE22546">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排放量（固体废物产生量）</w:t>
            </w:r>
            <w:r>
              <w:rPr>
                <w:rFonts w:hint="default" w:ascii="Times New Roman" w:hAnsi="Times New Roman" w:eastAsia="黑体" w:cs="Times New Roman"/>
                <w:snapToGrid w:val="0"/>
                <w:color w:val="auto"/>
                <w:spacing w:val="-6"/>
                <w:kern w:val="21"/>
                <w:sz w:val="24"/>
                <w:szCs w:val="24"/>
              </w:rPr>
              <w:fldChar w:fldCharType="begin"/>
            </w:r>
            <w:r>
              <w:rPr>
                <w:rFonts w:hint="default" w:ascii="Times New Roman" w:hAnsi="Times New Roman" w:eastAsia="黑体" w:cs="Times New Roman"/>
                <w:snapToGrid w:val="0"/>
                <w:color w:val="auto"/>
                <w:spacing w:val="-6"/>
                <w:kern w:val="21"/>
                <w:sz w:val="24"/>
                <w:szCs w:val="24"/>
              </w:rPr>
              <w:instrText xml:space="preserve"> = 3 \* GB3 \* MERGEFORMAT </w:instrText>
            </w:r>
            <w:r>
              <w:rPr>
                <w:rFonts w:hint="default" w:ascii="Times New Roman" w:hAnsi="Times New Roman" w:eastAsia="黑体" w:cs="Times New Roman"/>
                <w:snapToGrid w:val="0"/>
                <w:color w:val="auto"/>
                <w:spacing w:val="-6"/>
                <w:kern w:val="21"/>
                <w:sz w:val="24"/>
                <w:szCs w:val="24"/>
              </w:rPr>
              <w:fldChar w:fldCharType="separate"/>
            </w:r>
            <w:r>
              <w:rPr>
                <w:rFonts w:hint="default" w:ascii="Times New Roman" w:hAnsi="Times New Roman" w:eastAsia="黑体" w:cs="Times New Roman"/>
                <w:color w:val="auto"/>
                <w:kern w:val="2"/>
                <w:sz w:val="24"/>
                <w:szCs w:val="24"/>
              </w:rPr>
              <w:t>③</w:t>
            </w:r>
            <w:r>
              <w:rPr>
                <w:rFonts w:hint="default" w:ascii="Times New Roman" w:hAnsi="Times New Roman" w:eastAsia="黑体" w:cs="Times New Roman"/>
                <w:snapToGrid w:val="0"/>
                <w:color w:val="auto"/>
                <w:spacing w:val="-6"/>
                <w:kern w:val="21"/>
                <w:sz w:val="24"/>
                <w:szCs w:val="24"/>
              </w:rPr>
              <w:fldChar w:fldCharType="end"/>
            </w:r>
          </w:p>
        </w:tc>
        <w:tc>
          <w:tcPr>
            <w:tcW w:w="1559" w:type="dxa"/>
            <w:noWrap w:val="0"/>
            <w:tcMar>
              <w:left w:w="28" w:type="dxa"/>
              <w:right w:w="28" w:type="dxa"/>
            </w:tcMar>
            <w:vAlign w:val="center"/>
          </w:tcPr>
          <w:p w14:paraId="16885791">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本项目</w:t>
            </w:r>
          </w:p>
          <w:p w14:paraId="2BDDBABB">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排放量（固体废物产生量）</w:t>
            </w:r>
            <w:r>
              <w:rPr>
                <w:rFonts w:hint="default" w:ascii="Times New Roman" w:hAnsi="Times New Roman" w:eastAsia="黑体" w:cs="Times New Roman"/>
                <w:snapToGrid w:val="0"/>
                <w:color w:val="auto"/>
                <w:spacing w:val="-6"/>
                <w:kern w:val="21"/>
                <w:sz w:val="24"/>
                <w:szCs w:val="24"/>
              </w:rPr>
              <w:fldChar w:fldCharType="begin"/>
            </w:r>
            <w:r>
              <w:rPr>
                <w:rFonts w:hint="default" w:ascii="Times New Roman" w:hAnsi="Times New Roman" w:eastAsia="黑体" w:cs="Times New Roman"/>
                <w:snapToGrid w:val="0"/>
                <w:color w:val="auto"/>
                <w:spacing w:val="-6"/>
                <w:kern w:val="21"/>
                <w:sz w:val="24"/>
                <w:szCs w:val="24"/>
              </w:rPr>
              <w:instrText xml:space="preserve"> = 4 \* GB3 \* MERGEFORMAT </w:instrText>
            </w:r>
            <w:r>
              <w:rPr>
                <w:rFonts w:hint="default" w:ascii="Times New Roman" w:hAnsi="Times New Roman" w:eastAsia="黑体" w:cs="Times New Roman"/>
                <w:snapToGrid w:val="0"/>
                <w:color w:val="auto"/>
                <w:spacing w:val="-6"/>
                <w:kern w:val="21"/>
                <w:sz w:val="24"/>
                <w:szCs w:val="24"/>
              </w:rPr>
              <w:fldChar w:fldCharType="separate"/>
            </w:r>
            <w:r>
              <w:rPr>
                <w:rFonts w:hint="default" w:ascii="Times New Roman" w:hAnsi="Times New Roman" w:eastAsia="黑体" w:cs="Times New Roman"/>
                <w:color w:val="auto"/>
                <w:kern w:val="2"/>
                <w:sz w:val="24"/>
                <w:szCs w:val="24"/>
              </w:rPr>
              <w:t>④</w:t>
            </w:r>
            <w:r>
              <w:rPr>
                <w:rFonts w:hint="default" w:ascii="Times New Roman" w:hAnsi="Times New Roman" w:eastAsia="黑体" w:cs="Times New Roman"/>
                <w:snapToGrid w:val="0"/>
                <w:color w:val="auto"/>
                <w:spacing w:val="-6"/>
                <w:kern w:val="21"/>
                <w:sz w:val="24"/>
                <w:szCs w:val="24"/>
              </w:rPr>
              <w:fldChar w:fldCharType="end"/>
            </w:r>
          </w:p>
        </w:tc>
        <w:tc>
          <w:tcPr>
            <w:tcW w:w="1761" w:type="dxa"/>
            <w:noWrap w:val="0"/>
            <w:tcMar>
              <w:left w:w="28" w:type="dxa"/>
              <w:right w:w="28" w:type="dxa"/>
            </w:tcMar>
            <w:vAlign w:val="center"/>
          </w:tcPr>
          <w:p w14:paraId="0346ACC3">
            <w:pPr>
              <w:pStyle w:val="47"/>
              <w:spacing w:beforeLines="0" w:afterLines="0" w:line="240" w:lineRule="auto"/>
              <w:jc w:val="center"/>
              <w:rPr>
                <w:rFonts w:hint="default" w:ascii="Times New Roman" w:hAnsi="Times New Roman" w:eastAsia="黑体" w:cs="Times New Roman"/>
                <w:snapToGrid w:val="0"/>
                <w:color w:val="auto"/>
                <w:spacing w:val="-16"/>
                <w:kern w:val="21"/>
                <w:sz w:val="24"/>
                <w:szCs w:val="24"/>
              </w:rPr>
            </w:pPr>
            <w:r>
              <w:rPr>
                <w:rFonts w:hint="default" w:ascii="Times New Roman" w:hAnsi="Times New Roman" w:eastAsia="黑体" w:cs="Times New Roman"/>
                <w:snapToGrid w:val="0"/>
                <w:color w:val="auto"/>
                <w:spacing w:val="-16"/>
                <w:kern w:val="21"/>
                <w:sz w:val="24"/>
                <w:szCs w:val="24"/>
              </w:rPr>
              <w:t>以新带老削减量</w:t>
            </w:r>
          </w:p>
          <w:p w14:paraId="4FE58316">
            <w:pPr>
              <w:pStyle w:val="47"/>
              <w:spacing w:beforeLines="0" w:afterLines="0" w:line="240" w:lineRule="auto"/>
              <w:jc w:val="center"/>
              <w:rPr>
                <w:rFonts w:hint="default" w:ascii="Times New Roman" w:hAnsi="Times New Roman" w:eastAsia="黑体" w:cs="Times New Roman"/>
                <w:snapToGrid w:val="0"/>
                <w:color w:val="auto"/>
                <w:spacing w:val="-16"/>
                <w:kern w:val="21"/>
                <w:sz w:val="24"/>
                <w:szCs w:val="24"/>
              </w:rPr>
            </w:pPr>
            <w:r>
              <w:rPr>
                <w:rFonts w:hint="default" w:ascii="Times New Roman" w:hAnsi="Times New Roman" w:eastAsia="黑体" w:cs="Times New Roman"/>
                <w:snapToGrid w:val="0"/>
                <w:color w:val="auto"/>
                <w:spacing w:val="-16"/>
                <w:kern w:val="21"/>
                <w:sz w:val="24"/>
                <w:szCs w:val="24"/>
              </w:rPr>
              <w:t>（新建项目不填）</w:t>
            </w:r>
            <w:r>
              <w:rPr>
                <w:rFonts w:hint="default" w:ascii="Times New Roman" w:hAnsi="Times New Roman" w:eastAsia="黑体" w:cs="Times New Roman"/>
                <w:snapToGrid w:val="0"/>
                <w:color w:val="auto"/>
                <w:spacing w:val="-16"/>
                <w:kern w:val="21"/>
                <w:sz w:val="24"/>
                <w:szCs w:val="24"/>
              </w:rPr>
              <w:fldChar w:fldCharType="begin"/>
            </w:r>
            <w:r>
              <w:rPr>
                <w:rFonts w:hint="default" w:ascii="Times New Roman" w:hAnsi="Times New Roman" w:eastAsia="黑体" w:cs="Times New Roman"/>
                <w:snapToGrid w:val="0"/>
                <w:color w:val="auto"/>
                <w:spacing w:val="-16"/>
                <w:kern w:val="21"/>
                <w:sz w:val="24"/>
                <w:szCs w:val="24"/>
              </w:rPr>
              <w:instrText xml:space="preserve"> = 5 \* GB3 \* MERGEFORMAT </w:instrText>
            </w:r>
            <w:r>
              <w:rPr>
                <w:rFonts w:hint="default" w:ascii="Times New Roman" w:hAnsi="Times New Roman" w:eastAsia="黑体" w:cs="Times New Roman"/>
                <w:snapToGrid w:val="0"/>
                <w:color w:val="auto"/>
                <w:spacing w:val="-16"/>
                <w:kern w:val="21"/>
                <w:sz w:val="24"/>
                <w:szCs w:val="24"/>
              </w:rPr>
              <w:fldChar w:fldCharType="separate"/>
            </w:r>
            <w:r>
              <w:rPr>
                <w:rFonts w:hint="default" w:ascii="Times New Roman" w:hAnsi="Times New Roman" w:eastAsia="黑体" w:cs="Times New Roman"/>
                <w:color w:val="auto"/>
                <w:kern w:val="2"/>
                <w:sz w:val="24"/>
                <w:szCs w:val="24"/>
              </w:rPr>
              <w:t>⑤</w:t>
            </w:r>
            <w:r>
              <w:rPr>
                <w:rFonts w:hint="default" w:ascii="Times New Roman" w:hAnsi="Times New Roman" w:eastAsia="黑体" w:cs="Times New Roman"/>
                <w:snapToGrid w:val="0"/>
                <w:color w:val="auto"/>
                <w:spacing w:val="-16"/>
                <w:kern w:val="21"/>
                <w:sz w:val="24"/>
                <w:szCs w:val="24"/>
              </w:rPr>
              <w:fldChar w:fldCharType="end"/>
            </w:r>
          </w:p>
        </w:tc>
        <w:tc>
          <w:tcPr>
            <w:tcW w:w="1635" w:type="dxa"/>
            <w:noWrap w:val="0"/>
            <w:tcMar>
              <w:left w:w="28" w:type="dxa"/>
              <w:right w:w="28" w:type="dxa"/>
            </w:tcMar>
            <w:vAlign w:val="center"/>
          </w:tcPr>
          <w:p w14:paraId="4A0AB2BE">
            <w:pPr>
              <w:pStyle w:val="47"/>
              <w:spacing w:beforeLines="0" w:afterLines="0" w:line="240" w:lineRule="auto"/>
              <w:jc w:val="center"/>
              <w:rPr>
                <w:rFonts w:hint="default" w:ascii="Times New Roman" w:hAnsi="Times New Roman" w:eastAsia="黑体" w:cs="Times New Roman"/>
                <w:snapToGrid w:val="0"/>
                <w:color w:val="auto"/>
                <w:spacing w:val="-16"/>
                <w:kern w:val="21"/>
                <w:sz w:val="24"/>
                <w:szCs w:val="24"/>
              </w:rPr>
            </w:pPr>
            <w:r>
              <w:rPr>
                <w:rFonts w:hint="default" w:ascii="Times New Roman" w:hAnsi="Times New Roman" w:eastAsia="黑体" w:cs="Times New Roman"/>
                <w:snapToGrid w:val="0"/>
                <w:color w:val="auto"/>
                <w:spacing w:val="-16"/>
                <w:kern w:val="21"/>
                <w:sz w:val="24"/>
                <w:szCs w:val="24"/>
              </w:rPr>
              <w:t>本项目建成后</w:t>
            </w:r>
          </w:p>
          <w:p w14:paraId="3FFA30F2">
            <w:pPr>
              <w:pStyle w:val="47"/>
              <w:spacing w:beforeLines="0" w:afterLines="0" w:line="240" w:lineRule="auto"/>
              <w:jc w:val="center"/>
              <w:rPr>
                <w:rFonts w:hint="default" w:ascii="Times New Roman" w:hAnsi="Times New Roman" w:eastAsia="黑体" w:cs="Times New Roman"/>
                <w:snapToGrid w:val="0"/>
                <w:color w:val="auto"/>
                <w:spacing w:val="-16"/>
                <w:kern w:val="21"/>
                <w:sz w:val="24"/>
                <w:szCs w:val="24"/>
              </w:rPr>
            </w:pPr>
            <w:r>
              <w:rPr>
                <w:rFonts w:hint="default" w:ascii="Times New Roman" w:hAnsi="Times New Roman" w:eastAsia="黑体" w:cs="Times New Roman"/>
                <w:snapToGrid w:val="0"/>
                <w:color w:val="auto"/>
                <w:spacing w:val="-16"/>
                <w:kern w:val="21"/>
                <w:sz w:val="24"/>
                <w:szCs w:val="24"/>
              </w:rPr>
              <w:t>全厂排放量（固体废物产生量）</w:t>
            </w:r>
            <w:r>
              <w:rPr>
                <w:rFonts w:hint="default" w:ascii="Times New Roman" w:hAnsi="Times New Roman" w:eastAsia="黑体" w:cs="Times New Roman"/>
                <w:snapToGrid w:val="0"/>
                <w:color w:val="auto"/>
                <w:spacing w:val="-16"/>
                <w:kern w:val="21"/>
                <w:sz w:val="24"/>
                <w:szCs w:val="24"/>
              </w:rPr>
              <w:fldChar w:fldCharType="begin"/>
            </w:r>
            <w:r>
              <w:rPr>
                <w:rFonts w:hint="default" w:ascii="Times New Roman" w:hAnsi="Times New Roman" w:eastAsia="黑体" w:cs="Times New Roman"/>
                <w:snapToGrid w:val="0"/>
                <w:color w:val="auto"/>
                <w:spacing w:val="-16"/>
                <w:kern w:val="21"/>
                <w:sz w:val="24"/>
                <w:szCs w:val="24"/>
              </w:rPr>
              <w:instrText xml:space="preserve"> = 6 \* GB3 \* MERGEFORMAT </w:instrText>
            </w:r>
            <w:r>
              <w:rPr>
                <w:rFonts w:hint="default" w:ascii="Times New Roman" w:hAnsi="Times New Roman" w:eastAsia="黑体" w:cs="Times New Roman"/>
                <w:snapToGrid w:val="0"/>
                <w:color w:val="auto"/>
                <w:spacing w:val="-16"/>
                <w:kern w:val="21"/>
                <w:sz w:val="24"/>
                <w:szCs w:val="24"/>
              </w:rPr>
              <w:fldChar w:fldCharType="separate"/>
            </w:r>
            <w:r>
              <w:rPr>
                <w:rFonts w:hint="default" w:ascii="Times New Roman" w:hAnsi="Times New Roman" w:eastAsia="黑体" w:cs="Times New Roman"/>
                <w:color w:val="auto"/>
                <w:kern w:val="2"/>
                <w:sz w:val="24"/>
                <w:szCs w:val="24"/>
              </w:rPr>
              <w:t>⑥</w:t>
            </w:r>
            <w:r>
              <w:rPr>
                <w:rFonts w:hint="default" w:ascii="Times New Roman" w:hAnsi="Times New Roman" w:eastAsia="黑体" w:cs="Times New Roman"/>
                <w:snapToGrid w:val="0"/>
                <w:color w:val="auto"/>
                <w:spacing w:val="-16"/>
                <w:kern w:val="21"/>
                <w:sz w:val="24"/>
                <w:szCs w:val="24"/>
              </w:rPr>
              <w:fldChar w:fldCharType="end"/>
            </w:r>
          </w:p>
        </w:tc>
        <w:tc>
          <w:tcPr>
            <w:tcW w:w="975" w:type="dxa"/>
            <w:noWrap w:val="0"/>
            <w:tcMar>
              <w:left w:w="28" w:type="dxa"/>
              <w:right w:w="28" w:type="dxa"/>
            </w:tcMar>
            <w:vAlign w:val="center"/>
          </w:tcPr>
          <w:p w14:paraId="15142871">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t>变化量</w:t>
            </w:r>
          </w:p>
          <w:p w14:paraId="33BEC644">
            <w:pPr>
              <w:pStyle w:val="47"/>
              <w:spacing w:beforeLines="0" w:afterLines="0" w:line="240" w:lineRule="auto"/>
              <w:jc w:val="center"/>
              <w:rPr>
                <w:rFonts w:hint="default" w:ascii="Times New Roman" w:hAnsi="Times New Roman" w:eastAsia="黑体" w:cs="Times New Roman"/>
                <w:snapToGrid w:val="0"/>
                <w:color w:val="auto"/>
                <w:spacing w:val="-6"/>
                <w:kern w:val="21"/>
                <w:sz w:val="24"/>
                <w:szCs w:val="24"/>
              </w:rPr>
            </w:pPr>
            <w:r>
              <w:rPr>
                <w:rFonts w:hint="default" w:ascii="Times New Roman" w:hAnsi="Times New Roman" w:eastAsia="黑体" w:cs="Times New Roman"/>
                <w:snapToGrid w:val="0"/>
                <w:color w:val="auto"/>
                <w:spacing w:val="-6"/>
                <w:kern w:val="21"/>
                <w:sz w:val="24"/>
                <w:szCs w:val="24"/>
              </w:rPr>
              <w:fldChar w:fldCharType="begin"/>
            </w:r>
            <w:r>
              <w:rPr>
                <w:rFonts w:hint="default" w:ascii="Times New Roman" w:hAnsi="Times New Roman" w:eastAsia="黑体" w:cs="Times New Roman"/>
                <w:snapToGrid w:val="0"/>
                <w:color w:val="auto"/>
                <w:spacing w:val="-6"/>
                <w:kern w:val="21"/>
                <w:sz w:val="24"/>
                <w:szCs w:val="24"/>
              </w:rPr>
              <w:instrText xml:space="preserve"> = 7 \* GB3 \* MERGEFORMAT </w:instrText>
            </w:r>
            <w:r>
              <w:rPr>
                <w:rFonts w:hint="default" w:ascii="Times New Roman" w:hAnsi="Times New Roman" w:eastAsia="黑体" w:cs="Times New Roman"/>
                <w:snapToGrid w:val="0"/>
                <w:color w:val="auto"/>
                <w:spacing w:val="-6"/>
                <w:kern w:val="21"/>
                <w:sz w:val="24"/>
                <w:szCs w:val="24"/>
              </w:rPr>
              <w:fldChar w:fldCharType="separate"/>
            </w:r>
            <w:r>
              <w:rPr>
                <w:rFonts w:hint="default" w:ascii="Times New Roman" w:hAnsi="Times New Roman" w:eastAsia="黑体" w:cs="Times New Roman"/>
                <w:color w:val="auto"/>
                <w:kern w:val="2"/>
                <w:sz w:val="24"/>
                <w:szCs w:val="24"/>
              </w:rPr>
              <w:t>⑦</w:t>
            </w:r>
            <w:r>
              <w:rPr>
                <w:rFonts w:hint="default" w:ascii="Times New Roman" w:hAnsi="Times New Roman" w:eastAsia="黑体" w:cs="Times New Roman"/>
                <w:snapToGrid w:val="0"/>
                <w:color w:val="auto"/>
                <w:spacing w:val="-6"/>
                <w:kern w:val="21"/>
                <w:sz w:val="24"/>
                <w:szCs w:val="24"/>
              </w:rPr>
              <w:fldChar w:fldCharType="end"/>
            </w:r>
          </w:p>
        </w:tc>
      </w:tr>
      <w:tr w14:paraId="5203B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restart"/>
            <w:noWrap w:val="0"/>
            <w:vAlign w:val="center"/>
          </w:tcPr>
          <w:p w14:paraId="02155EA6">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废气</w:t>
            </w:r>
          </w:p>
        </w:tc>
        <w:tc>
          <w:tcPr>
            <w:tcW w:w="1629" w:type="dxa"/>
            <w:noWrap w:val="0"/>
            <w:vAlign w:val="center"/>
          </w:tcPr>
          <w:p w14:paraId="1C6B389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vertAlign w:val="subscript"/>
                <w:lang w:val="en-US" w:eastAsia="zh-CN"/>
              </w:rPr>
            </w:pPr>
            <w:r>
              <w:rPr>
                <w:rFonts w:hint="default" w:ascii="Times New Roman" w:hAnsi="Times New Roman" w:cs="Times New Roman"/>
                <w:color w:val="auto"/>
                <w:sz w:val="24"/>
                <w:szCs w:val="24"/>
                <w:highlight w:val="none"/>
                <w:lang w:val="en-US" w:eastAsia="zh-CN"/>
              </w:rPr>
              <w:t>颗粒物</w:t>
            </w:r>
          </w:p>
        </w:tc>
        <w:tc>
          <w:tcPr>
            <w:tcW w:w="1706" w:type="dxa"/>
            <w:noWrap w:val="0"/>
            <w:vAlign w:val="center"/>
          </w:tcPr>
          <w:p w14:paraId="1896D997">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43EDE716">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25488240">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5A5C2CE7">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0.00</w:t>
            </w:r>
            <w:r>
              <w:rPr>
                <w:rFonts w:hint="eastAsia" w:asci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en-US" w:eastAsia="zh-CN"/>
              </w:rPr>
              <w:t>t/a</w:t>
            </w:r>
          </w:p>
        </w:tc>
        <w:tc>
          <w:tcPr>
            <w:tcW w:w="1761" w:type="dxa"/>
            <w:noWrap w:val="0"/>
            <w:vAlign w:val="center"/>
          </w:tcPr>
          <w:p w14:paraId="768CDC53">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32799524">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0.00</w:t>
            </w:r>
            <w:r>
              <w:rPr>
                <w:rFonts w:hint="eastAsia" w:ascii="Times New Roman" w:cs="Times New Roman"/>
                <w:snapToGrid w:val="0"/>
                <w:color w:val="auto"/>
                <w:kern w:val="21"/>
                <w:sz w:val="24"/>
                <w:szCs w:val="24"/>
                <w:highlight w:val="none"/>
                <w:lang w:val="en-US" w:eastAsia="zh-CN"/>
              </w:rPr>
              <w:t>1</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en-US" w:eastAsia="zh-CN"/>
              </w:rPr>
              <w:t>t/a</w:t>
            </w:r>
          </w:p>
        </w:tc>
        <w:tc>
          <w:tcPr>
            <w:tcW w:w="975" w:type="dxa"/>
            <w:noWrap w:val="0"/>
            <w:vAlign w:val="center"/>
          </w:tcPr>
          <w:p w14:paraId="7E56DE59">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r>
      <w:tr w14:paraId="06D3D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515613FC">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3EB2D435">
            <w:pPr>
              <w:jc w:val="center"/>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VOCs</w:t>
            </w:r>
          </w:p>
        </w:tc>
        <w:tc>
          <w:tcPr>
            <w:tcW w:w="1706" w:type="dxa"/>
            <w:noWrap w:val="0"/>
            <w:vAlign w:val="center"/>
          </w:tcPr>
          <w:p w14:paraId="6BF6D3C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189321BF">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51503B5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51358378">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0.0</w:t>
            </w:r>
            <w:r>
              <w:rPr>
                <w:rFonts w:hint="eastAsia" w:asci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en-US" w:eastAsia="zh-CN"/>
              </w:rPr>
              <w:t>t/a</w:t>
            </w:r>
          </w:p>
        </w:tc>
        <w:tc>
          <w:tcPr>
            <w:tcW w:w="1761" w:type="dxa"/>
            <w:noWrap w:val="0"/>
            <w:vAlign w:val="center"/>
          </w:tcPr>
          <w:p w14:paraId="3597383C">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4435CC1A">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hAnsi="Times New Roman" w:eastAsia="宋体" w:cs="Times New Roman"/>
                <w:snapToGrid w:val="0"/>
                <w:color w:val="auto"/>
                <w:kern w:val="21"/>
                <w:sz w:val="24"/>
                <w:szCs w:val="24"/>
                <w:highlight w:val="none"/>
                <w:lang w:val="en-US" w:eastAsia="zh-CN"/>
              </w:rPr>
              <w:t>0.0</w:t>
            </w:r>
            <w:r>
              <w:rPr>
                <w:rFonts w:hint="eastAsia" w:ascii="Times New Roman" w:cs="Times New Roman"/>
                <w:snapToGrid w:val="0"/>
                <w:color w:val="auto"/>
                <w:kern w:val="21"/>
                <w:sz w:val="24"/>
                <w:szCs w:val="24"/>
                <w:highlight w:val="none"/>
                <w:lang w:val="en-US" w:eastAsia="zh-CN"/>
              </w:rPr>
              <w:t>3</w:t>
            </w:r>
            <w:r>
              <w:rPr>
                <w:rFonts w:hint="default" w:ascii="Times New Roman" w:hAnsi="Times New Roman" w:cs="Times New Roman"/>
                <w:snapToGrid w:val="0"/>
                <w:color w:val="auto"/>
                <w:kern w:val="21"/>
                <w:sz w:val="24"/>
                <w:szCs w:val="24"/>
                <w:highlight w:val="none"/>
                <w:lang w:val="en-US" w:eastAsia="zh-CN"/>
              </w:rPr>
              <w:t>2</w:t>
            </w:r>
            <w:r>
              <w:rPr>
                <w:rFonts w:hint="default" w:ascii="Times New Roman" w:hAnsi="Times New Roman" w:eastAsia="宋体" w:cs="Times New Roman"/>
                <w:snapToGrid w:val="0"/>
                <w:color w:val="auto"/>
                <w:kern w:val="21"/>
                <w:sz w:val="24"/>
                <w:szCs w:val="24"/>
                <w:highlight w:val="none"/>
                <w:lang w:val="en-US" w:eastAsia="zh-CN"/>
              </w:rPr>
              <w:t>t/a</w:t>
            </w:r>
          </w:p>
        </w:tc>
        <w:tc>
          <w:tcPr>
            <w:tcW w:w="975" w:type="dxa"/>
            <w:noWrap w:val="0"/>
            <w:vAlign w:val="center"/>
          </w:tcPr>
          <w:p w14:paraId="6DCD9E19">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r>
      <w:tr w14:paraId="48F09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restart"/>
            <w:noWrap w:val="0"/>
            <w:vAlign w:val="center"/>
          </w:tcPr>
          <w:p w14:paraId="3D872BC8">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废水</w:t>
            </w:r>
          </w:p>
        </w:tc>
        <w:tc>
          <w:tcPr>
            <w:tcW w:w="1629" w:type="dxa"/>
            <w:noWrap w:val="0"/>
            <w:vAlign w:val="center"/>
          </w:tcPr>
          <w:p w14:paraId="1A13A32F">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r>
              <w:rPr>
                <w:rFonts w:hint="eastAsia" w:ascii="Times New Roman" w:cs="Times New Roman"/>
                <w:snapToGrid w:val="0"/>
                <w:color w:val="auto"/>
                <w:kern w:val="21"/>
                <w:sz w:val="24"/>
                <w:szCs w:val="24"/>
                <w:highlight w:val="none"/>
                <w:lang w:val="en-US" w:eastAsia="zh-CN"/>
              </w:rPr>
              <w:t>综合废水</w:t>
            </w:r>
          </w:p>
        </w:tc>
        <w:tc>
          <w:tcPr>
            <w:tcW w:w="1706" w:type="dxa"/>
            <w:noWrap w:val="0"/>
            <w:vAlign w:val="center"/>
          </w:tcPr>
          <w:p w14:paraId="0DB10B44">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72B38F98">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365F74D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2B76302D">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cs="Times New Roman"/>
                <w:snapToGrid w:val="0"/>
                <w:color w:val="auto"/>
                <w:kern w:val="21"/>
                <w:sz w:val="24"/>
                <w:szCs w:val="24"/>
                <w:highlight w:val="none"/>
                <w:lang w:val="en-US" w:eastAsia="zh-CN"/>
              </w:rPr>
              <w:t>109.4</w:t>
            </w:r>
            <w:r>
              <w:rPr>
                <w:rFonts w:hint="default" w:ascii="Times New Roman" w:hAnsi="Times New Roman" w:eastAsia="宋体" w:cs="Times New Roman"/>
                <w:snapToGrid w:val="0"/>
                <w:color w:val="auto"/>
                <w:kern w:val="21"/>
                <w:sz w:val="24"/>
                <w:szCs w:val="24"/>
                <w:highlight w:val="none"/>
                <w:lang w:val="en-US" w:eastAsia="zh-CN"/>
              </w:rPr>
              <w:t>t/a</w:t>
            </w:r>
          </w:p>
        </w:tc>
        <w:tc>
          <w:tcPr>
            <w:tcW w:w="1761" w:type="dxa"/>
            <w:noWrap w:val="0"/>
            <w:vAlign w:val="center"/>
          </w:tcPr>
          <w:p w14:paraId="6BE9A807">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5D066E9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cs="Times New Roman"/>
                <w:snapToGrid w:val="0"/>
                <w:color w:val="auto"/>
                <w:kern w:val="21"/>
                <w:sz w:val="24"/>
                <w:szCs w:val="24"/>
                <w:highlight w:val="none"/>
                <w:lang w:val="en-US" w:eastAsia="zh-CN"/>
              </w:rPr>
              <w:t>109.4</w:t>
            </w:r>
            <w:r>
              <w:rPr>
                <w:rFonts w:hint="default" w:ascii="Times New Roman" w:hAnsi="Times New Roman" w:eastAsia="宋体" w:cs="Times New Roman"/>
                <w:snapToGrid w:val="0"/>
                <w:color w:val="auto"/>
                <w:kern w:val="21"/>
                <w:sz w:val="24"/>
                <w:szCs w:val="24"/>
                <w:highlight w:val="none"/>
                <w:lang w:val="en-US" w:eastAsia="zh-CN"/>
              </w:rPr>
              <w:t>t/a</w:t>
            </w:r>
          </w:p>
        </w:tc>
        <w:tc>
          <w:tcPr>
            <w:tcW w:w="975" w:type="dxa"/>
            <w:noWrap w:val="0"/>
            <w:vAlign w:val="center"/>
          </w:tcPr>
          <w:p w14:paraId="3C51F69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66AEC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39F0219B">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11055E94">
            <w:pPr>
              <w:pStyle w:val="47"/>
              <w:spacing w:beforeLines="0" w:afterLines="0" w:line="240" w:lineRule="auto"/>
              <w:jc w:val="center"/>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COD</w:t>
            </w:r>
          </w:p>
        </w:tc>
        <w:tc>
          <w:tcPr>
            <w:tcW w:w="1706" w:type="dxa"/>
            <w:noWrap w:val="0"/>
            <w:vAlign w:val="center"/>
          </w:tcPr>
          <w:p w14:paraId="2E711B40">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4842045D">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72519E59">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35C4420E">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0.028t/a</w:t>
            </w:r>
          </w:p>
        </w:tc>
        <w:tc>
          <w:tcPr>
            <w:tcW w:w="1761" w:type="dxa"/>
            <w:noWrap w:val="0"/>
            <w:vAlign w:val="center"/>
          </w:tcPr>
          <w:p w14:paraId="65935505">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524DB7D6">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cs="Times New Roman"/>
                <w:snapToGrid w:val="0"/>
                <w:color w:val="auto"/>
                <w:kern w:val="21"/>
                <w:sz w:val="24"/>
                <w:szCs w:val="24"/>
                <w:highlight w:val="none"/>
                <w:lang w:val="en-US" w:eastAsia="zh-CN"/>
              </w:rPr>
              <w:t>0.028t/a</w:t>
            </w:r>
          </w:p>
        </w:tc>
        <w:tc>
          <w:tcPr>
            <w:tcW w:w="975" w:type="dxa"/>
            <w:noWrap w:val="0"/>
            <w:vAlign w:val="center"/>
          </w:tcPr>
          <w:p w14:paraId="1D1C7DE8">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572E4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104F5959">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14A052DE">
            <w:pPr>
              <w:pStyle w:val="85"/>
              <w:ind w:firstLine="0" w:firstLineChars="0"/>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eastAsia="宋体" w:cs="Times New Roman"/>
                <w:color w:val="auto"/>
                <w:sz w:val="24"/>
                <w:szCs w:val="24"/>
                <w:highlight w:val="none"/>
              </w:rPr>
              <w:t>BOD</w:t>
            </w:r>
            <w:r>
              <w:rPr>
                <w:rFonts w:hint="default" w:ascii="Times New Roman" w:hAnsi="Times New Roman" w:eastAsia="宋体" w:cs="Times New Roman"/>
                <w:color w:val="auto"/>
                <w:sz w:val="24"/>
                <w:szCs w:val="24"/>
                <w:highlight w:val="none"/>
                <w:vertAlign w:val="subscript"/>
              </w:rPr>
              <w:t>5</w:t>
            </w:r>
          </w:p>
        </w:tc>
        <w:tc>
          <w:tcPr>
            <w:tcW w:w="1706" w:type="dxa"/>
            <w:noWrap w:val="0"/>
            <w:vAlign w:val="center"/>
          </w:tcPr>
          <w:p w14:paraId="59C2319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1463DAB6">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586BCBC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2F313F0B">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0.02t/a</w:t>
            </w:r>
          </w:p>
        </w:tc>
        <w:tc>
          <w:tcPr>
            <w:tcW w:w="1761" w:type="dxa"/>
            <w:noWrap w:val="0"/>
            <w:vAlign w:val="center"/>
          </w:tcPr>
          <w:p w14:paraId="614399DA">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4CB8F434">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0.02t/a</w:t>
            </w:r>
          </w:p>
        </w:tc>
        <w:tc>
          <w:tcPr>
            <w:tcW w:w="975" w:type="dxa"/>
            <w:noWrap w:val="0"/>
            <w:vAlign w:val="center"/>
          </w:tcPr>
          <w:p w14:paraId="6BD8AE44">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39AED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32B29C55">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2F7B751B">
            <w:pPr>
              <w:pStyle w:val="85"/>
              <w:ind w:firstLine="0" w:firstLineChars="0"/>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eastAsia="宋体" w:cs="Times New Roman"/>
                <w:color w:val="auto"/>
                <w:sz w:val="24"/>
                <w:szCs w:val="24"/>
                <w:highlight w:val="none"/>
              </w:rPr>
              <w:t>SS</w:t>
            </w:r>
          </w:p>
        </w:tc>
        <w:tc>
          <w:tcPr>
            <w:tcW w:w="1706" w:type="dxa"/>
            <w:noWrap w:val="0"/>
            <w:vAlign w:val="center"/>
          </w:tcPr>
          <w:p w14:paraId="38E25F39">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7C56530B">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21C6C04A">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1979B479">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0.011t/a</w:t>
            </w:r>
          </w:p>
        </w:tc>
        <w:tc>
          <w:tcPr>
            <w:tcW w:w="1761" w:type="dxa"/>
            <w:noWrap w:val="0"/>
            <w:vAlign w:val="center"/>
          </w:tcPr>
          <w:p w14:paraId="6716FF54">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564DC66D">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0.011t/a</w:t>
            </w:r>
          </w:p>
        </w:tc>
        <w:tc>
          <w:tcPr>
            <w:tcW w:w="975" w:type="dxa"/>
            <w:noWrap w:val="0"/>
            <w:vAlign w:val="center"/>
          </w:tcPr>
          <w:p w14:paraId="179BC560">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4A4FC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1F4AEEB7">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46A6E443">
            <w:pPr>
              <w:pStyle w:val="47"/>
              <w:spacing w:beforeLines="0" w:afterLines="0" w:line="240" w:lineRule="auto"/>
              <w:jc w:val="center"/>
              <w:rPr>
                <w:rFonts w:hint="default" w:ascii="Times New Roman" w:hAnsi="Times New Roman" w:cs="Times New Roman"/>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NH</w:t>
            </w:r>
            <w:r>
              <w:rPr>
                <w:rFonts w:hint="default" w:ascii="Times New Roman" w:hAnsi="Times New Roman" w:cs="Times New Roman"/>
                <w:snapToGrid w:val="0"/>
                <w:color w:val="auto"/>
                <w:kern w:val="21"/>
                <w:sz w:val="24"/>
                <w:szCs w:val="24"/>
                <w:highlight w:val="none"/>
                <w:vertAlign w:val="subscript"/>
                <w:lang w:val="en-US" w:eastAsia="zh-CN"/>
              </w:rPr>
              <w:t>3</w:t>
            </w:r>
            <w:r>
              <w:rPr>
                <w:rFonts w:hint="default" w:ascii="Times New Roman" w:hAnsi="Times New Roman" w:cs="Times New Roman"/>
                <w:snapToGrid w:val="0"/>
                <w:color w:val="auto"/>
                <w:kern w:val="21"/>
                <w:sz w:val="24"/>
                <w:szCs w:val="24"/>
                <w:highlight w:val="none"/>
                <w:lang w:val="en-US" w:eastAsia="zh-CN"/>
              </w:rPr>
              <w:t>-N</w:t>
            </w:r>
          </w:p>
        </w:tc>
        <w:tc>
          <w:tcPr>
            <w:tcW w:w="1706" w:type="dxa"/>
            <w:noWrap w:val="0"/>
            <w:vAlign w:val="center"/>
          </w:tcPr>
          <w:p w14:paraId="4ECAFED3">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53FEA8E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530CEBB8">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025E7031">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0.003t/a</w:t>
            </w:r>
          </w:p>
        </w:tc>
        <w:tc>
          <w:tcPr>
            <w:tcW w:w="1761" w:type="dxa"/>
            <w:noWrap w:val="0"/>
            <w:vAlign w:val="center"/>
          </w:tcPr>
          <w:p w14:paraId="63408F8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36BCE23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cs="Times New Roman"/>
                <w:snapToGrid w:val="0"/>
                <w:color w:val="auto"/>
                <w:kern w:val="21"/>
                <w:sz w:val="24"/>
                <w:szCs w:val="24"/>
                <w:highlight w:val="none"/>
                <w:lang w:val="en-US" w:eastAsia="zh-CN"/>
              </w:rPr>
              <w:t>0.003t/a</w:t>
            </w:r>
          </w:p>
        </w:tc>
        <w:tc>
          <w:tcPr>
            <w:tcW w:w="975" w:type="dxa"/>
            <w:noWrap w:val="0"/>
            <w:vAlign w:val="center"/>
          </w:tcPr>
          <w:p w14:paraId="73A2D1C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02ADB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noWrap w:val="0"/>
            <w:vAlign w:val="center"/>
          </w:tcPr>
          <w:p w14:paraId="48B1C8A4">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sz w:val="24"/>
                <w:szCs w:val="24"/>
                <w:highlight w:val="none"/>
              </w:rPr>
              <w:t>生活垃圾</w:t>
            </w:r>
          </w:p>
        </w:tc>
        <w:tc>
          <w:tcPr>
            <w:tcW w:w="1629" w:type="dxa"/>
            <w:noWrap w:val="0"/>
            <w:vAlign w:val="center"/>
          </w:tcPr>
          <w:p w14:paraId="3FB447C7">
            <w:pPr>
              <w:pStyle w:val="85"/>
              <w:ind w:firstLine="0" w:firstLineChars="0"/>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color w:val="auto"/>
                <w:sz w:val="24"/>
                <w:szCs w:val="24"/>
                <w:highlight w:val="none"/>
              </w:rPr>
              <w:t>生活垃圾</w:t>
            </w:r>
          </w:p>
        </w:tc>
        <w:tc>
          <w:tcPr>
            <w:tcW w:w="1706" w:type="dxa"/>
            <w:noWrap w:val="0"/>
            <w:vAlign w:val="center"/>
          </w:tcPr>
          <w:p w14:paraId="63C199A7">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0C207FD9">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6CDA2155">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3BC0ED67">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eastAsia" w:ascii="Times New Roman" w:cs="Times New Roman"/>
                <w:snapToGrid w:val="0"/>
                <w:color w:val="auto"/>
                <w:kern w:val="21"/>
                <w:sz w:val="24"/>
                <w:szCs w:val="24"/>
                <w:highlight w:val="none"/>
                <w:lang w:val="en-US" w:eastAsia="zh-CN"/>
              </w:rPr>
              <w:t>1.7</w:t>
            </w:r>
            <w:r>
              <w:rPr>
                <w:rFonts w:hint="default" w:ascii="Times New Roman" w:cs="Times New Roman"/>
                <w:snapToGrid w:val="0"/>
                <w:color w:val="auto"/>
                <w:kern w:val="21"/>
                <w:sz w:val="24"/>
                <w:szCs w:val="24"/>
                <w:highlight w:val="none"/>
                <w:lang w:val="en-US" w:eastAsia="zh-CN"/>
              </w:rPr>
              <w:t>t/a</w:t>
            </w:r>
          </w:p>
        </w:tc>
        <w:tc>
          <w:tcPr>
            <w:tcW w:w="1761" w:type="dxa"/>
            <w:noWrap w:val="0"/>
            <w:vAlign w:val="center"/>
          </w:tcPr>
          <w:p w14:paraId="2299D586">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5E07D0D8">
            <w:pPr>
              <w:pStyle w:val="47"/>
              <w:spacing w:beforeLines="0" w:afterLines="0" w:line="240" w:lineRule="auto"/>
              <w:jc w:val="center"/>
              <w:rPr>
                <w:rFonts w:hint="default" w:ascii="Times New Roman" w:hAnsi="Times New Roman" w:cs="Times New Roman"/>
                <w:color w:val="auto"/>
                <w:sz w:val="24"/>
                <w:szCs w:val="24"/>
                <w:highlight w:val="none"/>
              </w:rPr>
            </w:pPr>
            <w:r>
              <w:rPr>
                <w:rFonts w:hint="eastAsia" w:ascii="Times New Roman" w:cs="Times New Roman"/>
                <w:snapToGrid w:val="0"/>
                <w:color w:val="auto"/>
                <w:kern w:val="21"/>
                <w:sz w:val="24"/>
                <w:szCs w:val="24"/>
                <w:highlight w:val="none"/>
                <w:lang w:val="en-US" w:eastAsia="zh-CN"/>
              </w:rPr>
              <w:t>1.7</w:t>
            </w:r>
            <w:r>
              <w:rPr>
                <w:rFonts w:hint="default" w:ascii="Times New Roman" w:cs="Times New Roman"/>
                <w:snapToGrid w:val="0"/>
                <w:color w:val="auto"/>
                <w:kern w:val="21"/>
                <w:sz w:val="24"/>
                <w:szCs w:val="24"/>
                <w:highlight w:val="none"/>
                <w:lang w:val="en-US" w:eastAsia="zh-CN"/>
              </w:rPr>
              <w:t>t/a</w:t>
            </w:r>
          </w:p>
        </w:tc>
        <w:tc>
          <w:tcPr>
            <w:tcW w:w="975" w:type="dxa"/>
            <w:noWrap w:val="0"/>
            <w:vAlign w:val="center"/>
          </w:tcPr>
          <w:p w14:paraId="311EB257">
            <w:pPr>
              <w:pStyle w:val="102"/>
              <w:widowControl w:val="0"/>
              <w:jc w:val="center"/>
              <w:rPr>
                <w:rFonts w:hint="default" w:ascii="Times New Roman" w:hAnsi="Times New Roman" w:cs="Times New Roman"/>
                <w:color w:val="auto"/>
                <w:sz w:val="24"/>
                <w:szCs w:val="24"/>
                <w:highlight w:val="none"/>
                <w:lang w:val="en-US" w:eastAsia="zh-CN" w:bidi="ar-SA"/>
              </w:rPr>
            </w:pPr>
          </w:p>
        </w:tc>
      </w:tr>
      <w:tr w14:paraId="3C6D5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noWrap w:val="0"/>
            <w:vAlign w:val="center"/>
          </w:tcPr>
          <w:p w14:paraId="60EA538C">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cs="Times New Roman"/>
                <w:snapToGrid w:val="0"/>
                <w:color w:val="auto"/>
                <w:kern w:val="21"/>
                <w:sz w:val="24"/>
                <w:szCs w:val="24"/>
                <w:highlight w:val="none"/>
              </w:rPr>
              <w:t>一般工业固体废物</w:t>
            </w:r>
          </w:p>
        </w:tc>
        <w:tc>
          <w:tcPr>
            <w:tcW w:w="1629" w:type="dxa"/>
            <w:noWrap w:val="0"/>
            <w:vAlign w:val="center"/>
          </w:tcPr>
          <w:p w14:paraId="2BB00B4F">
            <w:pPr>
              <w:pStyle w:val="85"/>
              <w:ind w:firstLine="0" w:firstLineChars="0"/>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药渣</w:t>
            </w:r>
          </w:p>
        </w:tc>
        <w:tc>
          <w:tcPr>
            <w:tcW w:w="1706" w:type="dxa"/>
            <w:noWrap w:val="0"/>
            <w:vAlign w:val="center"/>
          </w:tcPr>
          <w:p w14:paraId="6C9E6606">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12B4E63A">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7D525DDC">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5663C1C1">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eastAsia" w:ascii="Times New Roman" w:cs="Times New Roman"/>
                <w:snapToGrid w:val="0"/>
                <w:color w:val="auto"/>
                <w:kern w:val="21"/>
                <w:sz w:val="24"/>
                <w:szCs w:val="24"/>
                <w:highlight w:val="none"/>
                <w:lang w:val="en-US" w:eastAsia="zh-CN"/>
              </w:rPr>
              <w:t>1.26</w:t>
            </w:r>
            <w:r>
              <w:rPr>
                <w:rFonts w:hint="default" w:ascii="Times New Roman" w:cs="Times New Roman"/>
                <w:snapToGrid w:val="0"/>
                <w:color w:val="auto"/>
                <w:kern w:val="21"/>
                <w:sz w:val="24"/>
                <w:szCs w:val="24"/>
                <w:highlight w:val="none"/>
                <w:lang w:val="en-US" w:eastAsia="zh-CN"/>
              </w:rPr>
              <w:t>t/a</w:t>
            </w:r>
          </w:p>
        </w:tc>
        <w:tc>
          <w:tcPr>
            <w:tcW w:w="1761" w:type="dxa"/>
            <w:noWrap w:val="0"/>
            <w:vAlign w:val="center"/>
          </w:tcPr>
          <w:p w14:paraId="37483F6A">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17C2DADD">
            <w:pPr>
              <w:pStyle w:val="47"/>
              <w:spacing w:beforeLines="0" w:afterLines="0" w:line="240" w:lineRule="auto"/>
              <w:jc w:val="center"/>
              <w:rPr>
                <w:rFonts w:hint="default" w:ascii="Times New Roman" w:hAnsi="Times New Roman" w:cs="Times New Roman"/>
                <w:color w:val="auto"/>
                <w:sz w:val="24"/>
                <w:szCs w:val="24"/>
                <w:highlight w:val="none"/>
                <w:lang w:val="en-US" w:eastAsia="zh-CN"/>
              </w:rPr>
            </w:pPr>
            <w:r>
              <w:rPr>
                <w:rFonts w:hint="eastAsia" w:ascii="Times New Roman" w:cs="Times New Roman"/>
                <w:snapToGrid w:val="0"/>
                <w:color w:val="auto"/>
                <w:kern w:val="21"/>
                <w:sz w:val="24"/>
                <w:szCs w:val="24"/>
                <w:highlight w:val="none"/>
                <w:lang w:val="en-US" w:eastAsia="zh-CN"/>
              </w:rPr>
              <w:t>1.26</w:t>
            </w:r>
            <w:r>
              <w:rPr>
                <w:rFonts w:hint="default" w:ascii="Times New Roman" w:cs="Times New Roman"/>
                <w:snapToGrid w:val="0"/>
                <w:color w:val="auto"/>
                <w:kern w:val="21"/>
                <w:sz w:val="24"/>
                <w:szCs w:val="24"/>
                <w:highlight w:val="none"/>
                <w:lang w:val="en-US" w:eastAsia="zh-CN"/>
              </w:rPr>
              <w:t>t/a</w:t>
            </w:r>
          </w:p>
        </w:tc>
        <w:tc>
          <w:tcPr>
            <w:tcW w:w="975" w:type="dxa"/>
            <w:noWrap w:val="0"/>
            <w:vAlign w:val="center"/>
          </w:tcPr>
          <w:p w14:paraId="0CFF9D8E">
            <w:pPr>
              <w:pStyle w:val="102"/>
              <w:widowControl w:val="0"/>
              <w:jc w:val="center"/>
              <w:rPr>
                <w:rFonts w:hint="default" w:ascii="Times New Roman" w:hAnsi="Times New Roman" w:cs="Times New Roman"/>
                <w:color w:val="auto"/>
                <w:sz w:val="24"/>
                <w:szCs w:val="24"/>
                <w:highlight w:val="none"/>
                <w:lang w:val="en-US" w:eastAsia="zh-CN" w:bidi="ar-SA"/>
              </w:rPr>
            </w:pPr>
          </w:p>
        </w:tc>
      </w:tr>
      <w:tr w14:paraId="4C4AF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restart"/>
            <w:noWrap w:val="0"/>
            <w:vAlign w:val="center"/>
          </w:tcPr>
          <w:p w14:paraId="5A141EE5">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r>
              <w:rPr>
                <w:rFonts w:hint="default" w:ascii="Times New Roman" w:hAnsi="Times New Roman" w:cs="Times New Roman"/>
                <w:snapToGrid w:val="0"/>
                <w:color w:val="auto"/>
                <w:kern w:val="21"/>
                <w:sz w:val="24"/>
                <w:szCs w:val="24"/>
                <w:highlight w:val="none"/>
              </w:rPr>
              <w:t>危险废物</w:t>
            </w:r>
          </w:p>
        </w:tc>
        <w:tc>
          <w:tcPr>
            <w:tcW w:w="1629" w:type="dxa"/>
            <w:noWrap w:val="0"/>
            <w:vAlign w:val="center"/>
          </w:tcPr>
          <w:p w14:paraId="2DAC41EB">
            <w:pPr>
              <w:pStyle w:val="85"/>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废试剂瓶</w:t>
            </w:r>
          </w:p>
        </w:tc>
        <w:tc>
          <w:tcPr>
            <w:tcW w:w="1706" w:type="dxa"/>
            <w:noWrap w:val="0"/>
            <w:vAlign w:val="center"/>
          </w:tcPr>
          <w:p w14:paraId="7225E83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420050EC">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135E56C4">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6B5D6006">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w:t>
            </w:r>
            <w:r>
              <w:rPr>
                <w:rFonts w:hint="eastAsia" w:ascii="Times New Roman" w:cs="Times New Roman"/>
                <w:snapToGrid w:val="0"/>
                <w:color w:val="auto"/>
                <w:kern w:val="21"/>
                <w:sz w:val="24"/>
                <w:szCs w:val="24"/>
                <w:highlight w:val="none"/>
                <w:lang w:val="en-US" w:eastAsia="zh-CN"/>
              </w:rPr>
              <w:t>5</w:t>
            </w:r>
            <w:r>
              <w:rPr>
                <w:rFonts w:hint="default" w:ascii="Times New Roman" w:cs="Times New Roman"/>
                <w:snapToGrid w:val="0"/>
                <w:color w:val="auto"/>
                <w:kern w:val="21"/>
                <w:sz w:val="24"/>
                <w:szCs w:val="24"/>
                <w:highlight w:val="none"/>
                <w:lang w:val="en-US" w:eastAsia="zh-CN"/>
              </w:rPr>
              <w:t>t/a</w:t>
            </w:r>
          </w:p>
        </w:tc>
        <w:tc>
          <w:tcPr>
            <w:tcW w:w="1761" w:type="dxa"/>
            <w:noWrap w:val="0"/>
            <w:vAlign w:val="center"/>
          </w:tcPr>
          <w:p w14:paraId="4D0C780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354ADDE4">
            <w:pPr>
              <w:pStyle w:val="47"/>
              <w:spacing w:beforeLines="0" w:afterLines="0" w:line="240" w:lineRule="auto"/>
              <w:jc w:val="center"/>
              <w:rPr>
                <w:rFonts w:hint="default" w:ascii="Times New Roman" w:hAnsi="Times New Roman" w:cs="Times New Roman"/>
                <w:color w:val="auto"/>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w:t>
            </w:r>
            <w:r>
              <w:rPr>
                <w:rFonts w:hint="eastAsia" w:ascii="Times New Roman" w:cs="Times New Roman"/>
                <w:snapToGrid w:val="0"/>
                <w:color w:val="auto"/>
                <w:kern w:val="21"/>
                <w:sz w:val="24"/>
                <w:szCs w:val="24"/>
                <w:highlight w:val="none"/>
                <w:lang w:val="en-US" w:eastAsia="zh-CN"/>
              </w:rPr>
              <w:t>5</w:t>
            </w:r>
            <w:r>
              <w:rPr>
                <w:rFonts w:hint="default" w:ascii="Times New Roman" w:cs="Times New Roman"/>
                <w:snapToGrid w:val="0"/>
                <w:color w:val="auto"/>
                <w:kern w:val="21"/>
                <w:sz w:val="24"/>
                <w:szCs w:val="24"/>
                <w:highlight w:val="none"/>
                <w:lang w:val="en-US" w:eastAsia="zh-CN"/>
              </w:rPr>
              <w:t>t/a</w:t>
            </w:r>
          </w:p>
        </w:tc>
        <w:tc>
          <w:tcPr>
            <w:tcW w:w="975" w:type="dxa"/>
            <w:noWrap w:val="0"/>
            <w:vAlign w:val="center"/>
          </w:tcPr>
          <w:p w14:paraId="13C19C43">
            <w:pPr>
              <w:pStyle w:val="102"/>
              <w:widowControl w:val="0"/>
              <w:jc w:val="center"/>
              <w:rPr>
                <w:rFonts w:hint="default" w:ascii="Times New Roman" w:hAnsi="Times New Roman" w:cs="Times New Roman"/>
                <w:color w:val="auto"/>
                <w:sz w:val="24"/>
                <w:szCs w:val="24"/>
                <w:highlight w:val="none"/>
                <w:lang w:val="en-US" w:eastAsia="zh-CN" w:bidi="ar-SA"/>
              </w:rPr>
            </w:pPr>
          </w:p>
        </w:tc>
      </w:tr>
      <w:tr w14:paraId="2D77E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4AD9EB94">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395D14BC">
            <w:pPr>
              <w:pStyle w:val="85"/>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实验废液</w:t>
            </w:r>
          </w:p>
        </w:tc>
        <w:tc>
          <w:tcPr>
            <w:tcW w:w="1706" w:type="dxa"/>
            <w:noWrap w:val="0"/>
            <w:vAlign w:val="center"/>
          </w:tcPr>
          <w:p w14:paraId="2F58F0AC">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74DEAF3A">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1A477A87">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6392A9BB">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w:t>
            </w:r>
            <w:r>
              <w:rPr>
                <w:rFonts w:hint="eastAsia" w:ascii="Times New Roman" w:cs="Times New Roman"/>
                <w:snapToGrid w:val="0"/>
                <w:color w:val="auto"/>
                <w:kern w:val="21"/>
                <w:sz w:val="24"/>
                <w:szCs w:val="24"/>
                <w:highlight w:val="none"/>
                <w:lang w:val="en-US" w:eastAsia="zh-CN"/>
              </w:rPr>
              <w:t>5</w:t>
            </w:r>
            <w:r>
              <w:rPr>
                <w:rFonts w:hint="default" w:ascii="Times New Roman" w:cs="Times New Roman"/>
                <w:snapToGrid w:val="0"/>
                <w:color w:val="auto"/>
                <w:kern w:val="21"/>
                <w:sz w:val="24"/>
                <w:szCs w:val="24"/>
                <w:highlight w:val="none"/>
                <w:lang w:val="en-US" w:eastAsia="zh-CN"/>
              </w:rPr>
              <w:t>t/a</w:t>
            </w:r>
          </w:p>
        </w:tc>
        <w:tc>
          <w:tcPr>
            <w:tcW w:w="1761" w:type="dxa"/>
            <w:noWrap w:val="0"/>
            <w:vAlign w:val="center"/>
          </w:tcPr>
          <w:p w14:paraId="02F94843">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126D0B55">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w:t>
            </w:r>
            <w:r>
              <w:rPr>
                <w:rFonts w:hint="eastAsia" w:ascii="Times New Roman" w:cs="Times New Roman"/>
                <w:snapToGrid w:val="0"/>
                <w:color w:val="auto"/>
                <w:kern w:val="21"/>
                <w:sz w:val="24"/>
                <w:szCs w:val="24"/>
                <w:highlight w:val="none"/>
                <w:lang w:val="en-US" w:eastAsia="zh-CN"/>
              </w:rPr>
              <w:t>5</w:t>
            </w:r>
            <w:r>
              <w:rPr>
                <w:rFonts w:hint="default" w:ascii="Times New Roman" w:cs="Times New Roman"/>
                <w:snapToGrid w:val="0"/>
                <w:color w:val="auto"/>
                <w:kern w:val="21"/>
                <w:sz w:val="24"/>
                <w:szCs w:val="24"/>
                <w:highlight w:val="none"/>
                <w:lang w:val="en-US" w:eastAsia="zh-CN"/>
              </w:rPr>
              <w:t>t/a</w:t>
            </w:r>
          </w:p>
        </w:tc>
        <w:tc>
          <w:tcPr>
            <w:tcW w:w="975" w:type="dxa"/>
            <w:noWrap w:val="0"/>
            <w:vAlign w:val="center"/>
          </w:tcPr>
          <w:p w14:paraId="08EB81D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492BA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79C94135">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610E3F29">
            <w:pPr>
              <w:pStyle w:val="85"/>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废试剂</w:t>
            </w:r>
          </w:p>
        </w:tc>
        <w:tc>
          <w:tcPr>
            <w:tcW w:w="1706" w:type="dxa"/>
            <w:noWrap w:val="0"/>
            <w:vAlign w:val="center"/>
          </w:tcPr>
          <w:p w14:paraId="37AF188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0CC0A661">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22D0646D">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358BE8CF">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0.01t/a</w:t>
            </w:r>
          </w:p>
        </w:tc>
        <w:tc>
          <w:tcPr>
            <w:tcW w:w="1761" w:type="dxa"/>
            <w:noWrap w:val="0"/>
            <w:vAlign w:val="center"/>
          </w:tcPr>
          <w:p w14:paraId="12633509">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5F9D6CA6">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0.01t/a</w:t>
            </w:r>
          </w:p>
        </w:tc>
        <w:tc>
          <w:tcPr>
            <w:tcW w:w="975" w:type="dxa"/>
            <w:noWrap w:val="0"/>
            <w:vAlign w:val="center"/>
          </w:tcPr>
          <w:p w14:paraId="25CCBBC3">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44591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7B832419">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7CCFA7E2">
            <w:pPr>
              <w:pStyle w:val="85"/>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实验检测废弃物</w:t>
            </w:r>
          </w:p>
        </w:tc>
        <w:tc>
          <w:tcPr>
            <w:tcW w:w="1706" w:type="dxa"/>
            <w:noWrap w:val="0"/>
            <w:vAlign w:val="center"/>
          </w:tcPr>
          <w:p w14:paraId="05353AAF">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263491B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729E6C45">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65A607ED">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0.01t/a</w:t>
            </w:r>
          </w:p>
        </w:tc>
        <w:tc>
          <w:tcPr>
            <w:tcW w:w="1761" w:type="dxa"/>
            <w:noWrap w:val="0"/>
            <w:vAlign w:val="center"/>
          </w:tcPr>
          <w:p w14:paraId="26556188">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0CB9831E">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0.01t/a</w:t>
            </w:r>
          </w:p>
        </w:tc>
        <w:tc>
          <w:tcPr>
            <w:tcW w:w="975" w:type="dxa"/>
            <w:noWrap w:val="0"/>
            <w:vAlign w:val="center"/>
          </w:tcPr>
          <w:p w14:paraId="4C05186B">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r w14:paraId="6387F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54AB1396">
            <w:pPr>
              <w:pStyle w:val="47"/>
              <w:spacing w:beforeLines="0" w:afterLines="0" w:line="240" w:lineRule="auto"/>
              <w:jc w:val="center"/>
              <w:rPr>
                <w:rFonts w:hint="default" w:ascii="Times New Roman" w:hAnsi="Times New Roman" w:cs="Times New Roman"/>
                <w:snapToGrid w:val="0"/>
                <w:color w:val="auto"/>
                <w:kern w:val="21"/>
                <w:sz w:val="24"/>
                <w:szCs w:val="24"/>
                <w:highlight w:val="none"/>
              </w:rPr>
            </w:pPr>
          </w:p>
        </w:tc>
        <w:tc>
          <w:tcPr>
            <w:tcW w:w="1629" w:type="dxa"/>
            <w:noWrap w:val="0"/>
            <w:vAlign w:val="center"/>
          </w:tcPr>
          <w:p w14:paraId="1A8ACE9E">
            <w:pPr>
              <w:pStyle w:val="85"/>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废活性炭</w:t>
            </w:r>
          </w:p>
        </w:tc>
        <w:tc>
          <w:tcPr>
            <w:tcW w:w="1706" w:type="dxa"/>
            <w:noWrap w:val="0"/>
            <w:vAlign w:val="center"/>
          </w:tcPr>
          <w:p w14:paraId="4EAFF273">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276" w:type="dxa"/>
            <w:noWrap w:val="0"/>
            <w:vAlign w:val="center"/>
          </w:tcPr>
          <w:p w14:paraId="55A0A732">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701" w:type="dxa"/>
            <w:noWrap w:val="0"/>
            <w:vAlign w:val="center"/>
          </w:tcPr>
          <w:p w14:paraId="2FC0AEC3">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559" w:type="dxa"/>
            <w:noWrap w:val="0"/>
            <w:vAlign w:val="center"/>
          </w:tcPr>
          <w:p w14:paraId="143CCD5D">
            <w:pPr>
              <w:pStyle w:val="47"/>
              <w:spacing w:beforeLines="0" w:afterLines="0" w:line="240" w:lineRule="auto"/>
              <w:jc w:val="center"/>
              <w:rPr>
                <w:rFonts w:hint="default" w:ascii="Times New Roman"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w:t>
            </w:r>
            <w:r>
              <w:rPr>
                <w:rFonts w:hint="eastAsia" w:ascii="Times New Roman" w:cs="Times New Roman"/>
                <w:snapToGrid w:val="0"/>
                <w:color w:val="auto"/>
                <w:kern w:val="21"/>
                <w:sz w:val="24"/>
                <w:szCs w:val="24"/>
                <w:highlight w:val="none"/>
                <w:lang w:val="en-US" w:eastAsia="zh-CN"/>
              </w:rPr>
              <w:t>24</w:t>
            </w:r>
            <w:r>
              <w:rPr>
                <w:rFonts w:hint="default" w:ascii="Times New Roman" w:cs="Times New Roman"/>
                <w:snapToGrid w:val="0"/>
                <w:color w:val="auto"/>
                <w:kern w:val="21"/>
                <w:sz w:val="24"/>
                <w:szCs w:val="24"/>
                <w:highlight w:val="none"/>
                <w:lang w:val="en-US" w:eastAsia="zh-CN"/>
              </w:rPr>
              <w:t>t/a</w:t>
            </w:r>
          </w:p>
        </w:tc>
        <w:tc>
          <w:tcPr>
            <w:tcW w:w="1761" w:type="dxa"/>
            <w:noWrap w:val="0"/>
            <w:vAlign w:val="center"/>
          </w:tcPr>
          <w:p w14:paraId="0F65DDAD">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c>
          <w:tcPr>
            <w:tcW w:w="1635" w:type="dxa"/>
            <w:noWrap w:val="0"/>
            <w:vAlign w:val="center"/>
          </w:tcPr>
          <w:p w14:paraId="674DD513">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r>
              <w:rPr>
                <w:rFonts w:hint="default" w:ascii="Times New Roman" w:cs="Times New Roman"/>
                <w:snapToGrid w:val="0"/>
                <w:color w:val="auto"/>
                <w:kern w:val="21"/>
                <w:sz w:val="24"/>
                <w:szCs w:val="24"/>
                <w:highlight w:val="none"/>
                <w:lang w:val="en-US" w:eastAsia="zh-CN"/>
              </w:rPr>
              <w:t>0.</w:t>
            </w:r>
            <w:r>
              <w:rPr>
                <w:rFonts w:hint="eastAsia" w:ascii="Times New Roman" w:cs="Times New Roman"/>
                <w:snapToGrid w:val="0"/>
                <w:color w:val="auto"/>
                <w:kern w:val="21"/>
                <w:sz w:val="24"/>
                <w:szCs w:val="24"/>
                <w:highlight w:val="none"/>
                <w:lang w:val="en-US" w:eastAsia="zh-CN"/>
              </w:rPr>
              <w:t>24</w:t>
            </w:r>
            <w:r>
              <w:rPr>
                <w:rFonts w:hint="default" w:ascii="Times New Roman" w:cs="Times New Roman"/>
                <w:snapToGrid w:val="0"/>
                <w:color w:val="auto"/>
                <w:kern w:val="21"/>
                <w:sz w:val="24"/>
                <w:szCs w:val="24"/>
                <w:highlight w:val="none"/>
                <w:lang w:val="en-US" w:eastAsia="zh-CN"/>
              </w:rPr>
              <w:t>t/a</w:t>
            </w:r>
          </w:p>
        </w:tc>
        <w:tc>
          <w:tcPr>
            <w:tcW w:w="975" w:type="dxa"/>
            <w:noWrap w:val="0"/>
            <w:vAlign w:val="center"/>
          </w:tcPr>
          <w:p w14:paraId="0086B134">
            <w:pPr>
              <w:pStyle w:val="47"/>
              <w:spacing w:beforeLines="0" w:afterLines="0" w:line="240" w:lineRule="auto"/>
              <w:jc w:val="center"/>
              <w:rPr>
                <w:rFonts w:hint="default" w:ascii="Times New Roman" w:hAnsi="Times New Roman" w:eastAsia="宋体" w:cs="Times New Roman"/>
                <w:snapToGrid w:val="0"/>
                <w:color w:val="auto"/>
                <w:kern w:val="21"/>
                <w:sz w:val="24"/>
                <w:szCs w:val="24"/>
                <w:highlight w:val="none"/>
                <w:lang w:val="en-US" w:eastAsia="zh-CN"/>
              </w:rPr>
            </w:pPr>
          </w:p>
        </w:tc>
      </w:tr>
    </w:tbl>
    <w:p w14:paraId="6011CC78">
      <w:pPr>
        <w:pStyle w:val="47"/>
        <w:spacing w:before="192" w:beforeLines="80" w:after="24"/>
        <w:jc w:val="left"/>
        <w:rPr>
          <w:rFonts w:hint="default" w:ascii="Times New Roman" w:hAnsi="Times New Roman" w:eastAsia="黑体" w:cs="Times New Roman"/>
          <w:color w:val="auto"/>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sectPr>
      <w:footerReference r:id="rId5" w:type="default"/>
      <w:pgSz w:w="16838" w:h="11906" w:orient="landscape"/>
      <w:pgMar w:top="1304" w:right="1644" w:bottom="1304" w:left="1644"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Gloucester MT Extra Condensed">
    <w:altName w:val="MT Extra"/>
    <w:panose1 w:val="02030808020601010101"/>
    <w:charset w:val="00"/>
    <w:family w:val="roman"/>
    <w:pitch w:val="default"/>
    <w:sig w:usb0="00000000"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3701">
    <w:pPr>
      <w:pStyle w:val="19"/>
      <w:tabs>
        <w:tab w:val="center" w:pos="4422"/>
        <w:tab w:val="left" w:pos="4995"/>
      </w:tabs>
      <w:rPr>
        <w:sz w:val="21"/>
        <w:szCs w:val="21"/>
      </w:rPr>
    </w:pPr>
    <w:r>
      <w:rPr>
        <w:sz w:val="21"/>
        <w:szCs w:val="21"/>
      </w:rPr>
      <w:tab/>
    </w:r>
    <w:r>
      <w:rPr>
        <w:sz w:val="21"/>
        <w:szCs w:val="21"/>
      </w:rPr>
      <w:tab/>
    </w:r>
    <w:r>
      <w:rPr>
        <w:sz w:val="21"/>
        <w:szCs w:val="21"/>
      </w:rPr>
      <w:tab/>
    </w:r>
  </w:p>
  <w:p w14:paraId="491463E8">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0AD5">
    <w:pPr>
      <w:pStyle w:val="19"/>
      <w:keepNext w:val="0"/>
      <w:keepLines w:val="0"/>
      <w:pageBreakBefore w:val="0"/>
      <w:widowControl w:val="0"/>
      <w:tabs>
        <w:tab w:val="center" w:pos="4422"/>
        <w:tab w:val="left" w:pos="4995"/>
      </w:tabs>
      <w:kinsoku/>
      <w:wordWrap/>
      <w:overflowPunct/>
      <w:topLinePunct w:val="0"/>
      <w:autoSpaceDE/>
      <w:autoSpaceDN/>
      <w:bidi w:val="0"/>
      <w:adjustRightInd/>
      <w:snapToGrid w:val="0"/>
      <w:jc w:val="center"/>
      <w:textAlignment w:val="auto"/>
      <w:rPr>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11A92">
                          <w:pPr>
                            <w:pStyle w:val="19"/>
                            <w:keepNext w:val="0"/>
                            <w:keepLines w:val="0"/>
                            <w:pageBreakBefore w:val="0"/>
                            <w:widowControl w:val="0"/>
                            <w:kinsoku/>
                            <w:wordWrap/>
                            <w:overflowPunct/>
                            <w:topLinePunct w:val="0"/>
                            <w:autoSpaceDE/>
                            <w:autoSpaceDN/>
                            <w:bidi w:val="0"/>
                            <w:adjustRightInd/>
                            <w:snapToGrid w:val="0"/>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211A92">
                    <w:pPr>
                      <w:pStyle w:val="19"/>
                      <w:keepNext w:val="0"/>
                      <w:keepLines w:val="0"/>
                      <w:pageBreakBefore w:val="0"/>
                      <w:widowControl w:val="0"/>
                      <w:kinsoku/>
                      <w:wordWrap/>
                      <w:overflowPunct/>
                      <w:topLinePunct w:val="0"/>
                      <w:autoSpaceDE/>
                      <w:autoSpaceDN/>
                      <w:bidi w:val="0"/>
                      <w:adjustRightInd/>
                      <w:snapToGrid w:val="0"/>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E9549">
    <w:pPr>
      <w:pStyle w:val="19"/>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AFBDF">
                          <w:pPr>
                            <w:pStyle w:val="19"/>
                            <w:rPr>
                              <w:rStyle w:val="32"/>
                              <w:rFonts w:ascii="宋体" w:hAnsi="宋体"/>
                              <w:sz w:val="28"/>
                              <w:szCs w:val="28"/>
                            </w:rPr>
                          </w:pPr>
                          <w:r>
                            <w:rPr>
                              <w:rStyle w:val="32"/>
                              <w:rFonts w:hint="eastAsia" w:ascii="宋体" w:hAnsi="宋体"/>
                              <w:sz w:val="28"/>
                              <w:szCs w:val="28"/>
                            </w:rPr>
                            <w:t>—</w:t>
                          </w:r>
                          <w:r>
                            <w:rPr>
                              <w:rStyle w:val="32"/>
                              <w:rFonts w:hint="default" w:ascii="Times New Roman" w:hAnsi="Times New Roman" w:cs="Times New Roman"/>
                              <w:sz w:val="21"/>
                              <w:szCs w:val="21"/>
                            </w:rPr>
                            <w:fldChar w:fldCharType="begin"/>
                          </w:r>
                          <w:r>
                            <w:rPr>
                              <w:rStyle w:val="32"/>
                              <w:rFonts w:hint="default" w:ascii="Times New Roman" w:hAnsi="Times New Roman" w:cs="Times New Roman"/>
                              <w:sz w:val="21"/>
                              <w:szCs w:val="21"/>
                            </w:rPr>
                            <w:instrText xml:space="preserve">PAGE  </w:instrText>
                          </w:r>
                          <w:r>
                            <w:rPr>
                              <w:rStyle w:val="32"/>
                              <w:rFonts w:hint="default" w:ascii="Times New Roman" w:hAnsi="Times New Roman" w:cs="Times New Roman"/>
                              <w:sz w:val="21"/>
                              <w:szCs w:val="21"/>
                            </w:rPr>
                            <w:fldChar w:fldCharType="separate"/>
                          </w:r>
                          <w:r>
                            <w:rPr>
                              <w:rStyle w:val="32"/>
                              <w:rFonts w:hint="default" w:ascii="Times New Roman" w:hAnsi="Times New Roman" w:cs="Times New Roman"/>
                              <w:sz w:val="21"/>
                              <w:szCs w:val="21"/>
                            </w:rPr>
                            <w:t>67</w:t>
                          </w:r>
                          <w:r>
                            <w:rPr>
                              <w:rStyle w:val="32"/>
                              <w:rFonts w:hint="default" w:ascii="Times New Roman" w:hAnsi="Times New Roman" w:cs="Times New Roman"/>
                              <w:sz w:val="21"/>
                              <w:szCs w:val="21"/>
                            </w:rPr>
                            <w:fldChar w:fldCharType="end"/>
                          </w:r>
                          <w:r>
                            <w:rPr>
                              <w:rStyle w:val="32"/>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hUfMoBAACb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fUuK4xYmff/44//pz/v2d&#10;oA8F6gPUmHcfMDMN7/yAazP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NhUfMoBAACbAwAADgAAAAAAAAABACAAAAAeAQAAZHJzL2Uyb0Rv&#10;Yy54bWxQSwUGAAAAAAYABgBZAQAAWgUAAAAA&#10;">
              <v:fill on="f" focussize="0,0"/>
              <v:stroke on="f"/>
              <v:imagedata o:title=""/>
              <o:lock v:ext="edit" aspectratio="f"/>
              <v:textbox inset="0mm,0mm,0mm,0mm" style="mso-fit-shape-to-text:t;">
                <w:txbxContent>
                  <w:p w14:paraId="70AAFBDF">
                    <w:pPr>
                      <w:pStyle w:val="19"/>
                      <w:rPr>
                        <w:rStyle w:val="32"/>
                        <w:rFonts w:ascii="宋体" w:hAnsi="宋体"/>
                        <w:sz w:val="28"/>
                        <w:szCs w:val="28"/>
                      </w:rPr>
                    </w:pPr>
                    <w:r>
                      <w:rPr>
                        <w:rStyle w:val="32"/>
                        <w:rFonts w:hint="eastAsia" w:ascii="宋体" w:hAnsi="宋体"/>
                        <w:sz w:val="28"/>
                        <w:szCs w:val="28"/>
                      </w:rPr>
                      <w:t>—</w:t>
                    </w:r>
                    <w:r>
                      <w:rPr>
                        <w:rStyle w:val="32"/>
                        <w:rFonts w:hint="default" w:ascii="Times New Roman" w:hAnsi="Times New Roman" w:cs="Times New Roman"/>
                        <w:sz w:val="21"/>
                        <w:szCs w:val="21"/>
                      </w:rPr>
                      <w:fldChar w:fldCharType="begin"/>
                    </w:r>
                    <w:r>
                      <w:rPr>
                        <w:rStyle w:val="32"/>
                        <w:rFonts w:hint="default" w:ascii="Times New Roman" w:hAnsi="Times New Roman" w:cs="Times New Roman"/>
                        <w:sz w:val="21"/>
                        <w:szCs w:val="21"/>
                      </w:rPr>
                      <w:instrText xml:space="preserve">PAGE  </w:instrText>
                    </w:r>
                    <w:r>
                      <w:rPr>
                        <w:rStyle w:val="32"/>
                        <w:rFonts w:hint="default" w:ascii="Times New Roman" w:hAnsi="Times New Roman" w:cs="Times New Roman"/>
                        <w:sz w:val="21"/>
                        <w:szCs w:val="21"/>
                      </w:rPr>
                      <w:fldChar w:fldCharType="separate"/>
                    </w:r>
                    <w:r>
                      <w:rPr>
                        <w:rStyle w:val="32"/>
                        <w:rFonts w:hint="default" w:ascii="Times New Roman" w:hAnsi="Times New Roman" w:cs="Times New Roman"/>
                        <w:sz w:val="21"/>
                        <w:szCs w:val="21"/>
                      </w:rPr>
                      <w:t>67</w:t>
                    </w:r>
                    <w:r>
                      <w:rPr>
                        <w:rStyle w:val="32"/>
                        <w:rFonts w:hint="default" w:ascii="Times New Roman" w:hAnsi="Times New Roman" w:cs="Times New Roman"/>
                        <w:sz w:val="21"/>
                        <w:szCs w:val="21"/>
                      </w:rPr>
                      <w:fldChar w:fldCharType="end"/>
                    </w:r>
                    <w:r>
                      <w:rPr>
                        <w:rStyle w:val="32"/>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D7EAB"/>
    <w:multiLevelType w:val="singleLevel"/>
    <w:tmpl w:val="BB2D7EAB"/>
    <w:lvl w:ilvl="0" w:tentative="0">
      <w:start w:val="2"/>
      <w:numFmt w:val="decimal"/>
      <w:suff w:val="nothing"/>
      <w:lvlText w:val="%1、"/>
      <w:lvlJc w:val="left"/>
    </w:lvl>
  </w:abstractNum>
  <w:abstractNum w:abstractNumId="1">
    <w:nsid w:val="DD5B24DA"/>
    <w:multiLevelType w:val="singleLevel"/>
    <w:tmpl w:val="DD5B24DA"/>
    <w:lvl w:ilvl="0" w:tentative="0">
      <w:start w:val="3"/>
      <w:numFmt w:val="decimal"/>
      <w:suff w:val="nothing"/>
      <w:lvlText w:val="%1、"/>
      <w:lvlJc w:val="left"/>
    </w:lvl>
  </w:abstractNum>
  <w:abstractNum w:abstractNumId="2">
    <w:nsid w:val="EF361088"/>
    <w:multiLevelType w:val="singleLevel"/>
    <w:tmpl w:val="EF361088"/>
    <w:lvl w:ilvl="0" w:tentative="0">
      <w:start w:val="2"/>
      <w:numFmt w:val="decimal"/>
      <w:suff w:val="nothing"/>
      <w:lvlText w:val="（%1）"/>
      <w:lvlJc w:val="left"/>
      <w:rPr>
        <w:rFonts w:hint="default"/>
        <w:color w:val="auto"/>
        <w:sz w:val="24"/>
        <w:szCs w:val="24"/>
      </w:rPr>
    </w:lvl>
  </w:abstractNum>
  <w:abstractNum w:abstractNumId="3">
    <w:nsid w:val="081326FC"/>
    <w:multiLevelType w:val="singleLevel"/>
    <w:tmpl w:val="081326FC"/>
    <w:lvl w:ilvl="0" w:tentative="0">
      <w:start w:val="1"/>
      <w:numFmt w:val="decimal"/>
      <w:lvlText w:val="%1."/>
      <w:lvlJc w:val="left"/>
      <w:pPr>
        <w:tabs>
          <w:tab w:val="left" w:pos="312"/>
        </w:tabs>
      </w:pPr>
    </w:lvl>
  </w:abstractNum>
  <w:abstractNum w:abstractNumId="4">
    <w:nsid w:val="1320849C"/>
    <w:multiLevelType w:val="singleLevel"/>
    <w:tmpl w:val="1320849C"/>
    <w:lvl w:ilvl="0" w:tentative="0">
      <w:start w:val="1"/>
      <w:numFmt w:val="decimal"/>
      <w:lvlText w:val="%1."/>
      <w:lvlJc w:val="left"/>
      <w:pPr>
        <w:tabs>
          <w:tab w:val="left" w:pos="312"/>
        </w:tabs>
      </w:pPr>
    </w:lvl>
  </w:abstractNum>
  <w:abstractNum w:abstractNumId="5">
    <w:nsid w:val="22861FF0"/>
    <w:multiLevelType w:val="multilevel"/>
    <w:tmpl w:val="22861FF0"/>
    <w:lvl w:ilvl="0" w:tentative="0">
      <w:start w:val="1"/>
      <w:numFmt w:val="decimal"/>
      <w:pStyle w:val="105"/>
      <w:lvlText w:val="表%1"/>
      <w:lvlJc w:val="left"/>
      <w:pPr>
        <w:ind w:left="1837" w:hanging="420"/>
      </w:pPr>
      <w:rPr>
        <w:rFonts w:hint="default" w:ascii="Times New Roman" w:hAnsi="Times New Roman" w:eastAsia="宋体"/>
        <w:b/>
        <w:bCs/>
        <w:lang w:val="en-US"/>
      </w:rPr>
    </w:lvl>
    <w:lvl w:ilvl="1" w:tentative="0">
      <w:start w:val="1"/>
      <w:numFmt w:val="lowerLetter"/>
      <w:lvlText w:val="%2)"/>
      <w:lvlJc w:val="left"/>
      <w:pPr>
        <w:ind w:left="-3413" w:hanging="420"/>
      </w:pPr>
    </w:lvl>
    <w:lvl w:ilvl="2" w:tentative="0">
      <w:start w:val="1"/>
      <w:numFmt w:val="lowerRoman"/>
      <w:lvlText w:val="%3."/>
      <w:lvlJc w:val="right"/>
      <w:pPr>
        <w:ind w:left="-2993" w:hanging="420"/>
      </w:pPr>
    </w:lvl>
    <w:lvl w:ilvl="3" w:tentative="0">
      <w:start w:val="1"/>
      <w:numFmt w:val="decimal"/>
      <w:lvlText w:val="%4."/>
      <w:lvlJc w:val="left"/>
      <w:pPr>
        <w:ind w:left="-2573" w:hanging="420"/>
      </w:pPr>
    </w:lvl>
    <w:lvl w:ilvl="4" w:tentative="0">
      <w:start w:val="1"/>
      <w:numFmt w:val="lowerLetter"/>
      <w:lvlText w:val="%5)"/>
      <w:lvlJc w:val="left"/>
      <w:pPr>
        <w:ind w:left="-2153" w:hanging="420"/>
      </w:pPr>
    </w:lvl>
    <w:lvl w:ilvl="5" w:tentative="0">
      <w:start w:val="1"/>
      <w:numFmt w:val="lowerRoman"/>
      <w:lvlText w:val="%6."/>
      <w:lvlJc w:val="right"/>
      <w:pPr>
        <w:ind w:left="-1733" w:hanging="420"/>
      </w:pPr>
    </w:lvl>
    <w:lvl w:ilvl="6" w:tentative="0">
      <w:start w:val="1"/>
      <w:numFmt w:val="decimal"/>
      <w:lvlText w:val="%7."/>
      <w:lvlJc w:val="left"/>
      <w:pPr>
        <w:ind w:left="-1313" w:hanging="420"/>
      </w:pPr>
    </w:lvl>
    <w:lvl w:ilvl="7" w:tentative="0">
      <w:start w:val="1"/>
      <w:numFmt w:val="lowerLetter"/>
      <w:lvlText w:val="%8)"/>
      <w:lvlJc w:val="left"/>
      <w:pPr>
        <w:ind w:left="-893" w:hanging="420"/>
      </w:pPr>
    </w:lvl>
    <w:lvl w:ilvl="8" w:tentative="0">
      <w:start w:val="1"/>
      <w:numFmt w:val="lowerRoman"/>
      <w:lvlText w:val="%9."/>
      <w:lvlJc w:val="right"/>
      <w:pPr>
        <w:ind w:left="-473" w:hanging="420"/>
      </w:pPr>
    </w:lvl>
  </w:abstractNum>
  <w:abstractNum w:abstractNumId="6">
    <w:nsid w:val="28EE5F87"/>
    <w:multiLevelType w:val="singleLevel"/>
    <w:tmpl w:val="28EE5F87"/>
    <w:lvl w:ilvl="0" w:tentative="0">
      <w:start w:val="1"/>
      <w:numFmt w:val="decimal"/>
      <w:suff w:val="nothing"/>
      <w:lvlText w:val="（%1）"/>
      <w:lvlJc w:val="left"/>
    </w:lvl>
  </w:abstractNum>
  <w:abstractNum w:abstractNumId="7">
    <w:nsid w:val="360B48C6"/>
    <w:multiLevelType w:val="singleLevel"/>
    <w:tmpl w:val="360B48C6"/>
    <w:lvl w:ilvl="0" w:tentative="0">
      <w:start w:val="3"/>
      <w:numFmt w:val="chineseCounting"/>
      <w:suff w:val="nothing"/>
      <w:lvlText w:val="%1、"/>
      <w:lvlJc w:val="left"/>
      <w:rPr>
        <w:rFonts w:hint="eastAsia"/>
        <w:color w:val="auto"/>
      </w:rPr>
    </w:lvl>
  </w:abstractNum>
  <w:abstractNum w:abstractNumId="8">
    <w:nsid w:val="7A171073"/>
    <w:multiLevelType w:val="singleLevel"/>
    <w:tmpl w:val="7A171073"/>
    <w:lvl w:ilvl="0" w:tentative="0">
      <w:start w:val="2"/>
      <w:numFmt w:val="decimal"/>
      <w:suff w:val="nothing"/>
      <w:lvlText w:val="%1、"/>
      <w:lvlJc w:val="left"/>
      <w:pPr>
        <w:ind w:left="210"/>
      </w:pPr>
    </w:lvl>
  </w:abstractNum>
  <w:num w:numId="1">
    <w:abstractNumId w:val="5"/>
  </w:num>
  <w:num w:numId="2">
    <w:abstractNumId w:val="2"/>
  </w:num>
  <w:num w:numId="3">
    <w:abstractNumId w:val="3"/>
  </w:num>
  <w:num w:numId="4">
    <w:abstractNumId w:val="4"/>
  </w:num>
  <w:num w:numId="5">
    <w:abstractNumId w:val="8"/>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579"/>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5NTZjMzViMTI3YzVkYjA2NTJlYWM5Zjg5N2JkYzkifQ=="/>
  </w:docVars>
  <w:rsids>
    <w:rsidRoot w:val="00A14947"/>
    <w:rsid w:val="000009D0"/>
    <w:rsid w:val="00003BEF"/>
    <w:rsid w:val="00005B32"/>
    <w:rsid w:val="000060B3"/>
    <w:rsid w:val="00010181"/>
    <w:rsid w:val="0001252C"/>
    <w:rsid w:val="00012F06"/>
    <w:rsid w:val="000145F7"/>
    <w:rsid w:val="00016306"/>
    <w:rsid w:val="000176E9"/>
    <w:rsid w:val="00020E8D"/>
    <w:rsid w:val="00024A5D"/>
    <w:rsid w:val="00025A9F"/>
    <w:rsid w:val="0002631D"/>
    <w:rsid w:val="000274E8"/>
    <w:rsid w:val="000327F0"/>
    <w:rsid w:val="00032D65"/>
    <w:rsid w:val="000379BF"/>
    <w:rsid w:val="00040DF2"/>
    <w:rsid w:val="0004364B"/>
    <w:rsid w:val="00053BA6"/>
    <w:rsid w:val="0005462D"/>
    <w:rsid w:val="00055C3B"/>
    <w:rsid w:val="00055D65"/>
    <w:rsid w:val="00056EA0"/>
    <w:rsid w:val="0005714E"/>
    <w:rsid w:val="000609D8"/>
    <w:rsid w:val="00060A26"/>
    <w:rsid w:val="00061B1F"/>
    <w:rsid w:val="0006564F"/>
    <w:rsid w:val="000659FD"/>
    <w:rsid w:val="00067775"/>
    <w:rsid w:val="0007007A"/>
    <w:rsid w:val="0007183D"/>
    <w:rsid w:val="000733C4"/>
    <w:rsid w:val="00074783"/>
    <w:rsid w:val="00075960"/>
    <w:rsid w:val="00076942"/>
    <w:rsid w:val="0008070B"/>
    <w:rsid w:val="000810AC"/>
    <w:rsid w:val="00081A02"/>
    <w:rsid w:val="00081F98"/>
    <w:rsid w:val="00082231"/>
    <w:rsid w:val="00084F49"/>
    <w:rsid w:val="00086743"/>
    <w:rsid w:val="000905BE"/>
    <w:rsid w:val="00092187"/>
    <w:rsid w:val="000925B4"/>
    <w:rsid w:val="00092B69"/>
    <w:rsid w:val="00092D38"/>
    <w:rsid w:val="0009377B"/>
    <w:rsid w:val="00096034"/>
    <w:rsid w:val="00096167"/>
    <w:rsid w:val="000A1469"/>
    <w:rsid w:val="000A20C9"/>
    <w:rsid w:val="000A69CA"/>
    <w:rsid w:val="000A7F1D"/>
    <w:rsid w:val="000B04BE"/>
    <w:rsid w:val="000B058F"/>
    <w:rsid w:val="000B3E6C"/>
    <w:rsid w:val="000B4467"/>
    <w:rsid w:val="000B4DB9"/>
    <w:rsid w:val="000B5E50"/>
    <w:rsid w:val="000B620C"/>
    <w:rsid w:val="000B70AA"/>
    <w:rsid w:val="000B78CE"/>
    <w:rsid w:val="000C075A"/>
    <w:rsid w:val="000C09AC"/>
    <w:rsid w:val="000C1138"/>
    <w:rsid w:val="000C19C0"/>
    <w:rsid w:val="000C2C1A"/>
    <w:rsid w:val="000C3A6E"/>
    <w:rsid w:val="000C767F"/>
    <w:rsid w:val="000C7E97"/>
    <w:rsid w:val="000D001D"/>
    <w:rsid w:val="000D0F0A"/>
    <w:rsid w:val="000D2CE5"/>
    <w:rsid w:val="000D33D7"/>
    <w:rsid w:val="000D38A2"/>
    <w:rsid w:val="000D4C37"/>
    <w:rsid w:val="000D534A"/>
    <w:rsid w:val="000D5A44"/>
    <w:rsid w:val="000D708D"/>
    <w:rsid w:val="000D7258"/>
    <w:rsid w:val="000E0764"/>
    <w:rsid w:val="000E2DAD"/>
    <w:rsid w:val="000E3ED2"/>
    <w:rsid w:val="000E4588"/>
    <w:rsid w:val="000E59AE"/>
    <w:rsid w:val="000F25D6"/>
    <w:rsid w:val="000F4B1C"/>
    <w:rsid w:val="00103399"/>
    <w:rsid w:val="00103B5F"/>
    <w:rsid w:val="00103C3D"/>
    <w:rsid w:val="00107D83"/>
    <w:rsid w:val="00112E73"/>
    <w:rsid w:val="001138BE"/>
    <w:rsid w:val="00114A85"/>
    <w:rsid w:val="00115407"/>
    <w:rsid w:val="00116C4E"/>
    <w:rsid w:val="00116C53"/>
    <w:rsid w:val="00116EC5"/>
    <w:rsid w:val="00116EEA"/>
    <w:rsid w:val="00117183"/>
    <w:rsid w:val="0012246D"/>
    <w:rsid w:val="001245EC"/>
    <w:rsid w:val="0012489A"/>
    <w:rsid w:val="00124BC2"/>
    <w:rsid w:val="00131F42"/>
    <w:rsid w:val="00132714"/>
    <w:rsid w:val="00133BB0"/>
    <w:rsid w:val="00134233"/>
    <w:rsid w:val="0013571A"/>
    <w:rsid w:val="001357F1"/>
    <w:rsid w:val="00140DC2"/>
    <w:rsid w:val="00140FA8"/>
    <w:rsid w:val="00141848"/>
    <w:rsid w:val="00141F03"/>
    <w:rsid w:val="00142FEB"/>
    <w:rsid w:val="0014392C"/>
    <w:rsid w:val="00143A2D"/>
    <w:rsid w:val="00143B6D"/>
    <w:rsid w:val="00145A41"/>
    <w:rsid w:val="00145FB5"/>
    <w:rsid w:val="00151675"/>
    <w:rsid w:val="0015301C"/>
    <w:rsid w:val="0015525C"/>
    <w:rsid w:val="00155DF9"/>
    <w:rsid w:val="00155EC6"/>
    <w:rsid w:val="00156F01"/>
    <w:rsid w:val="0015709C"/>
    <w:rsid w:val="00157435"/>
    <w:rsid w:val="00157F8F"/>
    <w:rsid w:val="00160075"/>
    <w:rsid w:val="0016146C"/>
    <w:rsid w:val="001618BE"/>
    <w:rsid w:val="00162890"/>
    <w:rsid w:val="00163039"/>
    <w:rsid w:val="00166C6B"/>
    <w:rsid w:val="00166D4E"/>
    <w:rsid w:val="0016735E"/>
    <w:rsid w:val="00170485"/>
    <w:rsid w:val="001716EB"/>
    <w:rsid w:val="00171798"/>
    <w:rsid w:val="0017504D"/>
    <w:rsid w:val="00175871"/>
    <w:rsid w:val="0017671A"/>
    <w:rsid w:val="00177422"/>
    <w:rsid w:val="001835D7"/>
    <w:rsid w:val="00184590"/>
    <w:rsid w:val="00184658"/>
    <w:rsid w:val="00185510"/>
    <w:rsid w:val="001870D1"/>
    <w:rsid w:val="0018781E"/>
    <w:rsid w:val="001909EC"/>
    <w:rsid w:val="001913B6"/>
    <w:rsid w:val="0019144A"/>
    <w:rsid w:val="00191624"/>
    <w:rsid w:val="0019262D"/>
    <w:rsid w:val="0019269D"/>
    <w:rsid w:val="00192A3C"/>
    <w:rsid w:val="0019366B"/>
    <w:rsid w:val="00195D14"/>
    <w:rsid w:val="00196E5D"/>
    <w:rsid w:val="001A1B35"/>
    <w:rsid w:val="001A3955"/>
    <w:rsid w:val="001A48A2"/>
    <w:rsid w:val="001A645C"/>
    <w:rsid w:val="001A6F61"/>
    <w:rsid w:val="001A7035"/>
    <w:rsid w:val="001A74B2"/>
    <w:rsid w:val="001B105D"/>
    <w:rsid w:val="001B14D8"/>
    <w:rsid w:val="001B6048"/>
    <w:rsid w:val="001B6572"/>
    <w:rsid w:val="001B6C48"/>
    <w:rsid w:val="001B72B8"/>
    <w:rsid w:val="001C0091"/>
    <w:rsid w:val="001C3245"/>
    <w:rsid w:val="001C328C"/>
    <w:rsid w:val="001C332F"/>
    <w:rsid w:val="001C34DA"/>
    <w:rsid w:val="001C4CEB"/>
    <w:rsid w:val="001C576F"/>
    <w:rsid w:val="001C69B3"/>
    <w:rsid w:val="001C7A21"/>
    <w:rsid w:val="001D15F6"/>
    <w:rsid w:val="001D1839"/>
    <w:rsid w:val="001D2194"/>
    <w:rsid w:val="001D36F5"/>
    <w:rsid w:val="001D4C8F"/>
    <w:rsid w:val="001D550F"/>
    <w:rsid w:val="001D5595"/>
    <w:rsid w:val="001D5F73"/>
    <w:rsid w:val="001D689D"/>
    <w:rsid w:val="001D6D8B"/>
    <w:rsid w:val="001D7874"/>
    <w:rsid w:val="001D7B35"/>
    <w:rsid w:val="001D7F22"/>
    <w:rsid w:val="001E1804"/>
    <w:rsid w:val="001E1E19"/>
    <w:rsid w:val="001E3629"/>
    <w:rsid w:val="001E5377"/>
    <w:rsid w:val="001E5FB5"/>
    <w:rsid w:val="001F023D"/>
    <w:rsid w:val="001F0AC7"/>
    <w:rsid w:val="001F0F17"/>
    <w:rsid w:val="001F3347"/>
    <w:rsid w:val="001F3507"/>
    <w:rsid w:val="001F69E4"/>
    <w:rsid w:val="001F72D7"/>
    <w:rsid w:val="00200B14"/>
    <w:rsid w:val="00200CF0"/>
    <w:rsid w:val="00201365"/>
    <w:rsid w:val="002038C9"/>
    <w:rsid w:val="00205425"/>
    <w:rsid w:val="0020776B"/>
    <w:rsid w:val="002101B1"/>
    <w:rsid w:val="00210398"/>
    <w:rsid w:val="002104B8"/>
    <w:rsid w:val="00210D75"/>
    <w:rsid w:val="00211BDB"/>
    <w:rsid w:val="002125B4"/>
    <w:rsid w:val="0021538C"/>
    <w:rsid w:val="002155B8"/>
    <w:rsid w:val="00216032"/>
    <w:rsid w:val="002162C8"/>
    <w:rsid w:val="00223782"/>
    <w:rsid w:val="002237A1"/>
    <w:rsid w:val="002241B6"/>
    <w:rsid w:val="00224839"/>
    <w:rsid w:val="002249B2"/>
    <w:rsid w:val="00225AAA"/>
    <w:rsid w:val="00226574"/>
    <w:rsid w:val="00226BF1"/>
    <w:rsid w:val="00227627"/>
    <w:rsid w:val="002278EC"/>
    <w:rsid w:val="00227C0B"/>
    <w:rsid w:val="00230C36"/>
    <w:rsid w:val="00231389"/>
    <w:rsid w:val="0023280E"/>
    <w:rsid w:val="00232B69"/>
    <w:rsid w:val="002334A5"/>
    <w:rsid w:val="00236432"/>
    <w:rsid w:val="00237061"/>
    <w:rsid w:val="00237410"/>
    <w:rsid w:val="002377D1"/>
    <w:rsid w:val="00240E5B"/>
    <w:rsid w:val="0024180D"/>
    <w:rsid w:val="00241B3A"/>
    <w:rsid w:val="002421B2"/>
    <w:rsid w:val="00246B0D"/>
    <w:rsid w:val="002479FB"/>
    <w:rsid w:val="002506BC"/>
    <w:rsid w:val="00251368"/>
    <w:rsid w:val="00251566"/>
    <w:rsid w:val="002523AE"/>
    <w:rsid w:val="0025377E"/>
    <w:rsid w:val="00254345"/>
    <w:rsid w:val="002551C0"/>
    <w:rsid w:val="002556FF"/>
    <w:rsid w:val="0025620A"/>
    <w:rsid w:val="002605E6"/>
    <w:rsid w:val="00261896"/>
    <w:rsid w:val="0026193F"/>
    <w:rsid w:val="002633CD"/>
    <w:rsid w:val="00264557"/>
    <w:rsid w:val="00266760"/>
    <w:rsid w:val="00266E89"/>
    <w:rsid w:val="0026714B"/>
    <w:rsid w:val="002701A5"/>
    <w:rsid w:val="00270773"/>
    <w:rsid w:val="00272760"/>
    <w:rsid w:val="00274116"/>
    <w:rsid w:val="00276B14"/>
    <w:rsid w:val="002805AB"/>
    <w:rsid w:val="0028369A"/>
    <w:rsid w:val="0028401D"/>
    <w:rsid w:val="00284204"/>
    <w:rsid w:val="00284A02"/>
    <w:rsid w:val="0028673D"/>
    <w:rsid w:val="00290BAA"/>
    <w:rsid w:val="0029157F"/>
    <w:rsid w:val="00291773"/>
    <w:rsid w:val="002947AC"/>
    <w:rsid w:val="002A168C"/>
    <w:rsid w:val="002A27D4"/>
    <w:rsid w:val="002A3DC7"/>
    <w:rsid w:val="002A6966"/>
    <w:rsid w:val="002B133B"/>
    <w:rsid w:val="002B2BA6"/>
    <w:rsid w:val="002B49E2"/>
    <w:rsid w:val="002B753E"/>
    <w:rsid w:val="002B7B00"/>
    <w:rsid w:val="002B7C44"/>
    <w:rsid w:val="002C274A"/>
    <w:rsid w:val="002C2B17"/>
    <w:rsid w:val="002C4B51"/>
    <w:rsid w:val="002C553B"/>
    <w:rsid w:val="002C556B"/>
    <w:rsid w:val="002C7944"/>
    <w:rsid w:val="002C7E6A"/>
    <w:rsid w:val="002D18E1"/>
    <w:rsid w:val="002D3605"/>
    <w:rsid w:val="002D3DD0"/>
    <w:rsid w:val="002D76B5"/>
    <w:rsid w:val="002E0283"/>
    <w:rsid w:val="002E1F3A"/>
    <w:rsid w:val="002E298A"/>
    <w:rsid w:val="002E2E15"/>
    <w:rsid w:val="002F0791"/>
    <w:rsid w:val="002F08EC"/>
    <w:rsid w:val="002F098E"/>
    <w:rsid w:val="002F0F09"/>
    <w:rsid w:val="002F45A1"/>
    <w:rsid w:val="002F4FEB"/>
    <w:rsid w:val="002F746F"/>
    <w:rsid w:val="002F7A2F"/>
    <w:rsid w:val="00300AEF"/>
    <w:rsid w:val="00301362"/>
    <w:rsid w:val="00301978"/>
    <w:rsid w:val="00301E9F"/>
    <w:rsid w:val="003026AD"/>
    <w:rsid w:val="0030332C"/>
    <w:rsid w:val="0030508D"/>
    <w:rsid w:val="003051C2"/>
    <w:rsid w:val="003075DD"/>
    <w:rsid w:val="00312296"/>
    <w:rsid w:val="00314F0E"/>
    <w:rsid w:val="0031775C"/>
    <w:rsid w:val="00321743"/>
    <w:rsid w:val="00321D8E"/>
    <w:rsid w:val="003247F6"/>
    <w:rsid w:val="0032499B"/>
    <w:rsid w:val="00325928"/>
    <w:rsid w:val="00327443"/>
    <w:rsid w:val="00327477"/>
    <w:rsid w:val="00332863"/>
    <w:rsid w:val="00332CB4"/>
    <w:rsid w:val="00333617"/>
    <w:rsid w:val="00333731"/>
    <w:rsid w:val="00335E84"/>
    <w:rsid w:val="0033684D"/>
    <w:rsid w:val="0033686B"/>
    <w:rsid w:val="0033759E"/>
    <w:rsid w:val="00337B42"/>
    <w:rsid w:val="00337CF3"/>
    <w:rsid w:val="00341B42"/>
    <w:rsid w:val="0034348F"/>
    <w:rsid w:val="003446C9"/>
    <w:rsid w:val="00346980"/>
    <w:rsid w:val="00351462"/>
    <w:rsid w:val="003521D2"/>
    <w:rsid w:val="00352975"/>
    <w:rsid w:val="0035409C"/>
    <w:rsid w:val="0035664E"/>
    <w:rsid w:val="00356653"/>
    <w:rsid w:val="0035743F"/>
    <w:rsid w:val="00357BE2"/>
    <w:rsid w:val="00357F3D"/>
    <w:rsid w:val="00360AC9"/>
    <w:rsid w:val="0036170C"/>
    <w:rsid w:val="003620D0"/>
    <w:rsid w:val="00362AD1"/>
    <w:rsid w:val="00363101"/>
    <w:rsid w:val="00365688"/>
    <w:rsid w:val="003658D4"/>
    <w:rsid w:val="003664E4"/>
    <w:rsid w:val="00366E0F"/>
    <w:rsid w:val="0037561E"/>
    <w:rsid w:val="00377AFA"/>
    <w:rsid w:val="003800A8"/>
    <w:rsid w:val="00381A72"/>
    <w:rsid w:val="00384676"/>
    <w:rsid w:val="00384709"/>
    <w:rsid w:val="003861B3"/>
    <w:rsid w:val="003866AD"/>
    <w:rsid w:val="003868B1"/>
    <w:rsid w:val="003900B4"/>
    <w:rsid w:val="00390857"/>
    <w:rsid w:val="00392672"/>
    <w:rsid w:val="00392A84"/>
    <w:rsid w:val="00393A4E"/>
    <w:rsid w:val="00395900"/>
    <w:rsid w:val="00395F24"/>
    <w:rsid w:val="003962ED"/>
    <w:rsid w:val="003A0A85"/>
    <w:rsid w:val="003A4BF3"/>
    <w:rsid w:val="003A7709"/>
    <w:rsid w:val="003B028D"/>
    <w:rsid w:val="003B1C95"/>
    <w:rsid w:val="003B38BD"/>
    <w:rsid w:val="003B420D"/>
    <w:rsid w:val="003B5C43"/>
    <w:rsid w:val="003B757B"/>
    <w:rsid w:val="003C1A90"/>
    <w:rsid w:val="003C2020"/>
    <w:rsid w:val="003C6C16"/>
    <w:rsid w:val="003C7612"/>
    <w:rsid w:val="003C7C65"/>
    <w:rsid w:val="003D0517"/>
    <w:rsid w:val="003D0E66"/>
    <w:rsid w:val="003D1647"/>
    <w:rsid w:val="003D3BBB"/>
    <w:rsid w:val="003D3F74"/>
    <w:rsid w:val="003D41F8"/>
    <w:rsid w:val="003D69D5"/>
    <w:rsid w:val="003D6B31"/>
    <w:rsid w:val="003D6C10"/>
    <w:rsid w:val="003D794D"/>
    <w:rsid w:val="003E04A9"/>
    <w:rsid w:val="003E12FB"/>
    <w:rsid w:val="003E3058"/>
    <w:rsid w:val="003E4438"/>
    <w:rsid w:val="003E76A9"/>
    <w:rsid w:val="003F0809"/>
    <w:rsid w:val="003F1137"/>
    <w:rsid w:val="003F4974"/>
    <w:rsid w:val="003F6A8C"/>
    <w:rsid w:val="003F6E56"/>
    <w:rsid w:val="003F70DC"/>
    <w:rsid w:val="003F755C"/>
    <w:rsid w:val="003F79D1"/>
    <w:rsid w:val="00400929"/>
    <w:rsid w:val="00401A3F"/>
    <w:rsid w:val="0040270F"/>
    <w:rsid w:val="004028CA"/>
    <w:rsid w:val="004047A4"/>
    <w:rsid w:val="00406200"/>
    <w:rsid w:val="00406F01"/>
    <w:rsid w:val="0041035B"/>
    <w:rsid w:val="004166B0"/>
    <w:rsid w:val="004169EB"/>
    <w:rsid w:val="00416D50"/>
    <w:rsid w:val="00416FD5"/>
    <w:rsid w:val="00417772"/>
    <w:rsid w:val="00420D3F"/>
    <w:rsid w:val="00420E6A"/>
    <w:rsid w:val="00422E5B"/>
    <w:rsid w:val="00423E66"/>
    <w:rsid w:val="0042477B"/>
    <w:rsid w:val="00424F7D"/>
    <w:rsid w:val="00425A9E"/>
    <w:rsid w:val="004263A6"/>
    <w:rsid w:val="004264B9"/>
    <w:rsid w:val="00426D6B"/>
    <w:rsid w:val="00431E6C"/>
    <w:rsid w:val="00433B20"/>
    <w:rsid w:val="00433CE7"/>
    <w:rsid w:val="004342AF"/>
    <w:rsid w:val="00441709"/>
    <w:rsid w:val="00444472"/>
    <w:rsid w:val="00451617"/>
    <w:rsid w:val="00452738"/>
    <w:rsid w:val="00456091"/>
    <w:rsid w:val="004577CD"/>
    <w:rsid w:val="0046265A"/>
    <w:rsid w:val="0046300F"/>
    <w:rsid w:val="00466321"/>
    <w:rsid w:val="00467229"/>
    <w:rsid w:val="004676F4"/>
    <w:rsid w:val="00470024"/>
    <w:rsid w:val="00470CA5"/>
    <w:rsid w:val="00471441"/>
    <w:rsid w:val="00474202"/>
    <w:rsid w:val="00474B7A"/>
    <w:rsid w:val="00476C3A"/>
    <w:rsid w:val="00480130"/>
    <w:rsid w:val="004810C5"/>
    <w:rsid w:val="00484B9B"/>
    <w:rsid w:val="004855F6"/>
    <w:rsid w:val="0048661E"/>
    <w:rsid w:val="004919AE"/>
    <w:rsid w:val="00494670"/>
    <w:rsid w:val="00494C2C"/>
    <w:rsid w:val="00494D53"/>
    <w:rsid w:val="00494DD7"/>
    <w:rsid w:val="00494FBD"/>
    <w:rsid w:val="00495615"/>
    <w:rsid w:val="00495B66"/>
    <w:rsid w:val="00495FC2"/>
    <w:rsid w:val="004962DB"/>
    <w:rsid w:val="00497936"/>
    <w:rsid w:val="004A0F71"/>
    <w:rsid w:val="004A3823"/>
    <w:rsid w:val="004B0E45"/>
    <w:rsid w:val="004B4B18"/>
    <w:rsid w:val="004B4E26"/>
    <w:rsid w:val="004B4FC6"/>
    <w:rsid w:val="004B5306"/>
    <w:rsid w:val="004B65E1"/>
    <w:rsid w:val="004C2A37"/>
    <w:rsid w:val="004C32ED"/>
    <w:rsid w:val="004C6993"/>
    <w:rsid w:val="004D1356"/>
    <w:rsid w:val="004D1EE4"/>
    <w:rsid w:val="004D2583"/>
    <w:rsid w:val="004D58D3"/>
    <w:rsid w:val="004E271A"/>
    <w:rsid w:val="004E284A"/>
    <w:rsid w:val="004E30D4"/>
    <w:rsid w:val="004E5CEC"/>
    <w:rsid w:val="004E61D5"/>
    <w:rsid w:val="004E6946"/>
    <w:rsid w:val="004E7BC8"/>
    <w:rsid w:val="004F1AD8"/>
    <w:rsid w:val="00501142"/>
    <w:rsid w:val="00501704"/>
    <w:rsid w:val="005037C7"/>
    <w:rsid w:val="005039CB"/>
    <w:rsid w:val="0050558F"/>
    <w:rsid w:val="00505D9B"/>
    <w:rsid w:val="00506286"/>
    <w:rsid w:val="00506B44"/>
    <w:rsid w:val="00510813"/>
    <w:rsid w:val="00511990"/>
    <w:rsid w:val="00511DE0"/>
    <w:rsid w:val="00512DC8"/>
    <w:rsid w:val="005135E2"/>
    <w:rsid w:val="00513E38"/>
    <w:rsid w:val="00514193"/>
    <w:rsid w:val="00514870"/>
    <w:rsid w:val="00514B65"/>
    <w:rsid w:val="00514B9B"/>
    <w:rsid w:val="00514D89"/>
    <w:rsid w:val="00514E05"/>
    <w:rsid w:val="0051655E"/>
    <w:rsid w:val="005178B5"/>
    <w:rsid w:val="00517F02"/>
    <w:rsid w:val="0052020A"/>
    <w:rsid w:val="00524303"/>
    <w:rsid w:val="005258A2"/>
    <w:rsid w:val="00525C02"/>
    <w:rsid w:val="005262E9"/>
    <w:rsid w:val="00526C23"/>
    <w:rsid w:val="00530A78"/>
    <w:rsid w:val="00531786"/>
    <w:rsid w:val="00532EF1"/>
    <w:rsid w:val="00534104"/>
    <w:rsid w:val="00534E24"/>
    <w:rsid w:val="005401AE"/>
    <w:rsid w:val="005402E5"/>
    <w:rsid w:val="00542E07"/>
    <w:rsid w:val="00543D28"/>
    <w:rsid w:val="00545424"/>
    <w:rsid w:val="00546C7C"/>
    <w:rsid w:val="00550391"/>
    <w:rsid w:val="00551D8B"/>
    <w:rsid w:val="00554A7B"/>
    <w:rsid w:val="00554DC9"/>
    <w:rsid w:val="0055572C"/>
    <w:rsid w:val="005565FD"/>
    <w:rsid w:val="00556670"/>
    <w:rsid w:val="0056106A"/>
    <w:rsid w:val="005610D6"/>
    <w:rsid w:val="00561854"/>
    <w:rsid w:val="00562029"/>
    <w:rsid w:val="0056413D"/>
    <w:rsid w:val="005642F9"/>
    <w:rsid w:val="00565224"/>
    <w:rsid w:val="005659E0"/>
    <w:rsid w:val="00565EAC"/>
    <w:rsid w:val="00566668"/>
    <w:rsid w:val="00567348"/>
    <w:rsid w:val="00571BC3"/>
    <w:rsid w:val="005720AE"/>
    <w:rsid w:val="00574322"/>
    <w:rsid w:val="00574B1B"/>
    <w:rsid w:val="0057710A"/>
    <w:rsid w:val="00580507"/>
    <w:rsid w:val="00581CC5"/>
    <w:rsid w:val="00582897"/>
    <w:rsid w:val="00582ABD"/>
    <w:rsid w:val="00584A3D"/>
    <w:rsid w:val="005861D9"/>
    <w:rsid w:val="005864C2"/>
    <w:rsid w:val="00586C76"/>
    <w:rsid w:val="0059205B"/>
    <w:rsid w:val="00593805"/>
    <w:rsid w:val="00594D77"/>
    <w:rsid w:val="005969E4"/>
    <w:rsid w:val="0059731C"/>
    <w:rsid w:val="005A0277"/>
    <w:rsid w:val="005A06B7"/>
    <w:rsid w:val="005A0C22"/>
    <w:rsid w:val="005A1759"/>
    <w:rsid w:val="005A213E"/>
    <w:rsid w:val="005A2DD9"/>
    <w:rsid w:val="005A45CC"/>
    <w:rsid w:val="005A68A7"/>
    <w:rsid w:val="005A6934"/>
    <w:rsid w:val="005A6DA8"/>
    <w:rsid w:val="005B1DBC"/>
    <w:rsid w:val="005B36EE"/>
    <w:rsid w:val="005B4B69"/>
    <w:rsid w:val="005C06DC"/>
    <w:rsid w:val="005C0F1E"/>
    <w:rsid w:val="005C6913"/>
    <w:rsid w:val="005C6F0A"/>
    <w:rsid w:val="005D1213"/>
    <w:rsid w:val="005D1608"/>
    <w:rsid w:val="005D1A19"/>
    <w:rsid w:val="005D1BDA"/>
    <w:rsid w:val="005D36AB"/>
    <w:rsid w:val="005E3BD6"/>
    <w:rsid w:val="005E47DD"/>
    <w:rsid w:val="005E5F33"/>
    <w:rsid w:val="005E66F8"/>
    <w:rsid w:val="005E735C"/>
    <w:rsid w:val="005F0014"/>
    <w:rsid w:val="005F6A66"/>
    <w:rsid w:val="005F774E"/>
    <w:rsid w:val="0060130B"/>
    <w:rsid w:val="00601890"/>
    <w:rsid w:val="00601A03"/>
    <w:rsid w:val="00602476"/>
    <w:rsid w:val="00604011"/>
    <w:rsid w:val="006047FD"/>
    <w:rsid w:val="0060522B"/>
    <w:rsid w:val="006069F2"/>
    <w:rsid w:val="00606BDE"/>
    <w:rsid w:val="006074E6"/>
    <w:rsid w:val="00610E50"/>
    <w:rsid w:val="00612AAB"/>
    <w:rsid w:val="00614827"/>
    <w:rsid w:val="00617338"/>
    <w:rsid w:val="00617AD4"/>
    <w:rsid w:val="00617CAC"/>
    <w:rsid w:val="00617CC3"/>
    <w:rsid w:val="0062095D"/>
    <w:rsid w:val="006263D3"/>
    <w:rsid w:val="00627BD6"/>
    <w:rsid w:val="00630F86"/>
    <w:rsid w:val="006355EB"/>
    <w:rsid w:val="0063768F"/>
    <w:rsid w:val="006377A6"/>
    <w:rsid w:val="00637A3D"/>
    <w:rsid w:val="006411EF"/>
    <w:rsid w:val="00641B25"/>
    <w:rsid w:val="0064218E"/>
    <w:rsid w:val="00642A73"/>
    <w:rsid w:val="00645577"/>
    <w:rsid w:val="00645DA0"/>
    <w:rsid w:val="00645DD2"/>
    <w:rsid w:val="00650180"/>
    <w:rsid w:val="006513A3"/>
    <w:rsid w:val="00651EE3"/>
    <w:rsid w:val="0065336E"/>
    <w:rsid w:val="006536B2"/>
    <w:rsid w:val="006548D2"/>
    <w:rsid w:val="00657405"/>
    <w:rsid w:val="0066085F"/>
    <w:rsid w:val="00661508"/>
    <w:rsid w:val="006629B3"/>
    <w:rsid w:val="00663FB4"/>
    <w:rsid w:val="00664A78"/>
    <w:rsid w:val="006679E6"/>
    <w:rsid w:val="00673898"/>
    <w:rsid w:val="00673DBB"/>
    <w:rsid w:val="00673FC1"/>
    <w:rsid w:val="0067418B"/>
    <w:rsid w:val="006748B8"/>
    <w:rsid w:val="0067545C"/>
    <w:rsid w:val="00677335"/>
    <w:rsid w:val="006775C3"/>
    <w:rsid w:val="006778CC"/>
    <w:rsid w:val="00680392"/>
    <w:rsid w:val="00680D1D"/>
    <w:rsid w:val="00682418"/>
    <w:rsid w:val="006827C8"/>
    <w:rsid w:val="006837C4"/>
    <w:rsid w:val="00684675"/>
    <w:rsid w:val="0068512B"/>
    <w:rsid w:val="006851D6"/>
    <w:rsid w:val="00685950"/>
    <w:rsid w:val="00686504"/>
    <w:rsid w:val="00686A35"/>
    <w:rsid w:val="00687211"/>
    <w:rsid w:val="006877B7"/>
    <w:rsid w:val="00687E62"/>
    <w:rsid w:val="00687FA9"/>
    <w:rsid w:val="0069193D"/>
    <w:rsid w:val="00692125"/>
    <w:rsid w:val="0069290A"/>
    <w:rsid w:val="00693778"/>
    <w:rsid w:val="00693815"/>
    <w:rsid w:val="00694B77"/>
    <w:rsid w:val="0069532B"/>
    <w:rsid w:val="00696722"/>
    <w:rsid w:val="00696885"/>
    <w:rsid w:val="0069710B"/>
    <w:rsid w:val="006976A9"/>
    <w:rsid w:val="0069775A"/>
    <w:rsid w:val="006977FA"/>
    <w:rsid w:val="00697813"/>
    <w:rsid w:val="006A17EE"/>
    <w:rsid w:val="006A2BC0"/>
    <w:rsid w:val="006A3EE8"/>
    <w:rsid w:val="006A698A"/>
    <w:rsid w:val="006A72BF"/>
    <w:rsid w:val="006B02A9"/>
    <w:rsid w:val="006B03F2"/>
    <w:rsid w:val="006B130A"/>
    <w:rsid w:val="006B1F01"/>
    <w:rsid w:val="006B37DC"/>
    <w:rsid w:val="006B3A74"/>
    <w:rsid w:val="006B4F68"/>
    <w:rsid w:val="006B5864"/>
    <w:rsid w:val="006C0592"/>
    <w:rsid w:val="006C0636"/>
    <w:rsid w:val="006C0DF4"/>
    <w:rsid w:val="006C1A46"/>
    <w:rsid w:val="006C272E"/>
    <w:rsid w:val="006C31E3"/>
    <w:rsid w:val="006C5479"/>
    <w:rsid w:val="006C568C"/>
    <w:rsid w:val="006C6CAE"/>
    <w:rsid w:val="006D13B5"/>
    <w:rsid w:val="006D2905"/>
    <w:rsid w:val="006D3673"/>
    <w:rsid w:val="006D5709"/>
    <w:rsid w:val="006D5ADA"/>
    <w:rsid w:val="006D5E3F"/>
    <w:rsid w:val="006E0334"/>
    <w:rsid w:val="006E09BA"/>
    <w:rsid w:val="006E12FF"/>
    <w:rsid w:val="006E1704"/>
    <w:rsid w:val="006E1C57"/>
    <w:rsid w:val="006E3A57"/>
    <w:rsid w:val="006E607E"/>
    <w:rsid w:val="006E6B1F"/>
    <w:rsid w:val="006F1ABF"/>
    <w:rsid w:val="006F2C5D"/>
    <w:rsid w:val="006F3113"/>
    <w:rsid w:val="006F41FD"/>
    <w:rsid w:val="006F556C"/>
    <w:rsid w:val="006F68DF"/>
    <w:rsid w:val="0070009D"/>
    <w:rsid w:val="00700D6A"/>
    <w:rsid w:val="007026D7"/>
    <w:rsid w:val="00702AD8"/>
    <w:rsid w:val="00702B90"/>
    <w:rsid w:val="00704F05"/>
    <w:rsid w:val="00705CD4"/>
    <w:rsid w:val="00706264"/>
    <w:rsid w:val="00706C5D"/>
    <w:rsid w:val="0071076B"/>
    <w:rsid w:val="00714EF0"/>
    <w:rsid w:val="007162F8"/>
    <w:rsid w:val="0072084D"/>
    <w:rsid w:val="0072229C"/>
    <w:rsid w:val="0072390F"/>
    <w:rsid w:val="0072545D"/>
    <w:rsid w:val="00726600"/>
    <w:rsid w:val="007278FE"/>
    <w:rsid w:val="00727E25"/>
    <w:rsid w:val="00730114"/>
    <w:rsid w:val="007310AA"/>
    <w:rsid w:val="00731FE9"/>
    <w:rsid w:val="00732922"/>
    <w:rsid w:val="00733899"/>
    <w:rsid w:val="007339DE"/>
    <w:rsid w:val="00734D9D"/>
    <w:rsid w:val="0075162E"/>
    <w:rsid w:val="0075281D"/>
    <w:rsid w:val="00754034"/>
    <w:rsid w:val="0075434C"/>
    <w:rsid w:val="007547CB"/>
    <w:rsid w:val="00754C39"/>
    <w:rsid w:val="00756556"/>
    <w:rsid w:val="0076177E"/>
    <w:rsid w:val="007618C4"/>
    <w:rsid w:val="00765146"/>
    <w:rsid w:val="00767379"/>
    <w:rsid w:val="00767980"/>
    <w:rsid w:val="007703B2"/>
    <w:rsid w:val="00770B19"/>
    <w:rsid w:val="0077159E"/>
    <w:rsid w:val="00771B2E"/>
    <w:rsid w:val="00771EEC"/>
    <w:rsid w:val="007745E0"/>
    <w:rsid w:val="0077463F"/>
    <w:rsid w:val="007757D3"/>
    <w:rsid w:val="00777EC8"/>
    <w:rsid w:val="00780807"/>
    <w:rsid w:val="00781626"/>
    <w:rsid w:val="0078211E"/>
    <w:rsid w:val="00782302"/>
    <w:rsid w:val="007836EA"/>
    <w:rsid w:val="00784CDA"/>
    <w:rsid w:val="00787F40"/>
    <w:rsid w:val="007906C4"/>
    <w:rsid w:val="007911DC"/>
    <w:rsid w:val="00791D2F"/>
    <w:rsid w:val="00793ABA"/>
    <w:rsid w:val="007940EA"/>
    <w:rsid w:val="00794F49"/>
    <w:rsid w:val="007957CA"/>
    <w:rsid w:val="007967E8"/>
    <w:rsid w:val="007971C5"/>
    <w:rsid w:val="00797B76"/>
    <w:rsid w:val="00797ECD"/>
    <w:rsid w:val="007A03CF"/>
    <w:rsid w:val="007A0538"/>
    <w:rsid w:val="007A174E"/>
    <w:rsid w:val="007A2170"/>
    <w:rsid w:val="007A22BF"/>
    <w:rsid w:val="007A2620"/>
    <w:rsid w:val="007A3323"/>
    <w:rsid w:val="007B4C7D"/>
    <w:rsid w:val="007B5E71"/>
    <w:rsid w:val="007B72B8"/>
    <w:rsid w:val="007B7A58"/>
    <w:rsid w:val="007C0672"/>
    <w:rsid w:val="007C21B5"/>
    <w:rsid w:val="007C2573"/>
    <w:rsid w:val="007C4A77"/>
    <w:rsid w:val="007D034C"/>
    <w:rsid w:val="007D33BC"/>
    <w:rsid w:val="007D450E"/>
    <w:rsid w:val="007D549E"/>
    <w:rsid w:val="007E13E4"/>
    <w:rsid w:val="007E44A9"/>
    <w:rsid w:val="007E4BD2"/>
    <w:rsid w:val="007E5737"/>
    <w:rsid w:val="007E5E6C"/>
    <w:rsid w:val="007F0C72"/>
    <w:rsid w:val="007F1F39"/>
    <w:rsid w:val="007F27DA"/>
    <w:rsid w:val="007F3244"/>
    <w:rsid w:val="007F41C9"/>
    <w:rsid w:val="007F5BB9"/>
    <w:rsid w:val="00801393"/>
    <w:rsid w:val="00802F88"/>
    <w:rsid w:val="00803A51"/>
    <w:rsid w:val="00804A84"/>
    <w:rsid w:val="008077B4"/>
    <w:rsid w:val="008100DF"/>
    <w:rsid w:val="0081293E"/>
    <w:rsid w:val="00813543"/>
    <w:rsid w:val="00815465"/>
    <w:rsid w:val="00817E9A"/>
    <w:rsid w:val="00820078"/>
    <w:rsid w:val="008249C8"/>
    <w:rsid w:val="00825D63"/>
    <w:rsid w:val="008266E9"/>
    <w:rsid w:val="00826FAB"/>
    <w:rsid w:val="00827176"/>
    <w:rsid w:val="0082745E"/>
    <w:rsid w:val="008306BD"/>
    <w:rsid w:val="00831A80"/>
    <w:rsid w:val="00833743"/>
    <w:rsid w:val="008340A4"/>
    <w:rsid w:val="00834104"/>
    <w:rsid w:val="008364B6"/>
    <w:rsid w:val="008372B5"/>
    <w:rsid w:val="008408AD"/>
    <w:rsid w:val="008433C0"/>
    <w:rsid w:val="00843579"/>
    <w:rsid w:val="00844D54"/>
    <w:rsid w:val="00850F31"/>
    <w:rsid w:val="008511BD"/>
    <w:rsid w:val="00852191"/>
    <w:rsid w:val="00857B7E"/>
    <w:rsid w:val="00861250"/>
    <w:rsid w:val="00861510"/>
    <w:rsid w:val="0086219B"/>
    <w:rsid w:val="0086246B"/>
    <w:rsid w:val="00863990"/>
    <w:rsid w:val="00863D94"/>
    <w:rsid w:val="00865148"/>
    <w:rsid w:val="00865C7A"/>
    <w:rsid w:val="00865C99"/>
    <w:rsid w:val="0087029E"/>
    <w:rsid w:val="0087135F"/>
    <w:rsid w:val="0087194E"/>
    <w:rsid w:val="00872D94"/>
    <w:rsid w:val="00876724"/>
    <w:rsid w:val="00877B7B"/>
    <w:rsid w:val="00880364"/>
    <w:rsid w:val="00880C60"/>
    <w:rsid w:val="00882212"/>
    <w:rsid w:val="00883C66"/>
    <w:rsid w:val="0088566F"/>
    <w:rsid w:val="00890854"/>
    <w:rsid w:val="00890AED"/>
    <w:rsid w:val="00891592"/>
    <w:rsid w:val="008916AA"/>
    <w:rsid w:val="00891E9E"/>
    <w:rsid w:val="0089471B"/>
    <w:rsid w:val="0089514B"/>
    <w:rsid w:val="008A1F01"/>
    <w:rsid w:val="008A2F68"/>
    <w:rsid w:val="008A44DE"/>
    <w:rsid w:val="008A545C"/>
    <w:rsid w:val="008B0316"/>
    <w:rsid w:val="008B28BF"/>
    <w:rsid w:val="008B4FA6"/>
    <w:rsid w:val="008B5282"/>
    <w:rsid w:val="008B5A52"/>
    <w:rsid w:val="008B7C17"/>
    <w:rsid w:val="008C00D1"/>
    <w:rsid w:val="008C2D01"/>
    <w:rsid w:val="008C40E6"/>
    <w:rsid w:val="008C6A9A"/>
    <w:rsid w:val="008D0F7A"/>
    <w:rsid w:val="008D1586"/>
    <w:rsid w:val="008D3E61"/>
    <w:rsid w:val="008D68E4"/>
    <w:rsid w:val="008D69BB"/>
    <w:rsid w:val="008E01F9"/>
    <w:rsid w:val="008E0506"/>
    <w:rsid w:val="008E0CFF"/>
    <w:rsid w:val="008E3010"/>
    <w:rsid w:val="008E5D6B"/>
    <w:rsid w:val="008E6940"/>
    <w:rsid w:val="008E72DC"/>
    <w:rsid w:val="008E76F0"/>
    <w:rsid w:val="008F0FA5"/>
    <w:rsid w:val="008F15FE"/>
    <w:rsid w:val="008F2D29"/>
    <w:rsid w:val="008F3457"/>
    <w:rsid w:val="008F48D9"/>
    <w:rsid w:val="008F4F79"/>
    <w:rsid w:val="008F5187"/>
    <w:rsid w:val="008F60D8"/>
    <w:rsid w:val="008F727F"/>
    <w:rsid w:val="0090072D"/>
    <w:rsid w:val="00901BD3"/>
    <w:rsid w:val="00902727"/>
    <w:rsid w:val="009028F5"/>
    <w:rsid w:val="00902AE1"/>
    <w:rsid w:val="00902B2F"/>
    <w:rsid w:val="0090312B"/>
    <w:rsid w:val="00903369"/>
    <w:rsid w:val="009058E2"/>
    <w:rsid w:val="00906581"/>
    <w:rsid w:val="00911408"/>
    <w:rsid w:val="009129BF"/>
    <w:rsid w:val="00914821"/>
    <w:rsid w:val="0091736D"/>
    <w:rsid w:val="009177F8"/>
    <w:rsid w:val="009204A0"/>
    <w:rsid w:val="0092155B"/>
    <w:rsid w:val="0092159B"/>
    <w:rsid w:val="00921FD1"/>
    <w:rsid w:val="00922EF9"/>
    <w:rsid w:val="0093037A"/>
    <w:rsid w:val="0093519E"/>
    <w:rsid w:val="009357E5"/>
    <w:rsid w:val="00940068"/>
    <w:rsid w:val="0094154D"/>
    <w:rsid w:val="0094430F"/>
    <w:rsid w:val="009506D5"/>
    <w:rsid w:val="0095155F"/>
    <w:rsid w:val="00954429"/>
    <w:rsid w:val="009557B3"/>
    <w:rsid w:val="009563CE"/>
    <w:rsid w:val="00957049"/>
    <w:rsid w:val="009652EF"/>
    <w:rsid w:val="009660EB"/>
    <w:rsid w:val="00975A68"/>
    <w:rsid w:val="00975DD1"/>
    <w:rsid w:val="00976328"/>
    <w:rsid w:val="0097680D"/>
    <w:rsid w:val="00982438"/>
    <w:rsid w:val="009831CF"/>
    <w:rsid w:val="0098404C"/>
    <w:rsid w:val="00984E4F"/>
    <w:rsid w:val="00985283"/>
    <w:rsid w:val="00986077"/>
    <w:rsid w:val="00990C0C"/>
    <w:rsid w:val="0099194D"/>
    <w:rsid w:val="00995992"/>
    <w:rsid w:val="00996C65"/>
    <w:rsid w:val="009A03E5"/>
    <w:rsid w:val="009A0F3B"/>
    <w:rsid w:val="009A13D7"/>
    <w:rsid w:val="009A1BB4"/>
    <w:rsid w:val="009A1DF0"/>
    <w:rsid w:val="009A2628"/>
    <w:rsid w:val="009A2851"/>
    <w:rsid w:val="009A3200"/>
    <w:rsid w:val="009A39F4"/>
    <w:rsid w:val="009A3B00"/>
    <w:rsid w:val="009A44A8"/>
    <w:rsid w:val="009A4740"/>
    <w:rsid w:val="009B0535"/>
    <w:rsid w:val="009B0897"/>
    <w:rsid w:val="009B10D9"/>
    <w:rsid w:val="009B1D0E"/>
    <w:rsid w:val="009B4A78"/>
    <w:rsid w:val="009B4E18"/>
    <w:rsid w:val="009B5A45"/>
    <w:rsid w:val="009B62CA"/>
    <w:rsid w:val="009B6901"/>
    <w:rsid w:val="009B7BD9"/>
    <w:rsid w:val="009C2781"/>
    <w:rsid w:val="009C76E0"/>
    <w:rsid w:val="009C7DD5"/>
    <w:rsid w:val="009D4491"/>
    <w:rsid w:val="009D4B55"/>
    <w:rsid w:val="009D4C6F"/>
    <w:rsid w:val="009D5145"/>
    <w:rsid w:val="009D57ED"/>
    <w:rsid w:val="009D5AAD"/>
    <w:rsid w:val="009E0B1C"/>
    <w:rsid w:val="009E141D"/>
    <w:rsid w:val="009E14E2"/>
    <w:rsid w:val="009E1750"/>
    <w:rsid w:val="009E227D"/>
    <w:rsid w:val="009E389E"/>
    <w:rsid w:val="009E5019"/>
    <w:rsid w:val="009E6686"/>
    <w:rsid w:val="009E71E8"/>
    <w:rsid w:val="009F0218"/>
    <w:rsid w:val="009F0EB8"/>
    <w:rsid w:val="009F5F17"/>
    <w:rsid w:val="009F77E5"/>
    <w:rsid w:val="00A00704"/>
    <w:rsid w:val="00A00C25"/>
    <w:rsid w:val="00A02D37"/>
    <w:rsid w:val="00A03AF3"/>
    <w:rsid w:val="00A04F1B"/>
    <w:rsid w:val="00A0501B"/>
    <w:rsid w:val="00A05211"/>
    <w:rsid w:val="00A06393"/>
    <w:rsid w:val="00A069F4"/>
    <w:rsid w:val="00A0738F"/>
    <w:rsid w:val="00A12690"/>
    <w:rsid w:val="00A129B3"/>
    <w:rsid w:val="00A144FF"/>
    <w:rsid w:val="00A14947"/>
    <w:rsid w:val="00A14B6D"/>
    <w:rsid w:val="00A167B7"/>
    <w:rsid w:val="00A22115"/>
    <w:rsid w:val="00A24387"/>
    <w:rsid w:val="00A3099F"/>
    <w:rsid w:val="00A31F74"/>
    <w:rsid w:val="00A32A83"/>
    <w:rsid w:val="00A342E4"/>
    <w:rsid w:val="00A368DB"/>
    <w:rsid w:val="00A372B0"/>
    <w:rsid w:val="00A37B12"/>
    <w:rsid w:val="00A40E6A"/>
    <w:rsid w:val="00A423AA"/>
    <w:rsid w:val="00A443BA"/>
    <w:rsid w:val="00A456B8"/>
    <w:rsid w:val="00A46043"/>
    <w:rsid w:val="00A46BC8"/>
    <w:rsid w:val="00A505B6"/>
    <w:rsid w:val="00A52090"/>
    <w:rsid w:val="00A52540"/>
    <w:rsid w:val="00A52975"/>
    <w:rsid w:val="00A53EC6"/>
    <w:rsid w:val="00A53F48"/>
    <w:rsid w:val="00A55149"/>
    <w:rsid w:val="00A55258"/>
    <w:rsid w:val="00A55C0F"/>
    <w:rsid w:val="00A563DB"/>
    <w:rsid w:val="00A61ED4"/>
    <w:rsid w:val="00A62A0F"/>
    <w:rsid w:val="00A662D9"/>
    <w:rsid w:val="00A66971"/>
    <w:rsid w:val="00A66EEB"/>
    <w:rsid w:val="00A67279"/>
    <w:rsid w:val="00A70126"/>
    <w:rsid w:val="00A711BA"/>
    <w:rsid w:val="00A736F4"/>
    <w:rsid w:val="00A741C9"/>
    <w:rsid w:val="00A76AF5"/>
    <w:rsid w:val="00A778D1"/>
    <w:rsid w:val="00A77B08"/>
    <w:rsid w:val="00A837EC"/>
    <w:rsid w:val="00A861C7"/>
    <w:rsid w:val="00A8713F"/>
    <w:rsid w:val="00A90BA1"/>
    <w:rsid w:val="00A92B68"/>
    <w:rsid w:val="00A94A0B"/>
    <w:rsid w:val="00A97A9A"/>
    <w:rsid w:val="00AA0671"/>
    <w:rsid w:val="00AA2531"/>
    <w:rsid w:val="00AA2739"/>
    <w:rsid w:val="00AA3FBA"/>
    <w:rsid w:val="00AA4184"/>
    <w:rsid w:val="00AA53C9"/>
    <w:rsid w:val="00AB1E09"/>
    <w:rsid w:val="00AB4426"/>
    <w:rsid w:val="00AB5330"/>
    <w:rsid w:val="00AB7747"/>
    <w:rsid w:val="00AB7954"/>
    <w:rsid w:val="00AC14CE"/>
    <w:rsid w:val="00AC1B7F"/>
    <w:rsid w:val="00AC26C7"/>
    <w:rsid w:val="00AC2A56"/>
    <w:rsid w:val="00AC339D"/>
    <w:rsid w:val="00AC544F"/>
    <w:rsid w:val="00AC559D"/>
    <w:rsid w:val="00AD045C"/>
    <w:rsid w:val="00AD055E"/>
    <w:rsid w:val="00AD180F"/>
    <w:rsid w:val="00AD47A7"/>
    <w:rsid w:val="00AD7444"/>
    <w:rsid w:val="00AE0339"/>
    <w:rsid w:val="00AE2930"/>
    <w:rsid w:val="00AF0CBF"/>
    <w:rsid w:val="00AF257F"/>
    <w:rsid w:val="00AF2657"/>
    <w:rsid w:val="00AF2E04"/>
    <w:rsid w:val="00AF33CF"/>
    <w:rsid w:val="00AF350B"/>
    <w:rsid w:val="00AF4D50"/>
    <w:rsid w:val="00AF5E6A"/>
    <w:rsid w:val="00AF611C"/>
    <w:rsid w:val="00AF6179"/>
    <w:rsid w:val="00B015CF"/>
    <w:rsid w:val="00B024DD"/>
    <w:rsid w:val="00B02DF9"/>
    <w:rsid w:val="00B0320E"/>
    <w:rsid w:val="00B04494"/>
    <w:rsid w:val="00B04C47"/>
    <w:rsid w:val="00B06BA7"/>
    <w:rsid w:val="00B06BF2"/>
    <w:rsid w:val="00B07B02"/>
    <w:rsid w:val="00B10D9B"/>
    <w:rsid w:val="00B1295A"/>
    <w:rsid w:val="00B14A11"/>
    <w:rsid w:val="00B15792"/>
    <w:rsid w:val="00B20A45"/>
    <w:rsid w:val="00B22A47"/>
    <w:rsid w:val="00B22C5C"/>
    <w:rsid w:val="00B23C13"/>
    <w:rsid w:val="00B249A4"/>
    <w:rsid w:val="00B24F30"/>
    <w:rsid w:val="00B2670E"/>
    <w:rsid w:val="00B2713A"/>
    <w:rsid w:val="00B27874"/>
    <w:rsid w:val="00B303F0"/>
    <w:rsid w:val="00B31A72"/>
    <w:rsid w:val="00B31ABF"/>
    <w:rsid w:val="00B339AC"/>
    <w:rsid w:val="00B33B2A"/>
    <w:rsid w:val="00B33BE3"/>
    <w:rsid w:val="00B353CF"/>
    <w:rsid w:val="00B366F4"/>
    <w:rsid w:val="00B403C2"/>
    <w:rsid w:val="00B40A1B"/>
    <w:rsid w:val="00B41142"/>
    <w:rsid w:val="00B41F6B"/>
    <w:rsid w:val="00B4366D"/>
    <w:rsid w:val="00B43FC4"/>
    <w:rsid w:val="00B441F0"/>
    <w:rsid w:val="00B45D38"/>
    <w:rsid w:val="00B45D3F"/>
    <w:rsid w:val="00B46F58"/>
    <w:rsid w:val="00B47577"/>
    <w:rsid w:val="00B51EB9"/>
    <w:rsid w:val="00B53B5D"/>
    <w:rsid w:val="00B540D4"/>
    <w:rsid w:val="00B54A0C"/>
    <w:rsid w:val="00B55A03"/>
    <w:rsid w:val="00B57B82"/>
    <w:rsid w:val="00B6055E"/>
    <w:rsid w:val="00B6109A"/>
    <w:rsid w:val="00B620A4"/>
    <w:rsid w:val="00B6317D"/>
    <w:rsid w:val="00B6394B"/>
    <w:rsid w:val="00B64B3A"/>
    <w:rsid w:val="00B66761"/>
    <w:rsid w:val="00B66B51"/>
    <w:rsid w:val="00B670B7"/>
    <w:rsid w:val="00B704DB"/>
    <w:rsid w:val="00B715C2"/>
    <w:rsid w:val="00B71CDE"/>
    <w:rsid w:val="00B74EC9"/>
    <w:rsid w:val="00B75109"/>
    <w:rsid w:val="00B7723F"/>
    <w:rsid w:val="00B80534"/>
    <w:rsid w:val="00B80AFF"/>
    <w:rsid w:val="00B83AF4"/>
    <w:rsid w:val="00B8433C"/>
    <w:rsid w:val="00B849BE"/>
    <w:rsid w:val="00B863E6"/>
    <w:rsid w:val="00B86A23"/>
    <w:rsid w:val="00B87491"/>
    <w:rsid w:val="00B93F57"/>
    <w:rsid w:val="00B960E1"/>
    <w:rsid w:val="00B967A4"/>
    <w:rsid w:val="00B96EFD"/>
    <w:rsid w:val="00B976A4"/>
    <w:rsid w:val="00BA1EA2"/>
    <w:rsid w:val="00BA29E9"/>
    <w:rsid w:val="00BA45E2"/>
    <w:rsid w:val="00BA7142"/>
    <w:rsid w:val="00BA783A"/>
    <w:rsid w:val="00BA78A9"/>
    <w:rsid w:val="00BB1ABE"/>
    <w:rsid w:val="00BB237C"/>
    <w:rsid w:val="00BB30FC"/>
    <w:rsid w:val="00BB41A3"/>
    <w:rsid w:val="00BB7AF0"/>
    <w:rsid w:val="00BC018A"/>
    <w:rsid w:val="00BC32DC"/>
    <w:rsid w:val="00BC35B6"/>
    <w:rsid w:val="00BD03B3"/>
    <w:rsid w:val="00BD1B51"/>
    <w:rsid w:val="00BD438D"/>
    <w:rsid w:val="00BD4596"/>
    <w:rsid w:val="00BD4C60"/>
    <w:rsid w:val="00BD5DAD"/>
    <w:rsid w:val="00BD7051"/>
    <w:rsid w:val="00BE1405"/>
    <w:rsid w:val="00BE20EB"/>
    <w:rsid w:val="00BE312D"/>
    <w:rsid w:val="00BE7E29"/>
    <w:rsid w:val="00BF0166"/>
    <w:rsid w:val="00BF1C20"/>
    <w:rsid w:val="00BF72AC"/>
    <w:rsid w:val="00C00122"/>
    <w:rsid w:val="00C00BD6"/>
    <w:rsid w:val="00C028B1"/>
    <w:rsid w:val="00C04083"/>
    <w:rsid w:val="00C04745"/>
    <w:rsid w:val="00C0761D"/>
    <w:rsid w:val="00C07CDA"/>
    <w:rsid w:val="00C10578"/>
    <w:rsid w:val="00C109A8"/>
    <w:rsid w:val="00C12780"/>
    <w:rsid w:val="00C135BC"/>
    <w:rsid w:val="00C143BB"/>
    <w:rsid w:val="00C14839"/>
    <w:rsid w:val="00C15C95"/>
    <w:rsid w:val="00C17009"/>
    <w:rsid w:val="00C17C56"/>
    <w:rsid w:val="00C17FCC"/>
    <w:rsid w:val="00C20FBF"/>
    <w:rsid w:val="00C21483"/>
    <w:rsid w:val="00C21A48"/>
    <w:rsid w:val="00C21E02"/>
    <w:rsid w:val="00C2333E"/>
    <w:rsid w:val="00C23C18"/>
    <w:rsid w:val="00C24182"/>
    <w:rsid w:val="00C25162"/>
    <w:rsid w:val="00C2596A"/>
    <w:rsid w:val="00C27537"/>
    <w:rsid w:val="00C31362"/>
    <w:rsid w:val="00C31A3D"/>
    <w:rsid w:val="00C328FE"/>
    <w:rsid w:val="00C33507"/>
    <w:rsid w:val="00C338A7"/>
    <w:rsid w:val="00C35FE4"/>
    <w:rsid w:val="00C36E1C"/>
    <w:rsid w:val="00C40891"/>
    <w:rsid w:val="00C4409D"/>
    <w:rsid w:val="00C44E72"/>
    <w:rsid w:val="00C45A06"/>
    <w:rsid w:val="00C470C3"/>
    <w:rsid w:val="00C47E5B"/>
    <w:rsid w:val="00C47F53"/>
    <w:rsid w:val="00C51D45"/>
    <w:rsid w:val="00C5342B"/>
    <w:rsid w:val="00C5620D"/>
    <w:rsid w:val="00C57C72"/>
    <w:rsid w:val="00C6000A"/>
    <w:rsid w:val="00C613D0"/>
    <w:rsid w:val="00C614AA"/>
    <w:rsid w:val="00C61E4B"/>
    <w:rsid w:val="00C632F3"/>
    <w:rsid w:val="00C63A3C"/>
    <w:rsid w:val="00C644E7"/>
    <w:rsid w:val="00C64BFF"/>
    <w:rsid w:val="00C659FB"/>
    <w:rsid w:val="00C67EF0"/>
    <w:rsid w:val="00C704E9"/>
    <w:rsid w:val="00C729F9"/>
    <w:rsid w:val="00C763C9"/>
    <w:rsid w:val="00C80057"/>
    <w:rsid w:val="00C82232"/>
    <w:rsid w:val="00C82913"/>
    <w:rsid w:val="00C86B91"/>
    <w:rsid w:val="00C9179A"/>
    <w:rsid w:val="00C92343"/>
    <w:rsid w:val="00C93001"/>
    <w:rsid w:val="00C94332"/>
    <w:rsid w:val="00C94D94"/>
    <w:rsid w:val="00C953F6"/>
    <w:rsid w:val="00C95AAE"/>
    <w:rsid w:val="00C972B1"/>
    <w:rsid w:val="00C97C8B"/>
    <w:rsid w:val="00CA0426"/>
    <w:rsid w:val="00CA1881"/>
    <w:rsid w:val="00CA26AA"/>
    <w:rsid w:val="00CA2CCE"/>
    <w:rsid w:val="00CA2E8B"/>
    <w:rsid w:val="00CA43FD"/>
    <w:rsid w:val="00CA54C7"/>
    <w:rsid w:val="00CA7E84"/>
    <w:rsid w:val="00CA7EF8"/>
    <w:rsid w:val="00CB0E95"/>
    <w:rsid w:val="00CB11AE"/>
    <w:rsid w:val="00CB1AB6"/>
    <w:rsid w:val="00CB1C7D"/>
    <w:rsid w:val="00CB23FD"/>
    <w:rsid w:val="00CB548E"/>
    <w:rsid w:val="00CC1A80"/>
    <w:rsid w:val="00CC2D9F"/>
    <w:rsid w:val="00CC3A7F"/>
    <w:rsid w:val="00CC489B"/>
    <w:rsid w:val="00CC5390"/>
    <w:rsid w:val="00CD001C"/>
    <w:rsid w:val="00CD2BCD"/>
    <w:rsid w:val="00CD3A4C"/>
    <w:rsid w:val="00CD46AD"/>
    <w:rsid w:val="00CD6C9E"/>
    <w:rsid w:val="00CD7769"/>
    <w:rsid w:val="00CE10E9"/>
    <w:rsid w:val="00CE263B"/>
    <w:rsid w:val="00CE2910"/>
    <w:rsid w:val="00CE2A10"/>
    <w:rsid w:val="00CE5212"/>
    <w:rsid w:val="00CE531C"/>
    <w:rsid w:val="00CE5393"/>
    <w:rsid w:val="00CE55DF"/>
    <w:rsid w:val="00CE6BAB"/>
    <w:rsid w:val="00CF230C"/>
    <w:rsid w:val="00CF2486"/>
    <w:rsid w:val="00CF36BE"/>
    <w:rsid w:val="00CF6000"/>
    <w:rsid w:val="00CF692E"/>
    <w:rsid w:val="00D003F3"/>
    <w:rsid w:val="00D0364F"/>
    <w:rsid w:val="00D037BB"/>
    <w:rsid w:val="00D04DDC"/>
    <w:rsid w:val="00D05BBC"/>
    <w:rsid w:val="00D05D1B"/>
    <w:rsid w:val="00D06834"/>
    <w:rsid w:val="00D07D80"/>
    <w:rsid w:val="00D07E5B"/>
    <w:rsid w:val="00D10524"/>
    <w:rsid w:val="00D110C9"/>
    <w:rsid w:val="00D1222E"/>
    <w:rsid w:val="00D1622B"/>
    <w:rsid w:val="00D164B5"/>
    <w:rsid w:val="00D16CDC"/>
    <w:rsid w:val="00D17942"/>
    <w:rsid w:val="00D202ED"/>
    <w:rsid w:val="00D259A9"/>
    <w:rsid w:val="00D269F6"/>
    <w:rsid w:val="00D308ED"/>
    <w:rsid w:val="00D30C90"/>
    <w:rsid w:val="00D33519"/>
    <w:rsid w:val="00D36D86"/>
    <w:rsid w:val="00D37D3A"/>
    <w:rsid w:val="00D40E01"/>
    <w:rsid w:val="00D428AA"/>
    <w:rsid w:val="00D433C4"/>
    <w:rsid w:val="00D43D47"/>
    <w:rsid w:val="00D4793A"/>
    <w:rsid w:val="00D50A34"/>
    <w:rsid w:val="00D51609"/>
    <w:rsid w:val="00D53EFA"/>
    <w:rsid w:val="00D563AE"/>
    <w:rsid w:val="00D56DA4"/>
    <w:rsid w:val="00D600A4"/>
    <w:rsid w:val="00D602C8"/>
    <w:rsid w:val="00D60AF4"/>
    <w:rsid w:val="00D61272"/>
    <w:rsid w:val="00D64F78"/>
    <w:rsid w:val="00D66BFD"/>
    <w:rsid w:val="00D66CCE"/>
    <w:rsid w:val="00D7062F"/>
    <w:rsid w:val="00D709E1"/>
    <w:rsid w:val="00D723E5"/>
    <w:rsid w:val="00D72DC6"/>
    <w:rsid w:val="00D7304E"/>
    <w:rsid w:val="00D73AE8"/>
    <w:rsid w:val="00D74BF2"/>
    <w:rsid w:val="00D75734"/>
    <w:rsid w:val="00D81A7E"/>
    <w:rsid w:val="00D83EC3"/>
    <w:rsid w:val="00D846A4"/>
    <w:rsid w:val="00D84ED6"/>
    <w:rsid w:val="00D85D21"/>
    <w:rsid w:val="00D8746A"/>
    <w:rsid w:val="00D90781"/>
    <w:rsid w:val="00D90A20"/>
    <w:rsid w:val="00D910D4"/>
    <w:rsid w:val="00D917DE"/>
    <w:rsid w:val="00D91F14"/>
    <w:rsid w:val="00D93A9B"/>
    <w:rsid w:val="00D94A7C"/>
    <w:rsid w:val="00D95896"/>
    <w:rsid w:val="00D978C1"/>
    <w:rsid w:val="00D97DDD"/>
    <w:rsid w:val="00DA62F0"/>
    <w:rsid w:val="00DA63B1"/>
    <w:rsid w:val="00DA6EB5"/>
    <w:rsid w:val="00DA7090"/>
    <w:rsid w:val="00DB2983"/>
    <w:rsid w:val="00DB450C"/>
    <w:rsid w:val="00DB6C00"/>
    <w:rsid w:val="00DC08BC"/>
    <w:rsid w:val="00DC1257"/>
    <w:rsid w:val="00DC2A2F"/>
    <w:rsid w:val="00DC3DC0"/>
    <w:rsid w:val="00DC437C"/>
    <w:rsid w:val="00DC4493"/>
    <w:rsid w:val="00DC50CB"/>
    <w:rsid w:val="00DC5B2B"/>
    <w:rsid w:val="00DC5F7B"/>
    <w:rsid w:val="00DC670E"/>
    <w:rsid w:val="00DD318D"/>
    <w:rsid w:val="00DD4158"/>
    <w:rsid w:val="00DD5575"/>
    <w:rsid w:val="00DD5F7F"/>
    <w:rsid w:val="00DE0110"/>
    <w:rsid w:val="00DE0F5E"/>
    <w:rsid w:val="00DE0F6C"/>
    <w:rsid w:val="00DE166B"/>
    <w:rsid w:val="00DE27E2"/>
    <w:rsid w:val="00DE30ED"/>
    <w:rsid w:val="00DE312E"/>
    <w:rsid w:val="00DF2E12"/>
    <w:rsid w:val="00DF3BA6"/>
    <w:rsid w:val="00DF3F29"/>
    <w:rsid w:val="00DF514A"/>
    <w:rsid w:val="00DF6690"/>
    <w:rsid w:val="00DF6804"/>
    <w:rsid w:val="00DF6DE4"/>
    <w:rsid w:val="00DF6EF2"/>
    <w:rsid w:val="00E0358D"/>
    <w:rsid w:val="00E040CB"/>
    <w:rsid w:val="00E04323"/>
    <w:rsid w:val="00E05599"/>
    <w:rsid w:val="00E070A2"/>
    <w:rsid w:val="00E10737"/>
    <w:rsid w:val="00E10AE8"/>
    <w:rsid w:val="00E13625"/>
    <w:rsid w:val="00E14286"/>
    <w:rsid w:val="00E15A60"/>
    <w:rsid w:val="00E15F9D"/>
    <w:rsid w:val="00E2656A"/>
    <w:rsid w:val="00E277CE"/>
    <w:rsid w:val="00E3090D"/>
    <w:rsid w:val="00E32123"/>
    <w:rsid w:val="00E35A47"/>
    <w:rsid w:val="00E35C2A"/>
    <w:rsid w:val="00E3632E"/>
    <w:rsid w:val="00E3697E"/>
    <w:rsid w:val="00E37C1E"/>
    <w:rsid w:val="00E412D0"/>
    <w:rsid w:val="00E443E0"/>
    <w:rsid w:val="00E4625F"/>
    <w:rsid w:val="00E509C6"/>
    <w:rsid w:val="00E51100"/>
    <w:rsid w:val="00E5354E"/>
    <w:rsid w:val="00E5583B"/>
    <w:rsid w:val="00E56322"/>
    <w:rsid w:val="00E57042"/>
    <w:rsid w:val="00E60221"/>
    <w:rsid w:val="00E60982"/>
    <w:rsid w:val="00E62C62"/>
    <w:rsid w:val="00E62DA7"/>
    <w:rsid w:val="00E63576"/>
    <w:rsid w:val="00E6528D"/>
    <w:rsid w:val="00E654C1"/>
    <w:rsid w:val="00E65522"/>
    <w:rsid w:val="00E65D97"/>
    <w:rsid w:val="00E72A5A"/>
    <w:rsid w:val="00E73354"/>
    <w:rsid w:val="00E75663"/>
    <w:rsid w:val="00E77C3B"/>
    <w:rsid w:val="00E80086"/>
    <w:rsid w:val="00E81119"/>
    <w:rsid w:val="00E82B4A"/>
    <w:rsid w:val="00E83912"/>
    <w:rsid w:val="00E842AB"/>
    <w:rsid w:val="00E9242D"/>
    <w:rsid w:val="00E9321A"/>
    <w:rsid w:val="00EB14C5"/>
    <w:rsid w:val="00EB1688"/>
    <w:rsid w:val="00EB19EA"/>
    <w:rsid w:val="00EB19FD"/>
    <w:rsid w:val="00EB2365"/>
    <w:rsid w:val="00EB2F9E"/>
    <w:rsid w:val="00EB5255"/>
    <w:rsid w:val="00EB5C47"/>
    <w:rsid w:val="00EB67B3"/>
    <w:rsid w:val="00EC0E4D"/>
    <w:rsid w:val="00EC1E78"/>
    <w:rsid w:val="00EC3733"/>
    <w:rsid w:val="00EC4AB2"/>
    <w:rsid w:val="00EC5431"/>
    <w:rsid w:val="00EC69A5"/>
    <w:rsid w:val="00ED0639"/>
    <w:rsid w:val="00ED09D8"/>
    <w:rsid w:val="00ED1DE8"/>
    <w:rsid w:val="00ED5E99"/>
    <w:rsid w:val="00EE5910"/>
    <w:rsid w:val="00EF2F19"/>
    <w:rsid w:val="00EF4755"/>
    <w:rsid w:val="00EF4B07"/>
    <w:rsid w:val="00EF58A1"/>
    <w:rsid w:val="00EF7135"/>
    <w:rsid w:val="00EF7334"/>
    <w:rsid w:val="00EF7DCA"/>
    <w:rsid w:val="00F00ACF"/>
    <w:rsid w:val="00F00FFD"/>
    <w:rsid w:val="00F02773"/>
    <w:rsid w:val="00F027DB"/>
    <w:rsid w:val="00F0310B"/>
    <w:rsid w:val="00F034F3"/>
    <w:rsid w:val="00F03689"/>
    <w:rsid w:val="00F058A4"/>
    <w:rsid w:val="00F07F00"/>
    <w:rsid w:val="00F11D95"/>
    <w:rsid w:val="00F13723"/>
    <w:rsid w:val="00F13E54"/>
    <w:rsid w:val="00F147EC"/>
    <w:rsid w:val="00F14A7A"/>
    <w:rsid w:val="00F14B89"/>
    <w:rsid w:val="00F157DC"/>
    <w:rsid w:val="00F16BC0"/>
    <w:rsid w:val="00F17C47"/>
    <w:rsid w:val="00F203B9"/>
    <w:rsid w:val="00F205C4"/>
    <w:rsid w:val="00F21945"/>
    <w:rsid w:val="00F22985"/>
    <w:rsid w:val="00F2302D"/>
    <w:rsid w:val="00F25C48"/>
    <w:rsid w:val="00F269CF"/>
    <w:rsid w:val="00F3259E"/>
    <w:rsid w:val="00F3383E"/>
    <w:rsid w:val="00F35832"/>
    <w:rsid w:val="00F36880"/>
    <w:rsid w:val="00F368C5"/>
    <w:rsid w:val="00F41FF8"/>
    <w:rsid w:val="00F448BD"/>
    <w:rsid w:val="00F4613A"/>
    <w:rsid w:val="00F465A7"/>
    <w:rsid w:val="00F471A5"/>
    <w:rsid w:val="00F47EC2"/>
    <w:rsid w:val="00F50B7C"/>
    <w:rsid w:val="00F52056"/>
    <w:rsid w:val="00F52526"/>
    <w:rsid w:val="00F545D5"/>
    <w:rsid w:val="00F550E6"/>
    <w:rsid w:val="00F601A9"/>
    <w:rsid w:val="00F619EA"/>
    <w:rsid w:val="00F67E91"/>
    <w:rsid w:val="00F725B9"/>
    <w:rsid w:val="00F73B1C"/>
    <w:rsid w:val="00F74345"/>
    <w:rsid w:val="00F751BC"/>
    <w:rsid w:val="00F75CB5"/>
    <w:rsid w:val="00F774C2"/>
    <w:rsid w:val="00F775AA"/>
    <w:rsid w:val="00F77FF7"/>
    <w:rsid w:val="00F803B7"/>
    <w:rsid w:val="00F80A0A"/>
    <w:rsid w:val="00F82B19"/>
    <w:rsid w:val="00F83A9A"/>
    <w:rsid w:val="00F843FD"/>
    <w:rsid w:val="00F87313"/>
    <w:rsid w:val="00F9212D"/>
    <w:rsid w:val="00F941B8"/>
    <w:rsid w:val="00F965DA"/>
    <w:rsid w:val="00F96EB4"/>
    <w:rsid w:val="00F96F96"/>
    <w:rsid w:val="00F97ACF"/>
    <w:rsid w:val="00FA1862"/>
    <w:rsid w:val="00FA406A"/>
    <w:rsid w:val="00FA7052"/>
    <w:rsid w:val="00FA7713"/>
    <w:rsid w:val="00FA7F4E"/>
    <w:rsid w:val="00FB07BD"/>
    <w:rsid w:val="00FB2FF2"/>
    <w:rsid w:val="00FB3D0F"/>
    <w:rsid w:val="00FB503A"/>
    <w:rsid w:val="00FB516C"/>
    <w:rsid w:val="00FB57D8"/>
    <w:rsid w:val="00FC07E0"/>
    <w:rsid w:val="00FC273F"/>
    <w:rsid w:val="00FC2CD2"/>
    <w:rsid w:val="00FC6E04"/>
    <w:rsid w:val="00FC7B75"/>
    <w:rsid w:val="00FD0236"/>
    <w:rsid w:val="00FD18F4"/>
    <w:rsid w:val="00FD418C"/>
    <w:rsid w:val="00FD41C7"/>
    <w:rsid w:val="00FD54DB"/>
    <w:rsid w:val="00FD619F"/>
    <w:rsid w:val="00FE38DC"/>
    <w:rsid w:val="00FE5D7A"/>
    <w:rsid w:val="00FE679F"/>
    <w:rsid w:val="00FF1B6B"/>
    <w:rsid w:val="00FF358A"/>
    <w:rsid w:val="00FF442C"/>
    <w:rsid w:val="00FF64B1"/>
    <w:rsid w:val="00FF64C6"/>
    <w:rsid w:val="010F7FF0"/>
    <w:rsid w:val="01290F7E"/>
    <w:rsid w:val="01397954"/>
    <w:rsid w:val="015D1E09"/>
    <w:rsid w:val="02697903"/>
    <w:rsid w:val="02AC7DD1"/>
    <w:rsid w:val="02F96569"/>
    <w:rsid w:val="02FF25F2"/>
    <w:rsid w:val="0311688E"/>
    <w:rsid w:val="032D0FD4"/>
    <w:rsid w:val="03BB22B5"/>
    <w:rsid w:val="03C93D06"/>
    <w:rsid w:val="03D47DBD"/>
    <w:rsid w:val="03EA7B21"/>
    <w:rsid w:val="048B02F7"/>
    <w:rsid w:val="049727D9"/>
    <w:rsid w:val="04D868F0"/>
    <w:rsid w:val="04DD197E"/>
    <w:rsid w:val="05254501"/>
    <w:rsid w:val="05B747B5"/>
    <w:rsid w:val="05F83EAE"/>
    <w:rsid w:val="063E7D85"/>
    <w:rsid w:val="07183462"/>
    <w:rsid w:val="07293586"/>
    <w:rsid w:val="07295285"/>
    <w:rsid w:val="07563D4D"/>
    <w:rsid w:val="07636392"/>
    <w:rsid w:val="07770C56"/>
    <w:rsid w:val="07B2578C"/>
    <w:rsid w:val="08A35E0C"/>
    <w:rsid w:val="08F91374"/>
    <w:rsid w:val="092217DD"/>
    <w:rsid w:val="093A7294"/>
    <w:rsid w:val="0A1276D6"/>
    <w:rsid w:val="0A263993"/>
    <w:rsid w:val="0A2D3AC2"/>
    <w:rsid w:val="0A5151D8"/>
    <w:rsid w:val="0A620204"/>
    <w:rsid w:val="0AA755DF"/>
    <w:rsid w:val="0ABA1880"/>
    <w:rsid w:val="0B120D44"/>
    <w:rsid w:val="0B386398"/>
    <w:rsid w:val="0B8E44AA"/>
    <w:rsid w:val="0BD27BF6"/>
    <w:rsid w:val="0BDE0CED"/>
    <w:rsid w:val="0BE2503C"/>
    <w:rsid w:val="0BEB27CB"/>
    <w:rsid w:val="0C3B3C7D"/>
    <w:rsid w:val="0CAB2EAE"/>
    <w:rsid w:val="0CEB53A6"/>
    <w:rsid w:val="0CF62067"/>
    <w:rsid w:val="0D5B011C"/>
    <w:rsid w:val="0D621C7D"/>
    <w:rsid w:val="0D9B6E79"/>
    <w:rsid w:val="0E0A25EB"/>
    <w:rsid w:val="0E4C00BB"/>
    <w:rsid w:val="0E6008AC"/>
    <w:rsid w:val="0E701638"/>
    <w:rsid w:val="0E73034D"/>
    <w:rsid w:val="0EB028D7"/>
    <w:rsid w:val="0EC852C1"/>
    <w:rsid w:val="0F13775A"/>
    <w:rsid w:val="0F5F45FE"/>
    <w:rsid w:val="0F745F6A"/>
    <w:rsid w:val="0F9A112B"/>
    <w:rsid w:val="0FDD4C24"/>
    <w:rsid w:val="10393FB7"/>
    <w:rsid w:val="106D2F64"/>
    <w:rsid w:val="10B63710"/>
    <w:rsid w:val="10D729B9"/>
    <w:rsid w:val="10F10820"/>
    <w:rsid w:val="111C2F7A"/>
    <w:rsid w:val="113B0990"/>
    <w:rsid w:val="11501EBF"/>
    <w:rsid w:val="11665CA1"/>
    <w:rsid w:val="11BB562D"/>
    <w:rsid w:val="11D150DC"/>
    <w:rsid w:val="120E1C01"/>
    <w:rsid w:val="12B04A66"/>
    <w:rsid w:val="12CE469F"/>
    <w:rsid w:val="135D500C"/>
    <w:rsid w:val="136E31A0"/>
    <w:rsid w:val="13951726"/>
    <w:rsid w:val="13966E30"/>
    <w:rsid w:val="13CE5AEB"/>
    <w:rsid w:val="13D63142"/>
    <w:rsid w:val="14396509"/>
    <w:rsid w:val="14DD2C3C"/>
    <w:rsid w:val="151E3869"/>
    <w:rsid w:val="152D6AC8"/>
    <w:rsid w:val="1548065D"/>
    <w:rsid w:val="158A3C94"/>
    <w:rsid w:val="160550C9"/>
    <w:rsid w:val="16087E1D"/>
    <w:rsid w:val="16310819"/>
    <w:rsid w:val="16812A24"/>
    <w:rsid w:val="16924BAE"/>
    <w:rsid w:val="16E8761E"/>
    <w:rsid w:val="17120A30"/>
    <w:rsid w:val="172F064F"/>
    <w:rsid w:val="17701D14"/>
    <w:rsid w:val="17735226"/>
    <w:rsid w:val="17A44471"/>
    <w:rsid w:val="17A646EB"/>
    <w:rsid w:val="18147845"/>
    <w:rsid w:val="189F624C"/>
    <w:rsid w:val="18C36239"/>
    <w:rsid w:val="191915B7"/>
    <w:rsid w:val="19474413"/>
    <w:rsid w:val="19516FA3"/>
    <w:rsid w:val="19BA4177"/>
    <w:rsid w:val="19EA5B56"/>
    <w:rsid w:val="1A1C66C0"/>
    <w:rsid w:val="1A42393B"/>
    <w:rsid w:val="1A445BA3"/>
    <w:rsid w:val="1A5E09E1"/>
    <w:rsid w:val="1AA2643C"/>
    <w:rsid w:val="1AAD45DE"/>
    <w:rsid w:val="1B046F80"/>
    <w:rsid w:val="1B084A5F"/>
    <w:rsid w:val="1B3267B5"/>
    <w:rsid w:val="1B40161D"/>
    <w:rsid w:val="1B441859"/>
    <w:rsid w:val="1B5C7EF5"/>
    <w:rsid w:val="1B6606B1"/>
    <w:rsid w:val="1B744C5C"/>
    <w:rsid w:val="1C0421F2"/>
    <w:rsid w:val="1C5E7925"/>
    <w:rsid w:val="1C817B9F"/>
    <w:rsid w:val="1CB82028"/>
    <w:rsid w:val="1CF546E3"/>
    <w:rsid w:val="1CFA525B"/>
    <w:rsid w:val="1CFD070F"/>
    <w:rsid w:val="1D1A5E86"/>
    <w:rsid w:val="1D35572C"/>
    <w:rsid w:val="1D5D0162"/>
    <w:rsid w:val="1D5F6196"/>
    <w:rsid w:val="1D6132A5"/>
    <w:rsid w:val="1D8E56D5"/>
    <w:rsid w:val="1E7A43DA"/>
    <w:rsid w:val="1E7E7780"/>
    <w:rsid w:val="1E93085A"/>
    <w:rsid w:val="1F446DDE"/>
    <w:rsid w:val="1F4612F5"/>
    <w:rsid w:val="1F602BD7"/>
    <w:rsid w:val="1F86727A"/>
    <w:rsid w:val="1FE7539E"/>
    <w:rsid w:val="1FF43BB1"/>
    <w:rsid w:val="201F05E8"/>
    <w:rsid w:val="203D6B25"/>
    <w:rsid w:val="2065063D"/>
    <w:rsid w:val="20671BE0"/>
    <w:rsid w:val="20963CB8"/>
    <w:rsid w:val="20975945"/>
    <w:rsid w:val="20A81A1B"/>
    <w:rsid w:val="20B07FB6"/>
    <w:rsid w:val="20B646FB"/>
    <w:rsid w:val="20BC50D1"/>
    <w:rsid w:val="213B74B1"/>
    <w:rsid w:val="215018EE"/>
    <w:rsid w:val="215A2310"/>
    <w:rsid w:val="21DE318A"/>
    <w:rsid w:val="21E22F8A"/>
    <w:rsid w:val="21EF5B80"/>
    <w:rsid w:val="22576990"/>
    <w:rsid w:val="22711EB6"/>
    <w:rsid w:val="22F47480"/>
    <w:rsid w:val="230C6ADF"/>
    <w:rsid w:val="2336633E"/>
    <w:rsid w:val="23B73EA6"/>
    <w:rsid w:val="23DE1C48"/>
    <w:rsid w:val="240210CD"/>
    <w:rsid w:val="24183A7C"/>
    <w:rsid w:val="24BF09F7"/>
    <w:rsid w:val="24C57BB1"/>
    <w:rsid w:val="24D42836"/>
    <w:rsid w:val="252D53FE"/>
    <w:rsid w:val="25A02DF9"/>
    <w:rsid w:val="25A93533"/>
    <w:rsid w:val="25EC2D81"/>
    <w:rsid w:val="270210C5"/>
    <w:rsid w:val="27127645"/>
    <w:rsid w:val="275928E4"/>
    <w:rsid w:val="277057A2"/>
    <w:rsid w:val="277D0F63"/>
    <w:rsid w:val="27951628"/>
    <w:rsid w:val="282910EA"/>
    <w:rsid w:val="282B53C2"/>
    <w:rsid w:val="286B4632"/>
    <w:rsid w:val="28B22A05"/>
    <w:rsid w:val="28BD6AC7"/>
    <w:rsid w:val="29206EB8"/>
    <w:rsid w:val="29493C1C"/>
    <w:rsid w:val="29595666"/>
    <w:rsid w:val="29874881"/>
    <w:rsid w:val="29D75424"/>
    <w:rsid w:val="29E325E0"/>
    <w:rsid w:val="2A452503"/>
    <w:rsid w:val="2A630D18"/>
    <w:rsid w:val="2A6356FE"/>
    <w:rsid w:val="2AED63FF"/>
    <w:rsid w:val="2AF02E70"/>
    <w:rsid w:val="2BA936A8"/>
    <w:rsid w:val="2C261785"/>
    <w:rsid w:val="2C315A5A"/>
    <w:rsid w:val="2C4B1C25"/>
    <w:rsid w:val="2CB4053C"/>
    <w:rsid w:val="2CBC29B8"/>
    <w:rsid w:val="2CFF4E91"/>
    <w:rsid w:val="2D151C3D"/>
    <w:rsid w:val="2D9E56F5"/>
    <w:rsid w:val="2E3600BD"/>
    <w:rsid w:val="2E641E02"/>
    <w:rsid w:val="2E642E7C"/>
    <w:rsid w:val="2E667F96"/>
    <w:rsid w:val="2E7C7C2D"/>
    <w:rsid w:val="2E7F7CB6"/>
    <w:rsid w:val="2E8226AB"/>
    <w:rsid w:val="2F25240F"/>
    <w:rsid w:val="2F563C6D"/>
    <w:rsid w:val="2F794705"/>
    <w:rsid w:val="2FD065E6"/>
    <w:rsid w:val="2FD96870"/>
    <w:rsid w:val="30281C88"/>
    <w:rsid w:val="30580BC9"/>
    <w:rsid w:val="30874C00"/>
    <w:rsid w:val="30922896"/>
    <w:rsid w:val="30F522B6"/>
    <w:rsid w:val="311E2ED7"/>
    <w:rsid w:val="312C6F4D"/>
    <w:rsid w:val="31300E93"/>
    <w:rsid w:val="315619EE"/>
    <w:rsid w:val="315C449C"/>
    <w:rsid w:val="319E0453"/>
    <w:rsid w:val="31B82709"/>
    <w:rsid w:val="31D05482"/>
    <w:rsid w:val="31DC2467"/>
    <w:rsid w:val="31EB11BF"/>
    <w:rsid w:val="31FD7870"/>
    <w:rsid w:val="32400B34"/>
    <w:rsid w:val="326F1DF0"/>
    <w:rsid w:val="328B4E7C"/>
    <w:rsid w:val="329E6876"/>
    <w:rsid w:val="330C0033"/>
    <w:rsid w:val="333015F2"/>
    <w:rsid w:val="334B6320"/>
    <w:rsid w:val="334C04B7"/>
    <w:rsid w:val="337C30AF"/>
    <w:rsid w:val="33B702AD"/>
    <w:rsid w:val="33B91574"/>
    <w:rsid w:val="33D934D4"/>
    <w:rsid w:val="33FE2F6A"/>
    <w:rsid w:val="340D1832"/>
    <w:rsid w:val="340E07E5"/>
    <w:rsid w:val="34235BF7"/>
    <w:rsid w:val="34945CFC"/>
    <w:rsid w:val="34AC10D9"/>
    <w:rsid w:val="34CE20D9"/>
    <w:rsid w:val="34FE0405"/>
    <w:rsid w:val="35173F81"/>
    <w:rsid w:val="358C5FA8"/>
    <w:rsid w:val="35C15DF1"/>
    <w:rsid w:val="36074A7F"/>
    <w:rsid w:val="361179F3"/>
    <w:rsid w:val="367D1270"/>
    <w:rsid w:val="36923549"/>
    <w:rsid w:val="36B33F7A"/>
    <w:rsid w:val="36B75FBF"/>
    <w:rsid w:val="36BD0C45"/>
    <w:rsid w:val="371A34AA"/>
    <w:rsid w:val="372D7D6D"/>
    <w:rsid w:val="372E04CB"/>
    <w:rsid w:val="378B75DF"/>
    <w:rsid w:val="379245B6"/>
    <w:rsid w:val="37B704C1"/>
    <w:rsid w:val="37B7401D"/>
    <w:rsid w:val="37DD473C"/>
    <w:rsid w:val="37E00298"/>
    <w:rsid w:val="37FA6FDA"/>
    <w:rsid w:val="38156F95"/>
    <w:rsid w:val="38224FFC"/>
    <w:rsid w:val="386203F7"/>
    <w:rsid w:val="38B202A0"/>
    <w:rsid w:val="38B302F9"/>
    <w:rsid w:val="38F12CD3"/>
    <w:rsid w:val="38F94775"/>
    <w:rsid w:val="392971ED"/>
    <w:rsid w:val="39325651"/>
    <w:rsid w:val="39394C48"/>
    <w:rsid w:val="39657AA9"/>
    <w:rsid w:val="3A6D4E67"/>
    <w:rsid w:val="3A872856"/>
    <w:rsid w:val="3AC73CD3"/>
    <w:rsid w:val="3B3763D1"/>
    <w:rsid w:val="3B8574BF"/>
    <w:rsid w:val="3B937587"/>
    <w:rsid w:val="3BBD4CA2"/>
    <w:rsid w:val="3BF836CB"/>
    <w:rsid w:val="3C1F57DA"/>
    <w:rsid w:val="3C2F6E1E"/>
    <w:rsid w:val="3C4F64BA"/>
    <w:rsid w:val="3CDA245A"/>
    <w:rsid w:val="3CE979C3"/>
    <w:rsid w:val="3D051F86"/>
    <w:rsid w:val="3D1E06B7"/>
    <w:rsid w:val="3DB7332E"/>
    <w:rsid w:val="3E3B00FE"/>
    <w:rsid w:val="3E570308"/>
    <w:rsid w:val="3EA84B9F"/>
    <w:rsid w:val="3EDA0523"/>
    <w:rsid w:val="3EE76488"/>
    <w:rsid w:val="3EF37EA4"/>
    <w:rsid w:val="3F4A7E6C"/>
    <w:rsid w:val="3F8C10E1"/>
    <w:rsid w:val="407A6407"/>
    <w:rsid w:val="407C4E5B"/>
    <w:rsid w:val="40C2257D"/>
    <w:rsid w:val="40E32AFB"/>
    <w:rsid w:val="414D50B4"/>
    <w:rsid w:val="416F1917"/>
    <w:rsid w:val="41D75D98"/>
    <w:rsid w:val="41DE3196"/>
    <w:rsid w:val="4200449D"/>
    <w:rsid w:val="423A3BCC"/>
    <w:rsid w:val="424E57D2"/>
    <w:rsid w:val="426923B8"/>
    <w:rsid w:val="42B26C49"/>
    <w:rsid w:val="42D37C1F"/>
    <w:rsid w:val="433A6FE6"/>
    <w:rsid w:val="43480868"/>
    <w:rsid w:val="4350713C"/>
    <w:rsid w:val="436653E0"/>
    <w:rsid w:val="43AC7329"/>
    <w:rsid w:val="43C4431A"/>
    <w:rsid w:val="44450C02"/>
    <w:rsid w:val="44B951CC"/>
    <w:rsid w:val="44CD14E0"/>
    <w:rsid w:val="44EE3048"/>
    <w:rsid w:val="44F20B0B"/>
    <w:rsid w:val="452E5F4C"/>
    <w:rsid w:val="45612018"/>
    <w:rsid w:val="458946E9"/>
    <w:rsid w:val="45955E0E"/>
    <w:rsid w:val="45A47C0E"/>
    <w:rsid w:val="45C22D0C"/>
    <w:rsid w:val="46577FD6"/>
    <w:rsid w:val="469C4D56"/>
    <w:rsid w:val="46D955A7"/>
    <w:rsid w:val="47133957"/>
    <w:rsid w:val="47631A97"/>
    <w:rsid w:val="477A4167"/>
    <w:rsid w:val="478C0074"/>
    <w:rsid w:val="479003E6"/>
    <w:rsid w:val="47A07E0C"/>
    <w:rsid w:val="47CE2AD9"/>
    <w:rsid w:val="4870272E"/>
    <w:rsid w:val="4926239C"/>
    <w:rsid w:val="495042D1"/>
    <w:rsid w:val="49AB0241"/>
    <w:rsid w:val="49BD1927"/>
    <w:rsid w:val="49D656F8"/>
    <w:rsid w:val="49DC7715"/>
    <w:rsid w:val="4A023139"/>
    <w:rsid w:val="4A4803E9"/>
    <w:rsid w:val="4A7B576F"/>
    <w:rsid w:val="4A8B149C"/>
    <w:rsid w:val="4AB43501"/>
    <w:rsid w:val="4AE50A49"/>
    <w:rsid w:val="4AF561A9"/>
    <w:rsid w:val="4BC4028B"/>
    <w:rsid w:val="4C4A0649"/>
    <w:rsid w:val="4C7E5ECA"/>
    <w:rsid w:val="4C876AA5"/>
    <w:rsid w:val="4C907C0B"/>
    <w:rsid w:val="4D0E00FB"/>
    <w:rsid w:val="4D176606"/>
    <w:rsid w:val="4DEC4FB0"/>
    <w:rsid w:val="4E075D8A"/>
    <w:rsid w:val="4E565369"/>
    <w:rsid w:val="4EB66985"/>
    <w:rsid w:val="4EC00FAD"/>
    <w:rsid w:val="4F9843DC"/>
    <w:rsid w:val="4FB03385"/>
    <w:rsid w:val="4FC62A8C"/>
    <w:rsid w:val="4FE20F0D"/>
    <w:rsid w:val="4FE51552"/>
    <w:rsid w:val="4FF268D4"/>
    <w:rsid w:val="504601DC"/>
    <w:rsid w:val="50504C4B"/>
    <w:rsid w:val="506F173A"/>
    <w:rsid w:val="509C6E7C"/>
    <w:rsid w:val="50CA4969"/>
    <w:rsid w:val="51466B26"/>
    <w:rsid w:val="5162104E"/>
    <w:rsid w:val="52AA2CA4"/>
    <w:rsid w:val="52DC28E2"/>
    <w:rsid w:val="534053B7"/>
    <w:rsid w:val="538C02E0"/>
    <w:rsid w:val="53A039CC"/>
    <w:rsid w:val="53A1505A"/>
    <w:rsid w:val="53E06252"/>
    <w:rsid w:val="54063E08"/>
    <w:rsid w:val="543437E8"/>
    <w:rsid w:val="547E350F"/>
    <w:rsid w:val="54CF3C9C"/>
    <w:rsid w:val="54F73313"/>
    <w:rsid w:val="54F75F49"/>
    <w:rsid w:val="54F80955"/>
    <w:rsid w:val="555170A7"/>
    <w:rsid w:val="5587536D"/>
    <w:rsid w:val="559B174B"/>
    <w:rsid w:val="55CE0CF4"/>
    <w:rsid w:val="5612303A"/>
    <w:rsid w:val="561622DF"/>
    <w:rsid w:val="561A723A"/>
    <w:rsid w:val="56812B6B"/>
    <w:rsid w:val="56B22A9C"/>
    <w:rsid w:val="57340C47"/>
    <w:rsid w:val="57B72A76"/>
    <w:rsid w:val="57BF34B0"/>
    <w:rsid w:val="57C3426C"/>
    <w:rsid w:val="57CC0FC7"/>
    <w:rsid w:val="57CE1F93"/>
    <w:rsid w:val="57F776E5"/>
    <w:rsid w:val="588743D1"/>
    <w:rsid w:val="5887701A"/>
    <w:rsid w:val="58B64230"/>
    <w:rsid w:val="58EA0B39"/>
    <w:rsid w:val="592E1B60"/>
    <w:rsid w:val="59393920"/>
    <w:rsid w:val="59C0439F"/>
    <w:rsid w:val="5A6E0A5B"/>
    <w:rsid w:val="5ABE2233"/>
    <w:rsid w:val="5B367851"/>
    <w:rsid w:val="5BD963A8"/>
    <w:rsid w:val="5BDA0493"/>
    <w:rsid w:val="5BDF5D95"/>
    <w:rsid w:val="5BFB157E"/>
    <w:rsid w:val="5BFE7528"/>
    <w:rsid w:val="5C4A5D3F"/>
    <w:rsid w:val="5DBB74FB"/>
    <w:rsid w:val="5E021BE6"/>
    <w:rsid w:val="5E0B0534"/>
    <w:rsid w:val="5E2467F1"/>
    <w:rsid w:val="5EA467FA"/>
    <w:rsid w:val="5F1A2B43"/>
    <w:rsid w:val="5F621CB2"/>
    <w:rsid w:val="5FA0342E"/>
    <w:rsid w:val="5FB837BB"/>
    <w:rsid w:val="60B60908"/>
    <w:rsid w:val="60BF7BCC"/>
    <w:rsid w:val="60CC405A"/>
    <w:rsid w:val="61A678AA"/>
    <w:rsid w:val="61E215D8"/>
    <w:rsid w:val="62127F1E"/>
    <w:rsid w:val="621B3775"/>
    <w:rsid w:val="6230167B"/>
    <w:rsid w:val="62364782"/>
    <w:rsid w:val="629A3F7E"/>
    <w:rsid w:val="63847AD9"/>
    <w:rsid w:val="6394356A"/>
    <w:rsid w:val="639A5587"/>
    <w:rsid w:val="63C61B2C"/>
    <w:rsid w:val="63D40BE9"/>
    <w:rsid w:val="64102431"/>
    <w:rsid w:val="643F38C9"/>
    <w:rsid w:val="646A3423"/>
    <w:rsid w:val="646D0890"/>
    <w:rsid w:val="64A5243A"/>
    <w:rsid w:val="64F531DE"/>
    <w:rsid w:val="650B663A"/>
    <w:rsid w:val="65271557"/>
    <w:rsid w:val="65373578"/>
    <w:rsid w:val="663A5727"/>
    <w:rsid w:val="66954443"/>
    <w:rsid w:val="66AB2F9B"/>
    <w:rsid w:val="66C313BB"/>
    <w:rsid w:val="66E96DCF"/>
    <w:rsid w:val="671F124A"/>
    <w:rsid w:val="674D31B0"/>
    <w:rsid w:val="677A33C6"/>
    <w:rsid w:val="67AE6912"/>
    <w:rsid w:val="67CF0ABF"/>
    <w:rsid w:val="681F6961"/>
    <w:rsid w:val="684D2B48"/>
    <w:rsid w:val="68610A2F"/>
    <w:rsid w:val="68805514"/>
    <w:rsid w:val="68D253CF"/>
    <w:rsid w:val="691541FF"/>
    <w:rsid w:val="69316E2F"/>
    <w:rsid w:val="694E2071"/>
    <w:rsid w:val="69766163"/>
    <w:rsid w:val="697A3B33"/>
    <w:rsid w:val="69832E68"/>
    <w:rsid w:val="69853A16"/>
    <w:rsid w:val="69D44760"/>
    <w:rsid w:val="6A520EC7"/>
    <w:rsid w:val="6A7737B4"/>
    <w:rsid w:val="6AF87E20"/>
    <w:rsid w:val="6B322639"/>
    <w:rsid w:val="6C3759A0"/>
    <w:rsid w:val="6C636C38"/>
    <w:rsid w:val="6CBF0708"/>
    <w:rsid w:val="6D3C6797"/>
    <w:rsid w:val="6DB34098"/>
    <w:rsid w:val="6DB545B6"/>
    <w:rsid w:val="6DE02FB4"/>
    <w:rsid w:val="6E095596"/>
    <w:rsid w:val="6E2F3C06"/>
    <w:rsid w:val="6E514CED"/>
    <w:rsid w:val="6E6B4797"/>
    <w:rsid w:val="6EB563D5"/>
    <w:rsid w:val="6ED22CDD"/>
    <w:rsid w:val="6ED51589"/>
    <w:rsid w:val="6ED92677"/>
    <w:rsid w:val="6F225983"/>
    <w:rsid w:val="6FB92082"/>
    <w:rsid w:val="6FFC5590"/>
    <w:rsid w:val="706525CA"/>
    <w:rsid w:val="706D1DD0"/>
    <w:rsid w:val="70856B87"/>
    <w:rsid w:val="70D527EE"/>
    <w:rsid w:val="70E32352"/>
    <w:rsid w:val="70FE6E8B"/>
    <w:rsid w:val="71107D1F"/>
    <w:rsid w:val="715B5300"/>
    <w:rsid w:val="717C26B5"/>
    <w:rsid w:val="71D27F8A"/>
    <w:rsid w:val="71D80DD7"/>
    <w:rsid w:val="71E2790D"/>
    <w:rsid w:val="71F52906"/>
    <w:rsid w:val="720E5E21"/>
    <w:rsid w:val="7236233A"/>
    <w:rsid w:val="72553024"/>
    <w:rsid w:val="73122968"/>
    <w:rsid w:val="731F5D5E"/>
    <w:rsid w:val="733137DE"/>
    <w:rsid w:val="735B51CF"/>
    <w:rsid w:val="73C51AD5"/>
    <w:rsid w:val="74091617"/>
    <w:rsid w:val="740C6EC3"/>
    <w:rsid w:val="74147B26"/>
    <w:rsid w:val="741E793C"/>
    <w:rsid w:val="74373814"/>
    <w:rsid w:val="743D707D"/>
    <w:rsid w:val="745E3944"/>
    <w:rsid w:val="74E737F2"/>
    <w:rsid w:val="754725C9"/>
    <w:rsid w:val="75695D44"/>
    <w:rsid w:val="75B81A6F"/>
    <w:rsid w:val="7635099D"/>
    <w:rsid w:val="764F5EFD"/>
    <w:rsid w:val="76C401AC"/>
    <w:rsid w:val="774F55BA"/>
    <w:rsid w:val="77762421"/>
    <w:rsid w:val="77B56B1F"/>
    <w:rsid w:val="77DA2B29"/>
    <w:rsid w:val="77DE7D2F"/>
    <w:rsid w:val="780F09F4"/>
    <w:rsid w:val="78A90480"/>
    <w:rsid w:val="78AA763A"/>
    <w:rsid w:val="78C7159C"/>
    <w:rsid w:val="79502716"/>
    <w:rsid w:val="79DC026A"/>
    <w:rsid w:val="7A364017"/>
    <w:rsid w:val="7A71657B"/>
    <w:rsid w:val="7A8265E1"/>
    <w:rsid w:val="7AF04F34"/>
    <w:rsid w:val="7B256ABC"/>
    <w:rsid w:val="7B6736A6"/>
    <w:rsid w:val="7B686D42"/>
    <w:rsid w:val="7B841746"/>
    <w:rsid w:val="7BA15D4D"/>
    <w:rsid w:val="7BBF0CBF"/>
    <w:rsid w:val="7C6C5AC7"/>
    <w:rsid w:val="7CBF1CB4"/>
    <w:rsid w:val="7CC6544B"/>
    <w:rsid w:val="7CD723EE"/>
    <w:rsid w:val="7D0239FF"/>
    <w:rsid w:val="7D0F3580"/>
    <w:rsid w:val="7D437335"/>
    <w:rsid w:val="7D5E40CD"/>
    <w:rsid w:val="7D7362E5"/>
    <w:rsid w:val="7D830DB2"/>
    <w:rsid w:val="7DCD56F2"/>
    <w:rsid w:val="7E7E09BD"/>
    <w:rsid w:val="7F001CE7"/>
    <w:rsid w:val="7F1641A2"/>
    <w:rsid w:val="7F3A3CB7"/>
    <w:rsid w:val="7F6025E0"/>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ocked="1"/>
    <w:lsdException w:qFormat="1" w:unhideWhenUsed="0" w:uiPriority="35"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iPriority="0" w:semiHidden="0" w:name="Block Text" w:locked="1"/>
    <w:lsdException w:qFormat="1" w:uiPriority="99" w:semiHidden="0" w:name="Hyperlink" w:locked="1"/>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72"/>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semiHidden/>
    <w:unhideWhenUsed/>
    <w:qFormat/>
    <w:locked/>
    <w:uiPriority w:val="0"/>
    <w:pPr>
      <w:keepNext/>
      <w:keepLines/>
      <w:spacing w:before="260" w:after="260" w:line="416" w:lineRule="auto"/>
      <w:outlineLvl w:val="2"/>
    </w:pPr>
    <w:rPr>
      <w:b/>
      <w:bCs/>
      <w:sz w:val="32"/>
      <w:szCs w:val="32"/>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locked/>
    <w:uiPriority w:val="99"/>
    <w:pPr>
      <w:ind w:firstLine="420"/>
    </w:pPr>
    <w:rPr>
      <w:sz w:val="24"/>
      <w:szCs w:val="20"/>
    </w:rPr>
  </w:style>
  <w:style w:type="paragraph" w:styleId="6">
    <w:name w:val="caption"/>
    <w:basedOn w:val="1"/>
    <w:next w:val="1"/>
    <w:qFormat/>
    <w:locked/>
    <w:uiPriority w:val="35"/>
    <w:rPr>
      <w:rFonts w:ascii="Arial" w:hAnsi="Arial" w:eastAsia="黑体"/>
      <w:sz w:val="20"/>
    </w:rPr>
  </w:style>
  <w:style w:type="paragraph" w:styleId="7">
    <w:name w:val="annotation text"/>
    <w:basedOn w:val="1"/>
    <w:link w:val="45"/>
    <w:semiHidden/>
    <w:qFormat/>
    <w:uiPriority w:val="0"/>
    <w:pPr>
      <w:jc w:val="left"/>
    </w:pPr>
    <w:rPr>
      <w:kern w:val="0"/>
      <w:sz w:val="24"/>
      <w:szCs w:val="20"/>
    </w:rPr>
  </w:style>
  <w:style w:type="paragraph" w:styleId="8">
    <w:name w:val="Body Text"/>
    <w:basedOn w:val="1"/>
    <w:next w:val="1"/>
    <w:link w:val="44"/>
    <w:qFormat/>
    <w:uiPriority w:val="0"/>
    <w:pPr>
      <w:widowControl/>
      <w:snapToGrid w:val="0"/>
      <w:spacing w:before="60" w:after="160" w:line="259" w:lineRule="auto"/>
      <w:ind w:right="113"/>
    </w:pPr>
    <w:rPr>
      <w:kern w:val="0"/>
      <w:sz w:val="18"/>
      <w:szCs w:val="20"/>
    </w:rPr>
  </w:style>
  <w:style w:type="paragraph" w:styleId="9">
    <w:name w:val="Body Text Indent"/>
    <w:basedOn w:val="1"/>
    <w:next w:val="10"/>
    <w:link w:val="53"/>
    <w:qFormat/>
    <w:uiPriority w:val="0"/>
    <w:pPr>
      <w:spacing w:after="120"/>
      <w:ind w:left="420" w:leftChars="200"/>
    </w:pPr>
    <w:rPr>
      <w:kern w:val="0"/>
      <w:sz w:val="24"/>
      <w:szCs w:val="20"/>
    </w:rPr>
  </w:style>
  <w:style w:type="paragraph" w:styleId="10">
    <w:name w:val="header"/>
    <w:basedOn w:val="1"/>
    <w:next w:val="11"/>
    <w:link w:val="5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1">
    <w:name w:val="样式5"/>
    <w:basedOn w:val="12"/>
    <w:qFormat/>
    <w:uiPriority w:val="0"/>
    <w:rPr>
      <w:rFonts w:ascii="黑体" w:hAnsi="Times New Roman"/>
    </w:rPr>
  </w:style>
  <w:style w:type="paragraph" w:customStyle="1" w:styleId="12">
    <w:name w:val="样式3"/>
    <w:basedOn w:val="13"/>
    <w:qFormat/>
    <w:uiPriority w:val="0"/>
    <w:pPr>
      <w:snapToGrid w:val="0"/>
      <w:jc w:val="center"/>
    </w:pPr>
    <w:rPr>
      <w:rFonts w:hAnsi="黑体" w:eastAsia="黑体"/>
      <w:color w:val="000000"/>
    </w:rPr>
  </w:style>
  <w:style w:type="paragraph" w:styleId="13">
    <w:name w:val="List"/>
    <w:basedOn w:val="1"/>
    <w:qFormat/>
    <w:locked/>
    <w:uiPriority w:val="0"/>
    <w:pPr>
      <w:widowControl/>
      <w:spacing w:line="440" w:lineRule="exact"/>
      <w:ind w:left="200" w:hanging="200"/>
      <w:jc w:val="left"/>
    </w:pPr>
    <w:rPr>
      <w:kern w:val="0"/>
      <w:sz w:val="24"/>
      <w:szCs w:val="20"/>
    </w:rPr>
  </w:style>
  <w:style w:type="paragraph" w:styleId="14">
    <w:name w:val="Block Text"/>
    <w:basedOn w:val="1"/>
    <w:next w:val="1"/>
    <w:unhideWhenUsed/>
    <w:qFormat/>
    <w:locked/>
    <w:uiPriority w:val="0"/>
    <w:pPr>
      <w:spacing w:after="120" w:line="360" w:lineRule="auto"/>
      <w:ind w:left="1440" w:leftChars="700" w:right="1440" w:rightChars="700" w:firstLine="200" w:firstLineChars="200"/>
      <w:jc w:val="left"/>
    </w:pPr>
    <w:rPr>
      <w:sz w:val="24"/>
      <w:lang w:val="en-GB" w:eastAsia="zh-TW"/>
    </w:rPr>
  </w:style>
  <w:style w:type="paragraph" w:styleId="15">
    <w:name w:val="Plain Text"/>
    <w:basedOn w:val="1"/>
    <w:next w:val="1"/>
    <w:qFormat/>
    <w:locked/>
    <w:uiPriority w:val="0"/>
    <w:rPr>
      <w:rFonts w:ascii="宋体" w:hAnsi="Courier New" w:eastAsia="Times New Roman"/>
      <w:szCs w:val="20"/>
    </w:rPr>
  </w:style>
  <w:style w:type="paragraph" w:styleId="16">
    <w:name w:val="Date"/>
    <w:basedOn w:val="1"/>
    <w:next w:val="1"/>
    <w:link w:val="40"/>
    <w:qFormat/>
    <w:uiPriority w:val="0"/>
    <w:pPr>
      <w:ind w:left="100" w:leftChars="2500"/>
    </w:pPr>
    <w:rPr>
      <w:kern w:val="0"/>
      <w:sz w:val="24"/>
      <w:szCs w:val="20"/>
    </w:rPr>
  </w:style>
  <w:style w:type="paragraph" w:styleId="17">
    <w:name w:val="Body Text Indent 2"/>
    <w:basedOn w:val="1"/>
    <w:next w:val="1"/>
    <w:link w:val="74"/>
    <w:qFormat/>
    <w:locked/>
    <w:uiPriority w:val="0"/>
    <w:pPr>
      <w:spacing w:after="120" w:line="480" w:lineRule="auto"/>
      <w:ind w:left="420" w:leftChars="200"/>
    </w:pPr>
  </w:style>
  <w:style w:type="paragraph" w:styleId="18">
    <w:name w:val="Balloon Text"/>
    <w:basedOn w:val="1"/>
    <w:link w:val="49"/>
    <w:semiHidden/>
    <w:qFormat/>
    <w:uiPriority w:val="0"/>
    <w:rPr>
      <w:kern w:val="0"/>
      <w:sz w:val="18"/>
      <w:szCs w:val="20"/>
    </w:rPr>
  </w:style>
  <w:style w:type="paragraph" w:styleId="19">
    <w:name w:val="footer"/>
    <w:basedOn w:val="1"/>
    <w:link w:val="39"/>
    <w:qFormat/>
    <w:uiPriority w:val="99"/>
    <w:pPr>
      <w:tabs>
        <w:tab w:val="center" w:pos="4153"/>
        <w:tab w:val="right" w:pos="8306"/>
      </w:tabs>
      <w:snapToGrid w:val="0"/>
      <w:jc w:val="left"/>
    </w:pPr>
    <w:rPr>
      <w:kern w:val="0"/>
      <w:sz w:val="18"/>
      <w:szCs w:val="20"/>
    </w:rPr>
  </w:style>
  <w:style w:type="paragraph" w:styleId="20">
    <w:name w:val="index heading"/>
    <w:basedOn w:val="1"/>
    <w:next w:val="21"/>
    <w:semiHidden/>
    <w:qFormat/>
    <w:locked/>
    <w:uiPriority w:val="0"/>
    <w:rPr>
      <w:rFonts w:ascii="Arial" w:hAnsi="Arial" w:cs="Arial"/>
      <w:b/>
      <w:bCs/>
    </w:rPr>
  </w:style>
  <w:style w:type="paragraph" w:styleId="21">
    <w:name w:val="index 1"/>
    <w:basedOn w:val="1"/>
    <w:next w:val="1"/>
    <w:qFormat/>
    <w:locked/>
    <w:uiPriority w:val="0"/>
    <w:rPr>
      <w:b/>
      <w:spacing w:val="-6"/>
      <w:sz w:val="28"/>
      <w:szCs w:val="28"/>
    </w:rPr>
  </w:style>
  <w:style w:type="paragraph" w:styleId="22">
    <w:name w:val="table of figures"/>
    <w:basedOn w:val="1"/>
    <w:next w:val="1"/>
    <w:qFormat/>
    <w:locked/>
    <w:uiPriority w:val="0"/>
    <w:pPr>
      <w:ind w:left="200" w:leftChars="200" w:hanging="200" w:hangingChars="200"/>
    </w:pPr>
    <w:rPr>
      <w:rFonts w:ascii="Calibri" w:hAnsi="Calibri"/>
    </w:rPr>
  </w:style>
  <w:style w:type="paragraph" w:styleId="23">
    <w:name w:val="Body Text 2"/>
    <w:basedOn w:val="1"/>
    <w:qFormat/>
    <w:locked/>
    <w:uiPriority w:val="0"/>
    <w:pPr>
      <w:spacing w:after="120" w:line="480" w:lineRule="auto"/>
    </w:pPr>
  </w:style>
  <w:style w:type="paragraph" w:styleId="24">
    <w:name w:val="Normal (Web)"/>
    <w:basedOn w:val="1"/>
    <w:link w:val="42"/>
    <w:qFormat/>
    <w:uiPriority w:val="99"/>
    <w:pPr>
      <w:widowControl/>
      <w:spacing w:before="100" w:beforeAutospacing="1" w:after="100" w:afterAutospacing="1"/>
      <w:jc w:val="left"/>
    </w:pPr>
    <w:rPr>
      <w:rFonts w:ascii="宋体" w:hAnsi="宋体"/>
      <w:kern w:val="0"/>
      <w:sz w:val="24"/>
      <w:szCs w:val="20"/>
    </w:rPr>
  </w:style>
  <w:style w:type="paragraph" w:styleId="25">
    <w:name w:val="annotation subject"/>
    <w:basedOn w:val="7"/>
    <w:next w:val="7"/>
    <w:link w:val="50"/>
    <w:semiHidden/>
    <w:qFormat/>
    <w:uiPriority w:val="0"/>
    <w:rPr>
      <w:b/>
    </w:rPr>
  </w:style>
  <w:style w:type="paragraph" w:styleId="26">
    <w:name w:val="Body Text First Indent"/>
    <w:basedOn w:val="8"/>
    <w:qFormat/>
    <w:locked/>
    <w:uiPriority w:val="0"/>
    <w:pPr>
      <w:topLinePunct/>
      <w:adjustRightInd w:val="0"/>
      <w:snapToGrid w:val="0"/>
      <w:spacing w:line="360" w:lineRule="auto"/>
      <w:ind w:firstLine="560" w:firstLineChars="200"/>
    </w:pPr>
    <w:rPr>
      <w:rFonts w:ascii="仿宋_GB2312" w:eastAsia="方正仿宋简体"/>
      <w:sz w:val="28"/>
    </w:rPr>
  </w:style>
  <w:style w:type="paragraph" w:styleId="27">
    <w:name w:val="Body Text First Indent 2"/>
    <w:basedOn w:val="1"/>
    <w:next w:val="1"/>
    <w:link w:val="56"/>
    <w:qFormat/>
    <w:locked/>
    <w:uiPriority w:val="0"/>
    <w:pPr>
      <w:ind w:firstLine="420" w:firstLineChars="200"/>
    </w:pPr>
    <w:rPr>
      <w:kern w:val="2"/>
      <w:sz w:val="21"/>
      <w:szCs w:val="24"/>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locked/>
    <w:uiPriority w:val="22"/>
    <w:rPr>
      <w:rFonts w:ascii="Times New Roman" w:hAnsi="Times New Roman" w:eastAsia="宋体"/>
      <w:bCs/>
      <w:sz w:val="24"/>
    </w:rPr>
  </w:style>
  <w:style w:type="character" w:styleId="32">
    <w:name w:val="page number"/>
    <w:basedOn w:val="30"/>
    <w:qFormat/>
    <w:locked/>
    <w:uiPriority w:val="0"/>
  </w:style>
  <w:style w:type="character" w:styleId="33">
    <w:name w:val="Hyperlink"/>
    <w:basedOn w:val="30"/>
    <w:unhideWhenUsed/>
    <w:qFormat/>
    <w:locked/>
    <w:uiPriority w:val="99"/>
    <w:rPr>
      <w:color w:val="0563C1" w:themeColor="hyperlink"/>
      <w:u w:val="single"/>
      <w14:textFill>
        <w14:solidFill>
          <w14:schemeClr w14:val="hlink"/>
        </w14:solidFill>
      </w14:textFill>
    </w:rPr>
  </w:style>
  <w:style w:type="character" w:styleId="34">
    <w:name w:val="annotation reference"/>
    <w:semiHidden/>
    <w:qFormat/>
    <w:uiPriority w:val="0"/>
    <w:rPr>
      <w:sz w:val="21"/>
    </w:rPr>
  </w:style>
  <w:style w:type="paragraph" w:customStyle="1" w:styleId="35">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Default"/>
    <w:basedOn w:val="3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纯文本1"/>
    <w:basedOn w:val="1"/>
    <w:qFormat/>
    <w:uiPriority w:val="99"/>
    <w:pPr>
      <w:autoSpaceDE w:val="0"/>
      <w:autoSpaceDN w:val="0"/>
      <w:adjustRightInd w:val="0"/>
      <w:textAlignment w:val="baseline"/>
    </w:pPr>
    <w:rPr>
      <w:rFonts w:ascii="宋体"/>
      <w:szCs w:val="20"/>
    </w:rPr>
  </w:style>
  <w:style w:type="paragraph" w:customStyle="1" w:styleId="38">
    <w:name w:val="样式1"/>
    <w:basedOn w:val="20"/>
    <w:next w:val="14"/>
    <w:qFormat/>
    <w:uiPriority w:val="0"/>
    <w:pPr>
      <w:ind w:firstLine="462" w:firstLineChars="200"/>
    </w:pPr>
    <w:rPr>
      <w:rFonts w:ascii="宋体" w:hAnsi="宋体"/>
      <w:color w:val="000000"/>
      <w:sz w:val="24"/>
      <w:szCs w:val="24"/>
    </w:rPr>
  </w:style>
  <w:style w:type="character" w:customStyle="1" w:styleId="39">
    <w:name w:val="页脚 字符1"/>
    <w:link w:val="19"/>
    <w:qFormat/>
    <w:locked/>
    <w:uiPriority w:val="99"/>
    <w:rPr>
      <w:sz w:val="18"/>
    </w:rPr>
  </w:style>
  <w:style w:type="character" w:customStyle="1" w:styleId="40">
    <w:name w:val="日期 字符1"/>
    <w:link w:val="16"/>
    <w:qFormat/>
    <w:locked/>
    <w:uiPriority w:val="0"/>
    <w:rPr>
      <w:rFonts w:ascii="Times New Roman" w:hAnsi="Times New Roman" w:eastAsia="宋体"/>
      <w:sz w:val="24"/>
    </w:rPr>
  </w:style>
  <w:style w:type="character" w:customStyle="1" w:styleId="41">
    <w:name w:val="页脚 字符"/>
    <w:basedOn w:val="30"/>
    <w:qFormat/>
    <w:uiPriority w:val="99"/>
  </w:style>
  <w:style w:type="character" w:customStyle="1" w:styleId="42">
    <w:name w:val="普通(网站) 字符"/>
    <w:link w:val="24"/>
    <w:qFormat/>
    <w:locked/>
    <w:uiPriority w:val="99"/>
    <w:rPr>
      <w:rFonts w:ascii="宋体" w:hAnsi="宋体" w:eastAsia="宋体"/>
      <w:sz w:val="24"/>
    </w:rPr>
  </w:style>
  <w:style w:type="character" w:customStyle="1" w:styleId="43">
    <w:name w:val="正文文本 字符1"/>
    <w:semiHidden/>
    <w:qFormat/>
    <w:uiPriority w:val="0"/>
    <w:rPr>
      <w:rFonts w:ascii="Times New Roman" w:hAnsi="Times New Roman" w:eastAsia="宋体"/>
      <w:sz w:val="24"/>
    </w:rPr>
  </w:style>
  <w:style w:type="character" w:customStyle="1" w:styleId="44">
    <w:name w:val="正文文本 字符"/>
    <w:link w:val="8"/>
    <w:qFormat/>
    <w:locked/>
    <w:uiPriority w:val="0"/>
    <w:rPr>
      <w:sz w:val="18"/>
    </w:rPr>
  </w:style>
  <w:style w:type="character" w:customStyle="1" w:styleId="45">
    <w:name w:val="批注文字 字符"/>
    <w:link w:val="7"/>
    <w:qFormat/>
    <w:locked/>
    <w:uiPriority w:val="0"/>
    <w:rPr>
      <w:rFonts w:ascii="Times New Roman" w:hAnsi="Times New Roman" w:eastAsia="宋体"/>
      <w:sz w:val="24"/>
    </w:rPr>
  </w:style>
  <w:style w:type="character" w:customStyle="1" w:styleId="46">
    <w:name w:val="表格 Char"/>
    <w:link w:val="47"/>
    <w:qFormat/>
    <w:locked/>
    <w:uiPriority w:val="0"/>
    <w:rPr>
      <w:rFonts w:ascii="宋体"/>
      <w:sz w:val="21"/>
    </w:rPr>
  </w:style>
  <w:style w:type="paragraph" w:customStyle="1" w:styleId="47">
    <w:name w:val="表格"/>
    <w:basedOn w:val="1"/>
    <w:next w:val="1"/>
    <w:link w:val="46"/>
    <w:qFormat/>
    <w:uiPriority w:val="0"/>
    <w:pPr>
      <w:adjustRightInd w:val="0"/>
      <w:snapToGrid w:val="0"/>
      <w:spacing w:beforeLines="10" w:afterLines="10" w:line="259" w:lineRule="auto"/>
      <w:jc w:val="center"/>
    </w:pPr>
    <w:rPr>
      <w:rFonts w:ascii="宋体"/>
      <w:kern w:val="0"/>
      <w:szCs w:val="20"/>
    </w:rPr>
  </w:style>
  <w:style w:type="character" w:customStyle="1" w:styleId="48">
    <w:name w:val="日期 字符"/>
    <w:semiHidden/>
    <w:qFormat/>
    <w:uiPriority w:val="0"/>
    <w:rPr>
      <w:rFonts w:ascii="Times New Roman" w:hAnsi="Times New Roman" w:eastAsia="宋体"/>
      <w:sz w:val="24"/>
    </w:rPr>
  </w:style>
  <w:style w:type="character" w:customStyle="1" w:styleId="49">
    <w:name w:val="批注框文本 字符"/>
    <w:link w:val="18"/>
    <w:semiHidden/>
    <w:qFormat/>
    <w:locked/>
    <w:uiPriority w:val="0"/>
    <w:rPr>
      <w:rFonts w:ascii="Times New Roman" w:hAnsi="Times New Roman" w:eastAsia="宋体"/>
      <w:sz w:val="18"/>
    </w:rPr>
  </w:style>
  <w:style w:type="character" w:customStyle="1" w:styleId="50">
    <w:name w:val="批注主题 字符"/>
    <w:link w:val="25"/>
    <w:semiHidden/>
    <w:qFormat/>
    <w:locked/>
    <w:uiPriority w:val="0"/>
    <w:rPr>
      <w:rFonts w:ascii="Times New Roman" w:hAnsi="Times New Roman" w:eastAsia="宋体"/>
      <w:b/>
      <w:kern w:val="2"/>
      <w:sz w:val="24"/>
    </w:rPr>
  </w:style>
  <w:style w:type="character" w:customStyle="1" w:styleId="51">
    <w:name w:val="页眉 字符"/>
    <w:link w:val="10"/>
    <w:qFormat/>
    <w:locked/>
    <w:uiPriority w:val="0"/>
    <w:rPr>
      <w:sz w:val="18"/>
    </w:rPr>
  </w:style>
  <w:style w:type="character" w:customStyle="1" w:styleId="52">
    <w:name w:val="批注文字 字符1"/>
    <w:semiHidden/>
    <w:qFormat/>
    <w:uiPriority w:val="0"/>
    <w:rPr>
      <w:rFonts w:ascii="Times New Roman" w:hAnsi="Times New Roman" w:eastAsia="宋体"/>
      <w:sz w:val="24"/>
    </w:rPr>
  </w:style>
  <w:style w:type="character" w:customStyle="1" w:styleId="53">
    <w:name w:val="正文文本缩进 字符"/>
    <w:link w:val="9"/>
    <w:semiHidden/>
    <w:qFormat/>
    <w:locked/>
    <w:uiPriority w:val="0"/>
    <w:rPr>
      <w:rFonts w:ascii="Times New Roman" w:hAnsi="Times New Roman" w:eastAsia="宋体"/>
      <w:sz w:val="24"/>
    </w:rPr>
  </w:style>
  <w:style w:type="paragraph" w:customStyle="1" w:styleId="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6">
    <w:name w:val="正文首行缩进 2 字符"/>
    <w:link w:val="27"/>
    <w:qFormat/>
    <w:uiPriority w:val="0"/>
    <w:rPr>
      <w:rFonts w:ascii="Times New Roman" w:hAnsi="Times New Roman" w:eastAsia="宋体"/>
      <w:kern w:val="2"/>
      <w:sz w:val="21"/>
      <w:szCs w:val="24"/>
    </w:rPr>
  </w:style>
  <w:style w:type="paragraph" w:styleId="57">
    <w:name w:val="List Paragraph"/>
    <w:basedOn w:val="1"/>
    <w:qFormat/>
    <w:uiPriority w:val="99"/>
    <w:pPr>
      <w:autoSpaceDE w:val="0"/>
      <w:autoSpaceDN w:val="0"/>
      <w:ind w:left="1220" w:hanging="601"/>
      <w:jc w:val="left"/>
    </w:pPr>
    <w:rPr>
      <w:rFonts w:ascii="宋体" w:hAnsi="宋体" w:cs="宋体"/>
      <w:kern w:val="0"/>
      <w:sz w:val="22"/>
      <w:szCs w:val="22"/>
      <w:lang w:eastAsia="en-US"/>
    </w:rPr>
  </w:style>
  <w:style w:type="paragraph" w:customStyle="1" w:styleId="58">
    <w:name w:val="默认段落字体 Para Char Char Char Char Char Char Char Char Char Char"/>
    <w:basedOn w:val="4"/>
    <w:qFormat/>
    <w:uiPriority w:val="0"/>
    <w:pPr>
      <w:tabs>
        <w:tab w:val="left" w:pos="360"/>
        <w:tab w:val="left" w:pos="900"/>
      </w:tabs>
      <w:snapToGrid w:val="0"/>
      <w:spacing w:before="120" w:after="120" w:line="360" w:lineRule="auto"/>
      <w:ind w:left="542" w:leftChars="-12" w:firstLine="200" w:firstLineChars="200"/>
      <w:jc w:val="left"/>
    </w:pPr>
    <w:rPr>
      <w:rFonts w:ascii="宋体" w:eastAsia="黑体"/>
      <w:b w:val="0"/>
      <w:bCs w:val="0"/>
      <w:kern w:val="0"/>
      <w:sz w:val="24"/>
      <w:szCs w:val="20"/>
    </w:rPr>
  </w:style>
  <w:style w:type="character" w:customStyle="1" w:styleId="59">
    <w:name w:val="标题 3 字符"/>
    <w:link w:val="4"/>
    <w:semiHidden/>
    <w:qFormat/>
    <w:uiPriority w:val="0"/>
    <w:rPr>
      <w:b/>
      <w:bCs/>
      <w:kern w:val="2"/>
      <w:sz w:val="32"/>
      <w:szCs w:val="32"/>
    </w:rPr>
  </w:style>
  <w:style w:type="character" w:customStyle="1" w:styleId="60">
    <w:name w:val="图表题 Char Char"/>
    <w:link w:val="61"/>
    <w:qFormat/>
    <w:locked/>
    <w:uiPriority w:val="99"/>
    <w:rPr>
      <w:rFonts w:eastAsia="黑体"/>
      <w:kern w:val="2"/>
      <w:sz w:val="24"/>
    </w:rPr>
  </w:style>
  <w:style w:type="paragraph" w:customStyle="1" w:styleId="61">
    <w:name w:val="图表题"/>
    <w:basedOn w:val="1"/>
    <w:next w:val="1"/>
    <w:link w:val="60"/>
    <w:qFormat/>
    <w:uiPriority w:val="99"/>
    <w:pPr>
      <w:adjustRightInd w:val="0"/>
      <w:snapToGrid w:val="0"/>
      <w:spacing w:line="360" w:lineRule="auto"/>
      <w:jc w:val="center"/>
    </w:pPr>
    <w:rPr>
      <w:rFonts w:eastAsia="黑体"/>
      <w:sz w:val="24"/>
      <w:szCs w:val="20"/>
    </w:rPr>
  </w:style>
  <w:style w:type="character" w:customStyle="1" w:styleId="62">
    <w:name w:val="【正文】 Char"/>
    <w:link w:val="63"/>
    <w:qFormat/>
    <w:uiPriority w:val="0"/>
    <w:rPr>
      <w:rFonts w:cs="宋体"/>
      <w:sz w:val="24"/>
    </w:rPr>
  </w:style>
  <w:style w:type="paragraph" w:customStyle="1" w:styleId="63">
    <w:name w:val="【正文】"/>
    <w:basedOn w:val="1"/>
    <w:link w:val="62"/>
    <w:qFormat/>
    <w:uiPriority w:val="0"/>
    <w:pPr>
      <w:spacing w:line="440" w:lineRule="exact"/>
      <w:ind w:firstLine="544" w:firstLineChars="200"/>
    </w:pPr>
    <w:rPr>
      <w:rFonts w:cs="宋体"/>
      <w:kern w:val="0"/>
      <w:sz w:val="24"/>
      <w:szCs w:val="20"/>
    </w:rPr>
  </w:style>
  <w:style w:type="paragraph" w:customStyle="1" w:styleId="64">
    <w:name w:val="图表标题"/>
    <w:basedOn w:val="1"/>
    <w:next w:val="1"/>
    <w:qFormat/>
    <w:uiPriority w:val="0"/>
    <w:pPr>
      <w:autoSpaceDE w:val="0"/>
      <w:autoSpaceDN w:val="0"/>
      <w:adjustRightInd w:val="0"/>
      <w:snapToGrid w:val="0"/>
      <w:spacing w:line="360" w:lineRule="auto"/>
      <w:jc w:val="center"/>
    </w:pPr>
    <w:rPr>
      <w:rFonts w:ascii="Times New Roman" w:hAnsi="Times New Roman" w:eastAsia="宋体"/>
      <w:b/>
      <w:kern w:val="0"/>
      <w:sz w:val="21"/>
      <w:szCs w:val="20"/>
    </w:rPr>
  </w:style>
  <w:style w:type="paragraph" w:customStyle="1" w:styleId="65">
    <w:name w:val="图表文字"/>
    <w:basedOn w:val="8"/>
    <w:next w:val="66"/>
    <w:qFormat/>
    <w:uiPriority w:val="0"/>
    <w:pPr>
      <w:widowControl w:val="0"/>
      <w:snapToGrid/>
      <w:spacing w:before="0" w:after="0" w:line="240" w:lineRule="auto"/>
      <w:ind w:right="0"/>
      <w:jc w:val="center"/>
    </w:pPr>
    <w:rPr>
      <w:rFonts w:eastAsiaTheme="minorEastAsia" w:cstheme="minorBidi"/>
      <w:snapToGrid w:val="0"/>
      <w:kern w:val="2"/>
      <w:sz w:val="21"/>
      <w:szCs w:val="24"/>
    </w:rPr>
  </w:style>
  <w:style w:type="paragraph" w:customStyle="1" w:styleId="66">
    <w:name w:val="0正文"/>
    <w:basedOn w:val="1"/>
    <w:qFormat/>
    <w:uiPriority w:val="0"/>
    <w:pPr>
      <w:spacing w:line="360" w:lineRule="auto"/>
      <w:ind w:firstLine="480" w:firstLineChars="200"/>
    </w:pPr>
    <w:rPr>
      <w:rFonts w:eastAsia="Times New Roman"/>
      <w:color w:val="0000FF"/>
      <w:kern w:val="0"/>
      <w:sz w:val="24"/>
    </w:rPr>
  </w:style>
  <w:style w:type="character" w:customStyle="1" w:styleId="67">
    <w:name w:val="fontstyle01"/>
    <w:qFormat/>
    <w:uiPriority w:val="99"/>
    <w:rPr>
      <w:rFonts w:ascii="宋体" w:hAnsi="宋体" w:eastAsia="宋体"/>
      <w:color w:val="000000"/>
      <w:sz w:val="24"/>
    </w:rPr>
  </w:style>
  <w:style w:type="table" w:customStyle="1" w:styleId="6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70">
    <w:name w:val="正文_14"/>
    <w:qFormat/>
    <w:uiPriority w:val="0"/>
    <w:pPr>
      <w:widowControl w:val="0"/>
      <w:jc w:val="both"/>
    </w:pPr>
    <w:rPr>
      <w:rFonts w:ascii="Calibri" w:hAnsi="Calibri" w:eastAsia="宋体" w:cs="Times New Roman"/>
      <w:kern w:val="2"/>
      <w:sz w:val="21"/>
      <w:lang w:val="en-US" w:eastAsia="zh-CN" w:bidi="ar-SA"/>
    </w:rPr>
  </w:style>
  <w:style w:type="paragraph" w:customStyle="1" w:styleId="71">
    <w:name w:val="正文_15"/>
    <w:qFormat/>
    <w:uiPriority w:val="0"/>
    <w:pPr>
      <w:widowControl w:val="0"/>
      <w:jc w:val="both"/>
    </w:pPr>
    <w:rPr>
      <w:rFonts w:ascii="Calibri" w:hAnsi="Calibri" w:eastAsia="宋体" w:cs="Times New Roman"/>
      <w:kern w:val="2"/>
      <w:sz w:val="21"/>
      <w:lang w:val="en-US" w:eastAsia="zh-CN" w:bidi="ar-SA"/>
    </w:rPr>
  </w:style>
  <w:style w:type="character" w:customStyle="1" w:styleId="72">
    <w:name w:val="标题 2 字符"/>
    <w:basedOn w:val="30"/>
    <w:link w:val="3"/>
    <w:qFormat/>
    <w:uiPriority w:val="0"/>
    <w:rPr>
      <w:rFonts w:asciiTheme="majorHAnsi" w:hAnsiTheme="majorHAnsi" w:eastAsiaTheme="majorEastAsia" w:cstheme="majorBidi"/>
      <w:b/>
      <w:bCs/>
      <w:kern w:val="2"/>
      <w:sz w:val="32"/>
      <w:szCs w:val="32"/>
    </w:rPr>
  </w:style>
  <w:style w:type="table" w:customStyle="1" w:styleId="73">
    <w:name w:val="灰度表格12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4">
    <w:name w:val="正文文本缩进 2 字符"/>
    <w:basedOn w:val="30"/>
    <w:link w:val="17"/>
    <w:qFormat/>
    <w:uiPriority w:val="0"/>
    <w:rPr>
      <w:kern w:val="2"/>
      <w:sz w:val="21"/>
      <w:szCs w:val="24"/>
    </w:rPr>
  </w:style>
  <w:style w:type="paragraph" w:customStyle="1" w:styleId="75">
    <w:name w:val="样式 正文 行距: 固定值 25 磅"/>
    <w:qFormat/>
    <w:uiPriority w:val="0"/>
    <w:pPr>
      <w:widowControl w:val="0"/>
      <w:adjustRightInd w:val="0"/>
      <w:spacing w:line="500" w:lineRule="exact"/>
      <w:ind w:firstLine="200" w:firstLineChars="200"/>
      <w:jc w:val="both"/>
    </w:pPr>
    <w:rPr>
      <w:rFonts w:ascii="Times New Roman" w:hAnsi="Times New Roman" w:eastAsia="宋体" w:cs="宋体"/>
      <w:kern w:val="2"/>
      <w:sz w:val="24"/>
      <w:szCs w:val="24"/>
      <w:lang w:val="en-US" w:eastAsia="zh-CN" w:bidi="ar-SA"/>
    </w:rPr>
  </w:style>
  <w:style w:type="paragraph" w:customStyle="1" w:styleId="76">
    <w:name w:val="正文  首行缩进:  2 字符"/>
    <w:qFormat/>
    <w:uiPriority w:val="0"/>
    <w:pPr>
      <w:spacing w:line="480" w:lineRule="exact"/>
      <w:ind w:firstLine="560"/>
    </w:pPr>
    <w:rPr>
      <w:rFonts w:ascii="Times New Roman" w:hAnsi="Times New Roman" w:eastAsia="宋体" w:cs="宋体"/>
      <w:lang w:val="en-US" w:eastAsia="zh-CN" w:bidi="ar-SA"/>
    </w:rPr>
  </w:style>
  <w:style w:type="paragraph" w:customStyle="1" w:styleId="77">
    <w:name w:val="D表内1磅"/>
    <w:basedOn w:val="1"/>
    <w:qFormat/>
    <w:uiPriority w:val="0"/>
    <w:pPr>
      <w:spacing w:before="20" w:after="20"/>
      <w:jc w:val="center"/>
    </w:pPr>
    <w:rPr>
      <w:szCs w:val="21"/>
    </w:rPr>
  </w:style>
  <w:style w:type="paragraph" w:customStyle="1" w:styleId="78">
    <w:name w:val="00000表文字"/>
    <w:basedOn w:val="1"/>
    <w:next w:val="1"/>
    <w:qFormat/>
    <w:uiPriority w:val="0"/>
    <w:pPr>
      <w:adjustRightInd w:val="0"/>
      <w:snapToGrid w:val="0"/>
      <w:spacing w:line="0" w:lineRule="atLeast"/>
      <w:jc w:val="center"/>
    </w:pPr>
    <w:rPr>
      <w:color w:val="000000"/>
      <w:szCs w:val="21"/>
    </w:rPr>
  </w:style>
  <w:style w:type="paragraph" w:customStyle="1" w:styleId="79">
    <w:name w:val="无间隔1"/>
    <w:basedOn w:val="8"/>
    <w:next w:val="8"/>
    <w:qFormat/>
    <w:uiPriority w:val="1"/>
    <w:pPr>
      <w:widowControl w:val="0"/>
      <w:adjustRightInd w:val="0"/>
      <w:spacing w:before="0" w:after="0" w:line="360" w:lineRule="exact"/>
      <w:ind w:right="0"/>
      <w:jc w:val="center"/>
    </w:pPr>
    <w:rPr>
      <w:rFonts w:eastAsia="黑体"/>
      <w:kern w:val="2"/>
      <w:sz w:val="21"/>
    </w:rPr>
  </w:style>
  <w:style w:type="paragraph" w:customStyle="1" w:styleId="80">
    <w:name w:val="表格文字"/>
    <w:basedOn w:val="15"/>
    <w:qFormat/>
    <w:uiPriority w:val="0"/>
    <w:pPr>
      <w:widowControl w:val="0"/>
      <w:tabs>
        <w:tab w:val="center" w:pos="1053"/>
      </w:tabs>
      <w:spacing w:before="0" w:after="120" w:line="360" w:lineRule="exact"/>
      <w:ind w:right="0"/>
      <w:jc w:val="center"/>
    </w:pPr>
    <w:rPr>
      <w:rFonts w:ascii="宋体" w:hAnsi="宋体"/>
      <w:kern w:val="21"/>
      <w:sz w:val="21"/>
      <w:szCs w:val="21"/>
      <w:u w:color="000000"/>
    </w:rPr>
  </w:style>
  <w:style w:type="paragraph" w:customStyle="1" w:styleId="81">
    <w:name w:val="报告表格"/>
    <w:basedOn w:val="1"/>
    <w:qFormat/>
    <w:uiPriority w:val="0"/>
    <w:pPr>
      <w:autoSpaceDE w:val="0"/>
      <w:autoSpaceDN w:val="0"/>
      <w:adjustRightInd w:val="0"/>
      <w:spacing w:before="40" w:after="40"/>
      <w:ind w:firstLine="200" w:firstLineChars="200"/>
      <w:jc w:val="center"/>
      <w:textAlignment w:val="bottom"/>
    </w:pPr>
    <w:rPr>
      <w:kern w:val="0"/>
      <w:szCs w:val="20"/>
      <w:lang w:val="en-GB" w:eastAsia="zh-TW"/>
    </w:rPr>
  </w:style>
  <w:style w:type="paragraph" w:customStyle="1" w:styleId="82">
    <w:name w:val="22222"/>
    <w:basedOn w:val="1"/>
    <w:qFormat/>
    <w:uiPriority w:val="0"/>
    <w:pPr>
      <w:spacing w:line="480" w:lineRule="exact"/>
      <w:ind w:firstLine="480" w:firstLineChars="200"/>
    </w:pPr>
    <w:rPr>
      <w:rFonts w:hAnsi="宋体"/>
      <w:sz w:val="24"/>
    </w:rPr>
  </w:style>
  <w:style w:type="paragraph" w:customStyle="1" w:styleId="83">
    <w:name w:val="表标题"/>
    <w:basedOn w:val="1"/>
    <w:qFormat/>
    <w:uiPriority w:val="0"/>
    <w:pPr>
      <w:widowControl/>
      <w:snapToGrid w:val="0"/>
      <w:spacing w:before="120" w:afterLines="50" w:line="240" w:lineRule="auto"/>
      <w:ind w:firstLine="482" w:firstLineChars="0"/>
      <w:jc w:val="center"/>
    </w:pPr>
    <w:rPr>
      <w:rFonts w:ascii="黑体" w:hAnsi="Gloucester MT Extra Condensed" w:eastAsia="黑体"/>
      <w:bCs/>
      <w:szCs w:val="21"/>
    </w:rPr>
  </w:style>
  <w:style w:type="paragraph" w:customStyle="1" w:styleId="84">
    <w:name w:val="图标标题"/>
    <w:basedOn w:val="1"/>
    <w:qFormat/>
    <w:uiPriority w:val="0"/>
    <w:pPr>
      <w:spacing w:line="240" w:lineRule="auto"/>
      <w:ind w:firstLine="0" w:firstLineChars="0"/>
      <w:jc w:val="center"/>
    </w:pPr>
    <w:rPr>
      <w:rFonts w:ascii="Times New Roman" w:hAnsi="Times New Roman" w:eastAsia="宋体"/>
      <w:b/>
      <w:szCs w:val="21"/>
    </w:rPr>
  </w:style>
  <w:style w:type="paragraph" w:customStyle="1" w:styleId="85">
    <w:name w:val="表格文字（内）"/>
    <w:basedOn w:val="1"/>
    <w:qFormat/>
    <w:uiPriority w:val="0"/>
    <w:pPr>
      <w:adjustRightInd w:val="0"/>
      <w:snapToGrid w:val="0"/>
      <w:spacing w:line="240" w:lineRule="auto"/>
      <w:ind w:firstLine="0" w:firstLineChars="0"/>
      <w:jc w:val="center"/>
    </w:pPr>
    <w:rPr>
      <w:snapToGrid w:val="0"/>
      <w:sz w:val="21"/>
      <w:szCs w:val="21"/>
    </w:rPr>
  </w:style>
  <w:style w:type="paragraph" w:customStyle="1" w:styleId="86">
    <w:name w:val="环评表格文字（内）"/>
    <w:basedOn w:val="87"/>
    <w:qFormat/>
    <w:uiPriority w:val="0"/>
    <w:rPr>
      <w:snapToGrid w:val="0"/>
      <w:sz w:val="21"/>
    </w:rPr>
  </w:style>
  <w:style w:type="paragraph" w:customStyle="1" w:styleId="87">
    <w:name w:val="环评表格文字（外）"/>
    <w:basedOn w:val="1"/>
    <w:qFormat/>
    <w:uiPriority w:val="0"/>
    <w:pPr>
      <w:adjustRightInd w:val="0"/>
      <w:snapToGrid w:val="0"/>
      <w:spacing w:line="240" w:lineRule="auto"/>
      <w:ind w:firstLine="0" w:firstLineChars="0"/>
      <w:jc w:val="center"/>
    </w:pPr>
    <w:rPr>
      <w:szCs w:val="21"/>
    </w:rPr>
  </w:style>
  <w:style w:type="paragraph" w:customStyle="1" w:styleId="88">
    <w:name w:val="中等深浅网格 21"/>
    <w:basedOn w:val="1"/>
    <w:next w:val="1"/>
    <w:qFormat/>
    <w:uiPriority w:val="0"/>
    <w:pPr>
      <w:jc w:val="center"/>
    </w:pPr>
    <w:rPr>
      <w:szCs w:val="22"/>
    </w:rPr>
  </w:style>
  <w:style w:type="paragraph" w:customStyle="1" w:styleId="89">
    <w:name w:val="列出段落"/>
    <w:basedOn w:val="1"/>
    <w:qFormat/>
    <w:uiPriority w:val="0"/>
    <w:pPr>
      <w:ind w:firstLine="420" w:firstLineChars="200"/>
    </w:pPr>
    <w:rPr>
      <w:rFonts w:ascii="Calibri" w:hAnsi="Calibri"/>
      <w:szCs w:val="22"/>
    </w:rPr>
  </w:style>
  <w:style w:type="character" w:customStyle="1" w:styleId="90">
    <w:name w:val="font31"/>
    <w:basedOn w:val="30"/>
    <w:qFormat/>
    <w:uiPriority w:val="0"/>
    <w:rPr>
      <w:rFonts w:hint="eastAsia" w:ascii="宋体" w:hAnsi="宋体" w:eastAsia="宋体" w:cs="宋体"/>
      <w:color w:val="000000"/>
      <w:sz w:val="28"/>
      <w:szCs w:val="28"/>
      <w:u w:val="none"/>
    </w:rPr>
  </w:style>
  <w:style w:type="character" w:customStyle="1" w:styleId="91">
    <w:name w:val="font11"/>
    <w:basedOn w:val="30"/>
    <w:qFormat/>
    <w:uiPriority w:val="0"/>
    <w:rPr>
      <w:rFonts w:hint="default" w:ascii="Times New Roman" w:hAnsi="Times New Roman" w:cs="Times New Roman"/>
      <w:color w:val="000000"/>
      <w:sz w:val="28"/>
      <w:szCs w:val="28"/>
      <w:u w:val="none"/>
    </w:rPr>
  </w:style>
  <w:style w:type="character" w:customStyle="1" w:styleId="92">
    <w:name w:val="font101"/>
    <w:basedOn w:val="30"/>
    <w:qFormat/>
    <w:uiPriority w:val="0"/>
    <w:rPr>
      <w:rFonts w:hint="default" w:ascii="Times New Roman" w:hAnsi="Times New Roman" w:cs="Times New Roman"/>
      <w:color w:val="000000"/>
      <w:sz w:val="28"/>
      <w:szCs w:val="28"/>
      <w:u w:val="none"/>
      <w:vertAlign w:val="superscript"/>
    </w:rPr>
  </w:style>
  <w:style w:type="paragraph" w:customStyle="1" w:styleId="93">
    <w:name w:val="正文1"/>
    <w:basedOn w:val="1"/>
    <w:qFormat/>
    <w:uiPriority w:val="0"/>
    <w:pPr>
      <w:autoSpaceDE w:val="0"/>
      <w:autoSpaceDN w:val="0"/>
      <w:adjustRightInd w:val="0"/>
      <w:snapToGrid w:val="0"/>
      <w:spacing w:line="360" w:lineRule="auto"/>
      <w:ind w:firstLine="480" w:firstLineChars="200"/>
    </w:pPr>
    <w:rPr>
      <w:kern w:val="0"/>
      <w:sz w:val="24"/>
    </w:rPr>
  </w:style>
  <w:style w:type="paragraph" w:customStyle="1" w:styleId="94">
    <w:name w:val="表内容"/>
    <w:basedOn w:val="15"/>
    <w:qFormat/>
    <w:uiPriority w:val="0"/>
    <w:pPr>
      <w:keepNext w:val="0"/>
      <w:keepLines w:val="0"/>
      <w:widowControl w:val="0"/>
      <w:suppressLineNumbers w:val="0"/>
      <w:spacing w:line="240" w:lineRule="auto"/>
      <w:ind w:left="-30" w:leftChars="-30" w:right="-30" w:rightChars="-30" w:firstLine="0" w:firstLineChars="0"/>
      <w:jc w:val="center"/>
    </w:pPr>
    <w:rPr>
      <w:rFonts w:hint="default" w:ascii="Times New Roman" w:hAnsi="Times New Roman" w:eastAsia="宋体" w:cs="Times New Roman"/>
      <w:kern w:val="2"/>
      <w:sz w:val="21"/>
      <w:szCs w:val="21"/>
      <w:lang w:val="en-US" w:eastAsia="zh-CN" w:bidi="ar"/>
    </w:rPr>
  </w:style>
  <w:style w:type="paragraph" w:customStyle="1" w:styleId="95">
    <w:name w:val="表格标题"/>
    <w:basedOn w:val="96"/>
    <w:qFormat/>
    <w:uiPriority w:val="0"/>
    <w:pPr>
      <w:adjustRightInd w:val="0"/>
      <w:snapToGrid w:val="0"/>
      <w:spacing w:after="0"/>
      <w:ind w:firstLine="0" w:firstLineChars="0"/>
      <w:jc w:val="center"/>
    </w:pPr>
    <w:rPr>
      <w:rFonts w:ascii="Times New Roman" w:hAnsi="Times New Roman"/>
      <w:b/>
      <w:szCs w:val="21"/>
    </w:rPr>
  </w:style>
  <w:style w:type="paragraph" w:customStyle="1" w:styleId="96">
    <w:name w:val="正文首行缩进1"/>
    <w:basedOn w:val="8"/>
    <w:qFormat/>
    <w:uiPriority w:val="0"/>
    <w:pPr>
      <w:ind w:firstLine="420" w:firstLineChars="100"/>
    </w:pPr>
  </w:style>
  <w:style w:type="paragraph" w:customStyle="1" w:styleId="97">
    <w:name w:val="表格内容"/>
    <w:basedOn w:val="84"/>
    <w:qFormat/>
    <w:uiPriority w:val="0"/>
    <w:rPr>
      <w:b w:val="0"/>
      <w:szCs w:val="32"/>
    </w:rPr>
  </w:style>
  <w:style w:type="character" w:customStyle="1" w:styleId="98">
    <w:name w:val="font61"/>
    <w:basedOn w:val="30"/>
    <w:qFormat/>
    <w:uiPriority w:val="0"/>
    <w:rPr>
      <w:rFonts w:hint="default" w:ascii="Times New Roman" w:hAnsi="Times New Roman" w:cs="Times New Roman"/>
      <w:color w:val="000000"/>
      <w:sz w:val="22"/>
      <w:szCs w:val="22"/>
      <w:u w:val="none"/>
    </w:rPr>
  </w:style>
  <w:style w:type="character" w:customStyle="1" w:styleId="99">
    <w:name w:val="font41"/>
    <w:basedOn w:val="30"/>
    <w:qFormat/>
    <w:uiPriority w:val="0"/>
    <w:rPr>
      <w:rFonts w:hint="default" w:ascii="Times New Roman" w:hAnsi="Times New Roman" w:cs="Times New Roman"/>
      <w:color w:val="000000"/>
      <w:sz w:val="22"/>
      <w:szCs w:val="22"/>
      <w:u w:val="none"/>
    </w:rPr>
  </w:style>
  <w:style w:type="character" w:customStyle="1" w:styleId="100">
    <w:name w:val="font21"/>
    <w:basedOn w:val="30"/>
    <w:qFormat/>
    <w:uiPriority w:val="0"/>
    <w:rPr>
      <w:rFonts w:hint="default" w:ascii="Times New Roman" w:hAnsi="Times New Roman" w:cs="Times New Roman"/>
      <w:color w:val="000000"/>
      <w:sz w:val="21"/>
      <w:szCs w:val="21"/>
      <w:u w:val="none"/>
      <w:vertAlign w:val="subscript"/>
    </w:rPr>
  </w:style>
  <w:style w:type="paragraph" w:customStyle="1" w:styleId="101">
    <w:name w:val="表头"/>
    <w:basedOn w:val="5"/>
    <w:qFormat/>
    <w:uiPriority w:val="0"/>
    <w:pPr>
      <w:adjustRightInd w:val="0"/>
      <w:snapToGrid w:val="0"/>
      <w:spacing w:beforeLines="50"/>
      <w:jc w:val="center"/>
    </w:pPr>
    <w:rPr>
      <w:rFonts w:cs="宋体"/>
      <w:sz w:val="24"/>
      <w:szCs w:val="20"/>
    </w:rPr>
  </w:style>
  <w:style w:type="paragraph" w:customStyle="1" w:styleId="102">
    <w:name w:val="表1"/>
    <w:next w:val="1"/>
    <w:qFormat/>
    <w:uiPriority w:val="0"/>
    <w:pPr>
      <w:adjustRightInd w:val="0"/>
      <w:snapToGrid w:val="0"/>
      <w:jc w:val="center"/>
    </w:pPr>
    <w:rPr>
      <w:rFonts w:ascii="Times New Roman" w:hAnsi="Times New Roman" w:eastAsia="宋体" w:cs="Times New Roman"/>
      <w:sz w:val="21"/>
      <w:lang w:val="en-US" w:eastAsia="zh-CN" w:bidi="ar-SA"/>
    </w:rPr>
  </w:style>
  <w:style w:type="character" w:customStyle="1" w:styleId="103">
    <w:name w:val="font51"/>
    <w:basedOn w:val="30"/>
    <w:qFormat/>
    <w:uiPriority w:val="0"/>
    <w:rPr>
      <w:rFonts w:hint="default" w:ascii="Times New Roman" w:hAnsi="Times New Roman" w:cs="Times New Roman"/>
      <w:color w:val="0000FF"/>
      <w:sz w:val="21"/>
      <w:szCs w:val="21"/>
      <w:u w:val="none"/>
      <w:vertAlign w:val="subscript"/>
    </w:rPr>
  </w:style>
  <w:style w:type="paragraph" w:customStyle="1" w:styleId="104">
    <w:name w:val="列出段落1"/>
    <w:basedOn w:val="1"/>
    <w:qFormat/>
    <w:uiPriority w:val="0"/>
    <w:pPr>
      <w:ind w:firstLine="420" w:firstLineChars="200"/>
    </w:pPr>
    <w:rPr>
      <w:rFonts w:ascii="Calibri" w:hAnsi="Calibri"/>
      <w:szCs w:val="22"/>
    </w:rPr>
  </w:style>
  <w:style w:type="paragraph" w:customStyle="1" w:styleId="105">
    <w:name w:val="+表头"/>
    <w:basedOn w:val="1"/>
    <w:next w:val="106"/>
    <w:qFormat/>
    <w:uiPriority w:val="0"/>
    <w:pPr>
      <w:numPr>
        <w:ilvl w:val="0"/>
        <w:numId w:val="1"/>
      </w:numPr>
      <w:adjustRightInd w:val="0"/>
      <w:snapToGrid w:val="0"/>
      <w:spacing w:line="240" w:lineRule="auto"/>
      <w:jc w:val="center"/>
    </w:pPr>
    <w:rPr>
      <w:b/>
      <w:szCs w:val="21"/>
    </w:rPr>
  </w:style>
  <w:style w:type="paragraph" w:customStyle="1" w:styleId="106">
    <w:name w:val="+正文"/>
    <w:basedOn w:val="1"/>
    <w:qFormat/>
    <w:uiPriority w:val="0"/>
    <w:pPr>
      <w:adjustRightInd w:val="0"/>
      <w:snapToGrid w:val="0"/>
      <w:ind w:firstLine="200" w:firstLineChars="200"/>
      <w:jc w:val="both"/>
    </w:pPr>
  </w:style>
  <w:style w:type="paragraph" w:customStyle="1" w:styleId="10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jpeg"/><Relationship Id="rId16" Type="http://schemas.openxmlformats.org/officeDocument/2006/relationships/image" Target="media/image10.png"/><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56</Pages>
  <Words>18461</Words>
  <Characters>20813</Characters>
  <Lines>249</Lines>
  <Paragraphs>70</Paragraphs>
  <TotalTime>28</TotalTime>
  <ScaleCrop>false</ScaleCrop>
  <LinksUpToDate>false</LinksUpToDate>
  <CharactersWithSpaces>20931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2021-04-19T13:48:00Z</dcterms:created>
  <dc:creator>lhj</dc:creator>
  <cp:lastModifiedBy>韦绒</cp:lastModifiedBy>
  <cp:lastPrinted>2022-10-14T03:24:00Z</cp:lastPrinted>
  <dcterms:modified xsi:type="dcterms:W3CDTF">2025-03-24T08:10:58Z</dcterms:modified>
  <dc:title>附件2</dc:title>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806598DF0E114745A7789641062E2213_13</vt:lpwstr>
  </property>
  <property fmtid="{D5CDD505-2E9C-101B-9397-08002B2CF9AE}" pid="4" name="KSOTemplateDocerSaveRecord">
    <vt:lpwstr>eyJoZGlkIjoiODg3YjIxOTdhYWVhMDk0ODU4NWJlNjI2YzE4ZDEwN2QiLCJ1c2VySWQiOiI0MzE5MDM1OTMifQ==</vt:lpwstr>
  </property>
</Properties>
</file>